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720"/>
        <w:jc w:val="center"/>
        <w:rPr>
          <w:rFonts w:ascii="仿宋" w:hAnsi="仿宋" w:cs="微软雅黑"/>
          <w:sz w:val="36"/>
          <w:szCs w:val="36"/>
          <w:shd w:val="clear" w:color="auto" w:fill="FFFFFF"/>
        </w:rPr>
      </w:pPr>
    </w:p>
    <w:p>
      <w:pPr>
        <w:spacing w:line="480" w:lineRule="auto"/>
        <w:ind w:firstLine="720"/>
        <w:jc w:val="center"/>
        <w:rPr>
          <w:rFonts w:ascii="仿宋" w:hAnsi="仿宋" w:cs="微软雅黑"/>
          <w:sz w:val="36"/>
          <w:szCs w:val="36"/>
          <w:shd w:val="clear" w:color="auto" w:fill="FFFFFF"/>
        </w:rPr>
      </w:pPr>
    </w:p>
    <w:p>
      <w:pPr>
        <w:spacing w:line="480" w:lineRule="auto"/>
        <w:ind w:firstLine="720"/>
        <w:jc w:val="center"/>
        <w:rPr>
          <w:rFonts w:ascii="仿宋" w:hAnsi="仿宋" w:cs="微软雅黑"/>
          <w:sz w:val="36"/>
          <w:szCs w:val="36"/>
          <w:shd w:val="clear" w:color="auto" w:fill="FFFFFF"/>
        </w:rPr>
      </w:pPr>
    </w:p>
    <w:p>
      <w:pPr>
        <w:ind w:firstLine="0" w:firstLineChars="0"/>
        <w:jc w:val="center"/>
        <w:rPr>
          <w:sz w:val="36"/>
          <w:shd w:val="clear" w:color="auto" w:fill="FFFFFF"/>
        </w:rPr>
      </w:pPr>
    </w:p>
    <w:p>
      <w:pPr>
        <w:ind w:firstLine="0" w:firstLineChars="0"/>
        <w:jc w:val="center"/>
        <w:rPr>
          <w:sz w:val="36"/>
          <w:shd w:val="clear" w:color="auto" w:fill="FFFFFF"/>
        </w:rPr>
      </w:pPr>
    </w:p>
    <w:p>
      <w:pPr>
        <w:ind w:firstLine="0" w:firstLineChars="0"/>
        <w:jc w:val="center"/>
        <w:rPr>
          <w:rFonts w:ascii="微软雅黑" w:hAnsi="微软雅黑" w:eastAsia="微软雅黑"/>
          <w:sz w:val="36"/>
          <w:shd w:val="clear" w:color="auto" w:fill="FFFFFF"/>
        </w:rPr>
      </w:pPr>
      <w:bookmarkStart w:id="0" w:name="_Hlk120287130"/>
      <w:r>
        <w:rPr>
          <w:rFonts w:hint="eastAsia" w:ascii="微软雅黑" w:hAnsi="微软雅黑" w:eastAsia="微软雅黑"/>
          <w:sz w:val="36"/>
          <w:shd w:val="clear" w:color="auto" w:fill="FFFFFF"/>
        </w:rPr>
        <w:t>兴安盟旅游高质量发展规划</w:t>
      </w:r>
    </w:p>
    <w:p>
      <w:pPr>
        <w:ind w:firstLine="0" w:firstLineChars="0"/>
        <w:jc w:val="center"/>
        <w:rPr>
          <w:rFonts w:ascii="微软雅黑" w:hAnsi="微软雅黑" w:eastAsia="微软雅黑"/>
          <w:sz w:val="36"/>
          <w:shd w:val="clear" w:color="auto" w:fill="FFFFFF"/>
        </w:rPr>
      </w:pPr>
      <w:r>
        <w:rPr>
          <w:rFonts w:ascii="微软雅黑" w:hAnsi="微软雅黑" w:eastAsia="微软雅黑"/>
          <w:sz w:val="36"/>
          <w:shd w:val="clear" w:color="auto" w:fill="FFFFFF"/>
        </w:rPr>
        <w:t>（20</w:t>
      </w:r>
      <w:r>
        <w:rPr>
          <w:rFonts w:hint="eastAsia" w:ascii="微软雅黑" w:hAnsi="微软雅黑" w:eastAsia="微软雅黑"/>
          <w:sz w:val="36"/>
          <w:shd w:val="clear" w:color="auto" w:fill="FFFFFF"/>
        </w:rPr>
        <w:t>22-</w:t>
      </w:r>
      <w:r>
        <w:rPr>
          <w:rFonts w:ascii="微软雅黑" w:hAnsi="微软雅黑" w:eastAsia="微软雅黑"/>
          <w:sz w:val="36"/>
          <w:shd w:val="clear" w:color="auto" w:fill="FFFFFF"/>
        </w:rPr>
        <w:t>203</w:t>
      </w:r>
      <w:r>
        <w:rPr>
          <w:rFonts w:hint="eastAsia" w:ascii="微软雅黑" w:hAnsi="微软雅黑" w:eastAsia="微软雅黑"/>
          <w:sz w:val="36"/>
          <w:shd w:val="clear" w:color="auto" w:fill="FFFFFF"/>
        </w:rPr>
        <w:t>5年</w:t>
      </w:r>
      <w:r>
        <w:rPr>
          <w:rFonts w:ascii="微软雅黑" w:hAnsi="微软雅黑" w:eastAsia="微软雅黑"/>
          <w:sz w:val="36"/>
          <w:shd w:val="clear" w:color="auto" w:fill="FFFFFF"/>
        </w:rPr>
        <w:t>）</w:t>
      </w:r>
    </w:p>
    <w:bookmarkEnd w:id="0"/>
    <w:p>
      <w:pPr>
        <w:ind w:firstLine="298" w:firstLineChars="83"/>
        <w:jc w:val="center"/>
        <w:rPr>
          <w:rFonts w:ascii="微软雅黑" w:hAnsi="微软雅黑" w:eastAsia="微软雅黑"/>
          <w:sz w:val="36"/>
          <w:shd w:val="clear" w:color="auto" w:fill="FFFFFF"/>
        </w:rPr>
      </w:pPr>
    </w:p>
    <w:p>
      <w:pPr>
        <w:ind w:firstLine="265" w:firstLineChars="83"/>
        <w:jc w:val="center"/>
        <w:rPr>
          <w:rFonts w:ascii="微软雅黑" w:hAnsi="微软雅黑" w:eastAsia="微软雅黑"/>
          <w:sz w:val="32"/>
          <w:shd w:val="clear" w:color="auto" w:fill="FFFFFF"/>
        </w:rPr>
      </w:pPr>
      <w:r>
        <w:rPr>
          <w:rFonts w:hint="eastAsia" w:ascii="微软雅黑" w:hAnsi="微软雅黑" w:eastAsia="微软雅黑"/>
          <w:sz w:val="32"/>
          <w:shd w:val="clear" w:color="auto" w:fill="FFFFFF"/>
        </w:rPr>
        <w:t>文本</w:t>
      </w: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jc w:val="center"/>
        <w:rPr>
          <w:rFonts w:ascii="微软雅黑" w:hAnsi="微软雅黑" w:eastAsia="微软雅黑"/>
          <w:sz w:val="28"/>
          <w:szCs w:val="28"/>
        </w:rPr>
      </w:pPr>
    </w:p>
    <w:p>
      <w:pPr>
        <w:ind w:firstLine="0" w:firstLineChars="0"/>
        <w:rPr>
          <w:rFonts w:ascii="微软雅黑" w:hAnsi="微软雅黑" w:eastAsia="微软雅黑"/>
          <w:sz w:val="28"/>
          <w:szCs w:val="28"/>
        </w:rPr>
      </w:pPr>
    </w:p>
    <w:p>
      <w:pPr>
        <w:ind w:firstLine="0" w:firstLineChars="0"/>
        <w:jc w:val="center"/>
        <w:rPr>
          <w:rFonts w:ascii="微软雅黑" w:hAnsi="微软雅黑" w:eastAsia="微软雅黑"/>
          <w:szCs w:val="28"/>
        </w:rPr>
      </w:pPr>
      <w:bookmarkStart w:id="1" w:name="_Hlk120287121"/>
      <w:r>
        <w:rPr>
          <w:rFonts w:hint="eastAsia" w:ascii="微软雅黑" w:hAnsi="微软雅黑" w:eastAsia="微软雅黑"/>
          <w:szCs w:val="28"/>
        </w:rPr>
        <w:t>兴安盟文化旅游体育局</w:t>
      </w:r>
    </w:p>
    <w:bookmarkEnd w:id="1"/>
    <w:p>
      <w:pPr>
        <w:ind w:firstLine="0" w:firstLineChars="0"/>
        <w:jc w:val="center"/>
        <w:rPr>
          <w:rFonts w:ascii="微软雅黑" w:hAnsi="微软雅黑" w:eastAsia="微软雅黑"/>
          <w:szCs w:val="28"/>
        </w:rPr>
      </w:pPr>
      <w:r>
        <w:rPr>
          <w:rFonts w:hint="eastAsia" w:ascii="微软雅黑" w:hAnsi="微软雅黑" w:eastAsia="微软雅黑"/>
          <w:szCs w:val="28"/>
        </w:rPr>
        <w:t>上海奇创旅游集团股份有限公司</w:t>
      </w:r>
    </w:p>
    <w:p>
      <w:pPr>
        <w:ind w:firstLine="0" w:firstLineChars="0"/>
        <w:jc w:val="center"/>
        <w:rPr>
          <w:rFonts w:ascii="微软雅黑" w:hAnsi="微软雅黑" w:eastAsia="微软雅黑"/>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26" w:charSpace="0"/>
        </w:sectPr>
      </w:pPr>
      <w:r>
        <w:rPr>
          <w:rFonts w:hint="eastAsia" w:ascii="微软雅黑" w:hAnsi="微软雅黑" w:eastAsia="微软雅黑"/>
          <w:szCs w:val="28"/>
        </w:rPr>
        <w:t>二〇二三年</w:t>
      </w:r>
      <w:bookmarkStart w:id="2" w:name="_Toc507702197"/>
      <w:r>
        <w:rPr>
          <w:rFonts w:hint="eastAsia" w:ascii="微软雅黑" w:hAnsi="微软雅黑" w:eastAsia="微软雅黑"/>
          <w:szCs w:val="28"/>
        </w:rPr>
        <w:t>九月</w:t>
      </w:r>
    </w:p>
    <w:sdt>
      <w:sdtPr>
        <w:rPr>
          <w:rFonts w:ascii="Calibri" w:hAnsi="Calibri" w:eastAsia="仿宋" w:cs="Arial"/>
          <w:color w:val="auto"/>
          <w:kern w:val="2"/>
          <w:sz w:val="24"/>
          <w:szCs w:val="22"/>
          <w:lang w:val="zh-CN"/>
        </w:rPr>
        <w:id w:val="-464114586"/>
        <w:docPartObj>
          <w:docPartGallery w:val="Table of Contents"/>
          <w:docPartUnique/>
        </w:docPartObj>
      </w:sdtPr>
      <w:sdtEndPr>
        <w:rPr>
          <w:rFonts w:ascii="Calibri" w:hAnsi="Calibri" w:eastAsia="仿宋" w:cs="Arial"/>
          <w:b/>
          <w:bCs/>
          <w:color w:val="auto"/>
          <w:kern w:val="2"/>
          <w:sz w:val="24"/>
          <w:szCs w:val="22"/>
          <w:lang w:val="zh-CN"/>
        </w:rPr>
      </w:sdtEndPr>
      <w:sdtContent>
        <w:p>
          <w:pPr>
            <w:pStyle w:val="42"/>
            <w:ind w:firstLine="480"/>
            <w:jc w:val="center"/>
            <w:rPr>
              <w:rFonts w:ascii="黑体" w:hAnsi="黑体" w:eastAsia="黑体"/>
              <w:color w:val="auto"/>
            </w:rPr>
          </w:pPr>
          <w:bookmarkStart w:id="3" w:name="_Toc45295756"/>
          <w:r>
            <w:rPr>
              <w:rFonts w:ascii="黑体" w:hAnsi="黑体" w:eastAsia="黑体"/>
              <w:color w:val="auto"/>
              <w:lang w:val="zh-CN"/>
            </w:rPr>
            <w:t>目录</w:t>
          </w:r>
        </w:p>
        <w:p>
          <w:pPr>
            <w:pStyle w:val="17"/>
            <w:rPr>
              <w:rFonts w:asciiTheme="minorHAnsi" w:hAnsiTheme="minorHAnsi" w:eastAsiaTheme="minorEastAsia" w:cstheme="minorBidi"/>
              <w:sz w:val="21"/>
            </w:rPr>
          </w:pPr>
          <w:r>
            <w:fldChar w:fldCharType="begin"/>
          </w:r>
          <w:r>
            <w:instrText xml:space="preserve"> TOC \o "1-2" \h \z \u </w:instrText>
          </w:r>
          <w:r>
            <w:fldChar w:fldCharType="separate"/>
          </w:r>
          <w:r>
            <w:fldChar w:fldCharType="begin"/>
          </w:r>
          <w:r>
            <w:instrText xml:space="preserve"> HYPERLINK \l "_Toc141454135" </w:instrText>
          </w:r>
          <w:r>
            <w:fldChar w:fldCharType="separate"/>
          </w:r>
          <w:r>
            <w:rPr>
              <w:rStyle w:val="26"/>
            </w:rPr>
            <w:t>第一章  总则</w:t>
          </w:r>
          <w:r>
            <w:tab/>
          </w:r>
          <w:r>
            <w:fldChar w:fldCharType="begin"/>
          </w:r>
          <w:r>
            <w:instrText xml:space="preserve"> PAGEREF _Toc141454135 \h </w:instrText>
          </w:r>
          <w:r>
            <w:fldChar w:fldCharType="separate"/>
          </w:r>
          <w:r>
            <w:t>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"_Toc141454136" </w:instrText>
          </w:r>
          <w:r>
            <w:fldChar w:fldCharType="separate"/>
          </w:r>
          <w:r>
            <w:rPr>
              <w:rStyle w:val="26"/>
            </w:rPr>
            <w:t>第一条</w:t>
          </w:r>
          <w:r>
            <w:rPr>
              <w:rFonts w:asciiTheme="minorHAnsi" w:hAnsiTheme="minorHAnsi" w:eastAsiaTheme="minorEastAsia" w:cstheme="minorBidi"/>
              <w:sz w:val="21"/>
            </w:rPr>
            <w:tab/>
          </w:r>
          <w:r>
            <w:rPr>
              <w:rStyle w:val="26"/>
            </w:rPr>
            <w:t>指导思想</w:t>
          </w:r>
          <w:r>
            <w:tab/>
          </w:r>
          <w:r>
            <w:fldChar w:fldCharType="begin"/>
          </w:r>
          <w:r>
            <w:instrText xml:space="preserve"> PAGEREF _Toc141454136 \h </w:instrText>
          </w:r>
          <w:r>
            <w:fldChar w:fldCharType="separate"/>
          </w:r>
          <w:r>
            <w:t>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"_Toc141454137" </w:instrText>
          </w:r>
          <w:r>
            <w:fldChar w:fldCharType="separate"/>
          </w:r>
          <w:r>
            <w:rPr>
              <w:rStyle w:val="26"/>
            </w:rPr>
            <w:t>第二条</w:t>
          </w:r>
          <w:r>
            <w:rPr>
              <w:rFonts w:asciiTheme="minorHAnsi" w:hAnsiTheme="minorHAnsi" w:eastAsiaTheme="minorEastAsia" w:cstheme="minorBidi"/>
              <w:sz w:val="21"/>
            </w:rPr>
            <w:tab/>
          </w:r>
          <w:r>
            <w:rPr>
              <w:rStyle w:val="26"/>
            </w:rPr>
            <w:t>规划性质</w:t>
          </w:r>
          <w:r>
            <w:tab/>
          </w:r>
          <w:r>
            <w:fldChar w:fldCharType="begin"/>
          </w:r>
          <w:r>
            <w:instrText xml:space="preserve"> PAGEREF _Toc141454137 \h </w:instrText>
          </w:r>
          <w:r>
            <w:fldChar w:fldCharType="separate"/>
          </w:r>
          <w:r>
            <w:t>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"_Toc141454138" </w:instrText>
          </w:r>
          <w:r>
            <w:fldChar w:fldCharType="separate"/>
          </w:r>
          <w:r>
            <w:rPr>
              <w:rStyle w:val="26"/>
            </w:rPr>
            <w:t>第三条</w:t>
          </w:r>
          <w:r>
            <w:rPr>
              <w:rFonts w:asciiTheme="minorHAnsi" w:hAnsiTheme="minorHAnsi" w:eastAsiaTheme="minorEastAsia" w:cstheme="minorBidi"/>
              <w:sz w:val="21"/>
            </w:rPr>
            <w:tab/>
          </w:r>
          <w:r>
            <w:rPr>
              <w:rStyle w:val="26"/>
            </w:rPr>
            <w:t>规划任务</w:t>
          </w:r>
          <w:r>
            <w:tab/>
          </w:r>
          <w:r>
            <w:fldChar w:fldCharType="begin"/>
          </w:r>
          <w:r>
            <w:instrText xml:space="preserve"> PAGEREF _Toc141454138 \h </w:instrText>
          </w:r>
          <w:r>
            <w:fldChar w:fldCharType="separate"/>
          </w:r>
          <w:r>
            <w:t>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"_Toc141454139" </w:instrText>
          </w:r>
          <w:r>
            <w:fldChar w:fldCharType="separate"/>
          </w:r>
          <w:r>
            <w:rPr>
              <w:rStyle w:val="26"/>
            </w:rPr>
            <w:t>第四条</w:t>
          </w:r>
          <w:r>
            <w:rPr>
              <w:rFonts w:asciiTheme="minorHAnsi" w:hAnsiTheme="minorHAnsi" w:eastAsiaTheme="minorEastAsia" w:cstheme="minorBidi"/>
              <w:sz w:val="21"/>
            </w:rPr>
            <w:tab/>
          </w:r>
          <w:r>
            <w:rPr>
              <w:rStyle w:val="26"/>
            </w:rPr>
            <w:t>规划范围</w:t>
          </w:r>
          <w:r>
            <w:tab/>
          </w:r>
          <w:r>
            <w:fldChar w:fldCharType="begin"/>
          </w:r>
          <w:r>
            <w:instrText xml:space="preserve"> PAGEREF _Toc141454139 \h </w:instrText>
          </w:r>
          <w:r>
            <w:fldChar w:fldCharType="separate"/>
          </w:r>
          <w:r>
            <w:t>2</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"_Toc141454140" </w:instrText>
          </w:r>
          <w:r>
            <w:fldChar w:fldCharType="separate"/>
          </w:r>
          <w:r>
            <w:rPr>
              <w:rStyle w:val="26"/>
            </w:rPr>
            <w:t>第五条</w:t>
          </w:r>
          <w:r>
            <w:rPr>
              <w:rFonts w:asciiTheme="minorHAnsi" w:hAnsiTheme="minorHAnsi" w:eastAsiaTheme="minorEastAsia" w:cstheme="minorBidi"/>
              <w:sz w:val="21"/>
            </w:rPr>
            <w:tab/>
          </w:r>
          <w:r>
            <w:rPr>
              <w:rStyle w:val="26"/>
            </w:rPr>
            <w:t>规划期限</w:t>
          </w:r>
          <w:r>
            <w:tab/>
          </w:r>
          <w:r>
            <w:fldChar w:fldCharType="begin"/>
          </w:r>
          <w:r>
            <w:instrText xml:space="preserve"> PAGEREF _Toc141454140 \h </w:instrText>
          </w:r>
          <w:r>
            <w:fldChar w:fldCharType="separate"/>
          </w:r>
          <w:r>
            <w:t>2</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"_Toc141454141" </w:instrText>
          </w:r>
          <w:r>
            <w:fldChar w:fldCharType="separate"/>
          </w:r>
          <w:r>
            <w:rPr>
              <w:rStyle w:val="26"/>
            </w:rPr>
            <w:t>第二章  规划背景</w:t>
          </w:r>
          <w:r>
            <w:tab/>
          </w:r>
          <w:r>
            <w:fldChar w:fldCharType="begin"/>
          </w:r>
          <w:r>
            <w:instrText xml:space="preserve"> PAGEREF _Toc141454141 \h </w:instrText>
          </w:r>
          <w:r>
            <w:fldChar w:fldCharType="separate"/>
          </w:r>
          <w:r>
            <w:t>3</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"_Toc141454142" </w:instrText>
          </w:r>
          <w:r>
            <w:fldChar w:fldCharType="separate"/>
          </w:r>
          <w:r>
            <w:rPr>
              <w:rStyle w:val="26"/>
            </w:rPr>
            <w:t>第六条</w:t>
          </w:r>
          <w:r>
            <w:rPr>
              <w:rFonts w:asciiTheme="minorHAnsi" w:hAnsiTheme="minorHAnsi" w:eastAsiaTheme="minorEastAsia" w:cstheme="minorBidi"/>
              <w:sz w:val="21"/>
            </w:rPr>
            <w:tab/>
          </w:r>
          <w:r>
            <w:rPr>
              <w:rStyle w:val="26"/>
            </w:rPr>
            <w:t>发展背景</w:t>
          </w:r>
          <w:r>
            <w:tab/>
          </w:r>
          <w:r>
            <w:fldChar w:fldCharType="begin"/>
          </w:r>
          <w:r>
            <w:instrText xml:space="preserve"> PAGEREF _Toc141454142 \h </w:instrText>
          </w:r>
          <w:r>
            <w:fldChar w:fldCharType="separate"/>
          </w:r>
          <w:r>
            <w:t>3</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"_Toc141454143" </w:instrText>
          </w:r>
          <w:r>
            <w:fldChar w:fldCharType="separate"/>
          </w:r>
          <w:r>
            <w:rPr>
              <w:rStyle w:val="26"/>
            </w:rPr>
            <w:t>第七条</w:t>
          </w:r>
          <w:r>
            <w:rPr>
              <w:rFonts w:asciiTheme="minorHAnsi" w:hAnsiTheme="minorHAnsi" w:eastAsiaTheme="minorEastAsia" w:cstheme="minorBidi"/>
              <w:sz w:val="21"/>
            </w:rPr>
            <w:tab/>
          </w:r>
          <w:r>
            <w:rPr>
              <w:rStyle w:val="26"/>
            </w:rPr>
            <w:t>规划基础</w:t>
          </w:r>
          <w:r>
            <w:tab/>
          </w:r>
          <w:r>
            <w:fldChar w:fldCharType="begin"/>
          </w:r>
          <w:r>
            <w:instrText xml:space="preserve"> PAGEREF _Toc141454143 \h </w:instrText>
          </w:r>
          <w:r>
            <w:fldChar w:fldCharType="separate"/>
          </w:r>
          <w:r>
            <w:t>4</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"_Toc141454144" </w:instrText>
          </w:r>
          <w:r>
            <w:fldChar w:fldCharType="separate"/>
          </w:r>
          <w:r>
            <w:rPr>
              <w:rStyle w:val="26"/>
            </w:rPr>
            <w:t>第三章  发展路径</w:t>
          </w:r>
          <w:r>
            <w:tab/>
          </w:r>
          <w:r>
            <w:fldChar w:fldCharType="begin"/>
          </w:r>
          <w:r>
            <w:instrText xml:space="preserve"> PAGEREF _Toc141454144 \h </w:instrText>
          </w:r>
          <w:r>
            <w:fldChar w:fldCharType="separate"/>
          </w:r>
          <w:r>
            <w:t>6</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"_Toc141454145" </w:instrText>
          </w:r>
          <w:r>
            <w:fldChar w:fldCharType="separate"/>
          </w:r>
          <w:r>
            <w:rPr>
              <w:rStyle w:val="26"/>
            </w:rPr>
            <w:t>第八条</w:t>
          </w:r>
          <w:r>
            <w:rPr>
              <w:rFonts w:asciiTheme="minorHAnsi" w:hAnsiTheme="minorHAnsi" w:eastAsiaTheme="minorEastAsia" w:cstheme="minorBidi"/>
              <w:sz w:val="21"/>
            </w:rPr>
            <w:tab/>
          </w:r>
          <w:r>
            <w:rPr>
              <w:rStyle w:val="26"/>
            </w:rPr>
            <w:t>发展路径</w:t>
          </w:r>
          <w:r>
            <w:tab/>
          </w:r>
          <w:r>
            <w:fldChar w:fldCharType="begin"/>
          </w:r>
          <w:r>
            <w:instrText xml:space="preserve"> PAGEREF _Toc141454145 \h </w:instrText>
          </w:r>
          <w:r>
            <w:fldChar w:fldCharType="separate"/>
          </w:r>
          <w:r>
            <w:t>6</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"_Toc141454146" </w:instrText>
          </w:r>
          <w:r>
            <w:fldChar w:fldCharType="separate"/>
          </w:r>
          <w:r>
            <w:rPr>
              <w:rStyle w:val="26"/>
            </w:rPr>
            <w:t>第四章 目标定位与发展战略</w:t>
          </w:r>
          <w:r>
            <w:tab/>
          </w:r>
          <w:r>
            <w:fldChar w:fldCharType="begin"/>
          </w:r>
          <w:r>
            <w:instrText xml:space="preserve"> PAGEREF _Toc141454146 \h </w:instrText>
          </w:r>
          <w:r>
            <w:fldChar w:fldCharType="separate"/>
          </w:r>
          <w:r>
            <w:t>7</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"_Toc141454147" </w:instrText>
          </w:r>
          <w:r>
            <w:fldChar w:fldCharType="separate"/>
          </w:r>
          <w:r>
            <w:rPr>
              <w:rStyle w:val="26"/>
            </w:rPr>
            <w:t>第九条</w:t>
          </w:r>
          <w:r>
            <w:rPr>
              <w:rFonts w:asciiTheme="minorHAnsi" w:hAnsiTheme="minorHAnsi" w:eastAsiaTheme="minorEastAsia" w:cstheme="minorBidi"/>
              <w:sz w:val="21"/>
            </w:rPr>
            <w:tab/>
          </w:r>
          <w:r>
            <w:rPr>
              <w:rStyle w:val="26"/>
            </w:rPr>
            <w:t>总体定位</w:t>
          </w:r>
          <w:r>
            <w:tab/>
          </w:r>
          <w:r>
            <w:fldChar w:fldCharType="begin"/>
          </w:r>
          <w:r>
            <w:instrText xml:space="preserve"> PAGEREF _Toc141454147 \h </w:instrText>
          </w:r>
          <w:r>
            <w:fldChar w:fldCharType="separate"/>
          </w:r>
          <w:r>
            <w:t>7</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"_Toc141454148" </w:instrText>
          </w:r>
          <w:r>
            <w:fldChar w:fldCharType="separate"/>
          </w:r>
          <w:r>
            <w:rPr>
              <w:rStyle w:val="26"/>
            </w:rPr>
            <w:t>第十条</w:t>
          </w:r>
          <w:r>
            <w:rPr>
              <w:rFonts w:asciiTheme="minorHAnsi" w:hAnsiTheme="minorHAnsi" w:eastAsiaTheme="minorEastAsia" w:cstheme="minorBidi"/>
              <w:sz w:val="21"/>
            </w:rPr>
            <w:tab/>
          </w:r>
          <w:r>
            <w:rPr>
              <w:rStyle w:val="26"/>
            </w:rPr>
            <w:t>市场定位</w:t>
          </w:r>
          <w:r>
            <w:tab/>
          </w:r>
          <w:r>
            <w:fldChar w:fldCharType="begin"/>
          </w:r>
          <w:r>
            <w:instrText xml:space="preserve"> PAGEREF _Toc141454148 \h </w:instrText>
          </w:r>
          <w:r>
            <w:fldChar w:fldCharType="separate"/>
          </w:r>
          <w:r>
            <w:t>7</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"_Toc141454149" </w:instrText>
          </w:r>
          <w:r>
            <w:fldChar w:fldCharType="separate"/>
          </w:r>
          <w:r>
            <w:rPr>
              <w:rStyle w:val="26"/>
            </w:rPr>
            <w:t>第十一条</w:t>
          </w:r>
          <w:r>
            <w:rPr>
              <w:rFonts w:asciiTheme="minorHAnsi" w:hAnsiTheme="minorHAnsi" w:eastAsiaTheme="minorEastAsia" w:cstheme="minorBidi"/>
              <w:sz w:val="21"/>
            </w:rPr>
            <w:tab/>
          </w:r>
          <w:r>
            <w:rPr>
              <w:rStyle w:val="26"/>
            </w:rPr>
            <w:t>发展目标</w:t>
          </w:r>
          <w:r>
            <w:tab/>
          </w:r>
          <w:r>
            <w:fldChar w:fldCharType="begin"/>
          </w:r>
          <w:r>
            <w:instrText xml:space="preserve"> PAGEREF _Toc141454149 \h </w:instrText>
          </w:r>
          <w:r>
            <w:fldChar w:fldCharType="separate"/>
          </w:r>
          <w:r>
            <w:t>7</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"_Toc141454150" </w:instrText>
          </w:r>
          <w:r>
            <w:fldChar w:fldCharType="separate"/>
          </w:r>
          <w:r>
            <w:rPr>
              <w:rStyle w:val="26"/>
            </w:rPr>
            <w:t>第十二条</w:t>
          </w:r>
          <w:r>
            <w:rPr>
              <w:rFonts w:asciiTheme="minorHAnsi" w:hAnsiTheme="minorHAnsi" w:eastAsiaTheme="minorEastAsia" w:cstheme="minorBidi"/>
              <w:sz w:val="21"/>
            </w:rPr>
            <w:tab/>
          </w:r>
          <w:r>
            <w:rPr>
              <w:rStyle w:val="26"/>
            </w:rPr>
            <w:t>发展战略</w:t>
          </w:r>
          <w:r>
            <w:tab/>
          </w:r>
          <w:r>
            <w:fldChar w:fldCharType="begin"/>
          </w:r>
          <w:r>
            <w:instrText xml:space="preserve"> PAGEREF _Toc141454150 \h </w:instrText>
          </w:r>
          <w:r>
            <w:fldChar w:fldCharType="separate"/>
          </w:r>
          <w:r>
            <w:t>8</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"_Toc141454151" </w:instrText>
          </w:r>
          <w:r>
            <w:fldChar w:fldCharType="separate"/>
          </w:r>
          <w:r>
            <w:rPr>
              <w:rStyle w:val="26"/>
            </w:rPr>
            <w:t>第五章 旅游品牌形象</w:t>
          </w:r>
          <w:r>
            <w:tab/>
          </w:r>
          <w:r>
            <w:fldChar w:fldCharType="begin"/>
          </w:r>
          <w:r>
            <w:instrText xml:space="preserve"> PAGEREF _Toc141454151 \h </w:instrText>
          </w:r>
          <w:r>
            <w:fldChar w:fldCharType="separate"/>
          </w:r>
          <w:r>
            <w:t>10</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"_Toc141454152" </w:instrText>
          </w:r>
          <w:r>
            <w:fldChar w:fldCharType="separate"/>
          </w:r>
          <w:r>
            <w:rPr>
              <w:rStyle w:val="26"/>
            </w:rPr>
            <w:t>第十三条</w:t>
          </w:r>
          <w:r>
            <w:rPr>
              <w:rFonts w:asciiTheme="minorHAnsi" w:hAnsiTheme="minorHAnsi" w:eastAsiaTheme="minorEastAsia" w:cstheme="minorBidi"/>
              <w:sz w:val="21"/>
            </w:rPr>
            <w:tab/>
          </w:r>
          <w:r>
            <w:rPr>
              <w:rStyle w:val="26"/>
            </w:rPr>
            <w:t>品牌策略</w:t>
          </w:r>
          <w:r>
            <w:tab/>
          </w:r>
          <w:r>
            <w:fldChar w:fldCharType="begin"/>
          </w:r>
          <w:r>
            <w:instrText xml:space="preserve"> PAGEREF _Toc141454152 \h </w:instrText>
          </w:r>
          <w:r>
            <w:fldChar w:fldCharType="separate"/>
          </w:r>
          <w:r>
            <w:t>10</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"_Toc141454153" </w:instrText>
          </w:r>
          <w:r>
            <w:fldChar w:fldCharType="separate"/>
          </w:r>
          <w:r>
            <w:rPr>
              <w:rStyle w:val="26"/>
            </w:rPr>
            <w:t>第十四条</w:t>
          </w:r>
          <w:r>
            <w:rPr>
              <w:rFonts w:asciiTheme="minorHAnsi" w:hAnsiTheme="minorHAnsi" w:eastAsiaTheme="minorEastAsia" w:cstheme="minorBidi"/>
              <w:sz w:val="21"/>
            </w:rPr>
            <w:tab/>
          </w:r>
          <w:r>
            <w:rPr>
              <w:rStyle w:val="26"/>
            </w:rPr>
            <w:t>品牌形象</w:t>
          </w:r>
          <w:r>
            <w:tab/>
          </w:r>
          <w:r>
            <w:fldChar w:fldCharType="begin"/>
          </w:r>
          <w:r>
            <w:instrText xml:space="preserve"> PAGEREF _Toc141454153 \h </w:instrText>
          </w:r>
          <w:r>
            <w:fldChar w:fldCharType="separate"/>
          </w:r>
          <w:r>
            <w:t>10</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"_Toc141454154" </w:instrText>
          </w:r>
          <w:r>
            <w:fldChar w:fldCharType="separate"/>
          </w:r>
          <w:r>
            <w:rPr>
              <w:rStyle w:val="26"/>
            </w:rPr>
            <w:t>第六章  旅游发展空间规划</w:t>
          </w:r>
          <w:r>
            <w:tab/>
          </w:r>
          <w:r>
            <w:fldChar w:fldCharType="begin"/>
          </w:r>
          <w:r>
            <w:instrText xml:space="preserve"> PAGEREF _Toc141454154 \h </w:instrText>
          </w:r>
          <w:r>
            <w:fldChar w:fldCharType="separate"/>
          </w:r>
          <w:r>
            <w:t>11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"_Toc141454155" </w:instrText>
          </w:r>
          <w:r>
            <w:fldChar w:fldCharType="separate"/>
          </w:r>
          <w:r>
            <w:rPr>
              <w:rStyle w:val="26"/>
            </w:rPr>
            <w:t>第十五条</w:t>
          </w:r>
          <w:r>
            <w:rPr>
              <w:rFonts w:asciiTheme="minorHAnsi" w:hAnsiTheme="minorHAnsi" w:eastAsiaTheme="minorEastAsia" w:cstheme="minorBidi"/>
              <w:sz w:val="21"/>
            </w:rPr>
            <w:tab/>
          </w:r>
          <w:r>
            <w:rPr>
              <w:rStyle w:val="26"/>
            </w:rPr>
            <w:t>空间战略</w:t>
          </w:r>
          <w:r>
            <w:tab/>
          </w:r>
          <w:r>
            <w:fldChar w:fldCharType="begin"/>
          </w:r>
          <w:r>
            <w:instrText xml:space="preserve"> PAGEREF _Toc141454155 \h </w:instrText>
          </w:r>
          <w:r>
            <w:fldChar w:fldCharType="separate"/>
          </w:r>
          <w:r>
            <w:t>11</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"_Toc141454156" </w:instrText>
          </w:r>
          <w:r>
            <w:fldChar w:fldCharType="separate"/>
          </w:r>
          <w:r>
            <w:rPr>
              <w:rStyle w:val="26"/>
            </w:rPr>
            <w:t>第十六条</w:t>
          </w:r>
          <w:r>
            <w:rPr>
              <w:rFonts w:asciiTheme="minorHAnsi" w:hAnsiTheme="minorHAnsi" w:eastAsiaTheme="minorEastAsia" w:cstheme="minorBidi"/>
              <w:sz w:val="21"/>
            </w:rPr>
            <w:tab/>
          </w:r>
          <w:r>
            <w:rPr>
              <w:rStyle w:val="26"/>
            </w:rPr>
            <w:t>空间布局</w:t>
          </w:r>
          <w:r>
            <w:tab/>
          </w:r>
          <w:r>
            <w:fldChar w:fldCharType="begin"/>
          </w:r>
          <w:r>
            <w:instrText xml:space="preserve"> PAGEREF _Toc141454156 \h </w:instrText>
          </w:r>
          <w:r>
            <w:fldChar w:fldCharType="separate"/>
          </w:r>
          <w:r>
            <w:t>11</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"_Toc141454157" </w:instrText>
          </w:r>
          <w:r>
            <w:fldChar w:fldCharType="separate"/>
          </w:r>
          <w:r>
            <w:rPr>
              <w:rStyle w:val="26"/>
            </w:rPr>
            <w:t>第七章 旅游产品设计</w:t>
          </w:r>
          <w:r>
            <w:tab/>
          </w:r>
          <w:r>
            <w:fldChar w:fldCharType="begin"/>
          </w:r>
          <w:r>
            <w:instrText xml:space="preserve"> PAGEREF _Toc141454157 \h </w:instrText>
          </w:r>
          <w:r>
            <w:fldChar w:fldCharType="separate"/>
          </w:r>
          <w:r>
            <w:t>12</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"_Toc141454158" </w:instrText>
          </w:r>
          <w:r>
            <w:fldChar w:fldCharType="separate"/>
          </w:r>
          <w:r>
            <w:rPr>
              <w:rStyle w:val="26"/>
            </w:rPr>
            <w:t>第十七条</w:t>
          </w:r>
          <w:r>
            <w:rPr>
              <w:rFonts w:asciiTheme="minorHAnsi" w:hAnsiTheme="minorHAnsi" w:eastAsiaTheme="minorEastAsia" w:cstheme="minorBidi"/>
              <w:sz w:val="21"/>
            </w:rPr>
            <w:tab/>
          </w:r>
          <w:r>
            <w:rPr>
              <w:rStyle w:val="26"/>
            </w:rPr>
            <w:t>产品设计思路</w:t>
          </w:r>
          <w:r>
            <w:tab/>
          </w:r>
          <w:r>
            <w:fldChar w:fldCharType="begin"/>
          </w:r>
          <w:r>
            <w:instrText xml:space="preserve"> PAGEREF _Toc141454158 \h </w:instrText>
          </w:r>
          <w:r>
            <w:fldChar w:fldCharType="separate"/>
          </w:r>
          <w:r>
            <w:t>12</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"_Toc141454159" </w:instrText>
          </w:r>
          <w:r>
            <w:fldChar w:fldCharType="separate"/>
          </w:r>
          <w:r>
            <w:rPr>
              <w:rStyle w:val="26"/>
            </w:rPr>
            <w:t>第十八条</w:t>
          </w:r>
          <w:r>
            <w:rPr>
              <w:rFonts w:asciiTheme="minorHAnsi" w:hAnsiTheme="minorHAnsi" w:eastAsiaTheme="minorEastAsia" w:cstheme="minorBidi"/>
              <w:sz w:val="21"/>
            </w:rPr>
            <w:tab/>
          </w:r>
          <w:r>
            <w:rPr>
              <w:rStyle w:val="26"/>
            </w:rPr>
            <w:t>度假引领—阿尔山国际旅游发展极</w:t>
          </w:r>
          <w:r>
            <w:tab/>
          </w:r>
          <w:r>
            <w:fldChar w:fldCharType="begin"/>
          </w:r>
          <w:r>
            <w:instrText xml:space="preserve"> PAGEREF _Toc141454159 \h </w:instrText>
          </w:r>
          <w:r>
            <w:fldChar w:fldCharType="separate"/>
          </w:r>
          <w:r>
            <w:t>12</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"_Toc141454160" </w:instrText>
          </w:r>
          <w:r>
            <w:fldChar w:fldCharType="separate"/>
          </w:r>
          <w:r>
            <w:rPr>
              <w:rStyle w:val="26"/>
            </w:rPr>
            <w:t>第十九条</w:t>
          </w:r>
          <w:r>
            <w:rPr>
              <w:rFonts w:asciiTheme="minorHAnsi" w:hAnsiTheme="minorHAnsi" w:eastAsiaTheme="minorEastAsia" w:cstheme="minorBidi"/>
              <w:sz w:val="21"/>
            </w:rPr>
            <w:tab/>
          </w:r>
          <w:r>
            <w:rPr>
              <w:rStyle w:val="26"/>
            </w:rPr>
            <w:t>景城同建—乌兰浩特全域综合服务核</w:t>
          </w:r>
          <w:r>
            <w:tab/>
          </w:r>
          <w:r>
            <w:fldChar w:fldCharType="begin"/>
          </w:r>
          <w:r>
            <w:instrText xml:space="preserve"> PAGEREF _Toc141454160 \h </w:instrText>
          </w:r>
          <w:r>
            <w:fldChar w:fldCharType="separate"/>
          </w:r>
          <w:r>
            <w:t>13</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"_Toc141454161" </w:instrText>
          </w:r>
          <w:r>
            <w:fldChar w:fldCharType="separate"/>
          </w:r>
          <w:r>
            <w:rPr>
              <w:rStyle w:val="26"/>
            </w:rPr>
            <w:t>第二十条</w:t>
          </w:r>
          <w:r>
            <w:rPr>
              <w:rFonts w:asciiTheme="minorHAnsi" w:hAnsiTheme="minorHAnsi" w:eastAsiaTheme="minorEastAsia" w:cstheme="minorBidi"/>
              <w:sz w:val="21"/>
            </w:rPr>
            <w:tab/>
          </w:r>
          <w:r>
            <w:rPr>
              <w:rStyle w:val="26"/>
            </w:rPr>
            <w:t>路游公园—兴安三线</w:t>
          </w:r>
          <w:r>
            <w:tab/>
          </w:r>
          <w:r>
            <w:fldChar w:fldCharType="begin"/>
          </w:r>
          <w:r>
            <w:instrText xml:space="preserve"> PAGEREF _Toc141454161 \h </w:instrText>
          </w:r>
          <w:r>
            <w:fldChar w:fldCharType="separate"/>
          </w:r>
          <w:r>
            <w:t>15</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"_Toc141454162" </w:instrText>
          </w:r>
          <w:r>
            <w:fldChar w:fldCharType="separate"/>
          </w:r>
          <w:r>
            <w:rPr>
              <w:rStyle w:val="26"/>
            </w:rPr>
            <w:t>第二十一条</w:t>
          </w:r>
          <w:r>
            <w:rPr>
              <w:rFonts w:asciiTheme="minorHAnsi" w:hAnsiTheme="minorHAnsi" w:eastAsiaTheme="minorEastAsia" w:cstheme="minorBidi"/>
              <w:sz w:val="21"/>
            </w:rPr>
            <w:tab/>
          </w:r>
          <w:r>
            <w:rPr>
              <w:rStyle w:val="26"/>
            </w:rPr>
            <w:t>精品游线</w:t>
          </w:r>
          <w:r>
            <w:tab/>
          </w:r>
          <w:r>
            <w:fldChar w:fldCharType="begin"/>
          </w:r>
          <w:r>
            <w:instrText xml:space="preserve"> PAGEREF _Toc141454162 \h </w:instrText>
          </w:r>
          <w:r>
            <w:fldChar w:fldCharType="separate"/>
          </w:r>
          <w:r>
            <w:t>19</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"_Toc141454163" </w:instrText>
          </w:r>
          <w:r>
            <w:fldChar w:fldCharType="separate"/>
          </w:r>
          <w:r>
            <w:rPr>
              <w:rStyle w:val="26"/>
            </w:rPr>
            <w:t>第八章 旗县特色发展引导</w:t>
          </w:r>
          <w:r>
            <w:tab/>
          </w:r>
          <w:r>
            <w:fldChar w:fldCharType="begin"/>
          </w:r>
          <w:r>
            <w:instrText xml:space="preserve"> PAGEREF _Toc141454163 \h </w:instrText>
          </w:r>
          <w:r>
            <w:fldChar w:fldCharType="separate"/>
          </w:r>
          <w:r>
            <w:t>23</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"_Toc141454164" </w:instrText>
          </w:r>
          <w:r>
            <w:fldChar w:fldCharType="separate"/>
          </w:r>
          <w:r>
            <w:rPr>
              <w:rStyle w:val="26"/>
            </w:rPr>
            <w:t>第二十二条</w:t>
          </w:r>
          <w:r>
            <w:rPr>
              <w:rFonts w:asciiTheme="minorHAnsi" w:hAnsiTheme="minorHAnsi" w:eastAsiaTheme="minorEastAsia" w:cstheme="minorBidi"/>
              <w:sz w:val="21"/>
            </w:rPr>
            <w:tab/>
          </w:r>
          <w:r>
            <w:rPr>
              <w:rStyle w:val="26"/>
            </w:rPr>
            <w:t>乌兰浩特市</w:t>
          </w:r>
          <w:r>
            <w:tab/>
          </w:r>
          <w:r>
            <w:fldChar w:fldCharType="begin"/>
          </w:r>
          <w:r>
            <w:instrText xml:space="preserve"> PAGEREF _Toc141454164 \h </w:instrText>
          </w:r>
          <w:r>
            <w:fldChar w:fldCharType="separate"/>
          </w:r>
          <w:r>
            <w:t>23</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"_Toc141454165" </w:instrText>
          </w:r>
          <w:r>
            <w:fldChar w:fldCharType="separate"/>
          </w:r>
          <w:r>
            <w:rPr>
              <w:rStyle w:val="26"/>
            </w:rPr>
            <w:t>第二十三条</w:t>
          </w:r>
          <w:r>
            <w:rPr>
              <w:rFonts w:asciiTheme="minorHAnsi" w:hAnsiTheme="minorHAnsi" w:eastAsiaTheme="minorEastAsia" w:cstheme="minorBidi"/>
              <w:sz w:val="21"/>
            </w:rPr>
            <w:tab/>
          </w:r>
          <w:r>
            <w:rPr>
              <w:rStyle w:val="26"/>
            </w:rPr>
            <w:t>阿尔山市</w:t>
          </w:r>
          <w:r>
            <w:tab/>
          </w:r>
          <w:r>
            <w:fldChar w:fldCharType="begin"/>
          </w:r>
          <w:r>
            <w:instrText xml:space="preserve"> PAGEREF _Toc141454165 \h </w:instrText>
          </w:r>
          <w:r>
            <w:fldChar w:fldCharType="separate"/>
          </w:r>
          <w:r>
            <w:t>25</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"_Toc141454166" </w:instrText>
          </w:r>
          <w:r>
            <w:fldChar w:fldCharType="separate"/>
          </w:r>
          <w:r>
            <w:rPr>
              <w:rStyle w:val="26"/>
            </w:rPr>
            <w:t>第二十四条</w:t>
          </w:r>
          <w:r>
            <w:rPr>
              <w:rFonts w:asciiTheme="minorHAnsi" w:hAnsiTheme="minorHAnsi" w:eastAsiaTheme="minorEastAsia" w:cstheme="minorBidi"/>
              <w:sz w:val="21"/>
            </w:rPr>
            <w:tab/>
          </w:r>
          <w:r>
            <w:rPr>
              <w:rStyle w:val="26"/>
            </w:rPr>
            <w:t>科尔沁右翼前旗</w:t>
          </w:r>
          <w:r>
            <w:tab/>
          </w:r>
          <w:r>
            <w:fldChar w:fldCharType="begin"/>
          </w:r>
          <w:r>
            <w:instrText xml:space="preserve"> PAGEREF _Toc141454166 \h </w:instrText>
          </w:r>
          <w:r>
            <w:fldChar w:fldCharType="separate"/>
          </w:r>
          <w:r>
            <w:t>26</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"_Toc141454167" </w:instrText>
          </w:r>
          <w:r>
            <w:fldChar w:fldCharType="separate"/>
          </w:r>
          <w:r>
            <w:rPr>
              <w:rStyle w:val="26"/>
            </w:rPr>
            <w:t>第二十五条</w:t>
          </w:r>
          <w:r>
            <w:rPr>
              <w:rFonts w:asciiTheme="minorHAnsi" w:hAnsiTheme="minorHAnsi" w:eastAsiaTheme="minorEastAsia" w:cstheme="minorBidi"/>
              <w:sz w:val="21"/>
            </w:rPr>
            <w:tab/>
          </w:r>
          <w:r>
            <w:rPr>
              <w:rStyle w:val="26"/>
            </w:rPr>
            <w:t>扎赉特旗</w:t>
          </w:r>
          <w:r>
            <w:tab/>
          </w:r>
          <w:r>
            <w:fldChar w:fldCharType="begin"/>
          </w:r>
          <w:r>
            <w:instrText xml:space="preserve"> PAGEREF _Toc141454167 \h </w:instrText>
          </w:r>
          <w:r>
            <w:fldChar w:fldCharType="separate"/>
          </w:r>
          <w:r>
            <w:t>28</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"_Toc141454168" </w:instrText>
          </w:r>
          <w:r>
            <w:fldChar w:fldCharType="separate"/>
          </w:r>
          <w:r>
            <w:rPr>
              <w:rStyle w:val="26"/>
            </w:rPr>
            <w:t>第二十六条</w:t>
          </w:r>
          <w:r>
            <w:rPr>
              <w:rFonts w:asciiTheme="minorHAnsi" w:hAnsiTheme="minorHAnsi" w:eastAsiaTheme="minorEastAsia" w:cstheme="minorBidi"/>
              <w:sz w:val="21"/>
            </w:rPr>
            <w:tab/>
          </w:r>
          <w:r>
            <w:rPr>
              <w:rStyle w:val="26"/>
            </w:rPr>
            <w:t>科尔沁右翼中旗</w:t>
          </w:r>
          <w:r>
            <w:tab/>
          </w:r>
          <w:r>
            <w:fldChar w:fldCharType="begin"/>
          </w:r>
          <w:r>
            <w:instrText xml:space="preserve"> PAGEREF _Toc141454168 \h </w:instrText>
          </w:r>
          <w:r>
            <w:fldChar w:fldCharType="separate"/>
          </w:r>
          <w:r>
            <w:t>30</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"_Toc141454169" </w:instrText>
          </w:r>
          <w:r>
            <w:fldChar w:fldCharType="separate"/>
          </w:r>
          <w:r>
            <w:rPr>
              <w:rStyle w:val="26"/>
            </w:rPr>
            <w:t>第二十七条</w:t>
          </w:r>
          <w:r>
            <w:rPr>
              <w:rFonts w:asciiTheme="minorHAnsi" w:hAnsiTheme="minorHAnsi" w:eastAsiaTheme="minorEastAsia" w:cstheme="minorBidi"/>
              <w:sz w:val="21"/>
            </w:rPr>
            <w:tab/>
          </w:r>
          <w:r>
            <w:rPr>
              <w:rStyle w:val="26"/>
            </w:rPr>
            <w:t>突泉县</w:t>
          </w:r>
          <w:r>
            <w:tab/>
          </w:r>
          <w:r>
            <w:fldChar w:fldCharType="begin"/>
          </w:r>
          <w:r>
            <w:instrText xml:space="preserve"> PAGEREF _Toc141454169 \h </w:instrText>
          </w:r>
          <w:r>
            <w:fldChar w:fldCharType="separate"/>
          </w:r>
          <w:r>
            <w:t>31</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"_Toc141454170" </w:instrText>
          </w:r>
          <w:r>
            <w:fldChar w:fldCharType="separate"/>
          </w:r>
          <w:r>
            <w:rPr>
              <w:rStyle w:val="26"/>
            </w:rPr>
            <w:t>第九章 旅游公共服务体系规划</w:t>
          </w:r>
          <w:r>
            <w:tab/>
          </w:r>
          <w:r>
            <w:fldChar w:fldCharType="begin"/>
          </w:r>
          <w:r>
            <w:instrText xml:space="preserve"> PAGEREF _Toc141454170 \h </w:instrText>
          </w:r>
          <w:r>
            <w:fldChar w:fldCharType="separate"/>
          </w:r>
          <w:r>
            <w:t>33</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"_Toc141454171" </w:instrText>
          </w:r>
          <w:r>
            <w:fldChar w:fldCharType="separate"/>
          </w:r>
          <w:r>
            <w:rPr>
              <w:rStyle w:val="26"/>
            </w:rPr>
            <w:t>第二十八条</w:t>
          </w:r>
          <w:r>
            <w:rPr>
              <w:rFonts w:asciiTheme="minorHAnsi" w:hAnsiTheme="minorHAnsi" w:eastAsiaTheme="minorEastAsia" w:cstheme="minorBidi"/>
              <w:sz w:val="21"/>
            </w:rPr>
            <w:tab/>
          </w:r>
          <w:r>
            <w:rPr>
              <w:rStyle w:val="26"/>
            </w:rPr>
            <w:t>旅游咨询服务工程</w:t>
          </w:r>
          <w:r>
            <w:tab/>
          </w:r>
          <w:r>
            <w:fldChar w:fldCharType="begin"/>
          </w:r>
          <w:r>
            <w:instrText xml:space="preserve"> PAGEREF _Toc141454171 \h </w:instrText>
          </w:r>
          <w:r>
            <w:fldChar w:fldCharType="separate"/>
          </w:r>
          <w:r>
            <w:t>33</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"_Toc141454172" </w:instrText>
          </w:r>
          <w:r>
            <w:fldChar w:fldCharType="separate"/>
          </w:r>
          <w:r>
            <w:rPr>
              <w:rStyle w:val="26"/>
            </w:rPr>
            <w:t>第二十九条</w:t>
          </w:r>
          <w:r>
            <w:rPr>
              <w:rFonts w:asciiTheme="minorHAnsi" w:hAnsiTheme="minorHAnsi" w:eastAsiaTheme="minorEastAsia" w:cstheme="minorBidi"/>
              <w:sz w:val="21"/>
            </w:rPr>
            <w:tab/>
          </w:r>
          <w:r>
            <w:rPr>
              <w:rStyle w:val="26"/>
            </w:rPr>
            <w:t>旅游交通体系工程</w:t>
          </w:r>
          <w:r>
            <w:tab/>
          </w:r>
          <w:r>
            <w:fldChar w:fldCharType="begin"/>
          </w:r>
          <w:r>
            <w:instrText xml:space="preserve"> PAGEREF _Toc141454172 \h </w:instrText>
          </w:r>
          <w:r>
            <w:fldChar w:fldCharType="separate"/>
          </w:r>
          <w:r>
            <w:t>33</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"_Toc141454173" </w:instrText>
          </w:r>
          <w:r>
            <w:fldChar w:fldCharType="separate"/>
          </w:r>
          <w:r>
            <w:rPr>
              <w:rStyle w:val="26"/>
            </w:rPr>
            <w:t>第三十条</w:t>
          </w:r>
          <w:r>
            <w:rPr>
              <w:rFonts w:asciiTheme="minorHAnsi" w:hAnsiTheme="minorHAnsi" w:eastAsiaTheme="minorEastAsia" w:cstheme="minorBidi"/>
              <w:sz w:val="21"/>
            </w:rPr>
            <w:tab/>
          </w:r>
          <w:r>
            <w:rPr>
              <w:rStyle w:val="26"/>
            </w:rPr>
            <w:t>智慧旅游信息工程</w:t>
          </w:r>
          <w:r>
            <w:tab/>
          </w:r>
          <w:r>
            <w:fldChar w:fldCharType="begin"/>
          </w:r>
          <w:r>
            <w:instrText xml:space="preserve"> PAGEREF _Toc141454173 \h </w:instrText>
          </w:r>
          <w:r>
            <w:fldChar w:fldCharType="separate"/>
          </w:r>
          <w:r>
            <w:t>34</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"_Toc141454174" </w:instrText>
          </w:r>
          <w:r>
            <w:fldChar w:fldCharType="separate"/>
          </w:r>
          <w:r>
            <w:rPr>
              <w:rStyle w:val="26"/>
            </w:rPr>
            <w:t>第三十一条</w:t>
          </w:r>
          <w:r>
            <w:rPr>
              <w:rFonts w:asciiTheme="minorHAnsi" w:hAnsiTheme="minorHAnsi" w:eastAsiaTheme="minorEastAsia" w:cstheme="minorBidi"/>
              <w:sz w:val="21"/>
            </w:rPr>
            <w:tab/>
          </w:r>
          <w:r>
            <w:rPr>
              <w:rStyle w:val="26"/>
            </w:rPr>
            <w:t>旅游厕所工程</w:t>
          </w:r>
          <w:r>
            <w:tab/>
          </w:r>
          <w:r>
            <w:fldChar w:fldCharType="begin"/>
          </w:r>
          <w:r>
            <w:instrText xml:space="preserve"> PAGEREF _Toc141454174 \h </w:instrText>
          </w:r>
          <w:r>
            <w:fldChar w:fldCharType="separate"/>
          </w:r>
          <w:r>
            <w:t>34</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"_Toc141454175" </w:instrText>
          </w:r>
          <w:r>
            <w:fldChar w:fldCharType="separate"/>
          </w:r>
          <w:r>
            <w:rPr>
              <w:rStyle w:val="26"/>
            </w:rPr>
            <w:t>第三十二条</w:t>
          </w:r>
          <w:r>
            <w:rPr>
              <w:rFonts w:asciiTheme="minorHAnsi" w:hAnsiTheme="minorHAnsi" w:eastAsiaTheme="minorEastAsia" w:cstheme="minorBidi"/>
              <w:sz w:val="21"/>
            </w:rPr>
            <w:tab/>
          </w:r>
          <w:r>
            <w:rPr>
              <w:rStyle w:val="26"/>
            </w:rPr>
            <w:t>旅游富民惠民</w:t>
          </w:r>
          <w:r>
            <w:tab/>
          </w:r>
          <w:r>
            <w:fldChar w:fldCharType="begin"/>
          </w:r>
          <w:r>
            <w:instrText xml:space="preserve"> PAGEREF _Toc141454175 \h </w:instrText>
          </w:r>
          <w:r>
            <w:fldChar w:fldCharType="separate"/>
          </w:r>
          <w:r>
            <w:t>35</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"_Toc141454176" </w:instrText>
          </w:r>
          <w:r>
            <w:fldChar w:fldCharType="separate"/>
          </w:r>
          <w:r>
            <w:rPr>
              <w:rStyle w:val="26"/>
            </w:rPr>
            <w:t>第十章 泛旅游产业整合规划</w:t>
          </w:r>
          <w:r>
            <w:tab/>
          </w:r>
          <w:r>
            <w:fldChar w:fldCharType="begin"/>
          </w:r>
          <w:r>
            <w:instrText xml:space="preserve"> PAGEREF _Toc141454176 \h </w:instrText>
          </w:r>
          <w:r>
            <w:fldChar w:fldCharType="separate"/>
          </w:r>
          <w:r>
            <w:t>36</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"_Toc141454177" </w:instrText>
          </w:r>
          <w:r>
            <w:fldChar w:fldCharType="separate"/>
          </w:r>
          <w:r>
            <w:rPr>
              <w:rStyle w:val="26"/>
            </w:rPr>
            <w:t>第三十三条</w:t>
          </w:r>
          <w:r>
            <w:rPr>
              <w:rFonts w:asciiTheme="minorHAnsi" w:hAnsiTheme="minorHAnsi" w:eastAsiaTheme="minorEastAsia" w:cstheme="minorBidi"/>
              <w:sz w:val="21"/>
            </w:rPr>
            <w:tab/>
          </w:r>
          <w:r>
            <w:rPr>
              <w:rStyle w:val="26"/>
            </w:rPr>
            <w:t>旅游产业要素</w:t>
          </w:r>
          <w:r>
            <w:tab/>
          </w:r>
          <w:r>
            <w:fldChar w:fldCharType="begin"/>
          </w:r>
          <w:r>
            <w:instrText xml:space="preserve"> PAGEREF _Toc141454177 \h </w:instrText>
          </w:r>
          <w:r>
            <w:fldChar w:fldCharType="separate"/>
          </w:r>
          <w:r>
            <w:t>36</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"_Toc141454178" </w:instrText>
          </w:r>
          <w:r>
            <w:fldChar w:fldCharType="separate"/>
          </w:r>
          <w:r>
            <w:rPr>
              <w:rStyle w:val="26"/>
            </w:rPr>
            <w:t>第三十四条</w:t>
          </w:r>
          <w:r>
            <w:rPr>
              <w:rFonts w:asciiTheme="minorHAnsi" w:hAnsiTheme="minorHAnsi" w:eastAsiaTheme="minorEastAsia" w:cstheme="minorBidi"/>
              <w:sz w:val="21"/>
            </w:rPr>
            <w:tab/>
          </w:r>
          <w:r>
            <w:rPr>
              <w:rStyle w:val="26"/>
            </w:rPr>
            <w:t>旅游相关产业融合</w:t>
          </w:r>
          <w:r>
            <w:tab/>
          </w:r>
          <w:r>
            <w:fldChar w:fldCharType="begin"/>
          </w:r>
          <w:r>
            <w:instrText xml:space="preserve"> PAGEREF _Toc141454178 \h </w:instrText>
          </w:r>
          <w:r>
            <w:fldChar w:fldCharType="separate"/>
          </w:r>
          <w:r>
            <w:t>37</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"_Toc141454179" </w:instrText>
          </w:r>
          <w:r>
            <w:fldChar w:fldCharType="separate"/>
          </w:r>
          <w:r>
            <w:rPr>
              <w:rStyle w:val="26"/>
            </w:rPr>
            <w:t>第十一章 体制机制与保障体系</w:t>
          </w:r>
          <w:r>
            <w:tab/>
          </w:r>
          <w:r>
            <w:fldChar w:fldCharType="begin"/>
          </w:r>
          <w:r>
            <w:instrText xml:space="preserve"> PAGEREF _Toc141454179 \h </w:instrText>
          </w:r>
          <w:r>
            <w:fldChar w:fldCharType="separate"/>
          </w:r>
          <w:r>
            <w:t>41</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"_Toc141454180" </w:instrText>
          </w:r>
          <w:r>
            <w:fldChar w:fldCharType="separate"/>
          </w:r>
          <w:r>
            <w:rPr>
              <w:rStyle w:val="26"/>
            </w:rPr>
            <w:t>第三十五条</w:t>
          </w:r>
          <w:r>
            <w:rPr>
              <w:rFonts w:asciiTheme="minorHAnsi" w:hAnsiTheme="minorHAnsi" w:eastAsiaTheme="minorEastAsia" w:cstheme="minorBidi"/>
              <w:sz w:val="21"/>
            </w:rPr>
            <w:tab/>
          </w:r>
          <w:r>
            <w:rPr>
              <w:rStyle w:val="26"/>
            </w:rPr>
            <w:t>体制机制</w:t>
          </w:r>
          <w:r>
            <w:tab/>
          </w:r>
          <w:r>
            <w:fldChar w:fldCharType="begin"/>
          </w:r>
          <w:r>
            <w:instrText xml:space="preserve"> PAGEREF _Toc141454180 \h </w:instrText>
          </w:r>
          <w:r>
            <w:fldChar w:fldCharType="separate"/>
          </w:r>
          <w:r>
            <w:t>41</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"_Toc141454181" </w:instrText>
          </w:r>
          <w:r>
            <w:fldChar w:fldCharType="separate"/>
          </w:r>
          <w:r>
            <w:rPr>
              <w:rStyle w:val="26"/>
            </w:rPr>
            <w:t>第三十六条</w:t>
          </w:r>
          <w:r>
            <w:rPr>
              <w:rFonts w:asciiTheme="minorHAnsi" w:hAnsiTheme="minorHAnsi" w:eastAsiaTheme="minorEastAsia" w:cstheme="minorBidi"/>
              <w:sz w:val="21"/>
            </w:rPr>
            <w:tab/>
          </w:r>
          <w:r>
            <w:rPr>
              <w:rStyle w:val="26"/>
            </w:rPr>
            <w:t>资金保障</w:t>
          </w:r>
          <w:r>
            <w:tab/>
          </w:r>
          <w:r>
            <w:fldChar w:fldCharType="begin"/>
          </w:r>
          <w:r>
            <w:instrText xml:space="preserve"> PAGEREF _Toc141454181 \h </w:instrText>
          </w:r>
          <w:r>
            <w:fldChar w:fldCharType="separate"/>
          </w:r>
          <w:r>
            <w:t>41</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"_Toc141454182" </w:instrText>
          </w:r>
          <w:r>
            <w:fldChar w:fldCharType="separate"/>
          </w:r>
          <w:r>
            <w:rPr>
              <w:rStyle w:val="26"/>
            </w:rPr>
            <w:t>第三十七条</w:t>
          </w:r>
          <w:r>
            <w:rPr>
              <w:rFonts w:asciiTheme="minorHAnsi" w:hAnsiTheme="minorHAnsi" w:eastAsiaTheme="minorEastAsia" w:cstheme="minorBidi"/>
              <w:sz w:val="21"/>
            </w:rPr>
            <w:tab/>
          </w:r>
          <w:r>
            <w:rPr>
              <w:rStyle w:val="26"/>
            </w:rPr>
            <w:t>土地保障</w:t>
          </w:r>
          <w:r>
            <w:tab/>
          </w:r>
          <w:r>
            <w:fldChar w:fldCharType="begin"/>
          </w:r>
          <w:r>
            <w:instrText xml:space="preserve"> PAGEREF _Toc141454182 \h </w:instrText>
          </w:r>
          <w:r>
            <w:fldChar w:fldCharType="separate"/>
          </w:r>
          <w:r>
            <w:t>42</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"_Toc141454183" </w:instrText>
          </w:r>
          <w:r>
            <w:fldChar w:fldCharType="separate"/>
          </w:r>
          <w:r>
            <w:rPr>
              <w:rStyle w:val="26"/>
            </w:rPr>
            <w:t>第三十八条</w:t>
          </w:r>
          <w:r>
            <w:rPr>
              <w:rFonts w:asciiTheme="minorHAnsi" w:hAnsiTheme="minorHAnsi" w:eastAsiaTheme="minorEastAsia" w:cstheme="minorBidi"/>
              <w:sz w:val="21"/>
            </w:rPr>
            <w:tab/>
          </w:r>
          <w:r>
            <w:rPr>
              <w:rStyle w:val="26"/>
            </w:rPr>
            <w:t>人才保障</w:t>
          </w:r>
          <w:r>
            <w:tab/>
          </w:r>
          <w:r>
            <w:fldChar w:fldCharType="begin"/>
          </w:r>
          <w:r>
            <w:instrText xml:space="preserve"> PAGEREF _Toc141454183 \h </w:instrText>
          </w:r>
          <w:r>
            <w:fldChar w:fldCharType="separate"/>
          </w:r>
          <w:r>
            <w:t>42</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"_Toc141454184" </w:instrText>
          </w:r>
          <w:r>
            <w:fldChar w:fldCharType="separate"/>
          </w:r>
          <w:r>
            <w:rPr>
              <w:rStyle w:val="26"/>
            </w:rPr>
            <w:t>第三十九条</w:t>
          </w:r>
          <w:r>
            <w:rPr>
              <w:rFonts w:asciiTheme="minorHAnsi" w:hAnsiTheme="minorHAnsi" w:eastAsiaTheme="minorEastAsia" w:cstheme="minorBidi"/>
              <w:sz w:val="21"/>
            </w:rPr>
            <w:tab/>
          </w:r>
          <w:r>
            <w:rPr>
              <w:rStyle w:val="26"/>
            </w:rPr>
            <w:t>招商引资保障</w:t>
          </w:r>
          <w:r>
            <w:tab/>
          </w:r>
          <w:r>
            <w:fldChar w:fldCharType="begin"/>
          </w:r>
          <w:r>
            <w:instrText xml:space="preserve"> PAGEREF _Toc141454184 \h </w:instrText>
          </w:r>
          <w:r>
            <w:fldChar w:fldCharType="separate"/>
          </w:r>
          <w:r>
            <w:t>43</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"_Toc141454185" </w:instrText>
          </w:r>
          <w:r>
            <w:fldChar w:fldCharType="separate"/>
          </w:r>
          <w:r>
            <w:rPr>
              <w:rStyle w:val="26"/>
            </w:rPr>
            <w:t>第十二章 旅游发展三年行动计划</w:t>
          </w:r>
          <w:r>
            <w:tab/>
          </w:r>
          <w:r>
            <w:fldChar w:fldCharType="begin"/>
          </w:r>
          <w:r>
            <w:instrText xml:space="preserve"> PAGEREF _Toc141454185 \h </w:instrText>
          </w:r>
          <w:r>
            <w:fldChar w:fldCharType="separate"/>
          </w:r>
          <w:r>
            <w:t>44</w:t>
          </w:r>
          <w:r>
            <w:fldChar w:fldCharType="end"/>
          </w:r>
          <w:r>
            <w:fldChar w:fldCharType="end"/>
          </w:r>
        </w:p>
        <w:p>
          <w:pPr>
            <w:pStyle w:val="20"/>
            <w:tabs>
              <w:tab w:val="left" w:pos="210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"_Toc141454186" </w:instrText>
          </w:r>
          <w:r>
            <w:fldChar w:fldCharType="separate"/>
          </w:r>
          <w:r>
            <w:rPr>
              <w:rStyle w:val="26"/>
            </w:rPr>
            <w:t>第四十条</w:t>
          </w:r>
          <w:r>
            <w:rPr>
              <w:rFonts w:asciiTheme="minorHAnsi" w:hAnsiTheme="minorHAnsi" w:eastAsiaTheme="minorEastAsia" w:cstheme="minorBidi"/>
              <w:sz w:val="21"/>
            </w:rPr>
            <w:tab/>
          </w:r>
          <w:r>
            <w:rPr>
              <w:rStyle w:val="26"/>
            </w:rPr>
            <w:t>发展重点</w:t>
          </w:r>
          <w:r>
            <w:tab/>
          </w:r>
          <w:r>
            <w:fldChar w:fldCharType="begin"/>
          </w:r>
          <w:r>
            <w:instrText xml:space="preserve"> PAGEREF _Toc141454186 \h </w:instrText>
          </w:r>
          <w:r>
            <w:fldChar w:fldCharType="separate"/>
          </w:r>
          <w:r>
            <w:t>44</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"_Toc141454187" </w:instrText>
          </w:r>
          <w:r>
            <w:fldChar w:fldCharType="separate"/>
          </w:r>
          <w:r>
            <w:rPr>
              <w:rStyle w:val="26"/>
            </w:rPr>
            <w:t>第四十一条</w:t>
          </w:r>
          <w:r>
            <w:rPr>
              <w:rFonts w:asciiTheme="minorHAnsi" w:hAnsiTheme="minorHAnsi" w:eastAsiaTheme="minorEastAsia" w:cstheme="minorBidi"/>
              <w:sz w:val="21"/>
            </w:rPr>
            <w:tab/>
          </w:r>
          <w:r>
            <w:rPr>
              <w:rStyle w:val="26"/>
            </w:rPr>
            <w:t>行动目标</w:t>
          </w:r>
          <w:r>
            <w:tab/>
          </w:r>
          <w:r>
            <w:fldChar w:fldCharType="begin"/>
          </w:r>
          <w:r>
            <w:instrText xml:space="preserve"> PAGEREF _Toc141454187 \h </w:instrText>
          </w:r>
          <w:r>
            <w:fldChar w:fldCharType="separate"/>
          </w:r>
          <w:r>
            <w:t>44</w:t>
          </w:r>
          <w:r>
            <w:fldChar w:fldCharType="end"/>
          </w:r>
          <w:r>
            <w:fldChar w:fldCharType="end"/>
          </w:r>
        </w:p>
        <w:p>
          <w:pPr>
            <w:pStyle w:val="20"/>
            <w:tabs>
              <w:tab w:val="left" w:pos="2520"/>
              <w:tab w:val="right" w:leader="dot" w:pos="8296"/>
            </w:tabs>
            <w:ind w:left="480" w:firstLine="480"/>
            <w:rPr>
              <w:rFonts w:asciiTheme="minorHAnsi" w:hAnsiTheme="minorHAnsi" w:eastAsiaTheme="minorEastAsia" w:cstheme="minorBidi"/>
              <w:sz w:val="21"/>
            </w:rPr>
          </w:pPr>
          <w:r>
            <w:fldChar w:fldCharType="begin"/>
          </w:r>
          <w:r>
            <w:instrText xml:space="preserve"> HYPERLINK \l "_Toc141454188" </w:instrText>
          </w:r>
          <w:r>
            <w:fldChar w:fldCharType="separate"/>
          </w:r>
          <w:r>
            <w:rPr>
              <w:rStyle w:val="26"/>
            </w:rPr>
            <w:t>第四十二条</w:t>
          </w:r>
          <w:r>
            <w:rPr>
              <w:rFonts w:asciiTheme="minorHAnsi" w:hAnsiTheme="minorHAnsi" w:eastAsiaTheme="minorEastAsia" w:cstheme="minorBidi"/>
              <w:sz w:val="21"/>
            </w:rPr>
            <w:tab/>
          </w:r>
          <w:r>
            <w:rPr>
              <w:rStyle w:val="26"/>
            </w:rPr>
            <w:t>行动部署</w:t>
          </w:r>
          <w:r>
            <w:tab/>
          </w:r>
          <w:r>
            <w:fldChar w:fldCharType="begin"/>
          </w:r>
          <w:r>
            <w:instrText xml:space="preserve"> PAGEREF _Toc141454188 \h </w:instrText>
          </w:r>
          <w:r>
            <w:fldChar w:fldCharType="separate"/>
          </w:r>
          <w:r>
            <w:t>44</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"_Toc141454189" </w:instrText>
          </w:r>
          <w:r>
            <w:fldChar w:fldCharType="separate"/>
          </w:r>
          <w:r>
            <w:rPr>
              <w:rStyle w:val="26"/>
            </w:rPr>
            <w:t>附表1：项目品牌创建表</w:t>
          </w:r>
          <w:r>
            <w:tab/>
          </w:r>
          <w:r>
            <w:fldChar w:fldCharType="begin"/>
          </w:r>
          <w:r>
            <w:instrText xml:space="preserve"> PAGEREF _Toc141454189 \h </w:instrText>
          </w:r>
          <w:r>
            <w:fldChar w:fldCharType="separate"/>
          </w:r>
          <w:r>
            <w:t>45</w:t>
          </w:r>
          <w:r>
            <w:fldChar w:fldCharType="end"/>
          </w:r>
          <w:r>
            <w:fldChar w:fldCharType="end"/>
          </w:r>
        </w:p>
        <w:p>
          <w:pPr>
            <w:pStyle w:val="17"/>
            <w:rPr>
              <w:rFonts w:asciiTheme="minorHAnsi" w:hAnsiTheme="minorHAnsi" w:eastAsiaTheme="minorEastAsia" w:cstheme="minorBidi"/>
              <w:sz w:val="21"/>
            </w:rPr>
          </w:pPr>
          <w:r>
            <w:fldChar w:fldCharType="begin"/>
          </w:r>
          <w:r>
            <w:instrText xml:space="preserve"> HYPERLINK \l "_Toc141454190" </w:instrText>
          </w:r>
          <w:r>
            <w:fldChar w:fldCharType="separate"/>
          </w:r>
          <w:r>
            <w:rPr>
              <w:rStyle w:val="26"/>
            </w:rPr>
            <w:t>附表2：2023年重点项目</w:t>
          </w:r>
          <w:r>
            <w:tab/>
          </w:r>
          <w:r>
            <w:fldChar w:fldCharType="begin"/>
          </w:r>
          <w:r>
            <w:instrText xml:space="preserve"> PAGEREF _Toc141454190 \h </w:instrText>
          </w:r>
          <w:r>
            <w:fldChar w:fldCharType="separate"/>
          </w:r>
          <w:r>
            <w:t>63</w:t>
          </w:r>
          <w:r>
            <w:fldChar w:fldCharType="end"/>
          </w:r>
          <w:r>
            <w:fldChar w:fldCharType="end"/>
          </w:r>
        </w:p>
        <w:p>
          <w:pPr>
            <w:ind w:firstLine="480"/>
          </w:pPr>
          <w:r>
            <w:fldChar w:fldCharType="end"/>
          </w:r>
        </w:p>
      </w:sdtContent>
    </w:sdt>
    <w:p>
      <w:pPr>
        <w:ind w:firstLine="0" w:firstLineChars="0"/>
        <w:sectPr>
          <w:pgSz w:w="11906" w:h="16838"/>
          <w:pgMar w:top="1440" w:right="1800" w:bottom="1440" w:left="1800" w:header="851" w:footer="992" w:gutter="0"/>
          <w:pgNumType w:fmt="lowerRoman" w:start="1"/>
          <w:cols w:space="425" w:num="1"/>
          <w:docGrid w:type="lines" w:linePitch="326" w:charSpace="0"/>
        </w:sectPr>
      </w:pPr>
    </w:p>
    <w:bookmarkEnd w:id="2"/>
    <w:bookmarkEnd w:id="3"/>
    <w:p>
      <w:pPr>
        <w:pStyle w:val="2"/>
        <w:jc w:val="center"/>
      </w:pPr>
      <w:bookmarkStart w:id="4" w:name="_Toc141454135"/>
      <w:r>
        <w:rPr>
          <w:rFonts w:hint="eastAsia"/>
        </w:rPr>
        <w:t>第一章</w:t>
      </w:r>
      <w:r>
        <w:t xml:space="preserve">  </w:t>
      </w:r>
      <w:r>
        <w:rPr>
          <w:rFonts w:hint="eastAsia"/>
        </w:rPr>
        <w:t>总则</w:t>
      </w:r>
      <w:bookmarkEnd w:id="4"/>
    </w:p>
    <w:p>
      <w:pPr>
        <w:pStyle w:val="3"/>
        <w:numPr>
          <w:ilvl w:val="0"/>
          <w:numId w:val="1"/>
        </w:numPr>
      </w:pPr>
      <w:bookmarkStart w:id="5" w:name="_Toc141454136"/>
      <w:bookmarkStart w:id="6" w:name="_Toc507702198"/>
      <w:bookmarkStart w:id="7" w:name="_Toc45295757"/>
      <w:bookmarkStart w:id="8" w:name="_Toc488698440"/>
      <w:r>
        <w:rPr>
          <w:rFonts w:hint="eastAsia"/>
        </w:rPr>
        <w:t>指导思想</w:t>
      </w:r>
      <w:bookmarkEnd w:id="5"/>
    </w:p>
    <w:p>
      <w:pPr>
        <w:ind w:firstLine="480"/>
      </w:pPr>
      <w:r>
        <w:rPr>
          <w:rFonts w:hint="eastAsia"/>
        </w:rPr>
        <w:t>高举中国特色社会主义伟大旗帜，深入贯彻党的</w:t>
      </w:r>
      <w:r>
        <w:rPr>
          <w:rFonts w:hint="eastAsia"/>
          <w:lang w:eastAsia="zh-CN"/>
        </w:rPr>
        <w:t>二十大精神</w:t>
      </w:r>
      <w:r>
        <w:rPr>
          <w:rFonts w:hint="eastAsia"/>
        </w:rPr>
        <w:t>。认真落实习近平总书记参加十三届全国人大五次会议内蒙古代表团审议时所强调的“</w:t>
      </w:r>
      <w:r>
        <w:rPr>
          <w:bCs/>
        </w:rPr>
        <w:t>坚定不移走以生态优先、绿色发展为导向的高质量发展新路子</w:t>
      </w:r>
      <w:r>
        <w:rPr>
          <w:rFonts w:hint="eastAsia"/>
          <w:bCs/>
        </w:rPr>
        <w:t>”</w:t>
      </w:r>
      <w:r>
        <w:rPr>
          <w:rFonts w:hint="eastAsia"/>
        </w:rPr>
        <w:t>“</w:t>
      </w:r>
      <w:r>
        <w:rPr>
          <w:rFonts w:hint="eastAsia"/>
          <w:bCs/>
        </w:rPr>
        <w:t>把祖国北部边疆风景线打造得更加亮丽</w:t>
      </w:r>
      <w:r>
        <w:rPr>
          <w:rFonts w:hint="eastAsia"/>
        </w:rPr>
        <w:t>，书写新时代内蒙古高质量发展新篇章”相关指示精神。积极响应兴安盟旅游产业高质量发展现场会提出的“推动旅游业从门票经济向产业经济转变，从观光旅游向复合型沉浸式旅游转变，从封闭的自循环旅游向开放的“旅游+”转变，从粗放化大众化旅游向精细化个性化旅游转变，从部门行为向政府统筹推进转变，举全盟之力打造业态完整、布局合理、功能齐全、特色鲜明、服务优质的国内外知名旅游目的地的战略要求，以国际化旅游站位、高质量旅游发展、特色化旅游体验、高效能旅游治理为导向，坚持以文塑旅、以旅彰文，构筑兴安盟旅游发展引擎，提升旅游能级和核心竞争力，全面提升旅游供给品质，培育发展新动能、新优势，全力增加旅游收入，实现旅游业综合贡献持续提升，构建现代文旅产业体系，为保持全盟经济平稳发展提供有力支撑。</w:t>
      </w:r>
    </w:p>
    <w:p>
      <w:pPr>
        <w:pStyle w:val="3"/>
        <w:numPr>
          <w:ilvl w:val="0"/>
          <w:numId w:val="1"/>
        </w:numPr>
      </w:pPr>
      <w:bookmarkStart w:id="9" w:name="_Toc141454137"/>
      <w:r>
        <w:rPr>
          <w:rFonts w:hint="eastAsia"/>
        </w:rPr>
        <w:t>规划性质</w:t>
      </w:r>
      <w:bookmarkEnd w:id="6"/>
      <w:bookmarkEnd w:id="7"/>
      <w:bookmarkEnd w:id="8"/>
      <w:bookmarkEnd w:id="9"/>
    </w:p>
    <w:p>
      <w:pPr>
        <w:ind w:firstLine="480"/>
      </w:pPr>
      <w:r>
        <w:rPr>
          <w:rFonts w:hint="eastAsia"/>
        </w:rPr>
        <w:t>《兴安盟旅游高质量发展规划（2022-2035年）》(以下简称本规划)是贯彻落实国家、自治区旅游发展战略的决策部署；是未来13年全盟旅游高质量发展的总体部署和行动纲领；是指导兴安盟旅游产业发展与项目建设、规范旅游市场秩序、保护和合理利用旅游资源、促进旅游业持续健康发展的纲领性文件。</w:t>
      </w:r>
    </w:p>
    <w:p>
      <w:pPr>
        <w:pStyle w:val="3"/>
        <w:numPr>
          <w:ilvl w:val="0"/>
          <w:numId w:val="1"/>
        </w:numPr>
      </w:pPr>
      <w:bookmarkStart w:id="10" w:name="_Toc507702201"/>
      <w:bookmarkStart w:id="11" w:name="_Toc45295760"/>
      <w:bookmarkStart w:id="12" w:name="_Toc141454138"/>
      <w:r>
        <w:rPr>
          <w:rFonts w:hint="eastAsia"/>
        </w:rPr>
        <w:t>规划任务</w:t>
      </w:r>
      <w:bookmarkEnd w:id="10"/>
      <w:bookmarkEnd w:id="11"/>
      <w:bookmarkEnd w:id="12"/>
    </w:p>
    <w:p>
      <w:pPr>
        <w:ind w:firstLine="480"/>
        <w:rPr>
          <w:rFonts w:ascii="仿宋" w:hAnsi="仿宋"/>
        </w:rPr>
      </w:pPr>
      <w:bookmarkStart w:id="13" w:name="_Toc507702199"/>
      <w:bookmarkStart w:id="14" w:name="_Toc45295758"/>
      <w:r>
        <w:rPr>
          <w:rFonts w:hint="eastAsia" w:ascii="仿宋" w:hAnsi="仿宋"/>
        </w:rPr>
        <w:t>本规划旨在明确兴安盟旅游及相关产业所处的发展阶段、产业基础及内外发展条件，提出兴安盟新时代旅游业的角色使命。创新旅游高质量发展模式，搭建旅游高质量产品体系，开创新时代兴安盟旅游高质量发展新局面，</w:t>
      </w:r>
      <w:bookmarkStart w:id="15" w:name="_Hlk132362988"/>
      <w:r>
        <w:rPr>
          <w:rFonts w:hint="eastAsia" w:ascii="仿宋" w:hAnsi="仿宋"/>
        </w:rPr>
        <w:t>并确保兴安盟旅游高质量发展落地实施。</w:t>
      </w:r>
    </w:p>
    <w:bookmarkEnd w:id="15"/>
    <w:p>
      <w:pPr>
        <w:pStyle w:val="3"/>
        <w:numPr>
          <w:ilvl w:val="0"/>
          <w:numId w:val="1"/>
        </w:numPr>
      </w:pPr>
      <w:bookmarkStart w:id="16" w:name="_Toc141454139"/>
      <w:r>
        <w:rPr>
          <w:rFonts w:hint="eastAsia"/>
        </w:rPr>
        <w:t>规划范围</w:t>
      </w:r>
      <w:bookmarkEnd w:id="13"/>
      <w:bookmarkEnd w:id="14"/>
      <w:bookmarkEnd w:id="16"/>
    </w:p>
    <w:p>
      <w:pPr>
        <w:ind w:firstLine="480"/>
        <w:rPr>
          <w:rFonts w:ascii="仿宋" w:hAnsi="仿宋"/>
        </w:rPr>
      </w:pPr>
      <w:r>
        <w:rPr>
          <w:rFonts w:hint="eastAsia" w:ascii="仿宋" w:hAnsi="仿宋"/>
        </w:rPr>
        <w:t>本规划范围为兴安盟行政管辖区域，包括乌兰浩特市、阿尔山市、突泉县、扎赉特旗、科尔沁右翼前旗、科尔沁右翼中旗等</w:t>
      </w:r>
      <w:bookmarkStart w:id="17" w:name="_Hlk132360797"/>
      <w:r>
        <w:rPr>
          <w:rFonts w:hint="eastAsia" w:ascii="仿宋" w:hAnsi="仿宋"/>
        </w:rPr>
        <w:t>6个市旗县</w:t>
      </w:r>
      <w:bookmarkEnd w:id="17"/>
      <w:r>
        <w:rPr>
          <w:rFonts w:hint="eastAsia" w:ascii="仿宋" w:hAnsi="仿宋"/>
        </w:rPr>
        <w:t>，总面积5.51万平方公里。</w:t>
      </w:r>
    </w:p>
    <w:p>
      <w:pPr>
        <w:pStyle w:val="3"/>
        <w:numPr>
          <w:ilvl w:val="0"/>
          <w:numId w:val="1"/>
        </w:numPr>
      </w:pPr>
      <w:bookmarkStart w:id="18" w:name="_Toc507702200"/>
      <w:bookmarkStart w:id="19" w:name="_Toc45295759"/>
      <w:bookmarkStart w:id="20" w:name="_Toc141454140"/>
      <w:r>
        <w:rPr>
          <w:rFonts w:hint="eastAsia"/>
        </w:rPr>
        <w:t>规划期限</w:t>
      </w:r>
      <w:bookmarkEnd w:id="18"/>
      <w:bookmarkEnd w:id="19"/>
      <w:bookmarkEnd w:id="20"/>
    </w:p>
    <w:p>
      <w:pPr>
        <w:ind w:firstLine="480"/>
      </w:pPr>
      <w:bookmarkStart w:id="21" w:name="_Toc45295761"/>
      <w:bookmarkStart w:id="22" w:name="_Hlk46312071"/>
      <w:bookmarkStart w:id="23" w:name="_Toc507702202"/>
      <w:r>
        <w:rPr>
          <w:rFonts w:hint="eastAsia"/>
        </w:rPr>
        <w:t>本规划基准年为2022年，规划期限为20</w:t>
      </w:r>
      <w:r>
        <w:t>2</w:t>
      </w:r>
      <w:r>
        <w:rPr>
          <w:rFonts w:hint="eastAsia"/>
        </w:rPr>
        <w:t>2-2035年，规划分为三个阶段，近期为20</w:t>
      </w:r>
      <w:r>
        <w:t>2</w:t>
      </w:r>
      <w:r>
        <w:rPr>
          <w:rFonts w:hint="eastAsia"/>
        </w:rPr>
        <w:t>2-20</w:t>
      </w:r>
      <w:r>
        <w:t>2</w:t>
      </w:r>
      <w:r>
        <w:rPr>
          <w:rFonts w:hint="eastAsia"/>
        </w:rPr>
        <w:t>5年，中期为2026-2030年，远期为2031-2035年。</w:t>
      </w:r>
      <w:bookmarkEnd w:id="21"/>
      <w:bookmarkEnd w:id="22"/>
      <w:bookmarkEnd w:id="23"/>
      <w:bookmarkStart w:id="24" w:name="_Toc493128078"/>
      <w:bookmarkStart w:id="25" w:name="_Toc507702203"/>
      <w:bookmarkStart w:id="26" w:name="_Toc45295766"/>
    </w:p>
    <w:p>
      <w:pPr>
        <w:widowControl/>
        <w:spacing w:line="240" w:lineRule="auto"/>
        <w:ind w:firstLine="0" w:firstLineChars="0"/>
        <w:jc w:val="left"/>
        <w:rPr>
          <w:rFonts w:eastAsia="黑体"/>
          <w:b/>
          <w:bCs/>
          <w:kern w:val="44"/>
          <w:sz w:val="30"/>
          <w:szCs w:val="44"/>
        </w:rPr>
      </w:pPr>
      <w:r>
        <w:br w:type="page"/>
      </w:r>
    </w:p>
    <w:p>
      <w:pPr>
        <w:pStyle w:val="2"/>
        <w:jc w:val="center"/>
      </w:pPr>
      <w:bookmarkStart w:id="27" w:name="_Toc141454141"/>
      <w:r>
        <w:rPr>
          <w:rFonts w:hint="eastAsia"/>
        </w:rPr>
        <w:t>第二章</w:t>
      </w:r>
      <w:r>
        <w:t xml:space="preserve">  </w:t>
      </w:r>
      <w:bookmarkEnd w:id="24"/>
      <w:bookmarkEnd w:id="25"/>
      <w:bookmarkEnd w:id="26"/>
      <w:r>
        <w:rPr>
          <w:rFonts w:hint="eastAsia"/>
        </w:rPr>
        <w:t>规划背景</w:t>
      </w:r>
      <w:bookmarkEnd w:id="27"/>
    </w:p>
    <w:p>
      <w:pPr>
        <w:pStyle w:val="3"/>
        <w:numPr>
          <w:ilvl w:val="0"/>
          <w:numId w:val="1"/>
        </w:numPr>
      </w:pPr>
      <w:bookmarkStart w:id="28" w:name="_Toc141454142"/>
      <w:r>
        <w:rPr>
          <w:rFonts w:hint="eastAsia"/>
        </w:rPr>
        <w:t>发展背景</w:t>
      </w:r>
      <w:bookmarkEnd w:id="28"/>
    </w:p>
    <w:p>
      <w:pPr>
        <w:pStyle w:val="4"/>
        <w:ind w:firstLine="482"/>
      </w:pPr>
      <w:bookmarkStart w:id="29" w:name="_Hlk57302060"/>
      <w:r>
        <w:rPr>
          <w:rFonts w:hint="eastAsia"/>
        </w:rPr>
        <w:t>一、政策背景</w:t>
      </w:r>
    </w:p>
    <w:p>
      <w:pPr>
        <w:ind w:firstLine="480"/>
      </w:pPr>
      <w:r>
        <w:rPr>
          <w:rFonts w:hint="eastAsia"/>
          <w:lang w:val="en-US" w:eastAsia="zh-CN"/>
        </w:rPr>
        <w:t>党的</w:t>
      </w:r>
      <w:r>
        <w:rPr>
          <w:rFonts w:hint="eastAsia"/>
        </w:rPr>
        <w:t>二十大报告将文化建设摆在突出位置，对文化和旅游工作做出重要部署，充分体现了以习近平同志为核心的党中央对文化建设和旅游发展的高度重视。报告指出，</w:t>
      </w:r>
      <w:r>
        <w:rPr>
          <w:rFonts w:hint="eastAsia"/>
          <w:bCs/>
        </w:rPr>
        <w:t>高质量发展是全面建设社会主义现代化国家的首要任务，要通过“着力提高全要素生产率，着力提升产业链供应链韧性和安全水平，着力推进城乡融合和区域协调发展”。</w:t>
      </w:r>
      <w:r>
        <w:rPr>
          <w:rFonts w:hint="eastAsia"/>
        </w:rPr>
        <w:t>深入贯彻党的</w:t>
      </w:r>
      <w:r>
        <w:rPr>
          <w:rFonts w:hint="eastAsia"/>
          <w:lang w:eastAsia="zh-CN"/>
        </w:rPr>
        <w:t>二十大精神</w:t>
      </w:r>
      <w:r>
        <w:rPr>
          <w:rFonts w:hint="eastAsia"/>
        </w:rPr>
        <w:t>，应坚持高质量发展，推进旅游为民、发挥旅游带动作用，大力发展大众旅游、智慧旅游、绿色旅游、文明旅游。要坚持以文塑旅、以旅</w:t>
      </w:r>
      <w:bookmarkStart w:id="144" w:name="_GoBack"/>
      <w:bookmarkEnd w:id="144"/>
      <w:r>
        <w:rPr>
          <w:rFonts w:hint="eastAsia"/>
        </w:rPr>
        <w:t>彰文，推动文化和旅游在更广范围、更深层次、更高水平上深度融合，构建现代文旅产业体系，为保持全盟经济平稳发展提供有力支撑。</w:t>
      </w:r>
    </w:p>
    <w:p>
      <w:pPr>
        <w:ind w:firstLine="480"/>
      </w:pPr>
      <w:r>
        <w:rPr>
          <w:rFonts w:hint="eastAsia"/>
        </w:rPr>
        <w:t>国务院印发《“十四五”旅游业发展规划》中明确提出推动旅游高质量发展，为各地旅游产业发展提出新方向，要求在疫情防控常态化条件下创新提升国内旅游，着力推动文化和旅游深度融合，着力完善现代旅游业体系，加快旅游强国建设，努力实现旅游业更高质量、更有效率、更加公平、更可持续、更为安全的发展。兴安盟应扛起旅游高质量发展大旗，举全盟之力打造业态完整、布局合理、功能齐全、特色鲜明、服务优质的国内外知名旅游目的地。</w:t>
      </w:r>
    </w:p>
    <w:p>
      <w:pPr>
        <w:pStyle w:val="4"/>
        <w:ind w:firstLine="482"/>
      </w:pPr>
      <w:r>
        <w:rPr>
          <w:rFonts w:hint="eastAsia"/>
        </w:rPr>
        <w:t>二、发展态势</w:t>
      </w:r>
    </w:p>
    <w:p>
      <w:pPr>
        <w:ind w:firstLine="480"/>
        <w:rPr>
          <w:rFonts w:asciiTheme="minorEastAsia" w:hAnsiTheme="minorEastAsia"/>
          <w:szCs w:val="24"/>
        </w:rPr>
      </w:pPr>
      <w:r>
        <w:rPr>
          <w:rFonts w:hint="eastAsia" w:asciiTheme="minorEastAsia" w:hAnsiTheme="minorEastAsia"/>
          <w:szCs w:val="24"/>
        </w:rPr>
        <w:t>当前，我国经济发展主线由高速增长转向高质量发展，加速构建“双循环”新发展格局，以需求牵引供给、供给创造需求，推动高质量文旅发展、高品质文旅生活、高频次文旅消费。在此背景下，文旅产业一方面要发挥其资源消耗低、带动效应强等优势，在调整产业结构、推动生态文明、增加社会就业、拉动居民消费、丰富文化生活等方面发挥更大作用，推动经济高质量发展；另一方面也要克服长期存在的全要素生产率偏低、行业效益不强、区域发展不均衡、旅游服务质量相对较低和旅游满意度有待提升等问题，实现自身的高质量发展。</w:t>
      </w:r>
    </w:p>
    <w:bookmarkEnd w:id="29"/>
    <w:p>
      <w:pPr>
        <w:pStyle w:val="3"/>
        <w:numPr>
          <w:ilvl w:val="0"/>
          <w:numId w:val="1"/>
        </w:numPr>
      </w:pPr>
      <w:bookmarkStart w:id="30" w:name="_Toc141454143"/>
      <w:bookmarkStart w:id="31" w:name="_Toc523997566"/>
      <w:bookmarkStart w:id="32" w:name="_Toc45295789"/>
      <w:bookmarkStart w:id="33" w:name="_Toc45295791"/>
      <w:r>
        <w:rPr>
          <w:rFonts w:hint="eastAsia"/>
        </w:rPr>
        <w:t>规划基础</w:t>
      </w:r>
      <w:bookmarkEnd w:id="30"/>
    </w:p>
    <w:bookmarkEnd w:id="31"/>
    <w:bookmarkEnd w:id="32"/>
    <w:bookmarkEnd w:id="33"/>
    <w:p>
      <w:pPr>
        <w:pStyle w:val="4"/>
        <w:ind w:firstLine="482"/>
      </w:pPr>
      <w:bookmarkStart w:id="34" w:name="_Toc45295794"/>
      <w:bookmarkStart w:id="35" w:name="_Toc493128129"/>
      <w:bookmarkStart w:id="36" w:name="_Toc507702218"/>
      <w:r>
        <w:rPr>
          <w:rFonts w:hint="eastAsia"/>
        </w:rPr>
        <w:t>一、区域交通</w:t>
      </w:r>
    </w:p>
    <w:p>
      <w:pPr>
        <w:ind w:firstLine="480"/>
      </w:pPr>
      <w:r>
        <w:rPr>
          <w:rFonts w:hint="eastAsia"/>
        </w:rPr>
        <w:t>兴安盟是向东连接东三省，向西沟通蒙古、俄罗斯的重要节点，5小时自驾为主的黄金圈覆盖17个城市，城铁串联乌兰浩特、白城、松原、长春，地空联动的立体交通网络为兴安盟奠定了五千万的周边消费市场基础。全盟大空间、大景观的地域特点为发展自驾游提供了良好的条件。</w:t>
      </w:r>
    </w:p>
    <w:p>
      <w:pPr>
        <w:pStyle w:val="4"/>
        <w:ind w:firstLine="482"/>
      </w:pPr>
      <w:r>
        <w:rPr>
          <w:rFonts w:hint="eastAsia"/>
        </w:rPr>
        <w:t>二、资源价值</w:t>
      </w:r>
    </w:p>
    <w:p>
      <w:pPr>
        <w:ind w:firstLine="480"/>
      </w:pPr>
      <w:r>
        <w:rPr>
          <w:rFonts w:hint="eastAsia"/>
        </w:rPr>
        <w:t>兴安盟旅游资源总量较大，类型丰富。根据国家标准《旅游资源分类、调查与评价（GB/T 18972-2017）》的分类，结合内蒙古旅游资源的地区特征，兴安盟旅游资源包含8个大类、27个亚类、75个基本类型。其中五级旅游资源5个、四级旅游资源47个、三级旅游资源160个、二级旅游资源297个和一级旅游资源223个和未获等级72个。</w:t>
      </w:r>
    </w:p>
    <w:p>
      <w:pPr>
        <w:ind w:firstLine="480"/>
      </w:pPr>
      <w:r>
        <w:rPr>
          <w:rFonts w:hint="eastAsia"/>
        </w:rPr>
        <w:t>兴安盟旅游资源类型齐全，组合优势明显，全盟6个旗县市均有不同级别旅游资源的分布，且生态、乡村、产业、文化等资源交织分布，组成了多个内涵丰富多彩的资源集聚区，其中，西北部以森林+生态为主，中部以草原为主，北部以山水+产业为主，南部以生态+乡村为主，集聚区内的资源呈现出较鲜明的多样化特色。但兴安盟的旅游资源多处于初级开发阶段，分布相对分散，缺少有效的资源转化，品牌资源未能有效激活。</w:t>
      </w:r>
    </w:p>
    <w:p>
      <w:pPr>
        <w:pStyle w:val="37"/>
        <w:ind w:firstLine="480"/>
      </w:pPr>
      <w:r>
        <w:rPr>
          <w:rFonts w:hint="eastAsia" w:ascii="仿宋_GB2312"/>
          <w:szCs w:val="24"/>
        </w:rPr>
        <w:t>兴安盟是</w:t>
      </w:r>
      <w:r>
        <w:rPr>
          <w:rFonts w:hint="eastAsia" w:ascii="仿宋_GB2312"/>
        </w:rPr>
        <w:t>一座节点枢纽之城、一座兴安岭与草原相交的美学之城、一座让市场充满想象的草原之城、一座彰显健康新生活的康养之城、</w:t>
      </w:r>
      <w:r>
        <w:t>一座安全</w:t>
      </w:r>
      <w:r>
        <w:rPr>
          <w:rFonts w:hint="eastAsia"/>
        </w:rPr>
        <w:t>兴旺</w:t>
      </w:r>
      <w:r>
        <w:t>的产业之城</w:t>
      </w:r>
      <w:r>
        <w:rPr>
          <w:rFonts w:hint="eastAsia" w:ascii="仿宋_GB2312"/>
        </w:rPr>
        <w:t>。</w:t>
      </w:r>
      <w:r>
        <w:rPr>
          <w:rFonts w:hint="eastAsia" w:ascii="仿宋_GB2312"/>
          <w:szCs w:val="24"/>
        </w:rPr>
        <w:t>以内蒙“缩影”为切入点，做资源转化与线路场景联动，挖掘</w:t>
      </w:r>
      <w:r>
        <w:rPr>
          <w:rFonts w:hint="eastAsia"/>
        </w:rPr>
        <w:t>兴安盟旅游资源品牌价值。开发不同类型的旅游产品，将路上的疲惫转化为路上的精彩、生态好转化为生态好玩、草原风景化为草原风情、单一康养元素转化为复合康养体验、产业优势转化为旅游卖点，特色化、差异化打造区域型的旅游目的地。</w:t>
      </w:r>
    </w:p>
    <w:p>
      <w:pPr>
        <w:pStyle w:val="4"/>
        <w:ind w:firstLine="482"/>
      </w:pPr>
      <w:bookmarkStart w:id="37" w:name="待修改"/>
      <w:r>
        <w:rPr>
          <w:rFonts w:hint="eastAsia"/>
        </w:rPr>
        <w:t>三、主要挑战</w:t>
      </w:r>
    </w:p>
    <w:p>
      <w:pPr>
        <w:ind w:firstLine="480"/>
      </w:pPr>
      <w:r>
        <w:rPr>
          <w:rFonts w:hint="eastAsia"/>
        </w:rPr>
        <w:t>目前兴安盟的</w:t>
      </w:r>
      <w:bookmarkStart w:id="38" w:name="_Hlk132362924"/>
      <w:r>
        <w:rPr>
          <w:rFonts w:hint="eastAsia"/>
        </w:rPr>
        <w:t>旅游产业发展存在五大制约，表现为旅游项目招商难，项目建设运营难度大；品牌知名度低，市场吸引力弱；高品质星级饭店接待缺乏，航班稀疏无竞争力；世界级产品和市场影响力产品匮乏；</w:t>
      </w:r>
      <w:r>
        <w:rPr>
          <w:rFonts w:hint="eastAsia"/>
          <w:bCs/>
        </w:rPr>
        <w:t>精准扶持政策缺失，这五大关键问题制约着兴安盟旅游高质量发展。</w:t>
      </w:r>
    </w:p>
    <w:bookmarkEnd w:id="37"/>
    <w:bookmarkEnd w:id="38"/>
    <w:p>
      <w:pPr>
        <w:pStyle w:val="4"/>
        <w:ind w:firstLine="482"/>
      </w:pPr>
      <w:r>
        <w:rPr>
          <w:rFonts w:hint="eastAsia"/>
        </w:rPr>
        <w:t>四、市场趋势</w:t>
      </w:r>
    </w:p>
    <w:p>
      <w:pPr>
        <w:pStyle w:val="37"/>
        <w:ind w:firstLine="480"/>
      </w:pPr>
      <w:r>
        <w:rPr>
          <w:rFonts w:hint="eastAsia"/>
        </w:rPr>
        <w:t>后疫情时代，境外游受到各种不可控因素影响，国内旅游整体看热，旅游者更加青睐大自然，向往生态环境，以“大山大水”驰名的西南、西北，更加受到游客的期待。与此同时，市场需求向网红型、社交型、创意型、体验型迭代转型，突出小众化、分众化和个性化。针对北上广深等一线城市为代表的游客对中远途的自驾游特别热衷，自驾游已经成为文旅新时代出圈的个性手段，成为旅游业向高质量转型的重要业态，西南、西北线围绕目的地做新营销，乌阿海满自驾线很有机会争取到一线高端游的市场，内蒙古等长距离目的地成为面向国内一线城市的代替出境游的热门目的地。内蒙古兴安盟旅游资源、地域空间契合国内自驾旅游市场需求,近程以内蒙古以及东三省周边城市为主要客源地，中远程市场则主要涵盖京津冀、长三角、珠三角等经济发达地区。然而，兴安盟的近程核心市场留量较小，消费能力有限，且市场选择多且易被瓜分，客群结构存在限制，对一、二线城市客群以及中产阶级高消费客群的吸引力不足。因此，随着兴安盟旅游项目能级的逐步升级，兴安盟需要在稳固近程市场的同时提高中远程市场的占有率，争取中青年客群和中产阶级等高消费客群。通过抓住一级市场，吸引内蒙古本地及周边溢出客群和5小时自驾近程客群，进一步拓展二级市场，提升京津冀城市群、长三角、珠三角等经济发达地区的市场占有率，并进一步辐射全国及国际市场。同时，结合兴安盟的资源开发条件，以自驾游为核心，拓展家庭亲子、康养度假、乡村休闲、专项体验、网红打卡等客群需求，满足市场变化需求，集聚市场所需的产品组合，对接市场需求，为城市发展赋能。</w:t>
      </w:r>
      <w:r>
        <w:br w:type="page"/>
      </w:r>
    </w:p>
    <w:p>
      <w:pPr>
        <w:pStyle w:val="2"/>
        <w:jc w:val="center"/>
      </w:pPr>
      <w:bookmarkStart w:id="39" w:name="_Toc141454144"/>
      <w:r>
        <w:rPr>
          <w:rFonts w:hint="eastAsia"/>
        </w:rPr>
        <w:t>第三章</w:t>
      </w:r>
      <w:r>
        <w:t xml:space="preserve">  </w:t>
      </w:r>
      <w:r>
        <w:rPr>
          <w:rFonts w:hint="eastAsia"/>
        </w:rPr>
        <w:t>发展路径</w:t>
      </w:r>
      <w:bookmarkEnd w:id="39"/>
    </w:p>
    <w:p>
      <w:pPr>
        <w:pStyle w:val="3"/>
        <w:numPr>
          <w:ilvl w:val="0"/>
          <w:numId w:val="1"/>
        </w:numPr>
      </w:pPr>
      <w:bookmarkStart w:id="40" w:name="_Toc141454145"/>
      <w:r>
        <w:rPr>
          <w:rFonts w:hint="eastAsia"/>
        </w:rPr>
        <w:t>发展路径</w:t>
      </w:r>
      <w:bookmarkEnd w:id="40"/>
    </w:p>
    <w:p>
      <w:pPr>
        <w:ind w:firstLine="480"/>
      </w:pPr>
      <w:bookmarkStart w:id="41" w:name="_Hlk131512490"/>
      <w:r>
        <w:rPr>
          <w:rFonts w:hint="eastAsia"/>
        </w:rPr>
        <w:t>现阶段兴安盟旅游发展以项目建设作为主要的突围手段，但是项目建设不是兴安盟旅游发展的全部，重点是在于</w:t>
      </w:r>
      <w:bookmarkStart w:id="42" w:name="_Hlk132363297"/>
      <w:r>
        <w:rPr>
          <w:rFonts w:hint="eastAsia"/>
        </w:rPr>
        <w:t>用好故事、好场景吸引市场关注，聚焦市场注意力、客群影响力、综合竞争力的改变。</w:t>
      </w:r>
    </w:p>
    <w:bookmarkEnd w:id="41"/>
    <w:bookmarkEnd w:id="42"/>
    <w:p>
      <w:pPr>
        <w:ind w:firstLine="480"/>
      </w:pPr>
      <w:r>
        <w:rPr>
          <w:rFonts w:hint="eastAsia"/>
        </w:rPr>
        <w:t>首先，从聚焦项目单点开发到关注旅游线路的带动作用。通过线路激活产品，拉长消费时间、带动产业发展；其次，从关注旅游大众市场到加强“种子用户”的培育。聚焦轻投入产生大效果的产品，培育近程市场，促进消费升级，以吸引市场注意力为着力点，加大品牌营销与视觉传播，培育高质量客群市场；最后，要从旅游发展全面均衡发力到旅游产品核心特质塑造。放大具有兴安盟核心特质产品，全面建成代表内蒙面向世界的窗口，打造独具特色的兴安盟品牌。</w:t>
      </w:r>
    </w:p>
    <w:p>
      <w:pPr>
        <w:widowControl/>
        <w:spacing w:line="240" w:lineRule="auto"/>
        <w:ind w:firstLine="0" w:firstLineChars="0"/>
        <w:jc w:val="left"/>
        <w:rPr>
          <w:rFonts w:eastAsia="黑体"/>
          <w:b/>
          <w:bCs/>
          <w:kern w:val="44"/>
          <w:sz w:val="30"/>
          <w:szCs w:val="44"/>
        </w:rPr>
      </w:pPr>
      <w:r>
        <w:br w:type="page"/>
      </w:r>
    </w:p>
    <w:p>
      <w:pPr>
        <w:pStyle w:val="2"/>
        <w:jc w:val="center"/>
      </w:pPr>
      <w:bookmarkStart w:id="43" w:name="_Toc141454146"/>
      <w:r>
        <w:rPr>
          <w:rFonts w:hint="eastAsia"/>
        </w:rPr>
        <w:t xml:space="preserve">第四章 </w:t>
      </w:r>
      <w:bookmarkEnd w:id="34"/>
      <w:bookmarkEnd w:id="35"/>
      <w:bookmarkEnd w:id="36"/>
      <w:r>
        <w:rPr>
          <w:rFonts w:hint="eastAsia"/>
        </w:rPr>
        <w:t>目标定位与发展战略</w:t>
      </w:r>
      <w:bookmarkEnd w:id="43"/>
    </w:p>
    <w:p>
      <w:pPr>
        <w:pStyle w:val="3"/>
        <w:numPr>
          <w:ilvl w:val="0"/>
          <w:numId w:val="1"/>
        </w:numPr>
      </w:pPr>
      <w:bookmarkStart w:id="44" w:name="_Toc141454147"/>
      <w:bookmarkStart w:id="45" w:name="_Toc45295798"/>
      <w:bookmarkStart w:id="46" w:name="_Toc507702220"/>
      <w:bookmarkStart w:id="47" w:name="_Toc45295795"/>
      <w:r>
        <w:rPr>
          <w:rFonts w:hint="eastAsia"/>
        </w:rPr>
        <w:t>总体定位</w:t>
      </w:r>
      <w:bookmarkEnd w:id="44"/>
    </w:p>
    <w:p>
      <w:pPr>
        <w:pStyle w:val="9"/>
        <w:ind w:firstLine="480"/>
        <w:rPr>
          <w:b/>
          <w:bCs/>
        </w:rPr>
      </w:pPr>
      <w:r>
        <w:rPr>
          <w:rFonts w:hint="eastAsia"/>
        </w:rPr>
        <w:t>全面统筹盘活兴安盟全域冰雪温泉、山地森林、草原湿地、红色文化等资源，围绕从旅游观光景区到全域旅游、从观光胜地到度假胜地的发展方向，着力打造体验式消费、生活式度假旅游产品，</w:t>
      </w:r>
      <w:r>
        <w:rPr>
          <w:rFonts w:hint="eastAsia"/>
          <w:bCs/>
        </w:rPr>
        <w:t>将兴安盟建设成为</w:t>
      </w:r>
    </w:p>
    <w:p>
      <w:pPr>
        <w:pStyle w:val="9"/>
        <w:ind w:firstLine="482"/>
        <w:jc w:val="center"/>
        <w:rPr>
          <w:b/>
          <w:bCs/>
        </w:rPr>
      </w:pPr>
      <w:r>
        <w:rPr>
          <w:rFonts w:hint="eastAsia"/>
          <w:b/>
          <w:bCs/>
        </w:rPr>
        <w:t>中国全景畅游度假目的地</w:t>
      </w:r>
    </w:p>
    <w:p>
      <w:pPr>
        <w:pStyle w:val="9"/>
        <w:ind w:firstLine="482"/>
        <w:jc w:val="center"/>
        <w:rPr>
          <w:b/>
          <w:bCs/>
        </w:rPr>
      </w:pPr>
      <w:r>
        <w:rPr>
          <w:rFonts w:hint="eastAsia"/>
          <w:b/>
          <w:bCs/>
        </w:rPr>
        <w:t>国内知名的旅游目的地城市</w:t>
      </w:r>
    </w:p>
    <w:p>
      <w:pPr>
        <w:pStyle w:val="9"/>
        <w:ind w:firstLine="480"/>
        <w:rPr>
          <w:bCs/>
        </w:rPr>
      </w:pPr>
      <w:r>
        <w:rPr>
          <w:rFonts w:hint="eastAsia"/>
          <w:bCs/>
        </w:rPr>
        <w:t>同步打造为国家全域旅游示范区、中国康养度假目的地城市、中国最佳旅拍胜地、乌阿海满旅游高质量示范区、中国北方知名的自驾游目的地。</w:t>
      </w:r>
    </w:p>
    <w:p>
      <w:pPr>
        <w:pStyle w:val="3"/>
        <w:numPr>
          <w:ilvl w:val="0"/>
          <w:numId w:val="1"/>
        </w:numPr>
      </w:pPr>
      <w:bookmarkStart w:id="48" w:name="_Toc141454148"/>
      <w:r>
        <w:rPr>
          <w:rFonts w:hint="eastAsia"/>
        </w:rPr>
        <w:t>市场定位</w:t>
      </w:r>
      <w:bookmarkEnd w:id="45"/>
      <w:bookmarkEnd w:id="48"/>
    </w:p>
    <w:p>
      <w:pPr>
        <w:ind w:firstLine="480"/>
      </w:pPr>
      <w:r>
        <w:rPr>
          <w:rFonts w:hint="eastAsia"/>
        </w:rPr>
        <w:t>基于“近者悦、远者来”的思路，依托远期高铁、高速、空港等立体交通的持续扩容，确定以内蒙古本地及周边城市溢出客群、5小时自驾近程客群为基础市场，打造高频次、高品质消费旅游产品；以京津冀、长三角、珠三角等经济发达地区市场为重点市场，进一步辐射全国及国际市场，打造高口碑、强吸引、高重游的旅游产品。</w:t>
      </w:r>
    </w:p>
    <w:p>
      <w:pPr>
        <w:ind w:firstLine="480"/>
      </w:pPr>
      <w:r>
        <w:rPr>
          <w:rFonts w:hint="eastAsia"/>
        </w:rPr>
        <w:t>围绕中国全景畅游度假目的地总体定位，重点聚焦自驾游市场，发挥自驾客群圈层扩散效应，实现从年轻玩咖向中产阶级、家庭亲子、广泛大众等市场客群的扩散，带动乡村游、避暑游、冰雪游、美食游、研学游、度假游等专项旅游市场。</w:t>
      </w:r>
    </w:p>
    <w:p>
      <w:pPr>
        <w:pStyle w:val="3"/>
        <w:numPr>
          <w:ilvl w:val="0"/>
          <w:numId w:val="1"/>
        </w:numPr>
      </w:pPr>
      <w:bookmarkStart w:id="49" w:name="_Toc45295799"/>
      <w:bookmarkStart w:id="50" w:name="_Toc141454149"/>
      <w:r>
        <w:rPr>
          <w:rFonts w:hint="eastAsia"/>
        </w:rPr>
        <w:t>发展目标</w:t>
      </w:r>
      <w:bookmarkEnd w:id="49"/>
      <w:bookmarkEnd w:id="50"/>
    </w:p>
    <w:p>
      <w:pPr>
        <w:pStyle w:val="4"/>
        <w:ind w:firstLine="482"/>
      </w:pPr>
      <w:r>
        <w:rPr>
          <w:rFonts w:hint="eastAsia"/>
        </w:rPr>
        <w:t>一、定性目标</w:t>
      </w:r>
    </w:p>
    <w:p>
      <w:pPr>
        <w:ind w:firstLine="480"/>
        <w:rPr>
          <w:bCs/>
        </w:rPr>
      </w:pPr>
      <w:r>
        <w:rPr>
          <w:rFonts w:hint="eastAsia"/>
        </w:rPr>
        <w:t>重点发挥旅游产业之于兴安盟区域发展的杠杆作用，围绕“靓城、聚财、优产”总体目标，将旅游产业培育为兴安盟的千亿级产业集群，作为提升城市形象的</w:t>
      </w:r>
      <w:r>
        <w:rPr>
          <w:rFonts w:hint="eastAsia"/>
          <w:bCs/>
        </w:rPr>
        <w:t>窗口产业、带动能力强的酵母产业、资源消耗少的绿色产业、惠民富民的幸福产业、民族交往交流的黏合产业。</w:t>
      </w:r>
    </w:p>
    <w:p>
      <w:pPr>
        <w:ind w:firstLine="480"/>
      </w:pPr>
      <w:r>
        <w:rPr>
          <w:rFonts w:hint="eastAsia"/>
        </w:rPr>
        <w:t>近期（2022-2025年）：树立旅游发展新品牌、新引擎。通过核心项目引爆，快速切入市场，逐步丰富兴安盟旅游产品体系，培育兴安盟旅游发展新引擎。依托核心项目建设，创新品牌营销，实现兴安盟市场关注度的重塑。推进兴安盟旅游软、硬环境建设，提升旅游服务功能，完善配套设施。</w:t>
      </w:r>
    </w:p>
    <w:p>
      <w:pPr>
        <w:ind w:firstLine="480"/>
      </w:pPr>
      <w:r>
        <w:rPr>
          <w:rFonts w:hint="eastAsia"/>
        </w:rPr>
        <w:t>中期（2026-2030年）：完善旅游目的地产品体系。注重旅游目的地产品体系建设，升级旅游产品品质和体验，完善旅游基础设施和公共服务，丰富休闲体验产品，实现旅游产品体系持续完善、知名度持续提升。</w:t>
      </w:r>
    </w:p>
    <w:p>
      <w:pPr>
        <w:ind w:firstLine="480"/>
      </w:pPr>
      <w:r>
        <w:rPr>
          <w:rFonts w:hint="eastAsia"/>
        </w:rPr>
        <w:t>远期（2031-2035年）：建成国内知名的旅游目的地城市。扩大旅游产业规模，推进旅游业与农业、林业、文化、商贸、教育、体育等产业的融合，催生旅游新业态，推动产业升级，逐步建设成为独具特色的旅游目的地城市。</w:t>
      </w:r>
    </w:p>
    <w:p>
      <w:pPr>
        <w:pStyle w:val="4"/>
        <w:ind w:firstLine="482"/>
      </w:pPr>
      <w:r>
        <w:rPr>
          <w:rFonts w:hint="eastAsia"/>
        </w:rPr>
        <w:t>二、定量目标</w:t>
      </w:r>
    </w:p>
    <w:p>
      <w:pPr>
        <w:ind w:firstLine="480"/>
      </w:pPr>
      <w:r>
        <w:rPr>
          <w:rFonts w:hint="eastAsia"/>
        </w:rPr>
        <w:t>以2021年旅游数据为基准，到2025年底，接待国内外游客2066.04万人次/年，旅游综合年收入达到268.58亿元，人均消费约1300元，带动直接就业人数约8.26万人。</w:t>
      </w:r>
    </w:p>
    <w:bookmarkEnd w:id="46"/>
    <w:p>
      <w:pPr>
        <w:pStyle w:val="3"/>
        <w:numPr>
          <w:ilvl w:val="0"/>
          <w:numId w:val="1"/>
        </w:numPr>
      </w:pPr>
      <w:bookmarkStart w:id="51" w:name="_Toc141454150"/>
      <w:r>
        <w:rPr>
          <w:rFonts w:hint="eastAsia"/>
        </w:rPr>
        <w:t>发展战略</w:t>
      </w:r>
      <w:bookmarkEnd w:id="47"/>
      <w:bookmarkEnd w:id="51"/>
    </w:p>
    <w:p>
      <w:pPr>
        <w:ind w:firstLine="482"/>
      </w:pPr>
      <w:r>
        <w:rPr>
          <w:rFonts w:hint="eastAsia"/>
          <w:b/>
          <w:bCs/>
        </w:rPr>
        <w:t>I</w:t>
      </w:r>
      <w:r>
        <w:rPr>
          <w:b/>
          <w:bCs/>
        </w:rPr>
        <w:t>P</w:t>
      </w:r>
      <w:r>
        <w:rPr>
          <w:rFonts w:hint="eastAsia"/>
          <w:b/>
          <w:bCs/>
        </w:rPr>
        <w:t>引领战略。</w:t>
      </w:r>
      <w:r>
        <w:rPr>
          <w:rFonts w:hint="eastAsia"/>
        </w:rPr>
        <w:t>抓住一个“兴”字，赋予全新的内涵，构建兴安盟旅游市场I</w:t>
      </w:r>
      <w:r>
        <w:t>P</w:t>
      </w:r>
      <w:r>
        <w:rPr>
          <w:rFonts w:hint="eastAsia"/>
        </w:rPr>
        <w:t>品牌，以全新品牌赋能城市文旅发展。塑造“兴游牧联盟”圈层文化，推出“兴标”“兴图腾”“兴美拍”发展举措，提炼兴安盟文化特质，以视觉系统创新、I</w:t>
      </w:r>
      <w:r>
        <w:t>P</w:t>
      </w:r>
      <w:r>
        <w:rPr>
          <w:rFonts w:hint="eastAsia"/>
        </w:rPr>
        <w:t>品牌形象塑造、品牌活动引领、主题事件营销等为着力点，实现兴安盟旅游目的地品牌塑造。</w:t>
      </w:r>
    </w:p>
    <w:p>
      <w:pPr>
        <w:ind w:firstLine="482"/>
      </w:pPr>
      <w:r>
        <w:rPr>
          <w:rFonts w:hint="eastAsia"/>
          <w:b/>
        </w:rPr>
        <w:t>系统规划战略。</w:t>
      </w:r>
      <w:r>
        <w:rPr>
          <w:rFonts w:hint="eastAsia"/>
        </w:rPr>
        <w:t>以度假引领、景城同建、路游公园、精品驱动为指导，坚持高品质、高格调全力建设，全面建成为代表内蒙面向世界的窗口、中国全景畅游度假目的地、国内知名的旅游目的地城市。度假引领以阿尔山为龙头带动，打响冰雪、森林、温泉三张牌，国家级旅游示范区与国家级旅游度假区双创发展，打造成为中国顶级度假旅游目的地；</w:t>
      </w:r>
      <w:r>
        <w:t>与城市发展同频，为乡村振兴蓄力</w:t>
      </w:r>
      <w:r>
        <w:rPr>
          <w:rFonts w:hint="eastAsia"/>
        </w:rPr>
        <w:t>，</w:t>
      </w:r>
      <w:r>
        <w:t>实现景城同建</w:t>
      </w:r>
      <w:r>
        <w:rPr>
          <w:rFonts w:hint="eastAsia"/>
        </w:rPr>
        <w:t>，重点以乌兰浩特城市为核心，打造旅游综合服务核，通过以城市为核心的空间载体，布局城市的综合服务功能，打造生态宜居的城市会客厅；路游公园，以兴安盟</w:t>
      </w:r>
      <w:r>
        <w:t>现有的交通路线为基础，</w:t>
      </w:r>
      <w:r>
        <w:rPr>
          <w:rFonts w:hint="eastAsia"/>
        </w:rPr>
        <w:t>聚焦自驾游市场，把道路变成产品，以线路促进项目整合、产业带动；精品驱动，从游客体验时间和客群市场需求出发，整合资源特色品牌，以全域旅游高质量为抓手，布局建设具有国际影响力、文化特色鲜明的高品位旅游项目，构建自驾线路上的精品体验项目。</w:t>
      </w:r>
    </w:p>
    <w:p>
      <w:pPr>
        <w:ind w:firstLine="482"/>
      </w:pPr>
      <w:r>
        <w:rPr>
          <w:rFonts w:hint="eastAsia"/>
          <w:b/>
          <w:bCs/>
        </w:rPr>
        <w:t>长效运营战略。</w:t>
      </w:r>
      <w:r>
        <w:rPr>
          <w:rFonts w:hint="eastAsia"/>
        </w:rPr>
        <w:t>针对兴安盟旅游产业存在的各景点缺乏规模、景区发展出现零散同质化竞争、经营管理理念不到位等问题，通过资源整合、产品研发、资本运作等手段，搭建平台推进项目落地管理，提升兴安盟的产品研发力、营销整合力、资本运作力。</w:t>
      </w:r>
    </w:p>
    <w:p>
      <w:pPr>
        <w:widowControl/>
        <w:spacing w:line="240" w:lineRule="auto"/>
        <w:ind w:firstLine="0" w:firstLineChars="0"/>
        <w:jc w:val="left"/>
        <w:rPr>
          <w:rFonts w:eastAsia="黑体"/>
          <w:b/>
          <w:bCs/>
          <w:kern w:val="44"/>
          <w:sz w:val="30"/>
          <w:szCs w:val="44"/>
        </w:rPr>
      </w:pPr>
      <w:r>
        <w:br w:type="page"/>
      </w:r>
    </w:p>
    <w:p>
      <w:pPr>
        <w:pStyle w:val="2"/>
        <w:jc w:val="center"/>
      </w:pPr>
      <w:bookmarkStart w:id="52" w:name="_Toc141454151"/>
      <w:r>
        <w:rPr>
          <w:rFonts w:hint="eastAsia"/>
        </w:rPr>
        <w:t>第五章 旅游品牌形象</w:t>
      </w:r>
      <w:bookmarkEnd w:id="52"/>
    </w:p>
    <w:p>
      <w:pPr>
        <w:pStyle w:val="3"/>
        <w:numPr>
          <w:ilvl w:val="0"/>
          <w:numId w:val="1"/>
        </w:numPr>
      </w:pPr>
      <w:bookmarkStart w:id="53" w:name="_Toc141454152"/>
      <w:r>
        <w:rPr>
          <w:rFonts w:hint="eastAsia"/>
        </w:rPr>
        <w:t>品牌策略</w:t>
      </w:r>
      <w:bookmarkEnd w:id="53"/>
    </w:p>
    <w:p>
      <w:pPr>
        <w:ind w:firstLine="480"/>
        <w:rPr>
          <w:rFonts w:ascii="宋体" w:hAnsi="宋体" w:eastAsia="宋体"/>
          <w:bCs/>
        </w:rPr>
      </w:pPr>
      <w:r>
        <w:rPr>
          <w:rFonts w:hint="eastAsia"/>
        </w:rPr>
        <w:t>发挥品牌的赋能作用，以焕新城市联想、重聚人与目光、打好产业铺垫为目标。以“兴安岭上兴安盟”作为兴安盟主体形象宣传；以“与山盟与水盟与兴安盟”作为旅游形象推广语，围绕中国全景畅游度假目的地，聚焦自驾游市场客群，</w:t>
      </w:r>
      <w:r>
        <w:t xml:space="preserve"> </w:t>
      </w:r>
      <w:r>
        <w:rPr>
          <w:rFonts w:hint="eastAsia"/>
        </w:rPr>
        <w:t>塑造“兴游牧联盟”圈层文化，通过兴标、兴图腾、兴美拍、兴营销四种途径，讲述兴安盟文化旅游品牌故事，构建兴安盟品牌形象感知体系。</w:t>
      </w:r>
    </w:p>
    <w:p>
      <w:pPr>
        <w:pStyle w:val="3"/>
        <w:numPr>
          <w:ilvl w:val="0"/>
          <w:numId w:val="1"/>
        </w:numPr>
      </w:pPr>
      <w:bookmarkStart w:id="54" w:name="_Toc141454153"/>
      <w:r>
        <w:rPr>
          <w:rFonts w:hint="eastAsia"/>
        </w:rPr>
        <w:t>品牌形象</w:t>
      </w:r>
      <w:bookmarkEnd w:id="54"/>
    </w:p>
    <w:p>
      <w:pPr>
        <w:ind w:firstLine="480"/>
      </w:pPr>
      <w:r>
        <w:rPr>
          <w:rFonts w:hint="eastAsia"/>
        </w:rPr>
        <w:t>围绕兴游牧联盟，打造身份认同标识兴游牧联盟“兴标”。</w:t>
      </w:r>
    </w:p>
    <w:p>
      <w:pPr>
        <w:ind w:firstLine="480"/>
      </w:pPr>
      <w:r>
        <w:rPr>
          <w:rFonts w:hint="eastAsia"/>
        </w:rPr>
        <w:t>挖掘兴安盟文化底蕴，推出全新L</w:t>
      </w:r>
      <w:r>
        <w:t>OGO</w:t>
      </w:r>
      <w:r>
        <w:rPr>
          <w:rFonts w:hint="eastAsia"/>
        </w:rPr>
        <w:t>视觉系统，主方案为</w:t>
      </w:r>
      <w:r>
        <w:t>“小兴”</w:t>
      </w:r>
      <w:r>
        <w:rPr>
          <w:rFonts w:hint="eastAsia"/>
        </w:rPr>
        <w:t>。以兴安盟的“兴”字为创意元素，通过艺术变形、赋予人性化特征设计而成。小兴的整体是一个星形，色调为蓝绿过渡，水晶一般透明纯洁，代表着它是祖国大地上的一颗自然生态璀璨之星，胸前金色的五星象征着革命老区，也象征着兴安盟一心向党，始终如一；备选方案为“马小盟”，以马的形态作为造型主题，并将兴安盟的“盟”“兴”二字进行变形作为图腾。并围绕“大兴安岭”“科尔沁草原” “红色之城”“冰雪奇景”等主题标签，推出“马小盟”I</w:t>
      </w:r>
      <w:r>
        <w:t>P</w:t>
      </w:r>
      <w:r>
        <w:rPr>
          <w:rFonts w:hint="eastAsia"/>
        </w:rPr>
        <w:t>形象涂装演绎，构建兴安盟品牌形象感知体系。</w:t>
      </w:r>
    </w:p>
    <w:p>
      <w:pPr>
        <w:ind w:firstLine="480"/>
      </w:pPr>
      <w:r>
        <w:rPr>
          <w:rFonts w:hint="eastAsia"/>
        </w:rPr>
        <w:t>丰富自驾游客群体验，重点推出“兴美拍”主题活动，推出草原美拍、森林美拍等网红场景打卡，让兴安盟美拍成为一种时尚潮流。</w:t>
      </w:r>
    </w:p>
    <w:p>
      <w:pPr>
        <w:ind w:firstLine="480"/>
      </w:pPr>
      <w:bookmarkStart w:id="55" w:name="_Toc493128174"/>
      <w:bookmarkStart w:id="56" w:name="_Toc507702231"/>
      <w:bookmarkStart w:id="57" w:name="_Toc45295804"/>
      <w:bookmarkStart w:id="58" w:name="_Toc28003416"/>
      <w:r>
        <w:rPr>
          <w:rFonts w:hint="eastAsia"/>
        </w:rPr>
        <w:t>围绕目的地体系建设，聚焦潜在目标客户，进行整体营销。培育专属品牌节庆，打造主题节事活动，实现品牌多元跨界。传统媒体与新媒体合作，线上线下同步营销，搭建全营销体系。</w:t>
      </w:r>
    </w:p>
    <w:p>
      <w:pPr>
        <w:ind w:firstLine="482"/>
        <w:rPr>
          <w:b/>
          <w:bCs/>
        </w:rPr>
      </w:pPr>
    </w:p>
    <w:p>
      <w:pPr>
        <w:ind w:firstLine="482"/>
        <w:rPr>
          <w:b/>
          <w:bCs/>
        </w:rPr>
      </w:pPr>
    </w:p>
    <w:p>
      <w:pPr>
        <w:widowControl/>
        <w:spacing w:line="240" w:lineRule="auto"/>
        <w:ind w:firstLine="0" w:firstLineChars="0"/>
        <w:jc w:val="left"/>
        <w:rPr>
          <w:rFonts w:eastAsia="黑体"/>
          <w:b/>
          <w:bCs/>
          <w:kern w:val="44"/>
          <w:sz w:val="30"/>
          <w:szCs w:val="44"/>
        </w:rPr>
      </w:pPr>
      <w:r>
        <w:br w:type="page"/>
      </w:r>
    </w:p>
    <w:p>
      <w:pPr>
        <w:pStyle w:val="2"/>
        <w:jc w:val="center"/>
      </w:pPr>
      <w:bookmarkStart w:id="59" w:name="_Toc141454154"/>
      <w:r>
        <w:rPr>
          <w:rFonts w:hint="eastAsia"/>
        </w:rPr>
        <w:t>第六章</w:t>
      </w:r>
      <w:r>
        <w:t xml:space="preserve">  </w:t>
      </w:r>
      <w:bookmarkStart w:id="60" w:name="_Hlk117677204"/>
      <w:r>
        <w:rPr>
          <w:rFonts w:hint="eastAsia"/>
        </w:rPr>
        <w:t>旅游发展空间</w:t>
      </w:r>
      <w:bookmarkEnd w:id="55"/>
      <w:bookmarkEnd w:id="56"/>
      <w:bookmarkEnd w:id="57"/>
      <w:r>
        <w:rPr>
          <w:rFonts w:hint="eastAsia"/>
        </w:rPr>
        <w:t>规划</w:t>
      </w:r>
      <w:bookmarkEnd w:id="59"/>
    </w:p>
    <w:bookmarkEnd w:id="60"/>
    <w:p>
      <w:pPr>
        <w:pStyle w:val="3"/>
        <w:numPr>
          <w:ilvl w:val="0"/>
          <w:numId w:val="1"/>
        </w:numPr>
      </w:pPr>
      <w:bookmarkStart w:id="61" w:name="_Toc141454155"/>
      <w:bookmarkStart w:id="62" w:name="_Toc45295806"/>
      <w:bookmarkStart w:id="63" w:name="_Toc507702233"/>
      <w:r>
        <w:rPr>
          <w:rFonts w:hint="eastAsia"/>
        </w:rPr>
        <w:t>空间战略</w:t>
      </w:r>
      <w:bookmarkEnd w:id="61"/>
    </w:p>
    <w:p>
      <w:pPr>
        <w:ind w:firstLine="480"/>
        <w:rPr>
          <w:rFonts w:ascii="仿宋" w:hAnsi="仿宋" w:cs="Times New Roman"/>
        </w:rPr>
      </w:pPr>
      <w:r>
        <w:rPr>
          <w:rFonts w:hint="eastAsia" w:ascii="仿宋" w:hAnsi="仿宋" w:cs="Times New Roman"/>
        </w:rPr>
        <w:t>以核为点，交通为线，盘活沿线旅游资源，同时产旅融合促旅游业提质增速发展，构建全域网络发展面，打造兴安盟由点到线及面的全域发展新格局。具体策略为，双轮驱动、交通联动、全域开花，优先以乌兰浩特市与阿尔山市为核心驱动点，做强本地休闲与全域旅游集散服务，发挥引擎作用与辐射带动效应，推动全域旅游发展迈上新台阶；以交通路网串联门户与重要节点，轴向联动周边特色地块，优化提升道路等级，构建全域旅游线性发展体系。</w:t>
      </w:r>
    </w:p>
    <w:p>
      <w:pPr>
        <w:pStyle w:val="3"/>
        <w:numPr>
          <w:ilvl w:val="0"/>
          <w:numId w:val="1"/>
        </w:numPr>
      </w:pPr>
      <w:bookmarkStart w:id="64" w:name="_Toc141454156"/>
      <w:r>
        <w:rPr>
          <w:rFonts w:hint="eastAsia"/>
        </w:rPr>
        <w:t>空间布局</w:t>
      </w:r>
      <w:bookmarkEnd w:id="62"/>
      <w:bookmarkEnd w:id="63"/>
      <w:bookmarkEnd w:id="64"/>
    </w:p>
    <w:bookmarkEnd w:id="58"/>
    <w:p>
      <w:pPr>
        <w:ind w:firstLine="480"/>
        <w:rPr>
          <w:rFonts w:ascii="仿宋" w:hAnsi="仿宋" w:cs="Times New Roman"/>
        </w:rPr>
      </w:pPr>
      <w:bookmarkStart w:id="65" w:name="_Hlk57301903"/>
      <w:bookmarkStart w:id="66" w:name="_Toc45295807"/>
      <w:r>
        <w:rPr>
          <w:rFonts w:hint="eastAsia" w:ascii="仿宋" w:hAnsi="仿宋" w:cs="Times New Roman"/>
        </w:rPr>
        <w:t>兴安盟全域旅游高质量发展的空间格局为“一核、一极、三廊、八大门户、多个节点”。其中，“一核”即乌兰浩特全域综合服务核，“一极”阿尔山国际旅游发展极，“三廊”即兴安中线、兴安南线、兴安北线</w:t>
      </w:r>
      <w:bookmarkEnd w:id="65"/>
      <w:r>
        <w:rPr>
          <w:rFonts w:hint="eastAsia" w:ascii="仿宋" w:hAnsi="仿宋" w:cs="Times New Roman"/>
        </w:rPr>
        <w:t>。</w:t>
      </w:r>
      <w:r>
        <w:br w:type="page"/>
      </w:r>
    </w:p>
    <w:p>
      <w:pPr>
        <w:pStyle w:val="2"/>
        <w:jc w:val="center"/>
      </w:pPr>
      <w:bookmarkStart w:id="67" w:name="_Toc141454157"/>
      <w:r>
        <w:rPr>
          <w:rFonts w:hint="eastAsia"/>
        </w:rPr>
        <w:t xml:space="preserve">第七章 </w:t>
      </w:r>
      <w:bookmarkEnd w:id="66"/>
      <w:r>
        <w:rPr>
          <w:rFonts w:hint="eastAsia"/>
        </w:rPr>
        <w:t>旅游产品设计</w:t>
      </w:r>
      <w:bookmarkEnd w:id="67"/>
    </w:p>
    <w:p>
      <w:pPr>
        <w:pStyle w:val="3"/>
        <w:numPr>
          <w:ilvl w:val="0"/>
          <w:numId w:val="1"/>
        </w:numPr>
      </w:pPr>
      <w:bookmarkStart w:id="68" w:name="_Toc141454158"/>
      <w:bookmarkStart w:id="69" w:name="_Toc45295809"/>
      <w:r>
        <w:rPr>
          <w:rFonts w:hint="eastAsia"/>
        </w:rPr>
        <w:t>产品设计思路</w:t>
      </w:r>
      <w:bookmarkEnd w:id="68"/>
    </w:p>
    <w:p>
      <w:pPr>
        <w:ind w:firstLine="480"/>
      </w:pPr>
      <w:r>
        <w:rPr>
          <w:rFonts w:hint="eastAsia"/>
        </w:rPr>
        <w:t>以兴安盟全域项目建设为基础保障，针对后疫情时代旅游高质量发展的现实需求，</w:t>
      </w:r>
      <w:bookmarkStart w:id="70" w:name="_Hlk132360138"/>
      <w:r>
        <w:rPr>
          <w:rFonts w:hint="eastAsia"/>
        </w:rPr>
        <w:t>推动旅游产品从产品自身品质向基于品牌下的全域畅游体验的升级。</w:t>
      </w:r>
      <w:bookmarkEnd w:id="70"/>
      <w:r>
        <w:rPr>
          <w:rFonts w:hint="eastAsia"/>
        </w:rPr>
        <w:t>结合兴安盟资源禀赋</w:t>
      </w:r>
      <w:bookmarkStart w:id="71" w:name="_Hlk132360155"/>
      <w:r>
        <w:rPr>
          <w:rFonts w:hint="eastAsia"/>
        </w:rPr>
        <w:t>，以度假引领、景城同建、路游公园、精品驱动总体思路出发，形成“一核、一极，引擎带动全盟发展；三线连多点，开启兴安盟畅游体验”旅游产品格局。</w:t>
      </w:r>
    </w:p>
    <w:bookmarkEnd w:id="69"/>
    <w:bookmarkEnd w:id="71"/>
    <w:p>
      <w:pPr>
        <w:pStyle w:val="3"/>
        <w:numPr>
          <w:ilvl w:val="0"/>
          <w:numId w:val="1"/>
        </w:numPr>
      </w:pPr>
      <w:bookmarkStart w:id="72" w:name="_Toc141454159"/>
      <w:r>
        <w:rPr>
          <w:rFonts w:hint="eastAsia"/>
        </w:rPr>
        <w:t>度假引领—阿尔山国际旅游发展极</w:t>
      </w:r>
      <w:bookmarkEnd w:id="72"/>
    </w:p>
    <w:p>
      <w:pPr>
        <w:pStyle w:val="4"/>
        <w:ind w:firstLine="482"/>
      </w:pPr>
      <w:bookmarkStart w:id="73" w:name="_Toc34050676"/>
      <w:bookmarkStart w:id="74" w:name="_Hlk34141212"/>
      <w:bookmarkStart w:id="75" w:name="_Toc33713093"/>
      <w:bookmarkStart w:id="76" w:name="_Toc32864771"/>
      <w:bookmarkStart w:id="77" w:name="_Toc45295810"/>
      <w:bookmarkStart w:id="78" w:name="_Toc45295812"/>
      <w:r>
        <w:rPr>
          <w:rFonts w:hint="eastAsia"/>
        </w:rPr>
        <w:t>一、发展定位</w:t>
      </w:r>
    </w:p>
    <w:p>
      <w:pPr>
        <w:ind w:firstLine="480"/>
      </w:pPr>
      <w:r>
        <w:rPr>
          <w:rFonts w:hint="eastAsia"/>
        </w:rPr>
        <w:t>阿尔山市成功打造国家级旅游度假区、国际品质、全龄段、四季康养度假生活目的地。</w:t>
      </w:r>
    </w:p>
    <w:p>
      <w:pPr>
        <w:pStyle w:val="4"/>
        <w:ind w:firstLine="482"/>
      </w:pPr>
      <w:r>
        <w:rPr>
          <w:rFonts w:hint="eastAsia"/>
        </w:rPr>
        <w:t>二、发展思路</w:t>
      </w:r>
    </w:p>
    <w:p>
      <w:pPr>
        <w:ind w:firstLine="480"/>
      </w:pPr>
      <w:r>
        <w:rPr>
          <w:rFonts w:hint="eastAsia"/>
        </w:rPr>
        <w:t>针对阿尔山优质资源未得到高效开发的问题，改变粗放开发的生态观光形式，以度假区创建作为新阶段发展的起点，以软文化、轻体验、精运营、重品质突围。重塑空间格局，推进景区、城区联动发展，以城市即景区、景区即度假区为发展方向，通过导入特色体验产品、网红打卡产品、品质度假产品、文化体验产品、高端度假业态等举措，促进市场更新和形象迭代，重点打造温泉度假、森林体验、冰雪体验、美食体验等四大度假场景体验项目。</w:t>
      </w:r>
      <w:r>
        <w:rPr>
          <w:rFonts w:hint="eastAsia"/>
          <w:bCs/>
        </w:rPr>
        <w:t>突出阿尔山“四季都很美”特色，谋划花样春日阿尔山、清凉夏日阿尔山、浪漫金秋阿尔山、冰雪温情阿尔山四季产品与主题活动，制造注意力，吸引流量。并通过</w:t>
      </w:r>
      <w:r>
        <w:rPr>
          <w:rFonts w:hint="eastAsia"/>
        </w:rPr>
        <w:t>优化奖补机制，重点奖补重大文旅项目投资、创新文旅项目策划、旅游商品研发设计、高品质大型演艺项目等条目，带动阿尔山形成品质旅游目的地旅游大格局。</w:t>
      </w:r>
    </w:p>
    <w:p>
      <w:pPr>
        <w:pStyle w:val="4"/>
        <w:ind w:firstLine="482"/>
      </w:pPr>
      <w:r>
        <w:rPr>
          <w:rFonts w:hint="eastAsia"/>
        </w:rPr>
        <w:t>三、主要项目</w:t>
      </w:r>
    </w:p>
    <w:p>
      <w:pPr>
        <w:ind w:firstLine="480"/>
      </w:pPr>
      <w:r>
        <w:rPr>
          <w:rFonts w:hint="eastAsia"/>
        </w:rPr>
        <w:t>阿尔山地处乌阿海满线路上的必经之路，以国家级旅游度假区为建设目标，结合资源特色，完善主题度假，重点打造温泉度假、森林度假、冰雪体验、度假配套四大主题度假产品。</w:t>
      </w:r>
    </w:p>
    <w:p>
      <w:pPr>
        <w:ind w:firstLine="482"/>
      </w:pPr>
      <w:r>
        <w:rPr>
          <w:rFonts w:hint="eastAsia"/>
          <w:b/>
        </w:rPr>
        <w:t>温泉度假项目：</w:t>
      </w:r>
      <w:r>
        <w:rPr>
          <w:rFonts w:hint="eastAsia"/>
        </w:rPr>
        <w:t>突出火山温泉特色，做大阿尔山温泉康养品牌，延伸</w:t>
      </w:r>
      <w:r>
        <w:rPr>
          <w:rFonts w:hint="eastAsia"/>
          <w:bCs/>
        </w:rPr>
        <w:t>“矿泉”产业，</w:t>
      </w:r>
      <w:r>
        <w:rPr>
          <w:rFonts w:hint="eastAsia"/>
        </w:rPr>
        <w:t>重点打造鹿角湾温泉度假营地、金江沟温泉度假区、太阳谷温泉度假酒店、太伟温泉度假酒店、荆花温泉康养小镇等温泉度假项目。</w:t>
      </w:r>
    </w:p>
    <w:p>
      <w:pPr>
        <w:ind w:firstLine="482"/>
      </w:pPr>
      <w:r>
        <w:rPr>
          <w:rFonts w:hint="eastAsia"/>
          <w:b/>
        </w:rPr>
        <w:t>森林度假项目：</w:t>
      </w:r>
      <w:r>
        <w:rPr>
          <w:rFonts w:hint="eastAsia"/>
        </w:rPr>
        <w:t>打造</w:t>
      </w:r>
      <w:r>
        <w:rPr>
          <w:rFonts w:hint="eastAsia"/>
          <w:bCs/>
        </w:rPr>
        <w:t>“极致观光+研游度假”为核心的世界地质森林体验项目产品，重点完善</w:t>
      </w:r>
      <w:r>
        <w:rPr>
          <w:rFonts w:hint="eastAsia"/>
        </w:rPr>
        <w:t>阿尔山林下游乐项目，打造氧心森林浴道业态提升项目、森林雪野等森林体验类项目，并建设</w:t>
      </w:r>
      <w:r>
        <w:rPr>
          <w:rFonts w:hint="eastAsia"/>
          <w:bCs/>
        </w:rPr>
        <w:t>天池山索道、观光平台、热气球等立体多维的</w:t>
      </w:r>
      <w:r>
        <w:rPr>
          <w:rFonts w:hint="eastAsia"/>
        </w:rPr>
        <w:t>天池观光产品；策划石塘林猎奇</w:t>
      </w:r>
      <w:r>
        <w:rPr>
          <w:rFonts w:hint="eastAsia"/>
          <w:bCs/>
        </w:rPr>
        <w:t>科普研学活动；以阿尔山森工公司为牵头，引入全地形越野车改装成的接驳小火车，打造</w:t>
      </w:r>
      <w:r>
        <w:rPr>
          <w:bCs/>
        </w:rPr>
        <w:t>4</w:t>
      </w:r>
      <w:r>
        <w:rPr>
          <w:rFonts w:hint="eastAsia"/>
          <w:bCs/>
        </w:rPr>
        <w:t>条旅游小火车线路；优化提升白狼林俗小镇、白狼镇华润希望小镇、鹿村度假村、哈拉哈河森林时光研学科普园等项目。</w:t>
      </w:r>
    </w:p>
    <w:p>
      <w:pPr>
        <w:ind w:firstLine="482"/>
      </w:pPr>
      <w:r>
        <w:rPr>
          <w:rFonts w:hint="eastAsia"/>
          <w:b/>
        </w:rPr>
        <w:t>冰雪度假项目：</w:t>
      </w:r>
      <w:r>
        <w:rPr>
          <w:rFonts w:hint="eastAsia"/>
        </w:rPr>
        <w:t>打造全民冰雪畅游度假目的地，丰富冰雪供给端内容，提升冰雪节事，构建“大冬季旅游”产品体系。重点打造太平岭国际滑雪场、白狼峰森林康养滑雪度假区、阿尔山太伟滑雪场、阿尔山西山滑雪场、雪村度假村、阿尔山冰雪运动中心、不冻河冬季戏水、三广山滑雪场等冰雪项目，升级阿尔山冰雪英雄会、冰雪那达慕等冬季活动。</w:t>
      </w:r>
    </w:p>
    <w:p>
      <w:pPr>
        <w:ind w:firstLine="482"/>
      </w:pPr>
      <w:r>
        <w:rPr>
          <w:rFonts w:hint="eastAsia"/>
          <w:b/>
          <w:bCs/>
        </w:rPr>
        <w:t>边境旅游项目：</w:t>
      </w:r>
      <w:r>
        <w:rPr>
          <w:rFonts w:hint="eastAsia"/>
        </w:rPr>
        <w:t>做强中蒙边民互市贸易区，提升打造阿尔山口岸国门创建4A级景区，增建中蒙市集夜市等亲民项目，增建会务酒店、主题乐园、文化体验展馆等趣味配套项目。</w:t>
      </w:r>
    </w:p>
    <w:p>
      <w:pPr>
        <w:ind w:firstLine="482"/>
        <w:rPr>
          <w:bCs/>
        </w:rPr>
      </w:pPr>
      <w:r>
        <w:rPr>
          <w:rFonts w:hint="eastAsia"/>
          <w:b/>
          <w:bCs/>
        </w:rPr>
        <w:t>度假配套项目：</w:t>
      </w:r>
      <w:r>
        <w:rPr>
          <w:rFonts w:hint="eastAsia"/>
          <w:bCs/>
        </w:rPr>
        <w:t>设计阿尔山礼物，重点完成山珍水宴文化系列产品设计与开发，开设阿尔山特色文创商品店，优先在温泉街锦江之星门市开设特色文创商品店，销售具有阿尔山特色的文创商品及俄罗斯、蒙古、内蒙古等地域特色商品；完善导览标识系统、公厕系统、服务驿站等配套设施；建设魔幻森林、圣泉雪集旅游休闲街区等休闲度假类产品。</w:t>
      </w:r>
    </w:p>
    <w:bookmarkEnd w:id="73"/>
    <w:bookmarkEnd w:id="74"/>
    <w:bookmarkEnd w:id="75"/>
    <w:bookmarkEnd w:id="76"/>
    <w:bookmarkEnd w:id="77"/>
    <w:bookmarkEnd w:id="78"/>
    <w:p>
      <w:pPr>
        <w:pStyle w:val="3"/>
        <w:numPr>
          <w:ilvl w:val="0"/>
          <w:numId w:val="1"/>
        </w:numPr>
      </w:pPr>
      <w:bookmarkStart w:id="79" w:name="_Toc45295813"/>
      <w:bookmarkStart w:id="80" w:name="_Toc141454160"/>
      <w:r>
        <w:rPr>
          <w:rFonts w:hint="eastAsia"/>
        </w:rPr>
        <w:t>景城同建—</w:t>
      </w:r>
      <w:bookmarkEnd w:id="79"/>
      <w:bookmarkStart w:id="81" w:name="_Toc45295816"/>
      <w:r>
        <w:rPr>
          <w:rFonts w:hint="eastAsia"/>
        </w:rPr>
        <w:t>乌兰浩特全域综合服务核</w:t>
      </w:r>
      <w:bookmarkEnd w:id="80"/>
    </w:p>
    <w:p>
      <w:pPr>
        <w:pStyle w:val="4"/>
        <w:ind w:firstLine="482"/>
      </w:pPr>
      <w:r>
        <w:rPr>
          <w:rFonts w:hint="eastAsia"/>
        </w:rPr>
        <w:t>一、发展定位</w:t>
      </w:r>
    </w:p>
    <w:p>
      <w:pPr>
        <w:ind w:firstLine="480"/>
      </w:pPr>
      <w:r>
        <w:rPr>
          <w:rFonts w:hint="eastAsia"/>
        </w:rPr>
        <w:t>全域旅游城市会客厅、世界级生态旅游草原会客厅、草原生态田园城市、乌阿海满草原旅游第一站、中国红色文化名城、夜游经济示范、国家文旅融合产业发展示范区</w:t>
      </w:r>
    </w:p>
    <w:p>
      <w:pPr>
        <w:pStyle w:val="4"/>
        <w:ind w:firstLine="482"/>
      </w:pPr>
      <w:r>
        <w:rPr>
          <w:rFonts w:hint="eastAsia"/>
        </w:rPr>
        <w:t>二、发展思路</w:t>
      </w:r>
    </w:p>
    <w:p>
      <w:pPr>
        <w:ind w:firstLine="480"/>
      </w:pPr>
      <w:bookmarkStart w:id="82" w:name="_Hlk132383341"/>
      <w:r>
        <w:rPr>
          <w:rFonts w:hint="eastAsia"/>
        </w:rPr>
        <w:t>针对城市发展空间与旅游发展空间割裂的问题，坚持景城同建发展原则，以4</w:t>
      </w:r>
      <w:r>
        <w:t>A</w:t>
      </w:r>
      <w:r>
        <w:rPr>
          <w:rFonts w:hint="eastAsia"/>
        </w:rPr>
        <w:t>级景区标准指导乌兰浩特城市建设，做好乌阿海满进入兴安盟首站服务接待与形象门户。以做活形象窗口、做强田园生活、扮靓夜游体验、塑新文化窗口为路径，打造多元主客共享空间，提升城市旅游服务能级。强化与城中草原联动，共塑草原城市休闲新空间与城市迎客窗口；创新成吉思汗庙、罕山文化园休闲体验业态，完善旅游服务系统；做优生态环境基底，升级田园城市、湿地城市空间，打造洮儿河国家湿地公园；加强红色之城文化传承，深度开发红色精品旅游产品，升级红色文化业态，将乌兰浩特打造为承载城市人文精神主客共享的休闲空间、存续老城记忆的历史空间、代表城市形象的形象空间、焕发城市魅力的消费空间。</w:t>
      </w:r>
    </w:p>
    <w:bookmarkEnd w:id="82"/>
    <w:p>
      <w:pPr>
        <w:pStyle w:val="4"/>
        <w:ind w:firstLine="482"/>
      </w:pPr>
      <w:r>
        <w:rPr>
          <w:rFonts w:hint="eastAsia"/>
        </w:rPr>
        <w:t>三、主要项目</w:t>
      </w:r>
    </w:p>
    <w:p>
      <w:pPr>
        <w:ind w:firstLine="482"/>
      </w:pPr>
      <w:r>
        <w:rPr>
          <w:rFonts w:hint="eastAsia"/>
          <w:b/>
        </w:rPr>
        <w:t>城中草原：</w:t>
      </w:r>
      <w:r>
        <w:rPr>
          <w:rFonts w:hint="eastAsia"/>
        </w:rPr>
        <w:t>提升改造城中草原，需要植入和丰富休闲功能与业态，通过网红景观、文化公共空间、炫彩夜景、夜市、“夜店”、夜活动的复合融合，打造集城市商业、文旅娱乐经营、草原体验等一体的文旅第一综合体、城市休闲集聚区、城中草原不夜街。室内，</w:t>
      </w:r>
      <w:r>
        <w:rPr>
          <w:rFonts w:hint="eastAsia"/>
          <w:bCs/>
        </w:rPr>
        <w:t>营造亮点，内部做创新业态与特色立体场景塑造；室外，做亮化、网红打卡景观、草原娱乐体验项目、城市休闲场景，共塑城市草原休闲氛围</w:t>
      </w:r>
      <w:r>
        <w:rPr>
          <w:rFonts w:hint="eastAsia"/>
        </w:rPr>
        <w:t>。</w:t>
      </w:r>
    </w:p>
    <w:p>
      <w:pPr>
        <w:ind w:firstLine="482"/>
      </w:pPr>
      <w:r>
        <w:rPr>
          <w:rFonts w:hint="eastAsia"/>
          <w:b/>
        </w:rPr>
        <w:t>乌兰浩特旅游综合服务中心：</w:t>
      </w:r>
      <w:r>
        <w:rPr>
          <w:rFonts w:hint="eastAsia"/>
        </w:rPr>
        <w:t>位于前街步行街，打造一站式全域旅游综合服务体验中心街区，近期优先完成集散中心的设立，内部完成展陈设置，完善门户景观打造，原旅游服务中心打造成为集主题游乐、文创动漫于一体，高颜值、好看好玩的的IP沉浸式主力店。</w:t>
      </w:r>
    </w:p>
    <w:p>
      <w:pPr>
        <w:ind w:firstLine="482"/>
      </w:pPr>
      <w:r>
        <w:rPr>
          <w:rFonts w:hint="eastAsia"/>
          <w:b/>
        </w:rPr>
        <w:t>前街步行街：</w:t>
      </w:r>
      <w:r>
        <w:rPr>
          <w:rFonts w:hint="eastAsia"/>
        </w:rPr>
        <w:t>打造出一条集旅游娱乐、餐饮美食为一体的休闲步行街，同时兼具高品质休闲街区、夜游经济示范区以及特色美食餐饮区等代表城市发展愿景的高端休闲区，整体提升乌市文化旅游和消费休闲的服务品质。</w:t>
      </w:r>
    </w:p>
    <w:p>
      <w:pPr>
        <w:ind w:firstLine="482"/>
        <w:rPr>
          <w:b/>
        </w:rPr>
      </w:pPr>
      <w:r>
        <w:rPr>
          <w:rFonts w:hint="eastAsia"/>
          <w:b/>
        </w:rPr>
        <w:t>成庙-罕山国家5A级景区：</w:t>
      </w:r>
      <w:r>
        <w:rPr>
          <w:rFonts w:hint="eastAsia"/>
        </w:rPr>
        <w:t>以国家5A级景区创建标准对罕山生态文化园进行提档升级，以成吉思汗庙为核心，整合前街步行街、罕山公园、罕山智慧体育公园等资源，整合北侧山体公园，开展标识标牌、旅游廊道、游客中心、非遗研培中心、旅游配套设施、景区生态等提升工程，丰富片区功能。</w:t>
      </w:r>
    </w:p>
    <w:p>
      <w:pPr>
        <w:ind w:firstLine="482"/>
      </w:pPr>
      <w:r>
        <w:rPr>
          <w:rFonts w:hint="eastAsia"/>
          <w:b/>
        </w:rPr>
        <w:t>洮儿河国家湿地公园：</w:t>
      </w:r>
      <w:r>
        <w:rPr>
          <w:rFonts w:hint="eastAsia"/>
        </w:rPr>
        <w:t>结合湿地研学教育，创新更多趣味交通方式，结合水上游和自驾路游的方式，串联沿线景区资源，展现十里生态画廊，打造多样活动体系。</w:t>
      </w:r>
    </w:p>
    <w:p>
      <w:pPr>
        <w:ind w:firstLine="482"/>
        <w:rPr>
          <w:bCs/>
        </w:rPr>
      </w:pPr>
      <w:r>
        <w:rPr>
          <w:rFonts w:hint="eastAsia"/>
          <w:b/>
          <w:bCs/>
        </w:rPr>
        <w:t>“一馆十址”红色记忆教育游和“811”葛根庙红色研学体验游</w:t>
      </w:r>
      <w:r>
        <w:rPr>
          <w:rFonts w:hint="eastAsia"/>
          <w:bCs/>
        </w:rPr>
        <w:t>：构建不同形式的红色旅游产品体验体系，借助其他旅游资源，形成优势互补，产生叠加吸引，打造“一馆十址”红色记忆教育游和“811”葛根庙红色研学体验游。其中，“一馆十址”红色记忆教育游重点依托乌兰浩特丰富的红色资源及现存的一馆十址，通过观光车、步道等形式串联，通过游线设计、线路打卡装置的设置及场馆的活化，打造一条具有互动性、体验感的研学教育体验线路；“811”葛根庙红色研学体验游以811纪念碑为起点，途径红色文化纪念馆、名马博物馆、马场、葛根庙特色美食街、葛根庙，通过徒步、骑马等形式，形成一条红色研学体验游线，在项目节点处配合设立射击、骑行、野战等体验性项目，构建红色旅游目的地体验参与项目体系。</w:t>
      </w:r>
    </w:p>
    <w:p>
      <w:pPr>
        <w:ind w:firstLine="482"/>
      </w:pPr>
      <w:r>
        <w:rPr>
          <w:rFonts w:hint="eastAsia"/>
          <w:b/>
        </w:rPr>
        <w:t>冰雪项目：</w:t>
      </w:r>
      <w:r>
        <w:rPr>
          <w:rFonts w:hint="eastAsia"/>
        </w:rPr>
        <w:t>逐步推进乌兰浩特室内滑雪场（大黑山）、恩歌山滑雪场项目，建设近城主客共享的亲子休闲、冰雪运动新场景。</w:t>
      </w:r>
    </w:p>
    <w:bookmarkEnd w:id="81"/>
    <w:p>
      <w:pPr>
        <w:pStyle w:val="3"/>
        <w:numPr>
          <w:ilvl w:val="0"/>
          <w:numId w:val="1"/>
        </w:numPr>
      </w:pPr>
      <w:bookmarkStart w:id="83" w:name="_Toc141454161"/>
      <w:bookmarkStart w:id="84" w:name="_Toc45295817"/>
      <w:r>
        <w:rPr>
          <w:rFonts w:hint="eastAsia"/>
        </w:rPr>
        <w:t>路游公园—兴安三线</w:t>
      </w:r>
      <w:bookmarkEnd w:id="83"/>
    </w:p>
    <w:p>
      <w:pPr>
        <w:pStyle w:val="4"/>
        <w:ind w:firstLine="482"/>
      </w:pPr>
      <w:r>
        <w:rPr>
          <w:rFonts w:hint="eastAsia"/>
        </w:rPr>
        <w:t>一、发展定位</w:t>
      </w:r>
    </w:p>
    <w:p>
      <w:pPr>
        <w:ind w:firstLine="480"/>
      </w:pPr>
      <w:r>
        <w:rPr>
          <w:rFonts w:hint="eastAsia"/>
        </w:rPr>
        <w:t>多彩兴安盟的形象展示窗口、路游公园休闲度假目的地。</w:t>
      </w:r>
    </w:p>
    <w:p>
      <w:pPr>
        <w:pStyle w:val="4"/>
        <w:ind w:firstLine="482"/>
      </w:pPr>
      <w:r>
        <w:rPr>
          <w:rFonts w:hint="eastAsia"/>
        </w:rPr>
        <w:t>二、总体思路</w:t>
      </w:r>
    </w:p>
    <w:p>
      <w:pPr>
        <w:ind w:firstLine="480"/>
      </w:pPr>
      <w:bookmarkStart w:id="85" w:name="_Hlk131517511"/>
      <w:r>
        <w:rPr>
          <w:rFonts w:hint="eastAsia"/>
        </w:rPr>
        <w:t>以风景道激活旅游产品，对外确定主要客流方向，对内梳理线路路网，从而确定客源、梳理线路、搭建智慧旅游平台系统，重点打造路游八大门户、节点组团、内部旅游环线等产品。面向市场与资源产品的线路匹配，重点推出三大主题段落，即以草原生态为主题的兴安中线主题段落；以文化探秘、山水秘境为主题的兴安北线主题段落；以中旗枫林美拍和突泉乡村田园为主要特色的兴安南线主题段落。</w:t>
      </w:r>
    </w:p>
    <w:bookmarkEnd w:id="85"/>
    <w:p>
      <w:pPr>
        <w:pStyle w:val="4"/>
        <w:ind w:firstLine="482"/>
      </w:pPr>
      <w:r>
        <w:rPr>
          <w:rFonts w:hint="eastAsia"/>
        </w:rPr>
        <w:t>三、主题线路</w:t>
      </w:r>
    </w:p>
    <w:p>
      <w:pPr>
        <w:ind w:firstLine="482"/>
        <w:rPr>
          <w:b/>
          <w:bCs/>
        </w:rPr>
      </w:pPr>
      <w:r>
        <w:rPr>
          <w:rFonts w:hint="eastAsia"/>
          <w:b/>
          <w:bCs/>
        </w:rPr>
        <w:t>（一）兴安中线</w:t>
      </w:r>
    </w:p>
    <w:p>
      <w:pPr>
        <w:ind w:firstLine="482"/>
        <w:rPr>
          <w:b/>
          <w:bCs/>
        </w:rPr>
      </w:pPr>
      <w:r>
        <w:rPr>
          <w:rFonts w:hint="eastAsia"/>
          <w:b/>
          <w:bCs/>
        </w:rPr>
        <w:t>1、线路依托</w:t>
      </w:r>
    </w:p>
    <w:p>
      <w:pPr>
        <w:ind w:firstLine="480"/>
      </w:pPr>
      <w:r>
        <w:rPr>
          <w:rFonts w:hint="eastAsia"/>
        </w:rPr>
        <w:t>依托G302、G207、S203、兴安一号公路等道路，自东南向西北依次穿过乌兰浩特市、科尔沁右翼前旗、阿尔山市等地区，全长约6</w:t>
      </w:r>
      <w:r>
        <w:t>00</w:t>
      </w:r>
      <w:r>
        <w:rPr>
          <w:rFonts w:hint="eastAsia"/>
        </w:rPr>
        <w:t>公里，打造一条贯穿兴安盟中部的自驾游线。近期重点启动兴安中线黄金线路（</w:t>
      </w:r>
      <w:r>
        <w:t>G302-S203-</w:t>
      </w:r>
      <w:r>
        <w:rPr>
          <w:rFonts w:hint="eastAsia"/>
        </w:rPr>
        <w:t>兴安一号公路</w:t>
      </w:r>
      <w:r>
        <w:t>-X413-G331</w:t>
      </w:r>
      <w:r>
        <w:rPr>
          <w:rFonts w:hint="eastAsia"/>
        </w:rPr>
        <w:t>）的升级工作和沿线产品的建设提升工作，打造一条最美草原游览和草原产品的集中体验线路。</w:t>
      </w:r>
    </w:p>
    <w:p>
      <w:pPr>
        <w:ind w:firstLine="482"/>
        <w:rPr>
          <w:b/>
          <w:bCs/>
        </w:rPr>
      </w:pPr>
      <w:r>
        <w:rPr>
          <w:b/>
          <w:bCs/>
        </w:rPr>
        <w:t>2</w:t>
      </w:r>
      <w:r>
        <w:rPr>
          <w:rFonts w:hint="eastAsia"/>
          <w:b/>
          <w:bCs/>
        </w:rPr>
        <w:t>、线路主要产品</w:t>
      </w:r>
    </w:p>
    <w:p>
      <w:pPr>
        <w:ind w:firstLine="482"/>
      </w:pPr>
      <w:r>
        <w:rPr>
          <w:rFonts w:hint="eastAsia"/>
          <w:b/>
          <w:bCs/>
        </w:rPr>
        <w:t>乌兰毛都草原旅游区</w:t>
      </w:r>
      <w:r>
        <w:rPr>
          <w:rFonts w:hint="eastAsia"/>
        </w:rPr>
        <w:t>：从“草原观光”向“草原度假”品质升级，通过优化存量项目、增加品质度假业态、完善公共服务体系，打造草原旅游度假区。依托草原产业资源，输出一套以草原风情旅游为引领的产业发展模式。升级草原游览方式，导入热气球、直升机、滑翔伞等游览方式。创新全民参与方式，打造那达慕、草原拍摄、草原盛宴等主题活动。丰富冬季游憩业态，加快推动乌兰毛都滑雪场建设。</w:t>
      </w:r>
    </w:p>
    <w:p>
      <w:pPr>
        <w:ind w:firstLine="482"/>
      </w:pPr>
      <w:r>
        <w:rPr>
          <w:rFonts w:hint="eastAsia"/>
          <w:b/>
          <w:bCs/>
        </w:rPr>
        <w:t>黑羊山生态旅游区：</w:t>
      </w:r>
      <w:r>
        <w:rPr>
          <w:rFonts w:hint="eastAsia"/>
        </w:rPr>
        <w:t>黑羊山景区建设生态化旅游步道，同时设置系列岩画景观、生态化的互动体验装置与科普体验装置。丰富游客体验，雅玛洞内通过声光电的方式，将迷失历史与互动科技碰撞，新方式展示黑山羊文化传说故事。同时策划走进黑羊山研学活动，包括生态地质考察、人文课堂、团队协作拓展训练等项目。</w:t>
      </w:r>
    </w:p>
    <w:p>
      <w:pPr>
        <w:ind w:firstLine="482"/>
        <w:rPr>
          <w:b/>
          <w:bCs/>
        </w:rPr>
      </w:pPr>
      <w:r>
        <w:rPr>
          <w:rFonts w:hint="eastAsia"/>
          <w:b/>
          <w:bCs/>
        </w:rPr>
        <w:t>3、线路其他产品</w:t>
      </w:r>
    </w:p>
    <w:p>
      <w:pPr>
        <w:ind w:firstLine="480"/>
        <w:rPr>
          <w:bCs/>
        </w:rPr>
      </w:pPr>
      <w:r>
        <w:rPr>
          <w:rFonts w:hint="eastAsia"/>
          <w:bCs/>
        </w:rPr>
        <w:t>科右前旗“前·海”旅游驿站暨全域旅游集散中心、旅游公路提升工程、旅游驿站、营地建设、孛尔只斤部落旅游村野狼谷、科右前旗番茄公社迷你田园综合体、图布台草原自然公园、兴安蒙古包景区、黑羊山生态旅游区、青山国家级自然保护区、巴音居日合山景区、雪村滑雪场、兴安湖旅游度假村、巴音海日汗旅游度假村、海力森百年古榆民俗旅游度假村、索伦中草药康养小镇、巴日型斯台乡红色小镇（兴安农村第一党支部纪念馆）。</w:t>
      </w:r>
    </w:p>
    <w:p>
      <w:pPr>
        <w:ind w:firstLine="482"/>
        <w:rPr>
          <w:b/>
          <w:bCs/>
        </w:rPr>
      </w:pPr>
      <w:r>
        <w:rPr>
          <w:rFonts w:hint="eastAsia"/>
          <w:b/>
          <w:bCs/>
        </w:rPr>
        <w:t>（二）兴安北线</w:t>
      </w:r>
    </w:p>
    <w:p>
      <w:pPr>
        <w:ind w:firstLine="482"/>
        <w:rPr>
          <w:b/>
          <w:bCs/>
        </w:rPr>
      </w:pPr>
      <w:r>
        <w:rPr>
          <w:rFonts w:hint="eastAsia"/>
          <w:b/>
          <w:bCs/>
        </w:rPr>
        <w:t>1、线路依托</w:t>
      </w:r>
    </w:p>
    <w:p>
      <w:pPr>
        <w:ind w:firstLine="480"/>
      </w:pPr>
      <w:r>
        <w:rPr>
          <w:rFonts w:hint="eastAsia"/>
        </w:rPr>
        <w:t>依托集阿高速、G111、S309 、S308 、S204、S205等道路，自东向西穿过扎赉特旗到阿尔山，全长约4</w:t>
      </w:r>
      <w:r>
        <w:t>70</w:t>
      </w:r>
      <w:r>
        <w:rPr>
          <w:rFonts w:hint="eastAsia"/>
        </w:rPr>
        <w:t>公里，打造一条贯穿兴安盟北部的自驾游线。</w:t>
      </w:r>
      <w:r>
        <w:rPr>
          <w:rFonts w:hint="eastAsia"/>
          <w:bCs/>
        </w:rPr>
        <w:t>近期重点启动兴安北线黄金游线的线路升级工作，</w:t>
      </w:r>
      <w:r>
        <w:rPr>
          <w:rFonts w:hint="eastAsia"/>
        </w:rPr>
        <w:t>完成阿尔山至扎旗旅游线路（</w:t>
      </w:r>
      <w:r>
        <w:t>S309-X430-S308</w:t>
      </w:r>
      <w:r>
        <w:rPr>
          <w:rFonts w:hint="eastAsia"/>
        </w:rPr>
        <w:t>、景星阿扎旅游公路（扎赉特旗段）道路建设和沿线产品的提升和建设。</w:t>
      </w:r>
    </w:p>
    <w:p>
      <w:pPr>
        <w:ind w:firstLine="482"/>
        <w:rPr>
          <w:b/>
          <w:bCs/>
        </w:rPr>
      </w:pPr>
      <w:r>
        <w:rPr>
          <w:b/>
          <w:bCs/>
        </w:rPr>
        <w:t>2</w:t>
      </w:r>
      <w:r>
        <w:rPr>
          <w:rFonts w:hint="eastAsia"/>
          <w:b/>
          <w:bCs/>
        </w:rPr>
        <w:t>、线路主要产品</w:t>
      </w:r>
    </w:p>
    <w:p>
      <w:pPr>
        <w:ind w:firstLine="482"/>
      </w:pPr>
      <w:r>
        <w:rPr>
          <w:rFonts w:hint="eastAsia"/>
          <w:b/>
          <w:bCs/>
        </w:rPr>
        <w:t>巴彦塔拉·秘境河谷生态文化旅游区：</w:t>
      </w:r>
      <w:r>
        <w:rPr>
          <w:rFonts w:hint="eastAsia"/>
        </w:rPr>
        <w:t>依托当地传统农业资源、峡谷湿地景观环境，传承大兴安岭人文民俗风情，彰显在地原真美食味道、农牧渔业交融、和乐宜居的乡土烟火气，开发高品质乡村休闲度假服务产品体系，引爆和撬动当地旅游经济发展。近期极致景观、河谷露营等吸引近程自驾休闲客群，制造流量；吸引中远程客群向往而来，转化留量。</w:t>
      </w:r>
    </w:p>
    <w:p>
      <w:pPr>
        <w:ind w:firstLine="482"/>
      </w:pPr>
      <w:r>
        <w:rPr>
          <w:rFonts w:hint="eastAsia"/>
          <w:b/>
          <w:bCs/>
        </w:rPr>
        <w:t>大兴安岭秘境山乡旅游区：</w:t>
      </w:r>
      <w:r>
        <w:rPr>
          <w:rFonts w:hint="eastAsia"/>
        </w:rPr>
        <w:t>针对神山生态保护限制，在山内不做大规模开发，保持原始环境，以徒步线路串联景点资源。推进山下乡村旅游开发，做足旅游氛围，完善旅游配套。以神山的开发带动周边乡村的旅游发展，推动乡村振兴。针对文化表达的问题，联合当地村民，推进“扎赉特美文化旅游使者”计划，由当地村民带领，深入体验当地文化，聆听当地故事，享受当地生活。</w:t>
      </w:r>
    </w:p>
    <w:p>
      <w:pPr>
        <w:ind w:firstLine="482"/>
      </w:pPr>
      <w:r>
        <w:rPr>
          <w:rFonts w:hint="eastAsia"/>
          <w:b/>
          <w:bCs/>
        </w:rPr>
        <w:t>文得根国家级水利风景区：</w:t>
      </w:r>
      <w:r>
        <w:rPr>
          <w:rFonts w:hint="eastAsia"/>
        </w:rPr>
        <w:t>抓住水利发展机遇，以打造国家水利风景区为发展目标，大力推进文得根水库旅游发展。近期优先推进“超级大坝”，布局环湖营地体系、打造</w:t>
      </w:r>
      <w:r>
        <w:rPr>
          <w:rFonts w:hint="eastAsia"/>
          <w:bCs/>
        </w:rPr>
        <w:t>旅游环湖公路</w:t>
      </w:r>
      <w:r>
        <w:rPr>
          <w:rFonts w:hint="eastAsia"/>
        </w:rPr>
        <w:t>。中远期招商引资，引进水上运动、度假酒店等业态，打造“治水兴水”迭代升级。</w:t>
      </w:r>
    </w:p>
    <w:p>
      <w:pPr>
        <w:ind w:firstLine="482"/>
      </w:pPr>
      <w:r>
        <w:rPr>
          <w:rFonts w:hint="eastAsia"/>
          <w:b/>
          <w:bCs/>
        </w:rPr>
        <w:t>好力保稻谷景区：</w:t>
      </w:r>
      <w:r>
        <w:rPr>
          <w:rFonts w:hint="eastAsia"/>
        </w:rPr>
        <w:t>因地制宜地合理发展旅游体验项目，以农业产业为基础，以稻产业体验为核心，以水稻历史、水稻科技、游乐、美食、文创为主题，丰富和完善区域旅游要素。</w:t>
      </w:r>
    </w:p>
    <w:p>
      <w:pPr>
        <w:ind w:firstLine="482"/>
        <w:rPr>
          <w:b/>
          <w:bCs/>
        </w:rPr>
      </w:pPr>
      <w:r>
        <w:rPr>
          <w:rFonts w:hint="eastAsia"/>
          <w:b/>
          <w:bCs/>
        </w:rPr>
        <w:t>3、线路其他产品</w:t>
      </w:r>
    </w:p>
    <w:p>
      <w:pPr>
        <w:ind w:firstLine="480"/>
      </w:pPr>
      <w:r>
        <w:rPr>
          <w:rFonts w:hint="eastAsia"/>
        </w:rPr>
        <w:t>扎赉特旗旅游集散中心（音德尔镇）、音德尔镇网红休闲街区、旅游驿站、营地建设、旅游公路提升工程、图牧吉-百灵湖生态旅游示范区、多兰湖城市休闲公园、杏花山乡村旅游区、新林北方药谷康养小镇、绰勒水库生态旅游景区。</w:t>
      </w:r>
    </w:p>
    <w:p>
      <w:pPr>
        <w:ind w:firstLine="482"/>
        <w:rPr>
          <w:b/>
          <w:bCs/>
        </w:rPr>
      </w:pPr>
      <w:r>
        <w:rPr>
          <w:rFonts w:hint="eastAsia"/>
          <w:b/>
          <w:bCs/>
        </w:rPr>
        <w:t>（三）兴安南线</w:t>
      </w:r>
    </w:p>
    <w:p>
      <w:pPr>
        <w:ind w:firstLine="482"/>
        <w:rPr>
          <w:b/>
          <w:bCs/>
        </w:rPr>
      </w:pPr>
      <w:r>
        <w:rPr>
          <w:rFonts w:hint="eastAsia"/>
          <w:b/>
          <w:bCs/>
        </w:rPr>
        <w:t>1、线路依托</w:t>
      </w:r>
    </w:p>
    <w:p>
      <w:pPr>
        <w:ind w:firstLine="480"/>
      </w:pPr>
      <w:r>
        <w:rPr>
          <w:rFonts w:hint="eastAsia"/>
        </w:rPr>
        <w:t>依托巴乌线、G334、G207、S309、S105等道路，自南向北依次途径科尔沁右翼中旗、突泉县，由此联动科右前旗乌兰毛都草原、野狼谷等景区，抵达阿尔山，全长约6</w:t>
      </w:r>
      <w:r>
        <w:t>70</w:t>
      </w:r>
      <w:r>
        <w:rPr>
          <w:rFonts w:hint="eastAsia"/>
        </w:rPr>
        <w:t>公里，打造一条贯穿兴安盟南部的自驾游线。近期重点启动兴安南线黄金线路（巴乌线</w:t>
      </w:r>
      <w:r>
        <w:t>-S309-G302</w:t>
      </w:r>
      <w:r>
        <w:rPr>
          <w:rFonts w:hint="eastAsia"/>
        </w:rPr>
        <w:t>）的升级、驿站节点与景观平台的建设工作以及沿线项目的提升工作，中远期逐步完成其他旅游风景道（G</w:t>
      </w:r>
      <w:r>
        <w:t>334-G207-X402-X412-X413-G302</w:t>
      </w:r>
      <w:r>
        <w:rPr>
          <w:rFonts w:hint="eastAsia"/>
        </w:rPr>
        <w:t>）的打造，完善游览体验。</w:t>
      </w:r>
    </w:p>
    <w:p>
      <w:pPr>
        <w:ind w:firstLine="482"/>
        <w:rPr>
          <w:b/>
          <w:bCs/>
        </w:rPr>
      </w:pPr>
      <w:r>
        <w:rPr>
          <w:b/>
          <w:bCs/>
        </w:rPr>
        <w:t>2</w:t>
      </w:r>
      <w:r>
        <w:rPr>
          <w:rFonts w:hint="eastAsia"/>
          <w:b/>
          <w:bCs/>
        </w:rPr>
        <w:t>、线路主要产品</w:t>
      </w:r>
    </w:p>
    <w:p>
      <w:pPr>
        <w:ind w:firstLine="482"/>
        <w:rPr>
          <w:b/>
          <w:bCs/>
        </w:rPr>
      </w:pPr>
      <w:r>
        <w:rPr>
          <w:rFonts w:hint="eastAsia"/>
          <w:b/>
          <w:bCs/>
        </w:rPr>
        <w:t>科右中旗一区两线，塑造中旗“中国美拍第一旗”旅游发展新方向。</w:t>
      </w:r>
      <w:r>
        <w:rPr>
          <w:rFonts w:hint="eastAsia"/>
          <w:bCs/>
        </w:rPr>
        <w:t>一区为度假美拍集聚区，重点</w:t>
      </w:r>
      <w:r>
        <w:rPr>
          <w:rFonts w:hint="eastAsia"/>
        </w:rPr>
        <w:t>推进五角枫生态旅游景区、翰嘎利湖休闲旅游度假区、图什业图亲王府、中影制作基地、马文化度假公园等重点项目集群化发展，坚持轻建设、强运营原则，以美拍激活客群市场，用极致度假留住游客。</w:t>
      </w:r>
      <w:r>
        <w:rPr>
          <w:rFonts w:hint="eastAsia"/>
          <w:bCs/>
        </w:rPr>
        <w:t>两线重点</w:t>
      </w:r>
      <w:r>
        <w:rPr>
          <w:rFonts w:hint="eastAsia"/>
        </w:rPr>
        <w:t>依托旅游公路和特色资源点，挖掘最美观景点，增设美拍打卡点、观景平台等设施，形成美拍北线和南线两条美拍线路。</w:t>
      </w:r>
    </w:p>
    <w:p>
      <w:pPr>
        <w:ind w:firstLine="482"/>
      </w:pPr>
      <w:r>
        <w:rPr>
          <w:rFonts w:hint="eastAsia"/>
          <w:b/>
          <w:bCs/>
        </w:rPr>
        <w:t>蒙格罕山生态旅游景区：</w:t>
      </w:r>
      <w:r>
        <w:rPr>
          <w:rFonts w:hint="eastAsia"/>
        </w:rPr>
        <w:t>立足蒙格罕山鲜卑族圣山、生态养生山两大抓手，结合山下的废弃矿区改造，建设工业酒店、游乐项目、研学项目、停车场、道路及相关配套设施等。打造集文化研学教育、山地运动休闲与一体的蒙格罕山生态旅游景区、文化研学基地、生态研学实践教育基地。</w:t>
      </w:r>
    </w:p>
    <w:p>
      <w:pPr>
        <w:ind w:firstLine="482"/>
      </w:pPr>
      <w:r>
        <w:rPr>
          <w:rFonts w:hint="eastAsia"/>
          <w:b/>
          <w:bCs/>
        </w:rPr>
        <w:t>“两湖一山”度假组团：</w:t>
      </w:r>
      <w:r>
        <w:rPr>
          <w:rFonts w:hint="eastAsia"/>
        </w:rPr>
        <w:t>整合宝石湖、明星湖、老头山及周边资源，挖掘当地文化，差异化突出“两湖一山”的亮点，同时聚集沿线与周边重点发展项目，以“两湖一山”为驱动，带动周边项目共同发展，形成突泉旅游特色品牌整体联动式发展，共筑两湖一山的山水示范标杆，打造国家乡村振兴示范标杆、产旅互融的全域品质旅游目的地。</w:t>
      </w:r>
    </w:p>
    <w:p>
      <w:pPr>
        <w:ind w:firstLine="482"/>
        <w:rPr>
          <w:b/>
          <w:bCs/>
        </w:rPr>
      </w:pPr>
      <w:r>
        <w:rPr>
          <w:rFonts w:hint="eastAsia"/>
          <w:b/>
          <w:bCs/>
        </w:rPr>
        <w:t>3、线路其他产品</w:t>
      </w:r>
    </w:p>
    <w:p>
      <w:pPr>
        <w:ind w:firstLine="480"/>
      </w:pPr>
      <w:r>
        <w:rPr>
          <w:rFonts w:hint="eastAsia"/>
        </w:rPr>
        <w:t>科右中旗旅游集散中心项目、突泉县旅游集散中心项目、旅游公路提升工程、旅游驿站、营地建设、苏雅乐文化产业园、西日道卜水美乡村旅游项目、巴彦敖包乡村旅游度假村、乌兰河山地草原景区、赛银花农业生态示范园区、曙光现代农业循环经济园区、突泉温泉滑雪场、南湖生态自驾露营地、杜西沟生态休闲度假区、额木特河滨河公园、金柱家庭农场、浆果文化产业园、合发牛奶草莓特色村。</w:t>
      </w:r>
    </w:p>
    <w:p>
      <w:pPr>
        <w:pStyle w:val="4"/>
        <w:ind w:firstLine="482"/>
      </w:pPr>
      <w:r>
        <w:rPr>
          <w:rFonts w:hint="eastAsia"/>
        </w:rPr>
        <w:t>四、路游服务系统</w:t>
      </w:r>
    </w:p>
    <w:p>
      <w:pPr>
        <w:ind w:firstLine="480"/>
      </w:pPr>
      <w:bookmarkStart w:id="86" w:name="_Hlk131517653"/>
      <w:r>
        <w:rPr>
          <w:rFonts w:hint="eastAsia"/>
        </w:rPr>
        <w:t>完善路游服务配套，丰富集散、营地、驿站等交通线路沿线的服务业态供给，明确营地、驿站的特色和建设要求，交通服务型、集散服务型、景区共生型、乡村依托型四大类营地协同发展。重点打造6大集散中心、31个驿站、12个营地，构建综合服务系统、营地配套系统及景观驿站系统，为游客提供高品质、全方位的自驾游服务。其中，已建营地驿站15处、在建营地驿站8处；2023年规划建设营地驿站12处、2024-2025规划建设营地驿站5处、2026规划建设营地驿站3处。</w:t>
      </w:r>
    </w:p>
    <w:bookmarkEnd w:id="86"/>
    <w:p>
      <w:pPr>
        <w:pStyle w:val="4"/>
        <w:ind w:firstLine="482"/>
      </w:pPr>
      <w:r>
        <w:rPr>
          <w:rFonts w:hint="eastAsia"/>
        </w:rPr>
        <w:t>五、最美打卡路段</w:t>
      </w:r>
    </w:p>
    <w:p>
      <w:pPr>
        <w:ind w:firstLine="480"/>
      </w:pPr>
      <w:bookmarkStart w:id="87" w:name="_Hlk131517662"/>
      <w:r>
        <w:rPr>
          <w:rFonts w:hint="eastAsia"/>
        </w:rPr>
        <w:t>提升路游观景体验，对接自驾观景需求，增设交通设施与游憩服务，提升观景平台功能缺口，增设摄影观景游憩平台，完善沿途交通服务设施，优先打造几字湾、三潭峡、鹿角湾、图布台四大类型观景平台示范点。选取兴安盟十大最美路段，打造最美森林湿地公路、最美杭盖草原公路、最美森林草原公路、最美湿地水上公路、最美秘境河谷公路、最美湖林旅游公路、最美田园夕阳公路、最美童话小镇公路、最美生态稻田公路及最美高山草原公路。</w:t>
      </w:r>
    </w:p>
    <w:bookmarkEnd w:id="87"/>
    <w:p>
      <w:pPr>
        <w:pStyle w:val="3"/>
        <w:numPr>
          <w:ilvl w:val="0"/>
          <w:numId w:val="1"/>
        </w:numPr>
      </w:pPr>
      <w:bookmarkStart w:id="88" w:name="_Toc141454162"/>
      <w:r>
        <w:rPr>
          <w:rFonts w:hint="eastAsia"/>
        </w:rPr>
        <w:t>精品游线</w:t>
      </w:r>
      <w:bookmarkEnd w:id="88"/>
    </w:p>
    <w:p>
      <w:pPr>
        <w:pStyle w:val="4"/>
        <w:ind w:firstLine="482"/>
      </w:pPr>
      <w:r>
        <w:rPr>
          <w:rFonts w:hint="eastAsia"/>
        </w:rPr>
        <w:t>一、多日游精品旅游线路</w:t>
      </w:r>
    </w:p>
    <w:p>
      <w:pPr>
        <w:ind w:firstLine="482"/>
      </w:pPr>
      <w:r>
        <w:rPr>
          <w:rFonts w:hint="eastAsia"/>
          <w:b/>
          <w:bCs/>
        </w:rPr>
        <w:t>兴安盟近郊景点三日游线路1：</w:t>
      </w:r>
      <w:r>
        <w:rPr>
          <w:rFonts w:hint="eastAsia"/>
        </w:rPr>
        <w:t>天骄天骏生态旅游度假区-罕山生态文化园-图木吉-百灵湖生态旅游示范区-大兴安岭秘境山乡旅游区-察尔森水库、锡伯山、开心大米营地-图布台草原自然公园-老头山自然保护区-老头山森养田园综合体-宝石湖旅游风景区-杜西沟休闲度假区-图什业图亲王府/中影制作基地-明星湖旅游度假区。</w:t>
      </w:r>
    </w:p>
    <w:p>
      <w:pPr>
        <w:ind w:firstLine="482"/>
      </w:pPr>
      <w:r>
        <w:rPr>
          <w:rFonts w:hint="eastAsia"/>
          <w:b/>
          <w:bCs/>
        </w:rPr>
        <w:t>兴安盟近郊景点三日游线路2：</w:t>
      </w:r>
      <w:r>
        <w:rPr>
          <w:rFonts w:hint="eastAsia"/>
        </w:rPr>
        <w:t>洮儿河湿地风光景区-罕山生态文化园-绰勒生态旅游景区-大兴安岭秘境山乡旅游区-文得根国家级水利风景区-巴彦塔拉·秘境河谷生态文化旅游区-阿尔山国家森林公园-阿尔山-阿尔山口岸-鹿角湾温泉度假营地-乌兰毛都草原-宝石湖旅游风景区-五角枫生态旅游景区-图什业图亲王府/中影制作基地-翰嘎利湖休闲旅游度假区。</w:t>
      </w:r>
    </w:p>
    <w:p>
      <w:pPr>
        <w:ind w:firstLine="482"/>
        <w:rPr>
          <w:b/>
          <w:bCs/>
        </w:rPr>
      </w:pPr>
      <w:r>
        <w:rPr>
          <w:rFonts w:hint="eastAsia"/>
          <w:b/>
          <w:bCs/>
        </w:rPr>
        <w:t>兴安盟近郊景点三日游线路3：</w:t>
      </w:r>
      <w:r>
        <w:rPr>
          <w:rFonts w:hint="eastAsia"/>
        </w:rPr>
        <w:t>洮儿河湿地风光景区-明星湖旅游度假区-五角枫生态旅游景区-图什业图亲王府/中影制作基地--翰嘎利湖休闲旅游度假区-蒙格罕山生态旅游景区-巴彦敖包乡村旅游度假村-</w:t>
      </w:r>
      <w:r>
        <w:rPr>
          <w:rFonts w:hint="eastAsia"/>
          <w:bCs/>
        </w:rPr>
        <w:t>乌兰河山地草原景区-乌兰毛都草原-图布台草原自然公园-满族屯满族乡</w:t>
      </w:r>
      <w:r>
        <w:rPr>
          <w:rFonts w:hint="eastAsia"/>
        </w:rPr>
        <w:t>。</w:t>
      </w:r>
    </w:p>
    <w:p>
      <w:pPr>
        <w:ind w:firstLine="482"/>
      </w:pPr>
      <w:r>
        <w:rPr>
          <w:rFonts w:hint="eastAsia"/>
          <w:b/>
          <w:bCs/>
        </w:rPr>
        <w:t>兴安盟深度体验五日游线路1：</w:t>
      </w:r>
      <w:r>
        <w:rPr>
          <w:rFonts w:hint="eastAsia"/>
        </w:rPr>
        <w:t>前街步行街-城中草原-内蒙古党委旧址-洮儿河湿地风光景区-三合民俗风情步行街-天骄天骏生态旅游度假区-大兴安岭秘境山乡旅游区-巴彦塔拉·秘境河谷生态文化旅游区-金江沟温泉度假酒店-阿尔山森林公园-阿尔山市旅游小火车线路-阿尔山-鹿角湾温泉度假营地-阿尔山健康谷-阿尔山市口岸景区。</w:t>
      </w:r>
    </w:p>
    <w:p>
      <w:pPr>
        <w:ind w:firstLine="482"/>
      </w:pPr>
      <w:r>
        <w:rPr>
          <w:rFonts w:hint="eastAsia"/>
          <w:b/>
          <w:bCs/>
        </w:rPr>
        <w:t>兴安盟深度体验五日游线路2：</w:t>
      </w:r>
      <w:r>
        <w:rPr>
          <w:rFonts w:hint="eastAsia"/>
        </w:rPr>
        <w:t>前街步行街-城中草原-罕山生态文化园-察尔森水库、锡伯山、开心大米营地-图布台草原自然公园-乌兰毛都草原旅游度假区-野狼谷-奥伦布坎旅游景区-白狼林俗小镇-鹿角湾温泉度假营地-阿尔山市旅游小火车线路-阿尔山森林公园-金江沟温泉度假酒店-阿尔山市口岸景区。</w:t>
      </w:r>
    </w:p>
    <w:p>
      <w:pPr>
        <w:ind w:firstLine="482"/>
      </w:pPr>
      <w:r>
        <w:rPr>
          <w:rFonts w:hint="eastAsia"/>
          <w:b/>
          <w:bCs/>
        </w:rPr>
        <w:t>兴安盟深度体验七日游：</w:t>
      </w:r>
      <w:r>
        <w:rPr>
          <w:rFonts w:hint="eastAsia"/>
        </w:rPr>
        <w:t>城中草原-啤酒夜经济网红打卡地-罕山生态文化园-三合民俗风情步行街-明星湖旅游度假区-五角枫生态旅游景区-翰嘎利湖休闲旅游度假区-老头山自然保护区-老头山森养田园综合体-乌兰毛都草原风情小镇-乌兰毛都草原旅游度假区-野狼谷-奥伦布坎旅游景区-白狼林俗小镇-阿尔山-鹿角湾温泉度假营地-阿尔山市旅游小火车线路-阿尔山森林公园-金江沟温泉度假酒店-巴彦塔拉·秘境河谷生态文化旅游区-大兴安岭秘境山乡旅游区-图牧吉-百灵湖生态旅游示范区-察尔森水库、锡伯山、开心大米营地。</w:t>
      </w:r>
    </w:p>
    <w:p>
      <w:pPr>
        <w:pStyle w:val="4"/>
        <w:ind w:firstLine="482"/>
      </w:pPr>
      <w:r>
        <w:rPr>
          <w:rFonts w:hint="eastAsia"/>
        </w:rPr>
        <w:t>二、全域主题旅游线路</w:t>
      </w:r>
    </w:p>
    <w:p>
      <w:pPr>
        <w:ind w:firstLine="482"/>
      </w:pPr>
      <w:r>
        <w:rPr>
          <w:rFonts w:hint="eastAsia"/>
          <w:b/>
          <w:bCs/>
        </w:rPr>
        <w:t>兴安盟全域精品游线：</w:t>
      </w:r>
      <w:r>
        <w:rPr>
          <w:rFonts w:hint="eastAsia"/>
        </w:rPr>
        <w:t>罕山生态文化园-天骄天骏生态旅游度假区-察尔森水库、锡伯山、开心大米营地-图牧吉-百灵湖生态旅游示范区-好力保·稻谷景区-大兴安岭秘境山乡旅游区-文得根国家级水利风景区-巴彦塔拉·秘境河谷生态旅游区-阿尔山国家森林公园-奥伦布坎森林旅游度假区-乌兰毛都草原旅游度假区-老头山森养田园综合体-宝石湖旅游风景区-明星湖旅游度假区-五角枫生态旅游景区-翰嘎利湖休闲旅游度假区。</w:t>
      </w:r>
    </w:p>
    <w:p>
      <w:pPr>
        <w:ind w:firstLine="482"/>
      </w:pPr>
      <w:r>
        <w:rPr>
          <w:rFonts w:hint="eastAsia"/>
          <w:b/>
          <w:bCs/>
        </w:rPr>
        <w:t>全域生态风情观光游线：</w:t>
      </w:r>
      <w:r>
        <w:rPr>
          <w:rFonts w:hint="eastAsia" w:ascii="仿宋" w:hAnsi="仿宋"/>
        </w:rPr>
        <w:t>葛根庙旅游驿站-洮儿河国家湿地公园-天骄天骏驿站-察尔森旅游驿站-秘境山乡驿站-火格营地-门德沟驿站-好森沟森林户外运动基地-金江房车营地-温泉度假营地-白狼旅游驿站-乌兰毛都草原驿站-乌兰毛都草原羊旅游驿站-宝石湖营地-明星湖乡村田园驿站-五角枫枫林营地-翰嘎利湖野奢营地。</w:t>
      </w:r>
    </w:p>
    <w:p>
      <w:pPr>
        <w:ind w:firstLine="482"/>
      </w:pPr>
      <w:r>
        <w:rPr>
          <w:rFonts w:hint="eastAsia"/>
          <w:b/>
          <w:bCs/>
        </w:rPr>
        <w:t>动感冰雪温泉康养游线：</w:t>
      </w:r>
      <w:r>
        <w:rPr>
          <w:rFonts w:hint="eastAsia"/>
        </w:rPr>
        <w:t>乌兰浩特室内滑雪场（大黑山）-恩歌山滑雪场-雪村滑雪场-察尔森水库-绰勒水库冰雪那达慕-好森沟国家森林公园-太平岭滑雪度假区-金江沟温泉度假区-阿尔山雪地摩托英雄会-阿尔山健康谷-阿尔山西山滑雪场-鹿角湾温泉度假营地-白狼峰滑雪场-三广山滑雪场-乌兰毛都滑雪场-突泉温泉滑雪场-五角枫生态旅游景区-翰嘎利湖休闲旅游度假区。</w:t>
      </w:r>
    </w:p>
    <w:p>
      <w:pPr>
        <w:ind w:firstLine="482"/>
      </w:pPr>
      <w:r>
        <w:rPr>
          <w:rFonts w:hint="eastAsia"/>
          <w:b/>
          <w:bCs/>
        </w:rPr>
        <w:t>民族文化深度体验游线：</w:t>
      </w:r>
      <w:r>
        <w:rPr>
          <w:rFonts w:hint="eastAsia"/>
        </w:rPr>
        <w:t>红色马镇——葛根庙-罕山生态文化园-大兴安岭秘境山乡旅游区-白狼林俗旅游小镇-满族屯旅游小镇-乌兰毛都镇-宝石湖旅游风景区-图什业图亲王府、中影制作基地-马文化度假公园。</w:t>
      </w:r>
    </w:p>
    <w:p>
      <w:pPr>
        <w:ind w:firstLine="482"/>
      </w:pPr>
      <w:r>
        <w:rPr>
          <w:rFonts w:hint="eastAsia"/>
          <w:b/>
          <w:bCs/>
        </w:rPr>
        <w:t>最美草原逍遥自驾游线：</w:t>
      </w:r>
      <w:r>
        <w:rPr>
          <w:rFonts w:hint="eastAsia"/>
        </w:rPr>
        <w:t>乌兰浩特旅游综合服务中心-察尔森水库、锡伯山、开心大米营地-兴安蒙古包-黑羊山景区-满族屯满族乡-乌兰毛都镇-乌兰毛都草原风景区-草原宿集-野狼谷-白狼镇林俗村-海神温泉-阿尔山游客集散中心。</w:t>
      </w:r>
    </w:p>
    <w:p>
      <w:pPr>
        <w:ind w:firstLine="482"/>
      </w:pPr>
      <w:r>
        <w:rPr>
          <w:rFonts w:hint="eastAsia"/>
          <w:b/>
          <w:bCs/>
        </w:rPr>
        <w:t>穿越绿野最美火车游线：</w:t>
      </w:r>
      <w:r>
        <w:rPr>
          <w:rFonts w:hint="eastAsia"/>
        </w:rPr>
        <w:t>罕山生态文化园-察尔森水库-索伦旅游小镇-明水河旅游小镇-白狼林俗旅游小镇-海神温泉-阿尔山健康谷-阿尔山国家森林公园。</w:t>
      </w:r>
    </w:p>
    <w:p>
      <w:pPr>
        <w:pStyle w:val="4"/>
        <w:ind w:firstLine="482"/>
      </w:pPr>
      <w:r>
        <w:rPr>
          <w:rFonts w:hint="eastAsia"/>
        </w:rPr>
        <w:t>三、区域合作精品游线</w:t>
      </w:r>
    </w:p>
    <w:p>
      <w:pPr>
        <w:ind w:firstLine="480"/>
      </w:pPr>
      <w:r>
        <w:rPr>
          <w:rFonts w:hint="eastAsia"/>
        </w:rPr>
        <w:t>拓展东北三省和内蒙古东部盟市主客源市场，主动融入区域重点旅游环线中，推出冰雪森林康养旅游线路、边境打卡观光旅游线路、蒙东草原穿越自驾线路、东北一家亲跨省旅游线路、京津冀北上自驾线路等区域游线。</w:t>
      </w:r>
    </w:p>
    <w:p>
      <w:pPr>
        <w:pStyle w:val="4"/>
        <w:ind w:firstLine="482"/>
      </w:pPr>
      <w:r>
        <w:rPr>
          <w:rFonts w:hint="eastAsia"/>
        </w:rPr>
        <w:t>四、四季畅游线路</w:t>
      </w:r>
    </w:p>
    <w:p>
      <w:pPr>
        <w:ind w:firstLine="480"/>
      </w:pPr>
      <w:r>
        <w:rPr>
          <w:rFonts w:hint="eastAsia"/>
        </w:rPr>
        <w:t>围绕春花、夏月、秋枫、冬雪主题，优化游览线路，高品质打造全域“枫花雪月”全季旅游游线，向游客推出季节特色分明的游览线路，打造四季皆有所游的全域旅游氛围。</w:t>
      </w:r>
    </w:p>
    <w:p>
      <w:pPr>
        <w:ind w:firstLine="482"/>
      </w:pPr>
      <w:r>
        <w:rPr>
          <w:rFonts w:hint="eastAsia"/>
          <w:b/>
          <w:bCs/>
        </w:rPr>
        <w:t>春季游览线路：</w:t>
      </w:r>
      <w:r>
        <w:rPr>
          <w:rFonts w:hint="eastAsia"/>
        </w:rPr>
        <w:t>图木吉-百灵湖观大鸨-博格达乌拉森林徒步-巴彦塔拉百花洲岛-好森沟国家森林公园-阿尔山国家森林公园-白狼峰景区-西口村赏花-杜西沟休闲度假区赏花-五角枫生态旅游景区赏花。</w:t>
      </w:r>
    </w:p>
    <w:p>
      <w:pPr>
        <w:ind w:firstLine="482"/>
      </w:pPr>
      <w:r>
        <w:rPr>
          <w:rFonts w:hint="eastAsia"/>
          <w:b/>
          <w:bCs/>
        </w:rPr>
        <w:t>夏季游览线路：</w:t>
      </w:r>
      <w:r>
        <w:rPr>
          <w:rFonts w:hint="eastAsia"/>
        </w:rPr>
        <w:t>文得根国家级水利风景区-巴彦塔拉岩壁漂流-好森沟国家森林公园-阿尔山国家森林公园-乌兰毛都草原那达慕-老头山森养田园综合体-天骄天骏生态旅游度假区-神骏湾旅游度假区-啤酒夜经济网红打卡地。</w:t>
      </w:r>
    </w:p>
    <w:p>
      <w:pPr>
        <w:ind w:firstLine="482"/>
      </w:pPr>
      <w:r>
        <w:rPr>
          <w:rFonts w:hint="eastAsia"/>
          <w:b/>
          <w:bCs/>
        </w:rPr>
        <w:t>秋季游览线路：</w:t>
      </w:r>
      <w:r>
        <w:rPr>
          <w:rFonts w:hint="eastAsia"/>
        </w:rPr>
        <w:t>阿尔山国家森林公园-奥伦布坎旅游景区-五角枫生态旅游景区赏枫-赛银花现代农业园-明星湖旅游度假区-番茄公社迷你田园综合体-洮儿河湿地风光景区-察尔森水库、锡伯山、开心大米营地-好力保·稻谷景区。</w:t>
      </w:r>
    </w:p>
    <w:p>
      <w:pPr>
        <w:ind w:firstLine="482"/>
      </w:pPr>
      <w:r>
        <w:rPr>
          <w:rFonts w:hint="eastAsia"/>
          <w:b/>
          <w:bCs/>
        </w:rPr>
        <w:t>冬季游览线路：</w:t>
      </w:r>
      <w:r>
        <w:rPr>
          <w:rFonts w:hint="eastAsia"/>
        </w:rPr>
        <w:t>太平岭滑雪度假区-金江沟温泉度假区-阿尔山雪地摩托英雄会-阿尔山冰雪运动中心-太伟温泉度假酒店-鹿角湾温泉度假营地-白狼峰雾凇-突泉温泉滑雪场-乌兰浩特室内滑雪场。</w:t>
      </w:r>
    </w:p>
    <w:p>
      <w:pPr>
        <w:ind w:firstLine="480"/>
      </w:pPr>
    </w:p>
    <w:bookmarkEnd w:id="84"/>
    <w:p>
      <w:pPr>
        <w:widowControl/>
        <w:spacing w:line="240" w:lineRule="auto"/>
        <w:ind w:firstLine="0" w:firstLineChars="0"/>
        <w:jc w:val="left"/>
        <w:rPr>
          <w:rFonts w:eastAsia="黑体"/>
          <w:b/>
          <w:bCs/>
          <w:kern w:val="44"/>
          <w:sz w:val="30"/>
          <w:szCs w:val="44"/>
        </w:rPr>
      </w:pPr>
      <w:bookmarkStart w:id="89" w:name="_Toc45295846"/>
      <w:r>
        <w:br w:type="page"/>
      </w:r>
    </w:p>
    <w:p>
      <w:pPr>
        <w:pStyle w:val="2"/>
        <w:jc w:val="center"/>
      </w:pPr>
      <w:bookmarkStart w:id="90" w:name="_Toc118461632"/>
      <w:bookmarkStart w:id="91" w:name="_Toc141454163"/>
      <w:r>
        <w:rPr>
          <w:rFonts w:hint="eastAsia"/>
        </w:rPr>
        <w:t>第八章</w:t>
      </w:r>
      <w:bookmarkEnd w:id="90"/>
      <w:r>
        <w:rPr>
          <w:rFonts w:hint="eastAsia"/>
        </w:rPr>
        <w:t xml:space="preserve"> 旗县特色发展引导</w:t>
      </w:r>
      <w:bookmarkEnd w:id="91"/>
    </w:p>
    <w:p>
      <w:pPr>
        <w:pStyle w:val="3"/>
        <w:numPr>
          <w:ilvl w:val="0"/>
          <w:numId w:val="1"/>
        </w:numPr>
      </w:pPr>
      <w:bookmarkStart w:id="92" w:name="_Toc141454164"/>
      <w:bookmarkStart w:id="93" w:name="_Toc118461633"/>
      <w:r>
        <w:rPr>
          <w:rFonts w:hint="eastAsia"/>
        </w:rPr>
        <w:t>乌兰浩特市</w:t>
      </w:r>
      <w:bookmarkEnd w:id="92"/>
      <w:bookmarkEnd w:id="93"/>
    </w:p>
    <w:p>
      <w:pPr>
        <w:pStyle w:val="4"/>
        <w:ind w:firstLine="482"/>
      </w:pPr>
      <w:r>
        <w:rPr>
          <w:rFonts w:hint="eastAsia"/>
        </w:rPr>
        <w:t>一、发展定位</w:t>
      </w:r>
    </w:p>
    <w:p>
      <w:pPr>
        <w:ind w:firstLine="480"/>
        <w:rPr>
          <w:bCs/>
        </w:rPr>
      </w:pPr>
      <w:r>
        <w:rPr>
          <w:rFonts w:hint="eastAsia"/>
          <w:bCs/>
        </w:rPr>
        <w:t>全域旅游城市会客厅、世界级生态旅游草原会客厅、草原生态田园城市、乌阿海满草原旅游第一站、中国红色文化名城、夜游经济示范市、国家文旅融合产业发展示范区。</w:t>
      </w:r>
    </w:p>
    <w:p>
      <w:pPr>
        <w:pStyle w:val="4"/>
        <w:ind w:firstLine="482"/>
      </w:pPr>
      <w:r>
        <w:rPr>
          <w:rFonts w:hint="eastAsia"/>
        </w:rPr>
        <w:t>二、发展举措</w:t>
      </w:r>
    </w:p>
    <w:p>
      <w:pPr>
        <w:ind w:firstLine="482"/>
      </w:pPr>
      <w:r>
        <w:rPr>
          <w:rFonts w:hint="eastAsia"/>
          <w:b/>
        </w:rPr>
        <w:t>提升综合服务配套：</w:t>
      </w:r>
      <w:r>
        <w:rPr>
          <w:rFonts w:hint="eastAsia"/>
        </w:rPr>
        <w:t>景城融合，4A景区城共建，重点打造“乌阿海满”草原旅游第一站。积极与航空公司对接，完善航线奖补政策；在前街步行街打造全盟的非遗文化中心，加快推进旅游集散中心建设以及原集散中心及旅游服务体系升级。</w:t>
      </w:r>
    </w:p>
    <w:p>
      <w:pPr>
        <w:ind w:firstLine="482"/>
      </w:pPr>
      <w:r>
        <w:rPr>
          <w:rFonts w:hint="eastAsia"/>
          <w:b/>
        </w:rPr>
        <w:t>增加城市休闲功能：</w:t>
      </w:r>
      <w:r>
        <w:rPr>
          <w:rFonts w:hint="eastAsia"/>
        </w:rPr>
        <w:t>打造一条洮儿河湿地画廊、前街步行街、三合民俗风情步行街、葛根庙镇美食街三个城市特色休闲街区；建设红色马镇——葛根庙，增加城市体验功能；加强城市夜经济的培育，以啤酒美食街为示范，带动五一广场夜市、城南夜市等夜市产品的提升；推进洮儿河湿地画廊夜间景观及休闲消费场所的建设，举办夜间光影秀、美食节、啤酒节等夜间文旅活动；围绕“洮儿河之冰+湿地之雪”做好冬季旅游产品的开发。</w:t>
      </w:r>
    </w:p>
    <w:p>
      <w:pPr>
        <w:ind w:firstLine="482"/>
      </w:pPr>
      <w:r>
        <w:rPr>
          <w:rFonts w:hint="eastAsia"/>
          <w:b/>
        </w:rPr>
        <w:t>传承红色文化记忆：</w:t>
      </w:r>
      <w:r>
        <w:rPr>
          <w:rFonts w:hint="eastAsia"/>
        </w:rPr>
        <w:t>挖掘草原红城文化，开发“一馆十址”红色记忆教育游、“811”葛根庙红色研学体验游2大红色精品旅游产品。</w:t>
      </w:r>
    </w:p>
    <w:p>
      <w:pPr>
        <w:ind w:firstLine="482"/>
      </w:pPr>
      <w:r>
        <w:rPr>
          <w:rFonts w:hint="eastAsia"/>
          <w:b/>
        </w:rPr>
        <w:t>冰雪项目：</w:t>
      </w:r>
      <w:r>
        <w:rPr>
          <w:rFonts w:hint="eastAsia"/>
        </w:rPr>
        <w:t>逐步推进乌兰浩特室内滑雪场（大黑山）、恩歌山滑雪场项目，建设近城主客共享的亲子休闲、冰雪运动新场景。</w:t>
      </w:r>
    </w:p>
    <w:p>
      <w:pPr>
        <w:pStyle w:val="4"/>
        <w:ind w:firstLine="482"/>
      </w:pPr>
      <w:r>
        <w:rPr>
          <w:rFonts w:hint="eastAsia"/>
        </w:rPr>
        <w:t>三、产品内容</w:t>
      </w:r>
    </w:p>
    <w:p>
      <w:pPr>
        <w:ind w:firstLine="480"/>
      </w:pPr>
      <w:r>
        <w:rPr>
          <w:rFonts w:hint="eastAsia"/>
        </w:rPr>
        <w:t>突出城市休闲、城市夜经济特色及城市集散功能，共谋划</w:t>
      </w:r>
      <w:r>
        <w:t>11</w:t>
      </w:r>
      <w:r>
        <w:rPr>
          <w:rFonts w:hint="eastAsia"/>
        </w:rPr>
        <w:t>个项目包，20个子项目，其中包括乌兰浩特旅游综合服务中心、成庙-罕山国家5A级景区、红色马镇——葛根庙3个引擎项目，7个重点项目和10个一般项目。</w:t>
      </w:r>
    </w:p>
    <w:p>
      <w:pPr>
        <w:pStyle w:val="4"/>
        <w:ind w:firstLine="482"/>
      </w:pPr>
      <w:r>
        <w:rPr>
          <w:rFonts w:hint="eastAsia"/>
        </w:rPr>
        <w:t>四、近期重点工作</w:t>
      </w:r>
    </w:p>
    <w:p>
      <w:pPr>
        <w:ind w:firstLine="482"/>
      </w:pPr>
      <w:r>
        <w:rPr>
          <w:rFonts w:hint="eastAsia"/>
          <w:b/>
        </w:rPr>
        <w:t>“草原第一站”集散体系创新升级。</w:t>
      </w:r>
      <w:r>
        <w:rPr>
          <w:rFonts w:hint="eastAsia"/>
        </w:rPr>
        <w:t>乌兰浩特市加快推进旅游集散中心建设，原有旅游集散中心改造升级，结合IP形象的完成，打造成为文创主力店；完善航线奖补政策，积极与航空公司对接，增设与一线旅游城市的对接，与呼伦贝尔、哈尔滨、长春、通辽、锡林浩特、蒙古国等周边六大区域的客源共享机场；支持开通旅游包机、旅游专列和大巴车。</w:t>
      </w:r>
    </w:p>
    <w:p>
      <w:pPr>
        <w:ind w:firstLine="482"/>
      </w:pPr>
      <w:r>
        <w:rPr>
          <w:rFonts w:hint="eastAsia"/>
          <w:b/>
        </w:rPr>
        <w:t>打造草原城市休闲新空间与城市迎客窗口。</w:t>
      </w:r>
      <w:r>
        <w:rPr>
          <w:rFonts w:hint="eastAsia"/>
        </w:rPr>
        <w:t>与城中草原联动，梳理出城市环游线路，沿线串连啤酒街、前街步行街、成吉思汗庙等重要的文化旅游节点，并设置多个网红打卡景观点，打造城市会客厅环游项目，延长游客休闲体验时间，共塑草原城市休闲新空间与城市迎客窗口；建设完成前街步行街，加强产品运营与活动组织，进一步完善前街步行街的业态，打造成为全盟首个国家级夜间文化和旅游消费集聚区。</w:t>
      </w:r>
    </w:p>
    <w:p>
      <w:pPr>
        <w:ind w:firstLine="482"/>
      </w:pPr>
      <w:r>
        <w:rPr>
          <w:rFonts w:hint="eastAsia"/>
          <w:b/>
        </w:rPr>
        <w:t>打造一个洮儿河湿地画廊。</w:t>
      </w:r>
      <w:r>
        <w:rPr>
          <w:rFonts w:hint="eastAsia"/>
        </w:rPr>
        <w:t>建议进行洮儿河湿地画廊设计工作，全面激活沿线空间与项目产品。提升洮儿河湿地景观带风貌，推进环境整治、滨河线路升级、文化景观建设，完成沿线神骏湾特色民宿、兴安稻海公园等项目建设，并围绕“洮儿河之冰+湿地之雪”做好冬季旅游产品的开发。</w:t>
      </w:r>
    </w:p>
    <w:p>
      <w:pPr>
        <w:ind w:firstLine="482"/>
      </w:pPr>
      <w:r>
        <w:rPr>
          <w:rFonts w:hint="eastAsia"/>
          <w:b/>
        </w:rPr>
        <w:t>开发2大红色精品旅游产品，共建草原红城品牌。</w:t>
      </w:r>
      <w:r>
        <w:rPr>
          <w:rFonts w:hint="eastAsia"/>
        </w:rPr>
        <w:t>完成红色旅游线路设计，开发“一馆十址”红色记忆教育游和“811”葛根庙红色研学体验游项目建设与活动组织。</w:t>
      </w:r>
    </w:p>
    <w:p>
      <w:pPr>
        <w:ind w:firstLine="482"/>
      </w:pPr>
      <w:r>
        <w:rPr>
          <w:rFonts w:hint="eastAsia"/>
          <w:b/>
        </w:rPr>
        <w:t>推进系列品牌产品建设：</w:t>
      </w:r>
      <w:r>
        <w:rPr>
          <w:rFonts w:hint="eastAsia"/>
        </w:rPr>
        <w:t>进一步推进红色马镇——葛根庙建设，建设葛根庙庙前特色美食街、民宿及游乐园项目；开展成庙-罕山国家5A级景区的创建工作。</w:t>
      </w:r>
    </w:p>
    <w:p>
      <w:pPr>
        <w:pStyle w:val="4"/>
        <w:ind w:firstLine="482"/>
      </w:pPr>
      <w:r>
        <w:rPr>
          <w:rFonts w:hint="eastAsia"/>
        </w:rPr>
        <w:t>五、近期创建计划</w:t>
      </w:r>
    </w:p>
    <w:p>
      <w:pPr>
        <w:ind w:firstLine="480"/>
      </w:pPr>
      <w:r>
        <w:rPr>
          <w:rFonts w:hint="eastAsia"/>
        </w:rPr>
        <w:t>前街步行街创建国家级夜间文化和旅游消费集聚区和国家级旅游休闲街区；成庙-罕山景区创建成为国家5A级景区、神骏湾田园综合体创建国家4A级景区；洮儿河国家湿地画廊、</w:t>
      </w:r>
      <w:r>
        <w:t>“一馆十址”红色记忆教育游</w:t>
      </w:r>
      <w:r>
        <w:rPr>
          <w:rFonts w:hint="eastAsia"/>
        </w:rPr>
        <w:t>、</w:t>
      </w:r>
      <w:r>
        <w:t>“811”</w:t>
      </w:r>
      <w:r>
        <w:rPr>
          <w:rFonts w:hint="eastAsia"/>
        </w:rPr>
        <w:t>葛根庙红色研学体验游打造成为全国中小学生研学实践教育基地。</w:t>
      </w:r>
    </w:p>
    <w:p>
      <w:pPr>
        <w:pStyle w:val="3"/>
        <w:numPr>
          <w:ilvl w:val="0"/>
          <w:numId w:val="1"/>
        </w:numPr>
      </w:pPr>
      <w:bookmarkStart w:id="94" w:name="_Toc141454165"/>
      <w:bookmarkStart w:id="95" w:name="_Toc118461634"/>
      <w:r>
        <w:rPr>
          <w:rFonts w:hint="eastAsia"/>
        </w:rPr>
        <w:t>阿尔山市</w:t>
      </w:r>
      <w:bookmarkEnd w:id="94"/>
      <w:bookmarkEnd w:id="95"/>
    </w:p>
    <w:p>
      <w:pPr>
        <w:pStyle w:val="4"/>
        <w:ind w:firstLine="482"/>
      </w:pPr>
      <w:r>
        <w:rPr>
          <w:rFonts w:hint="eastAsia"/>
        </w:rPr>
        <w:t>一、发展定位</w:t>
      </w:r>
    </w:p>
    <w:p>
      <w:pPr>
        <w:ind w:firstLine="480"/>
      </w:pPr>
      <w:r>
        <w:rPr>
          <w:rFonts w:hint="eastAsia"/>
        </w:rPr>
        <w:t>阿尔山市成功打造国家级旅游度假区、国际品质、全龄段、四季康养度假生活目的地，创建中俄跨境旅游合作区。</w:t>
      </w:r>
    </w:p>
    <w:p>
      <w:pPr>
        <w:pStyle w:val="4"/>
        <w:ind w:firstLine="482"/>
      </w:pPr>
      <w:r>
        <w:rPr>
          <w:rFonts w:hint="eastAsia"/>
        </w:rPr>
        <w:t>二、发展举措</w:t>
      </w:r>
    </w:p>
    <w:p>
      <w:pPr>
        <w:ind w:firstLine="482"/>
      </w:pPr>
      <w:r>
        <w:rPr>
          <w:rFonts w:hint="eastAsia"/>
          <w:b/>
        </w:rPr>
        <w:t>创建国家品牌：</w:t>
      </w:r>
      <w:r>
        <w:rPr>
          <w:rFonts w:hint="eastAsia"/>
        </w:rPr>
        <w:t>集中力量支持阿尔山旅游产业提质升级，从粗放化大众化旅游向精细化、个性化旅游转变，将阿尔山打造为国家级旅游度假区。</w:t>
      </w:r>
    </w:p>
    <w:p>
      <w:pPr>
        <w:ind w:firstLine="482"/>
      </w:pPr>
      <w:r>
        <w:rPr>
          <w:rFonts w:hint="eastAsia"/>
          <w:b/>
        </w:rPr>
        <w:t>谋划项目集群：</w:t>
      </w:r>
      <w:r>
        <w:rPr>
          <w:rFonts w:hint="eastAsia"/>
        </w:rPr>
        <w:t>紧抓阿尔山“森林、温泉、冰雪”三张牌，通过三个项目集群建设发展，完善阿尔山四季旅游产品体系。</w:t>
      </w:r>
    </w:p>
    <w:p>
      <w:pPr>
        <w:ind w:firstLine="482"/>
      </w:pPr>
      <w:r>
        <w:rPr>
          <w:rFonts w:hint="eastAsia"/>
          <w:b/>
        </w:rPr>
        <w:t>体验四季度假：</w:t>
      </w:r>
      <w:r>
        <w:rPr>
          <w:rFonts w:hint="eastAsia"/>
        </w:rPr>
        <w:t>通过谋划特色旅游体验线路，温泉康养游、冰雪欢乐游、森林小火车线路，将阿尔山打造为国际品质、全龄段、四季康养度假生活目的地。</w:t>
      </w:r>
    </w:p>
    <w:p>
      <w:pPr>
        <w:pStyle w:val="4"/>
        <w:ind w:firstLine="482"/>
      </w:pPr>
      <w:r>
        <w:rPr>
          <w:rFonts w:hint="eastAsia"/>
        </w:rPr>
        <w:t>三、产品内容</w:t>
      </w:r>
    </w:p>
    <w:p>
      <w:pPr>
        <w:ind w:firstLine="480"/>
      </w:pPr>
      <w:r>
        <w:rPr>
          <w:rFonts w:hint="eastAsia"/>
        </w:rPr>
        <w:t>打造代表阿尔山“森林、冰雪、温泉”品牌特色的3</w:t>
      </w:r>
      <w:r>
        <w:t>6</w:t>
      </w:r>
      <w:r>
        <w:rPr>
          <w:rFonts w:hint="eastAsia"/>
        </w:rPr>
        <w:t>个项目包，共计4</w:t>
      </w:r>
      <w:r>
        <w:t>7</w:t>
      </w:r>
      <w:r>
        <w:rPr>
          <w:rFonts w:hint="eastAsia"/>
        </w:rPr>
        <w:t>个子项目，阿尔山太平岭国际滑雪场、鹿角湾温泉度假营地、金江沟温泉度假区、兴安圣泉康养中心、阿尔山国家森林公园提升工程(森林游乐项目植入、天池观光平台与索道建设、石塘林科普猎奇)7个引擎项目、17个重点项目和2</w:t>
      </w:r>
      <w:r>
        <w:t>3</w:t>
      </w:r>
      <w:r>
        <w:rPr>
          <w:rFonts w:hint="eastAsia"/>
        </w:rPr>
        <w:t>个一般项目。</w:t>
      </w:r>
    </w:p>
    <w:p>
      <w:pPr>
        <w:pStyle w:val="4"/>
        <w:ind w:firstLine="482"/>
      </w:pPr>
      <w:r>
        <w:rPr>
          <w:rFonts w:hint="eastAsia"/>
        </w:rPr>
        <w:t>四、近期重点工作</w:t>
      </w:r>
    </w:p>
    <w:p>
      <w:pPr>
        <w:ind w:firstLine="482"/>
      </w:pPr>
      <w:r>
        <w:rPr>
          <w:rFonts w:hint="eastAsia"/>
          <w:b/>
        </w:rPr>
        <w:t>谋划森林主题项目群：</w:t>
      </w:r>
      <w:r>
        <w:rPr>
          <w:rFonts w:hint="eastAsia"/>
        </w:rPr>
        <w:t>加强阿尔山核心吸引物天池的体验感，重点完善阿尔山林下游乐项目，打造氧心森林浴道业态提升项目、森林雪野等森林体验类项目，新增天池索道、观景平台、空中热气球等立体游览设施；策划火山石科普的故事，以创新“地质观景+互动体验”打造趣味体验节点，丰富森林体验，打响阿尔山森林品牌。</w:t>
      </w:r>
    </w:p>
    <w:p>
      <w:pPr>
        <w:ind w:firstLine="482"/>
      </w:pPr>
      <w:r>
        <w:rPr>
          <w:rFonts w:hint="eastAsia"/>
          <w:b/>
        </w:rPr>
        <w:t>谋划温泉主题项目群：</w:t>
      </w:r>
      <w:r>
        <w:rPr>
          <w:rFonts w:hint="eastAsia"/>
        </w:rPr>
        <w:t>打响阿尔山“温泉”牌，优先打造阿尔山南门户第一站鹿角湾温泉度假营地；重点完成兴安圣泉康养中心、阿尔山太伟温泉度假酒店、金江沟温泉度假区、荆花温泉康养小镇项目的建设与运营。</w:t>
      </w:r>
    </w:p>
    <w:p>
      <w:pPr>
        <w:ind w:firstLine="482"/>
      </w:pPr>
      <w:r>
        <w:rPr>
          <w:rFonts w:hint="eastAsia"/>
          <w:b/>
        </w:rPr>
        <w:t>谋划冰雪主题项目群：</w:t>
      </w:r>
      <w:r>
        <w:rPr>
          <w:rFonts w:hint="eastAsia"/>
        </w:rPr>
        <w:t>打造国际冰雪温泉城，构建冰雪产业集群。重点完成阿尔山冰雪运动中心、阿尔山太平岭国际滑雪场、白狼峰滑雪场、三广山滑雪场项目建设与运营；做好阿尔山西山滑雪场、阿尔山太伟滑雪场的提升工作，创建一批国家级、自治区级滑雪旅游度假地；做强冬季旅游体验性产品，升级阿尔山雪村；继续提升冰雪节事，重点打造阿尔山天然雪地越野公园，升级壮大“阿尔山冰雪英雄会”“冰雪英雄穿越之旅”“冰雪那达慕”等项目活动，强化营销、提升品牌感召力，成为常态化、品牌化、区域化、标杆化的冰雪运动赛事。</w:t>
      </w:r>
    </w:p>
    <w:p>
      <w:pPr>
        <w:ind w:firstLine="482"/>
      </w:pPr>
      <w:r>
        <w:rPr>
          <w:rFonts w:hint="eastAsia"/>
          <w:b/>
        </w:rPr>
        <w:t>升级一批特色旅游项目：</w:t>
      </w:r>
      <w:r>
        <w:rPr>
          <w:rFonts w:hint="eastAsia"/>
        </w:rPr>
        <w:t>阿尔山市口岸景区、白狼镇华润希望小镇、热力MALL农创美食公园、鹿村度假公园等项目的提升。</w:t>
      </w:r>
    </w:p>
    <w:p>
      <w:pPr>
        <w:pStyle w:val="4"/>
        <w:ind w:firstLine="482"/>
      </w:pPr>
      <w:r>
        <w:rPr>
          <w:rFonts w:hint="eastAsia"/>
        </w:rPr>
        <w:t>五、近期创建计划</w:t>
      </w:r>
    </w:p>
    <w:p>
      <w:pPr>
        <w:ind w:firstLine="480"/>
      </w:pPr>
      <w:r>
        <w:rPr>
          <w:rFonts w:hint="eastAsia"/>
        </w:rPr>
        <w:t>阿尔山市打造国家级旅游度假区；阿尔山市口岸景区创建成为国家4</w:t>
      </w:r>
      <w:r>
        <w:t>A</w:t>
      </w:r>
      <w:r>
        <w:rPr>
          <w:rFonts w:hint="eastAsia"/>
        </w:rPr>
        <w:t>级景区；阿尔山温泉街打造成为省级旅游休闲街区；创建阿尔山太平岭国际滑雪场、白狼峰滑雪场2处国家级滑雪旅游度假地；创建阿尔山太伟滑雪场1处自治区级滑雪旅游度假地；将太伟东山滑雪场创建成为国家体育旅游示范基地；鹿角湾温泉度假营地申报5C级自驾车旅居车营地；打造哈拉哈河森林时光研学科普园全国中小学生研学实践教育基地；打造阿尔山国家森林公园、白狼峰景区2处全国研学旅行基地（营地）。</w:t>
      </w:r>
    </w:p>
    <w:p>
      <w:pPr>
        <w:pStyle w:val="3"/>
        <w:numPr>
          <w:ilvl w:val="0"/>
          <w:numId w:val="1"/>
        </w:numPr>
      </w:pPr>
      <w:bookmarkStart w:id="96" w:name="_Toc118461635"/>
      <w:bookmarkStart w:id="97" w:name="_Toc141454166"/>
      <w:r>
        <w:rPr>
          <w:rFonts w:hint="eastAsia"/>
        </w:rPr>
        <w:t>科尔沁右翼前旗</w:t>
      </w:r>
      <w:bookmarkEnd w:id="96"/>
      <w:bookmarkEnd w:id="97"/>
    </w:p>
    <w:p>
      <w:pPr>
        <w:pStyle w:val="4"/>
        <w:ind w:firstLine="482"/>
      </w:pPr>
      <w:r>
        <w:rPr>
          <w:rFonts w:hint="eastAsia"/>
        </w:rPr>
        <w:t>一、发展定位</w:t>
      </w:r>
    </w:p>
    <w:p>
      <w:pPr>
        <w:ind w:firstLine="480"/>
      </w:pPr>
      <w:r>
        <w:rPr>
          <w:rFonts w:hint="eastAsia"/>
        </w:rPr>
        <w:t>中国知名草原风情旅居目的地。</w:t>
      </w:r>
    </w:p>
    <w:p>
      <w:pPr>
        <w:pStyle w:val="4"/>
        <w:ind w:firstLine="482"/>
      </w:pPr>
      <w:r>
        <w:rPr>
          <w:rFonts w:hint="eastAsia"/>
        </w:rPr>
        <w:t>二、发展举措</w:t>
      </w:r>
    </w:p>
    <w:p>
      <w:pPr>
        <w:ind w:firstLine="482"/>
      </w:pPr>
      <w:r>
        <w:rPr>
          <w:rFonts w:hint="eastAsia"/>
          <w:b/>
        </w:rPr>
        <w:t>草原风情体验：</w:t>
      </w:r>
      <w:r>
        <w:rPr>
          <w:rFonts w:hint="eastAsia"/>
        </w:rPr>
        <w:t>作为兴安盟草原风情集中体验区，满足游客对内蒙古旅游的想象，通过城中草原、乌兰毛都草原旅游度假区、野狼谷等具有草原特色体验的旅游景区的重点培育，展示兴安盟草原风光，引领旅游从观光游到深度体验游转型发展。</w:t>
      </w:r>
    </w:p>
    <w:p>
      <w:pPr>
        <w:ind w:firstLine="482"/>
      </w:pPr>
      <w:r>
        <w:rPr>
          <w:rFonts w:hint="eastAsia"/>
          <w:b/>
        </w:rPr>
        <w:t>蒙满风俗探寻：</w:t>
      </w:r>
      <w:r>
        <w:rPr>
          <w:rFonts w:hint="eastAsia"/>
        </w:rPr>
        <w:t>通过举办草原那达慕、国际赛马文化节、草原盛宴、民俗文化节等全国、全区性的节事活动、赛事活动，吸引游客游玩停留。</w:t>
      </w:r>
    </w:p>
    <w:p>
      <w:pPr>
        <w:ind w:firstLine="482"/>
      </w:pPr>
      <w:r>
        <w:rPr>
          <w:rFonts w:hint="eastAsia"/>
          <w:b/>
        </w:rPr>
        <w:t>随兴自驾畅游：</w:t>
      </w:r>
      <w:r>
        <w:rPr>
          <w:rFonts w:hint="eastAsia"/>
        </w:rPr>
        <w:t>通过兴安中线交通风景廊道建设，完善智慧旅游平台、特色驿站体系、最美观景平台、网红打卡点等风景道旅游配套体系，完善线路产品，丰富游客自驾体验。</w:t>
      </w:r>
    </w:p>
    <w:p>
      <w:pPr>
        <w:pStyle w:val="4"/>
        <w:ind w:firstLine="482"/>
      </w:pPr>
      <w:r>
        <w:rPr>
          <w:rFonts w:hint="eastAsia"/>
        </w:rPr>
        <w:t>三、产品内容</w:t>
      </w:r>
    </w:p>
    <w:p>
      <w:pPr>
        <w:ind w:firstLine="480"/>
      </w:pPr>
      <w:r>
        <w:rPr>
          <w:rFonts w:hint="eastAsia"/>
        </w:rPr>
        <w:t>突出兴安草原风光、草原体验，以及最美草原自驾线路特色，共打造</w:t>
      </w:r>
      <w:r>
        <w:t>18</w:t>
      </w:r>
      <w:r>
        <w:rPr>
          <w:rFonts w:hint="eastAsia"/>
        </w:rPr>
        <w:t>个项目包，共计2</w:t>
      </w:r>
      <w:r>
        <w:t>3</w:t>
      </w:r>
      <w:r>
        <w:rPr>
          <w:rFonts w:hint="eastAsia"/>
        </w:rPr>
        <w:t>个子项目，其中包括科尔沁塔拉城中草原、乌兰毛都草原风景区、草原帐篷客3个引擎项目、8个重点项目和1</w:t>
      </w:r>
      <w:r>
        <w:t>2</w:t>
      </w:r>
      <w:r>
        <w:rPr>
          <w:rFonts w:hint="eastAsia"/>
        </w:rPr>
        <w:t>个一般项目。</w:t>
      </w:r>
    </w:p>
    <w:p>
      <w:pPr>
        <w:pStyle w:val="4"/>
        <w:ind w:firstLine="482"/>
      </w:pPr>
      <w:r>
        <w:rPr>
          <w:rFonts w:hint="eastAsia"/>
        </w:rPr>
        <w:t>四、近期重点工作</w:t>
      </w:r>
    </w:p>
    <w:p>
      <w:pPr>
        <w:ind w:firstLine="482"/>
      </w:pPr>
      <w:r>
        <w:rPr>
          <w:rFonts w:hint="eastAsia"/>
          <w:b/>
        </w:rPr>
        <w:t>打造一个草原城市地标：</w:t>
      </w:r>
      <w:r>
        <w:rPr>
          <w:rFonts w:hint="eastAsia"/>
        </w:rPr>
        <w:t>重点完成科尔沁塔拉城中草原室内装饰与业态引进工作，近期实现项目运营。完善外部环境的打造，启动城中草原湖面冰场建设，打造城中草原不夜街项目，建设科技馆、美食街、水上乐园、垂钓竞技比赛、无动力乐园等。</w:t>
      </w:r>
    </w:p>
    <w:p>
      <w:pPr>
        <w:ind w:firstLine="482"/>
      </w:pPr>
      <w:r>
        <w:rPr>
          <w:rFonts w:hint="eastAsia"/>
          <w:b/>
        </w:rPr>
        <w:t>建设系列最具草原风情产品：</w:t>
      </w:r>
      <w:r>
        <w:rPr>
          <w:rFonts w:hint="eastAsia"/>
        </w:rPr>
        <w:t>完成代表兴安草原特色，具有体验性的项目野狼谷、乌兰毛都草原风景区的建设并投入使用，优先启动乌兰毛都草原旅游度假区设计工作，打造自治区首个草原旅游度假区；做强兴安中线黄金游线沿线项目提升和建设工作（图布台草原自然公园、兴安蒙古包景区、德伯斯镇黑羊山生态旅游区等），做好服务配套工作。</w:t>
      </w:r>
    </w:p>
    <w:p>
      <w:pPr>
        <w:ind w:firstLine="482"/>
      </w:pPr>
      <w:r>
        <w:rPr>
          <w:rFonts w:hint="eastAsia"/>
          <w:b/>
        </w:rPr>
        <w:t>打造一批特色主题度假产品：</w:t>
      </w:r>
      <w:r>
        <w:rPr>
          <w:rFonts w:hint="eastAsia"/>
        </w:rPr>
        <w:t>建设完成草原帐篷客、草原宿集等系列特色度假产品；结合兴安中线黄金旅游线路的建设与推广，重点培育沿线乡村度假产品，巴音海日汗旅游度假村、海力森百年古榆民俗旅游度假村等，导入美食、主题演绎、体验、文创、展示、销售等业态功能。</w:t>
      </w:r>
    </w:p>
    <w:p>
      <w:pPr>
        <w:ind w:firstLine="482"/>
      </w:pPr>
      <w:r>
        <w:rPr>
          <w:rFonts w:hint="eastAsia"/>
          <w:b/>
        </w:rPr>
        <w:t>升级与推广兴安中线黄金游线：</w:t>
      </w:r>
      <w:r>
        <w:rPr>
          <w:rFonts w:hint="eastAsia"/>
        </w:rPr>
        <w:t>优先打造一条乌兰浩特市至阿尔山的最美草原线路（G302-S203-兴安一号公路-X413-G331），从乌兰浩特市出发，沿线经过城中草原、察尔森水库、黑羊山景区、图布台草原、乌兰毛都草原旅游度假区、草原宿集、野狼谷抵达阿尔山；重点提升与建设完成察尔森旅游驿站、索伦旅游驿站、黑羊山旅游驿站、特门驿站、德伯斯旅游驿站、乌兰毛都草原羊旅游驿站、白音居日合旅游驿站、满族屯湿地驿站；完成兴安一号公路的建设提升工作；打造图布台最美杭盖草原公路、草原宿集最美高山草原公路2处最美打卡路段，增设摄影观景游憩平台。</w:t>
      </w:r>
    </w:p>
    <w:p>
      <w:pPr>
        <w:pStyle w:val="4"/>
        <w:ind w:firstLine="482"/>
      </w:pPr>
      <w:r>
        <w:rPr>
          <w:rFonts w:hint="eastAsia"/>
        </w:rPr>
        <w:t>五、近期创建计划</w:t>
      </w:r>
    </w:p>
    <w:p>
      <w:pPr>
        <w:ind w:firstLine="480"/>
      </w:pPr>
      <w:r>
        <w:rPr>
          <w:rFonts w:hint="eastAsia"/>
        </w:rPr>
        <w:t>科尔沁塔拉城中草原创建国家级夜间文化和旅游消费集聚区；乌兰毛都草原旅游度假区创建国家5</w:t>
      </w:r>
      <w:r>
        <w:t>A</w:t>
      </w:r>
      <w:r>
        <w:rPr>
          <w:rFonts w:hint="eastAsia"/>
        </w:rPr>
        <w:t>级景区，德伯斯镇黑羊山生态旅游区创建国家3A级景区；乌兰毛都草原旅游度假区创建国家级旅游度假，草原宿集休闲旅游度假区创建成为自治区级旅游度假区；乌兰毛都草原旅游度假区创建成为国家体育旅游示范基地；德伯斯镇黑羊山生态旅游区创建成为全国中小学生研学实践教育基地；乌兰毛都草原旅游度假区创建成为全国研学旅行基地（营地）。</w:t>
      </w:r>
    </w:p>
    <w:p>
      <w:pPr>
        <w:pStyle w:val="3"/>
        <w:numPr>
          <w:ilvl w:val="0"/>
          <w:numId w:val="1"/>
        </w:numPr>
      </w:pPr>
      <w:bookmarkStart w:id="98" w:name="_Toc141454167"/>
      <w:bookmarkStart w:id="99" w:name="_Toc118461636"/>
      <w:r>
        <w:rPr>
          <w:rFonts w:hint="eastAsia"/>
        </w:rPr>
        <w:t>扎赉特旗</w:t>
      </w:r>
      <w:bookmarkEnd w:id="98"/>
      <w:bookmarkEnd w:id="99"/>
    </w:p>
    <w:p>
      <w:pPr>
        <w:pStyle w:val="4"/>
        <w:ind w:firstLine="482"/>
      </w:pPr>
      <w:r>
        <w:rPr>
          <w:rFonts w:hint="eastAsia"/>
        </w:rPr>
        <w:t>一、发展定位</w:t>
      </w:r>
    </w:p>
    <w:p>
      <w:pPr>
        <w:ind w:firstLine="480"/>
      </w:pPr>
      <w:r>
        <w:rPr>
          <w:rFonts w:hint="eastAsia"/>
        </w:rPr>
        <w:t>首屈一指的山水秘境品质生活目的地、</w:t>
      </w:r>
      <w:r>
        <w:rPr>
          <w:rFonts w:hint="eastAsia"/>
          <w:bCs/>
        </w:rPr>
        <w:t>内蒙古山水生态休闲旅游目的地、国内知名山水生态度假区、中国北方知名山水生态度假区、全国文化产业赋能乡村振兴试点</w:t>
      </w:r>
      <w:r>
        <w:rPr>
          <w:rFonts w:hint="eastAsia"/>
        </w:rPr>
        <w:t>。</w:t>
      </w:r>
    </w:p>
    <w:p>
      <w:pPr>
        <w:pStyle w:val="4"/>
        <w:ind w:firstLine="482"/>
      </w:pPr>
      <w:r>
        <w:rPr>
          <w:rFonts w:hint="eastAsia"/>
        </w:rPr>
        <w:t>二、发展举措</w:t>
      </w:r>
    </w:p>
    <w:p>
      <w:pPr>
        <w:ind w:firstLine="482"/>
      </w:pPr>
      <w:r>
        <w:rPr>
          <w:rFonts w:hint="eastAsia"/>
          <w:b/>
        </w:rPr>
        <w:t>培育标杆，吸引关注：</w:t>
      </w:r>
      <w:r>
        <w:rPr>
          <w:rFonts w:hint="eastAsia"/>
        </w:rPr>
        <w:t>近期重点考虑开发条件、资源特色以及市场需求等因素，优先在南北两侧各培育一个示范标杆项目，主要满足周边近程</w:t>
      </w:r>
      <w:r>
        <w:t>3</w:t>
      </w:r>
      <w:r>
        <w:rPr>
          <w:rFonts w:hint="eastAsia"/>
        </w:rPr>
        <w:t>小时自驾客群市场需求，吸引关注。</w:t>
      </w:r>
    </w:p>
    <w:p>
      <w:pPr>
        <w:ind w:firstLine="482"/>
      </w:pPr>
      <w:r>
        <w:rPr>
          <w:rFonts w:hint="eastAsia"/>
          <w:b/>
        </w:rPr>
        <w:t>储备引擎，筑巢引凤：</w:t>
      </w:r>
      <w:r>
        <w:rPr>
          <w:rFonts w:hint="eastAsia"/>
        </w:rPr>
        <w:t>重点把握乡村振兴、文旅融合、健康中国</w:t>
      </w:r>
      <w:r>
        <w:t>2030</w:t>
      </w:r>
      <w:r>
        <w:rPr>
          <w:rFonts w:hint="eastAsia"/>
        </w:rPr>
        <w:t>等国家战略机遇，积极向上争取用地、资金等方面的政策支持，一方面为神山、文得根等引擎项目提前储备好建设用地、生态红线调整等开发条件，另一方面提前做好基础设施与公共服务配套，便于引进更大更好的投资商。</w:t>
      </w:r>
    </w:p>
    <w:p>
      <w:pPr>
        <w:ind w:firstLine="482"/>
      </w:pPr>
      <w:r>
        <w:rPr>
          <w:rFonts w:hint="eastAsia"/>
          <w:b/>
        </w:rPr>
        <w:t>点线面发展，全域共兴：</w:t>
      </w:r>
      <w:r>
        <w:rPr>
          <w:rFonts w:hint="eastAsia"/>
        </w:rPr>
        <w:t>化零为整，组团集聚，重点打造一个文旅休闲城，彰显山水秘境特色的山水、田园、自然三大秘境旅游区。拓展景廊，沿线激活，重点推动兴安北线特色旅游公路建设，联动阿尔山和乌兰浩特市，激活线路产品、吸引内外客流，最终实现产旅融合，全域共兴。</w:t>
      </w:r>
    </w:p>
    <w:p>
      <w:pPr>
        <w:pStyle w:val="4"/>
        <w:ind w:firstLine="482"/>
      </w:pPr>
      <w:r>
        <w:rPr>
          <w:rFonts w:hint="eastAsia"/>
        </w:rPr>
        <w:t>三、产品内容</w:t>
      </w:r>
    </w:p>
    <w:p>
      <w:pPr>
        <w:ind w:firstLine="480"/>
      </w:pPr>
      <w:r>
        <w:rPr>
          <w:rFonts w:hint="eastAsia"/>
        </w:rPr>
        <w:t>突出秘境山水主题特色，总共打造10个项目包，共计14个子项目，其中包括巴彦塔拉·秘境河谷生态文化旅游区、大兴安岭秘境山乡旅游区2个引擎项目，以及8个重点项目、4个一般项目。</w:t>
      </w:r>
    </w:p>
    <w:p>
      <w:pPr>
        <w:pStyle w:val="4"/>
        <w:ind w:firstLine="482"/>
      </w:pPr>
      <w:r>
        <w:rPr>
          <w:rFonts w:hint="eastAsia"/>
        </w:rPr>
        <w:t>四、近期重点工作</w:t>
      </w:r>
    </w:p>
    <w:p>
      <w:pPr>
        <w:ind w:firstLine="482"/>
      </w:pPr>
      <w:r>
        <w:rPr>
          <w:rFonts w:hint="eastAsia"/>
          <w:b/>
        </w:rPr>
        <w:t>秘境山水主题特色产品打造：</w:t>
      </w:r>
      <w:r>
        <w:rPr>
          <w:rFonts w:hint="eastAsia"/>
        </w:rPr>
        <w:t>继续推进好力保稻谷景区、巴彦塔拉·秘境河谷生态文化旅游区的建设，并加快投入运营；加快大兴安岭秘境山乡旅游区旅游建设工作；推进系列“秘境”主题产品方案设计工作，完成文得根水库、绰勒水库生态旅游区等专项规划设计工作；启动文得根水利风景区、绰勒水库生态旅游区、图牧吉-百灵湖生态旅游示范区的建设工作；多兰湖城市休闲公园升级改造完成，加强夜游体验功能，创建省级夜间文化和旅游消费集聚区；提升城市休闲功能，音德尔镇打造网红休闲街区项目；完善冬季旅游产品，绰勒水库开展冰雪那达慕项目，开发巴彦塔拉·秘境河谷旅游区冬季冰雪旅游项目，开拓冬季旅游市场。</w:t>
      </w:r>
    </w:p>
    <w:p>
      <w:pPr>
        <w:ind w:firstLine="482"/>
      </w:pPr>
      <w:r>
        <w:rPr>
          <w:rFonts w:hint="eastAsia"/>
          <w:b/>
        </w:rPr>
        <w:t>升级与推广兴安北线黄金游线：</w:t>
      </w:r>
      <w:r>
        <w:rPr>
          <w:rFonts w:hint="eastAsia"/>
        </w:rPr>
        <w:t>优先打造完成阿尔山至扎旗旅游线路（S309-X430-S308、景星阿扎旅游公路（扎赉特旗段）道路建设，提升道路通达性）；结合景区的建设，优先完成好力保稻谷驿站、巴彦塔拉火格营地的建设，火格营地按照3C级营地打造；重点打造几字湾最美秘境河谷公路、扎阿最美森林草原公路、好力保最美生态稻田公路、图牧吉最美湿地水上公路四处最美打卡路段，增设摄影观景游憩平台，并进行线路推广、最美打卡路段推广工作。</w:t>
      </w:r>
    </w:p>
    <w:p>
      <w:pPr>
        <w:pStyle w:val="4"/>
        <w:ind w:firstLine="482"/>
      </w:pPr>
      <w:r>
        <w:rPr>
          <w:rFonts w:hint="eastAsia"/>
        </w:rPr>
        <w:t>五、近期创建计划</w:t>
      </w:r>
    </w:p>
    <w:p>
      <w:pPr>
        <w:ind w:firstLine="480"/>
      </w:pPr>
      <w:r>
        <w:rPr>
          <w:rFonts w:hint="eastAsia"/>
        </w:rPr>
        <w:t>多兰湖城市休闲公园打造成为自治区级夜间文化和旅游消费集聚区；创建巴彦塔拉·秘境河谷生态文化旅游区、好力保稻谷景区、大兴安岭秘境山乡旅游区3个国家4A级景区；大兴安岭秘境山乡旅游区创建成为自治区级旅游度假区；巴彦塔拉·秘境河谷生态文化旅游区创建国家体育旅游示范基地；打造图牧吉生态旅游区、大兴安岭秘境山乡旅游区2个全国研学旅行基地（营地）；巴彦塔拉·秘境河谷生态文化旅游区火格营地打造成为3C级自驾车旅居车营地。</w:t>
      </w:r>
    </w:p>
    <w:p>
      <w:pPr>
        <w:pStyle w:val="3"/>
        <w:numPr>
          <w:ilvl w:val="0"/>
          <w:numId w:val="1"/>
        </w:numPr>
      </w:pPr>
      <w:bookmarkStart w:id="100" w:name="_Toc118461637"/>
      <w:bookmarkStart w:id="101" w:name="_Toc141454168"/>
      <w:r>
        <w:rPr>
          <w:rFonts w:hint="eastAsia"/>
        </w:rPr>
        <w:t>科尔沁右翼中旗</w:t>
      </w:r>
      <w:bookmarkEnd w:id="100"/>
      <w:bookmarkEnd w:id="101"/>
    </w:p>
    <w:p>
      <w:pPr>
        <w:pStyle w:val="4"/>
        <w:ind w:firstLine="482"/>
      </w:pPr>
      <w:r>
        <w:rPr>
          <w:rFonts w:hint="eastAsia"/>
        </w:rPr>
        <w:t>一、发展定位</w:t>
      </w:r>
    </w:p>
    <w:p>
      <w:pPr>
        <w:ind w:firstLine="480"/>
      </w:pPr>
      <w:r>
        <w:rPr>
          <w:rFonts w:hint="eastAsia"/>
        </w:rPr>
        <w:t>中国最美旅拍第一旗、自驾游东门户、世界级疏林草原休闲与文化体验胜地。</w:t>
      </w:r>
    </w:p>
    <w:p>
      <w:pPr>
        <w:pStyle w:val="4"/>
        <w:ind w:firstLine="482"/>
      </w:pPr>
      <w:r>
        <w:rPr>
          <w:rFonts w:hint="eastAsia"/>
        </w:rPr>
        <w:t>二、发展举措</w:t>
      </w:r>
    </w:p>
    <w:p>
      <w:pPr>
        <w:ind w:firstLine="482"/>
      </w:pPr>
      <w:r>
        <w:rPr>
          <w:rFonts w:hint="eastAsia"/>
          <w:b/>
        </w:rPr>
        <w:t>枫情马镇体验：</w:t>
      </w:r>
      <w:r>
        <w:rPr>
          <w:rFonts w:hint="eastAsia"/>
        </w:rPr>
        <w:t>结合科尔沁右翼中旗现有以体育运动为特色的疏林草原休闲旅游产品和影视体验产品，重点发展以枫情马镇为主题的休闲体验项目，突出精品开发建设。</w:t>
      </w:r>
    </w:p>
    <w:p>
      <w:pPr>
        <w:ind w:firstLine="482"/>
      </w:pPr>
      <w:r>
        <w:rPr>
          <w:rFonts w:hint="eastAsia"/>
          <w:b/>
        </w:rPr>
        <w:t>旅拍体系完善：</w:t>
      </w:r>
      <w:r>
        <w:rPr>
          <w:rFonts w:hint="eastAsia"/>
        </w:rPr>
        <w:t>通过兴安南线旅游公路、最美旅拍打卡点等旅拍服务体系，五角枫旅游节等节事活动，打造中国最美旅拍第一旗，发展旅拍经济激活全域经济发展。</w:t>
      </w:r>
    </w:p>
    <w:p>
      <w:pPr>
        <w:ind w:firstLine="482"/>
      </w:pPr>
      <w:r>
        <w:rPr>
          <w:rFonts w:hint="eastAsia"/>
          <w:b/>
        </w:rPr>
        <w:t>特色文化发展：</w:t>
      </w:r>
      <w:r>
        <w:rPr>
          <w:rFonts w:hint="eastAsia"/>
        </w:rPr>
        <w:t>建设苏雅乐文化产业园、蒙格罕山生态旅游景区等文旅项目，传扬本地特色文化资源。</w:t>
      </w:r>
    </w:p>
    <w:p>
      <w:pPr>
        <w:pStyle w:val="4"/>
        <w:ind w:firstLine="482"/>
      </w:pPr>
      <w:r>
        <w:rPr>
          <w:rFonts w:hint="eastAsia"/>
        </w:rPr>
        <w:t>三、产品内容</w:t>
      </w:r>
    </w:p>
    <w:p>
      <w:pPr>
        <w:ind w:firstLine="480"/>
      </w:pPr>
      <w:r>
        <w:rPr>
          <w:rFonts w:hint="eastAsia"/>
        </w:rPr>
        <w:t>以“枫情马镇，最美旅拍”为特色，突出旅拍特色与度假休闲体验，总共打造11个项目包，共计16个子项目，其中包括五角枫生态旅游景区、翰嘎利湖休闲旅游度假区2个引擎项目，以及8个重点项目、6个一般项目。</w:t>
      </w:r>
    </w:p>
    <w:p>
      <w:pPr>
        <w:pStyle w:val="4"/>
        <w:ind w:firstLine="482"/>
      </w:pPr>
      <w:r>
        <w:rPr>
          <w:rFonts w:hint="eastAsia"/>
        </w:rPr>
        <w:t>四、近期重点工作</w:t>
      </w:r>
    </w:p>
    <w:p>
      <w:pPr>
        <w:ind w:firstLine="482"/>
      </w:pPr>
      <w:r>
        <w:rPr>
          <w:rFonts w:hint="eastAsia"/>
          <w:b/>
        </w:rPr>
        <w:t>美拍主题产品建设与运营：</w:t>
      </w:r>
      <w:r>
        <w:rPr>
          <w:rFonts w:hint="eastAsia"/>
        </w:rPr>
        <w:t>推进美拍度假集群产品（五角枫、翰嘎利湖、马文化度假公园、中影制作基地）品牌升级工作，与国内知名旅拍公司、宣传公司合作，策划多种草原旅拍、美拍新体验，植入美拍特色产品，产品联合开发，争取拍摄1-2部影视作品，延展影视科技、电视传媒、旅游美拍等业态，同时加强美拍项目和活动的品牌推广工作，形成一定的区域影响力与市场号召力；着重推进马文化度假公园的招商和设计工作，彰显“枫情马镇”特色，放大莱德马业品牌，扩大马主题项目体验；以美拍度假集群为核心，推进中旗北线和南线的线路改造、美拍打卡点的设计以及重点项目的招商、设计工作，进一步开发南北两线西日道卜水美乡村旅游、乌兰河山地草原景区等旅游产品的设计与建设工作，适度发展生态游、研学游。</w:t>
      </w:r>
    </w:p>
    <w:p>
      <w:pPr>
        <w:ind w:firstLine="482"/>
      </w:pPr>
      <w:r>
        <w:rPr>
          <w:rFonts w:hint="eastAsia"/>
          <w:b/>
        </w:rPr>
        <w:t>升级与推广兴安南线黄金游线（中旗段）：</w:t>
      </w:r>
      <w:r>
        <w:rPr>
          <w:rFonts w:hint="eastAsia"/>
        </w:rPr>
        <w:t>推动兴安南线黄金游线（中旗段）的巴乌线道路建设，提升道路通达性与沿线景观；结合景区的建设，完成乌兰河旅游驿站、的建设及五角枫枫林营地、翰嘎利湖野奢营地的提质升级；重点打造五角枫最美湖林旅游公路1处最美打卡路段，增设摄影观景游憩平台；并进行线路推广和最美打卡路段推广工作。</w:t>
      </w:r>
    </w:p>
    <w:p>
      <w:pPr>
        <w:pStyle w:val="4"/>
        <w:ind w:firstLine="482"/>
      </w:pPr>
      <w:r>
        <w:rPr>
          <w:rFonts w:hint="eastAsia"/>
        </w:rPr>
        <w:t>五、近期创建计划</w:t>
      </w:r>
    </w:p>
    <w:p>
      <w:pPr>
        <w:ind w:firstLine="480"/>
      </w:pPr>
      <w:r>
        <w:rPr>
          <w:rFonts w:hint="eastAsia"/>
        </w:rPr>
        <w:t>翰嘎利湖休闲旅游度假区创建自治区级旅游度假区；创建马文化度假公园、蒙格罕山生态旅游景区2个国家体育旅游示范基地；科尔沁湿地研学基地项目（草原方舟）打造成为全国研学旅行基地（营地）；苏雅乐文化产业园创建成为内蒙古自治区级文化产业园区；五角枫、翰嘎利湖、中影制作基地、图什业图亲王府项目群联合创建国家文化产业和旅游产业融合发展示范区。</w:t>
      </w:r>
    </w:p>
    <w:p>
      <w:pPr>
        <w:pStyle w:val="3"/>
        <w:numPr>
          <w:ilvl w:val="0"/>
          <w:numId w:val="1"/>
        </w:numPr>
      </w:pPr>
      <w:bookmarkStart w:id="102" w:name="_Toc118461638"/>
      <w:bookmarkStart w:id="103" w:name="_Toc141454169"/>
      <w:r>
        <w:rPr>
          <w:rFonts w:hint="eastAsia"/>
        </w:rPr>
        <w:t>突泉县</w:t>
      </w:r>
      <w:bookmarkEnd w:id="102"/>
      <w:bookmarkEnd w:id="103"/>
    </w:p>
    <w:p>
      <w:pPr>
        <w:pStyle w:val="4"/>
        <w:ind w:firstLine="482"/>
      </w:pPr>
      <w:r>
        <w:rPr>
          <w:rFonts w:hint="eastAsia"/>
        </w:rPr>
        <w:t>一、发展定位</w:t>
      </w:r>
    </w:p>
    <w:p>
      <w:pPr>
        <w:ind w:firstLine="480"/>
      </w:pPr>
      <w:r>
        <w:rPr>
          <w:rFonts w:hint="eastAsia"/>
        </w:rPr>
        <w:t>国家乡村公园共富示范县、全国文化产业赋能乡村振兴试点、节点型旅游目的地城市、内蒙古乡村休闲度假旅居目的地。</w:t>
      </w:r>
    </w:p>
    <w:p>
      <w:pPr>
        <w:pStyle w:val="4"/>
        <w:ind w:firstLine="482"/>
      </w:pPr>
      <w:r>
        <w:rPr>
          <w:rFonts w:hint="eastAsia"/>
        </w:rPr>
        <w:t>二、发展举措</w:t>
      </w:r>
    </w:p>
    <w:p>
      <w:pPr>
        <w:ind w:firstLine="482"/>
      </w:pPr>
      <w:r>
        <w:rPr>
          <w:rFonts w:hint="eastAsia"/>
          <w:b/>
        </w:rPr>
        <w:t>农旅融合振兴：</w:t>
      </w:r>
      <w:r>
        <w:rPr>
          <w:rFonts w:hint="eastAsia"/>
        </w:rPr>
        <w:t>以文化旅游业为切入点，带动一二三产业联动，推动突泉县农业现代化、农业景观化、农业休闲化、农业体验化、农业商品化，重点建设明星湖旅游度假区、宝石湖旅游风景区、曙光现代农业循环经济园区、赛银花现代农业生态园、南湖湿地公园、小额木特河综合治理滨河景观等，以文旅为引擎，带动乡村建设发展，村民参与共同富裕，打造国家乡村公园共富示范县。</w:t>
      </w:r>
    </w:p>
    <w:p>
      <w:pPr>
        <w:ind w:firstLine="482"/>
      </w:pPr>
      <w:r>
        <w:rPr>
          <w:rFonts w:hint="eastAsia"/>
          <w:b/>
        </w:rPr>
        <w:t>森养度假体验：</w:t>
      </w:r>
      <w:r>
        <w:rPr>
          <w:rFonts w:hint="eastAsia"/>
        </w:rPr>
        <w:t>以老头山为代表，依托基地“中国天然氧吧”的品牌优势，培育森林生态研学，亮出突泉生态休闲新名片。同时基于生态保护，发展空中观光游览，联动山下集镇，打造森林度假新体验。</w:t>
      </w:r>
    </w:p>
    <w:p>
      <w:pPr>
        <w:pStyle w:val="4"/>
        <w:ind w:firstLine="482"/>
      </w:pPr>
      <w:r>
        <w:rPr>
          <w:rFonts w:hint="eastAsia"/>
        </w:rPr>
        <w:t>三、产品内容</w:t>
      </w:r>
    </w:p>
    <w:p>
      <w:pPr>
        <w:ind w:firstLine="480"/>
      </w:pPr>
      <w:r>
        <w:rPr>
          <w:rFonts w:hint="eastAsia"/>
        </w:rPr>
        <w:t>乡村休闲游重点发展区、农旅融合创新示范区，以国家乡村公园共富示范县为目标，全力推进乡村振兴。总共打造12个项目包，共计16个子项目，其中包括宝石湖旅游风景区、明星湖旅游度假区、老头山森养田园综合体3个引擎项目，以及7个重点项目、6个一般项目。</w:t>
      </w:r>
    </w:p>
    <w:p>
      <w:pPr>
        <w:pStyle w:val="4"/>
        <w:ind w:firstLine="482"/>
      </w:pPr>
      <w:r>
        <w:rPr>
          <w:rFonts w:hint="eastAsia"/>
        </w:rPr>
        <w:t>四、近期重点工作</w:t>
      </w:r>
    </w:p>
    <w:p>
      <w:pPr>
        <w:ind w:firstLine="482"/>
      </w:pPr>
      <w:r>
        <w:rPr>
          <w:rFonts w:hint="eastAsia"/>
          <w:b/>
        </w:rPr>
        <w:t>国家乡村公园共富示范县主题产品：</w:t>
      </w:r>
      <w:r>
        <w:rPr>
          <w:rFonts w:hint="eastAsia"/>
        </w:rPr>
        <w:t>大力推进国家公园示范县的建设，宝石湖旅游风景区、明星湖旅游度假区、老头山森养田园综合体建设完成并持续运营，结合老头山森养田园综合体项目的落成，进一步引导开发地质研学相关产品。以三大重点项目为主要的引客，形成一批乡村休闲、农旅融合旅游产品，推进曙光现代农业循环经济园区、赛银花农业生态示范园区升级改造，建设浆果文化产业园，创建农业产品品牌，重点将曙光现代农业循环经济园区打造成为国家文化产业示范基地。</w:t>
      </w:r>
    </w:p>
    <w:p>
      <w:pPr>
        <w:ind w:firstLine="480" w:firstLineChars="0"/>
      </w:pPr>
      <w:r>
        <w:rPr>
          <w:rFonts w:hint="eastAsia"/>
          <w:b/>
        </w:rPr>
        <w:t>升级与推广兴安南线黄金游线（突泉段）：</w:t>
      </w:r>
      <w:r>
        <w:rPr>
          <w:rFonts w:hint="eastAsia"/>
        </w:rPr>
        <w:t>兴安南线黄金游线（突泉段）的（S105、S309、巴乌线）道路建设，提升道路通达性与沿线景观；打造突泉游客集散中心，结合景区的建设，完成南湖公园自驾营地、赛银花自驾游营地、花海瓜田驿站、明星湖乡村田园驿站、宝石湖营地、老头山森养田园驿站的提质升级；重点打造明星湖最美田园夕阳公路1处最美打卡路段，增设摄影观景游憩平台；进行线路推广、最美打卡路段推广工作。</w:t>
      </w:r>
    </w:p>
    <w:p>
      <w:pPr>
        <w:pStyle w:val="4"/>
        <w:ind w:firstLine="482"/>
      </w:pPr>
      <w:r>
        <w:rPr>
          <w:rFonts w:hint="eastAsia"/>
        </w:rPr>
        <w:t>五、近期创建计划</w:t>
      </w:r>
    </w:p>
    <w:p>
      <w:pPr>
        <w:ind w:firstLine="480"/>
      </w:pPr>
      <w:r>
        <w:rPr>
          <w:rFonts w:hint="eastAsia"/>
        </w:rPr>
        <w:t>宝石湖旅游风景区创建国家5A级景区；明星湖旅游度假区、赛银花农业生态示范园区创建国家4A级景区、老头山山地旅游区创建国家体育旅游示范基地；打造老头山山地旅游区、宝石湖旅游风景区2个全国研学旅行基地（营地）；将曙光现代农业循环经济园区创建成为国家级文化产业园区。</w:t>
      </w:r>
    </w:p>
    <w:p>
      <w:pPr>
        <w:widowControl/>
        <w:spacing w:line="240" w:lineRule="auto"/>
        <w:ind w:firstLine="0" w:firstLineChars="0"/>
        <w:jc w:val="left"/>
        <w:rPr>
          <w:rFonts w:eastAsia="黑体"/>
          <w:b/>
          <w:bCs/>
          <w:kern w:val="44"/>
          <w:sz w:val="30"/>
          <w:szCs w:val="44"/>
        </w:rPr>
      </w:pPr>
      <w:r>
        <w:br w:type="page"/>
      </w:r>
    </w:p>
    <w:p>
      <w:pPr>
        <w:pStyle w:val="2"/>
        <w:jc w:val="center"/>
      </w:pPr>
      <w:bookmarkStart w:id="104" w:name="_Toc141454170"/>
      <w:r>
        <w:rPr>
          <w:rFonts w:hint="eastAsia"/>
        </w:rPr>
        <w:t>第九章</w:t>
      </w:r>
      <w:r>
        <w:t xml:space="preserve"> </w:t>
      </w:r>
      <w:bookmarkEnd w:id="89"/>
      <w:r>
        <w:rPr>
          <w:rFonts w:hint="eastAsia"/>
        </w:rPr>
        <w:t>旅游公共服务体系规划</w:t>
      </w:r>
      <w:bookmarkEnd w:id="104"/>
    </w:p>
    <w:p>
      <w:pPr>
        <w:pStyle w:val="3"/>
        <w:numPr>
          <w:ilvl w:val="0"/>
          <w:numId w:val="1"/>
        </w:numPr>
      </w:pPr>
      <w:bookmarkStart w:id="105" w:name="_Toc141454171"/>
      <w:bookmarkStart w:id="106" w:name="_Hlk132360954"/>
      <w:r>
        <w:rPr>
          <w:rFonts w:hint="eastAsia"/>
        </w:rPr>
        <w:t>旅游咨询服务工程</w:t>
      </w:r>
      <w:bookmarkEnd w:id="105"/>
    </w:p>
    <w:bookmarkEnd w:id="106"/>
    <w:p>
      <w:pPr>
        <w:ind w:firstLine="480"/>
      </w:pPr>
      <w:r>
        <w:rPr>
          <w:rFonts w:hint="eastAsia"/>
        </w:rPr>
        <w:t>构建“2</w:t>
      </w:r>
      <w:r>
        <w:t>+4+N</w:t>
      </w:r>
      <w:r>
        <w:rPr>
          <w:rFonts w:hint="eastAsia"/>
        </w:rPr>
        <w:t>”多层次游客服务集散体系。结合兴安盟交通体系建设及资源条件，打造2个一级区域旅游集散中心，</w:t>
      </w:r>
      <w:r>
        <w:t>4</w:t>
      </w:r>
      <w:r>
        <w:rPr>
          <w:rFonts w:hint="eastAsia"/>
        </w:rPr>
        <w:t>个二级旗县旅游集散中心，N个三级旅游咨询服务中心及N个四级非人工信息咨询点，形成由集散中心、游客中心、游客咨询服务点、自助游客咨询服务点等组成的具有兴安盟特色的旅游服务中心体系，打造一站式旅游便捷服务。</w:t>
      </w:r>
    </w:p>
    <w:p>
      <w:pPr>
        <w:pStyle w:val="3"/>
        <w:numPr>
          <w:ilvl w:val="0"/>
          <w:numId w:val="1"/>
        </w:numPr>
      </w:pPr>
      <w:bookmarkStart w:id="107" w:name="_Toc141454172"/>
      <w:bookmarkStart w:id="108" w:name="_Hlk132360960"/>
      <w:r>
        <w:rPr>
          <w:rFonts w:hint="eastAsia"/>
        </w:rPr>
        <w:t>旅游交通体系工程</w:t>
      </w:r>
      <w:bookmarkEnd w:id="107"/>
    </w:p>
    <w:bookmarkEnd w:id="108"/>
    <w:p>
      <w:pPr>
        <w:ind w:firstLine="480"/>
      </w:pPr>
      <w:r>
        <w:rPr>
          <w:rFonts w:hint="eastAsia"/>
        </w:rPr>
        <w:t>立足多元立体化交通，打造“快旅慢游”内外部交通体系工程。</w:t>
      </w:r>
    </w:p>
    <w:p>
      <w:pPr>
        <w:ind w:firstLine="482"/>
      </w:pPr>
      <w:r>
        <w:rPr>
          <w:rFonts w:hint="eastAsia"/>
          <w:b/>
        </w:rPr>
        <w:t>快旅：</w:t>
      </w:r>
      <w:r>
        <w:rPr>
          <w:rFonts w:hint="eastAsia"/>
        </w:rPr>
        <w:t>提升兴安盟的可进入性，重点提升航空、公路的硬件设施，完善自驾服务。依托乌兰浩特市、阿尔山机场，近期优化机场奖补政策，完善机场旅游服务功能，强化与国际一线机场的航班密度。远期发展低空观光旅游，打造“乌阿海满”旅游航空圈，推进旅游一体化发展，发展通用航空特色休闲精品旅游，构建连接景区、度假区、主题公园等旅游目的地的低空旅游网。</w:t>
      </w:r>
    </w:p>
    <w:p>
      <w:pPr>
        <w:ind w:firstLine="480"/>
      </w:pPr>
      <w:r>
        <w:rPr>
          <w:rFonts w:hint="eastAsia"/>
        </w:rPr>
        <w:t>完善公路路网，建设旅游标准化公路，近期贯通乌兰浩特、科尔沁右翼前旗、阿尔山市、扎赉特旗，提升道路形成旅游环线。中远期重点优化连通至各个景点的次级道路，形成打通“最后一公里”的特色旅游公路体系。</w:t>
      </w:r>
    </w:p>
    <w:p>
      <w:pPr>
        <w:ind w:firstLine="480"/>
      </w:pPr>
      <w:r>
        <w:rPr>
          <w:rFonts w:hint="eastAsia"/>
        </w:rPr>
        <w:t>大力发展“落地自驾、异地还车”自驾车租赁网络，鼓励</w:t>
      </w:r>
      <w:r>
        <w:rPr>
          <w:rFonts w:hint="eastAsia"/>
          <w:bCs/>
        </w:rPr>
        <w:t>汽车租赁</w:t>
      </w:r>
      <w:r>
        <w:rPr>
          <w:rFonts w:hint="eastAsia"/>
        </w:rPr>
        <w:t>行业发展，完善全市加油站点和高速公路服务区旅游服务功能，建设特色旅游驿站，打造“兴安盟自驾车旅游无障碍通道”体系。</w:t>
      </w:r>
    </w:p>
    <w:p>
      <w:pPr>
        <w:ind w:firstLine="482"/>
      </w:pPr>
      <w:r>
        <w:rPr>
          <w:rFonts w:hint="eastAsia"/>
          <w:b/>
        </w:rPr>
        <w:t>慢游：</w:t>
      </w:r>
      <w:r>
        <w:rPr>
          <w:rFonts w:hint="eastAsia"/>
        </w:rPr>
        <w:t>丰富水陆空立体旅游交通游线，推出新、奇、特慢游体验产品，打造水上游玩、特色交通、低空飞行立体旅游交通组织，大力发展冬季游览产品。</w:t>
      </w:r>
    </w:p>
    <w:p>
      <w:pPr>
        <w:ind w:firstLine="480"/>
      </w:pPr>
      <w:r>
        <w:rPr>
          <w:rFonts w:hint="eastAsia"/>
        </w:rPr>
        <w:t>发挥各旗县水域风光优势，因地制宜培育四季水上游乐体验、水岸观光体验水居度假特色产品体系。优化特色交通体验方式，谋划旅游直通车线路，打造“旅游直通车”“阿尔山特色小火车”等特色交通体验。丰富低空飞行体验方式，打造“通航+旅游”的有机融合形式，打造低空观光旅游网。</w:t>
      </w:r>
    </w:p>
    <w:p>
      <w:pPr>
        <w:pStyle w:val="3"/>
        <w:numPr>
          <w:ilvl w:val="0"/>
          <w:numId w:val="1"/>
        </w:numPr>
      </w:pPr>
      <w:bookmarkStart w:id="109" w:name="_Toc141454173"/>
      <w:bookmarkStart w:id="110" w:name="_Hlk132360972"/>
      <w:r>
        <w:rPr>
          <w:rFonts w:hint="eastAsia"/>
        </w:rPr>
        <w:t>智慧旅游信息工程</w:t>
      </w:r>
      <w:bookmarkEnd w:id="109"/>
    </w:p>
    <w:bookmarkEnd w:id="110"/>
    <w:p>
      <w:pPr>
        <w:ind w:firstLine="480"/>
      </w:pPr>
      <w:r>
        <w:rPr>
          <w:rFonts w:hint="eastAsia"/>
        </w:rPr>
        <w:t>搭建“1+3+1+N”智慧旅游体系，包括一个全域旅游数据中心，智能物联平台、数字孪生平台、GIS支撑平台三项基础支撑、一个全域旅游信息服务平台大平台和N项应用。</w:t>
      </w:r>
    </w:p>
    <w:p>
      <w:pPr>
        <w:ind w:firstLine="482"/>
      </w:pPr>
      <w:r>
        <w:rPr>
          <w:rFonts w:hint="eastAsia"/>
          <w:b/>
          <w:bCs/>
        </w:rPr>
        <w:t>一个全域旅游数据中心。</w:t>
      </w:r>
      <w:r>
        <w:rPr>
          <w:rFonts w:hint="eastAsia"/>
        </w:rPr>
        <w:t>通过海量旅游大数据的汇聚，依托兴安盟全域大数据平台进行数据的计算和挖掘分析。采用“一张图”的设计理念，实现基于数字孪生的可视的一体化综合管控，实现数据共享、业务联动、统一管理、集中应用。</w:t>
      </w:r>
    </w:p>
    <w:p>
      <w:pPr>
        <w:ind w:firstLine="482"/>
      </w:pPr>
      <w:r>
        <w:rPr>
          <w:rFonts w:hint="eastAsia"/>
          <w:b/>
          <w:bCs/>
        </w:rPr>
        <w:t>一个全域旅游信息服务平台：</w:t>
      </w:r>
      <w:r>
        <w:rPr>
          <w:rFonts w:hint="eastAsia"/>
        </w:rPr>
        <w:t>搭建产业监测、行业监管、服务营销全域旅游信息服务平台。</w:t>
      </w:r>
    </w:p>
    <w:p>
      <w:pPr>
        <w:ind w:firstLine="480"/>
      </w:pPr>
      <w:r>
        <w:rPr>
          <w:rFonts w:hint="eastAsia"/>
        </w:rPr>
        <w:t>产业监测平台建设基于GIS的全域旅游综合管理平台，引入“一张图”的概念，所有文体旅资源一张图管理、所有设备一张图控制、所有事件一张图显示，可一览兴安盟全域范围包括度假区的涉旅企业、文化场馆、体育场馆等文体旅信息资源所有情况，集监测、维护和管理功能于一体，实现对兴安盟全域旅游的实时控制管理。重点推动文体旅项目管理，构筑“2区3线N景区”目的地文体旅项目管理架构，实现基于项目管理系统的统一管理，从项目启动、规划、执行、监控和收尾等过程的掌控。近期试点推进兴安中线“草原牧歌”主题段自助导游系统建设，做好智慧旅游示范带。引入一系列智慧出行服务，通过与专业智慧出行APP平台进行合作，将风景道沿线驿站、景点及资源便捷展示。</w:t>
      </w:r>
    </w:p>
    <w:p>
      <w:pPr>
        <w:ind w:firstLine="480"/>
      </w:pPr>
      <w:r>
        <w:rPr>
          <w:rFonts w:hint="eastAsia"/>
        </w:rPr>
        <w:t>行业监管平台服务对象主要是兴安盟文化旅游体育局各内设机构及下属单位以及相关下属企业。通过对各机构及下属单位的职责、业务流程、应用系统及信息化需求调研，建设对各内部机构及下属单位具有实际应用与个性化应用的信息化平台服务功能。</w:t>
      </w:r>
    </w:p>
    <w:p>
      <w:pPr>
        <w:ind w:firstLine="480"/>
      </w:pPr>
      <w:r>
        <w:rPr>
          <w:rFonts w:hint="eastAsia"/>
        </w:rPr>
        <w:t>服务营销平台重点推进全域纹缕公众号、全民营销、虚拟旅游、文旅+直播等技术应用。</w:t>
      </w:r>
    </w:p>
    <w:p>
      <w:pPr>
        <w:pStyle w:val="3"/>
        <w:numPr>
          <w:ilvl w:val="0"/>
          <w:numId w:val="1"/>
        </w:numPr>
      </w:pPr>
      <w:bookmarkStart w:id="111" w:name="_Toc141454174"/>
      <w:bookmarkStart w:id="112" w:name="_Hlk132360979"/>
      <w:r>
        <w:rPr>
          <w:rFonts w:hint="eastAsia"/>
        </w:rPr>
        <w:t>旅游厕所工程</w:t>
      </w:r>
      <w:bookmarkEnd w:id="111"/>
    </w:p>
    <w:bookmarkEnd w:id="112"/>
    <w:p>
      <w:pPr>
        <w:ind w:firstLine="480"/>
      </w:pPr>
      <w:r>
        <w:rPr>
          <w:rFonts w:hint="eastAsia"/>
        </w:rPr>
        <w:t>推进厕所革命，实现Ⅱ类旅游厕所全域覆盖，Ⅰ类旅游厕所达到相应数量的标准。近期将现有旅游景区内的旅游厕所全部提升满足Ⅱ类旅游厕所要求，提升旅游集散中心、重要景区内的厕所达到相应数量的Ⅰ类旅游厕所标准。控制现状，旱厕实行无害化处理。厕所外观融入特色文化元素、注重生态与环境协调。中期提升改造路游公园沿线的交通型驿站、自驾廊道营地沿线增设旅游公厕，满足Ⅱ类旅游厕所以上标准。根据旅游集中情况新建一批Ⅱ类旅游厕所。远期“厕所革命”向景区周边、城乡结合部、乡村蔓延，全面联通景区智慧系统，主动应对客流的变化，城乡旅游环境更加优化。</w:t>
      </w:r>
    </w:p>
    <w:p>
      <w:pPr>
        <w:pStyle w:val="3"/>
        <w:numPr>
          <w:ilvl w:val="0"/>
          <w:numId w:val="1"/>
        </w:numPr>
      </w:pPr>
      <w:bookmarkStart w:id="113" w:name="_Toc141454175"/>
      <w:bookmarkStart w:id="114" w:name="_Hlk132360986"/>
      <w:r>
        <w:rPr>
          <w:rFonts w:hint="eastAsia"/>
        </w:rPr>
        <w:t>旅游富民惠民</w:t>
      </w:r>
      <w:bookmarkEnd w:id="113"/>
    </w:p>
    <w:bookmarkEnd w:id="114"/>
    <w:p>
      <w:pPr>
        <w:ind w:firstLine="480"/>
      </w:pPr>
      <w:r>
        <w:rPr>
          <w:rFonts w:hint="eastAsia"/>
        </w:rPr>
        <w:t>大力推进旅游为民富民、旅游便民两大工程</w:t>
      </w:r>
      <w:r>
        <w:rPr>
          <w:rFonts w:hint="eastAsia"/>
          <w:bCs/>
        </w:rPr>
        <w:t>。</w:t>
      </w:r>
      <w:r>
        <w:rPr>
          <w:rFonts w:hint="eastAsia"/>
        </w:rPr>
        <w:t>完善公共休憩设施、环卫设施、商业设施、特殊人群服务设施等，实现</w:t>
      </w:r>
      <w:r>
        <w:rPr>
          <w:rFonts w:hint="eastAsia"/>
          <w:bCs/>
        </w:rPr>
        <w:t>旅游便民惠民</w:t>
      </w:r>
      <w:r>
        <w:rPr>
          <w:rFonts w:hint="eastAsia"/>
        </w:rPr>
        <w:t>。积极鼓励引导乡村居民以多种身份参与旅游产业经营、旅游服务接待、乡村旅游发展，通过开发乡村旅游示范村、鼓励发展现代农业/畜牧业示范基地、打造乡村旅游精品线路等举措，实施乡村旅游利民富民工程，加快乡村旅游、促进乡村振兴发展。</w:t>
      </w:r>
      <w:r>
        <w:br w:type="page"/>
      </w:r>
    </w:p>
    <w:p>
      <w:pPr>
        <w:pStyle w:val="2"/>
        <w:jc w:val="center"/>
      </w:pPr>
      <w:bookmarkStart w:id="115" w:name="_Toc141454176"/>
      <w:bookmarkStart w:id="116" w:name="_Toc117685248"/>
      <w:r>
        <w:rPr>
          <w:rFonts w:hint="eastAsia"/>
        </w:rPr>
        <w:t>第十章</w:t>
      </w:r>
      <w:r>
        <w:t xml:space="preserve"> </w:t>
      </w:r>
      <w:bookmarkStart w:id="117" w:name="_Hlk132362403"/>
      <w:r>
        <w:rPr>
          <w:rFonts w:hint="eastAsia"/>
        </w:rPr>
        <w:t>泛旅游产业整合规划</w:t>
      </w:r>
      <w:bookmarkEnd w:id="115"/>
      <w:bookmarkEnd w:id="116"/>
      <w:bookmarkEnd w:id="117"/>
    </w:p>
    <w:p>
      <w:pPr>
        <w:pStyle w:val="3"/>
        <w:numPr>
          <w:ilvl w:val="0"/>
          <w:numId w:val="1"/>
        </w:numPr>
      </w:pPr>
      <w:bookmarkStart w:id="118" w:name="_Toc117685250"/>
      <w:bookmarkStart w:id="119" w:name="_Toc141454177"/>
      <w:r>
        <w:rPr>
          <w:rFonts w:hint="eastAsia"/>
        </w:rPr>
        <w:t>旅游产业要素</w:t>
      </w:r>
      <w:bookmarkEnd w:id="118"/>
      <w:bookmarkEnd w:id="119"/>
    </w:p>
    <w:p>
      <w:pPr>
        <w:pStyle w:val="4"/>
        <w:ind w:firstLine="482"/>
      </w:pPr>
      <w:r>
        <w:rPr>
          <w:rFonts w:hint="eastAsia"/>
        </w:rPr>
        <w:t>一、旅游餐饮体系</w:t>
      </w:r>
    </w:p>
    <w:p>
      <w:pPr>
        <w:ind w:firstLine="480"/>
      </w:pPr>
      <w:r>
        <w:rPr>
          <w:rFonts w:hint="eastAsia"/>
        </w:rPr>
        <w:t>整合兴安盟美食文化资源，通过申报文化遗产、打造美食地标和美食名片、打造一批美食集聚街区、推进兴安盟美食旅游服务标准化建设、绘制兴安盟美食旅游地图、建设门类齐全、功能完善的美食信息平台、举办系列美食主题旅游节庆、设计策划美食旅游专题线路等手段，塑造兴安盟餐饮旅游品牌。</w:t>
      </w:r>
    </w:p>
    <w:p>
      <w:pPr>
        <w:ind w:firstLine="480"/>
      </w:pPr>
      <w:r>
        <w:rPr>
          <w:rFonts w:hint="eastAsia"/>
        </w:rPr>
        <w:t>重点推出兴安“三宴·十风味”特色餐、兴安盟“四街十二地”餐饮体系、“回味兴安盟”美食伴手礼等美食产品及品牌。</w:t>
      </w:r>
    </w:p>
    <w:p>
      <w:pPr>
        <w:pStyle w:val="4"/>
        <w:ind w:firstLine="482"/>
      </w:pPr>
      <w:r>
        <w:rPr>
          <w:rFonts w:hint="eastAsia"/>
        </w:rPr>
        <w:t>二、旅游住宿体系</w:t>
      </w:r>
    </w:p>
    <w:p>
      <w:pPr>
        <w:ind w:firstLine="480"/>
      </w:pPr>
      <w:r>
        <w:rPr>
          <w:rFonts w:hint="eastAsia"/>
        </w:rPr>
        <w:t>依托在地居住特色文化，重点推进蒙古包、房车营地、帐篷营地、少数民族民宿等个性化住宿设施建设，构建多档次协调的住宿产品体系。整合兴安盟森林、温泉、草原、乡村、文化等资源，按照精品、特色等要求，优先甄选4大民宿主题，打响草原宿集、森林宿集、乡村宿集、文化精舍四大主题民宿品牌。</w:t>
      </w:r>
    </w:p>
    <w:p>
      <w:pPr>
        <w:ind w:firstLine="480"/>
      </w:pPr>
      <w:r>
        <w:rPr>
          <w:rFonts w:hint="eastAsia"/>
        </w:rPr>
        <w:t>近期政府倾注乡村振兴、乡村旅游、生态修复、文化发展等资金，重点引导1</w:t>
      </w:r>
      <w:r>
        <w:t>6</w:t>
      </w:r>
      <w:r>
        <w:rPr>
          <w:rFonts w:hint="eastAsia"/>
        </w:rPr>
        <w:t>个重点民宿培育点。</w:t>
      </w:r>
    </w:p>
    <w:p>
      <w:pPr>
        <w:pStyle w:val="4"/>
        <w:ind w:firstLine="482"/>
      </w:pPr>
      <w:r>
        <w:rPr>
          <w:rFonts w:hint="eastAsia"/>
        </w:rPr>
        <w:t>三、旅游购物体系</w:t>
      </w:r>
    </w:p>
    <w:p>
      <w:pPr>
        <w:ind w:firstLine="480"/>
      </w:pPr>
      <w:r>
        <w:rPr>
          <w:rFonts w:hint="eastAsia"/>
        </w:rPr>
        <w:t>依托兴安盟土特产品及文创工艺，以“品牌化+系列化+规模化+创意化”为路径，开发兴安盟旅游商品，优化购物环境，增强体验式购物氛围。构建购物中心-购物街区-购物点等类型，构建主题化、特色化的多层级购物体系，形成“放心购”便捷购物环境。</w:t>
      </w:r>
    </w:p>
    <w:p>
      <w:pPr>
        <w:ind w:firstLine="480"/>
      </w:pPr>
      <w:r>
        <w:rPr>
          <w:rFonts w:hint="eastAsia"/>
        </w:rPr>
        <w:t>举办“兴安盟时光”巡游市集，引导文创旅游商品使用场景多元化。设计文创旅游定制版的兴安盟特产等，让兴安盟老字号通过文创焕新品牌活力，开展“兴安盟礼物”文创伴手礼研发工程。</w:t>
      </w:r>
    </w:p>
    <w:p>
      <w:pPr>
        <w:pStyle w:val="4"/>
        <w:ind w:firstLine="482"/>
      </w:pPr>
      <w:r>
        <w:rPr>
          <w:rFonts w:hint="eastAsia"/>
        </w:rPr>
        <w:t>四、旅游娱乐体系</w:t>
      </w:r>
    </w:p>
    <w:p>
      <w:pPr>
        <w:ind w:firstLine="480"/>
      </w:pPr>
      <w:r>
        <w:rPr>
          <w:rFonts w:hint="eastAsia"/>
        </w:rPr>
        <w:t>从8小时经济到24小时经济，丰富都市休闲娱乐、冰雪温泉度假、森林探险运动、草原竞技娱乐、民俗文化娱乐5大主题乐游体验。引入旅游大巴、自驾汽车、骑行、水上游船、特色小火车、低空飞行、勒勒车、骑马出行等多种出游交通方式，满足不同人群对交通的需求。</w:t>
      </w:r>
    </w:p>
    <w:p>
      <w:pPr>
        <w:ind w:firstLine="480"/>
      </w:pPr>
      <w:r>
        <w:rPr>
          <w:rFonts w:hint="eastAsia"/>
        </w:rPr>
        <w:t>重点推进冬日游览体验与夜游体验。其中，冬日游览体验依托优质的冰雪资源创新推出高品质、强体验的冰雪产品。优化提升滑雪场品质，打造包含吃、住、行、游、购、娱等多类型的冬日特色体验产品。创新推出森林雪地摩托英雄会、冰雪那达慕、冰雪嘉年华等特色活动及驯鹿雪橇、马拉雪橇、雪上摩托等冬日特色交通体验。夜游体验以“夜购、夜游、夜娱”等夜间经济为主题，面向多元化夜间消费市场，丰富主客共享的文娱大休闲。</w:t>
      </w:r>
    </w:p>
    <w:p>
      <w:pPr>
        <w:pStyle w:val="4"/>
        <w:ind w:firstLine="482"/>
      </w:pPr>
      <w:r>
        <w:rPr>
          <w:rFonts w:hint="eastAsia"/>
        </w:rPr>
        <w:t>五、全季节庆活动体系</w:t>
      </w:r>
    </w:p>
    <w:p>
      <w:pPr>
        <w:ind w:firstLine="480"/>
      </w:pPr>
      <w:r>
        <w:rPr>
          <w:rFonts w:hint="eastAsia"/>
        </w:rPr>
        <w:t>整合兴安盟森林、乡村、文化等资源，围绕乡村文化季、森林文化季、草原体育季、冰雪欢乐季四大主题，构建全季节庆活动体系。以空间延伸、文化增强、业态丰富为手段，丰富夜演出、夜景观、夜住宿、夜休闲等产品，构建2</w:t>
      </w:r>
      <w:r>
        <w:t>4</w:t>
      </w:r>
      <w:r>
        <w:rPr>
          <w:rFonts w:hint="eastAsia"/>
        </w:rPr>
        <w:t>小时活动体系。</w:t>
      </w:r>
    </w:p>
    <w:p>
      <w:pPr>
        <w:pStyle w:val="4"/>
        <w:ind w:firstLine="482"/>
      </w:pPr>
      <w:r>
        <w:rPr>
          <w:rFonts w:hint="eastAsia"/>
        </w:rPr>
        <w:t>六、品牌主题活动体系</w:t>
      </w:r>
    </w:p>
    <w:p>
      <w:pPr>
        <w:ind w:firstLine="480"/>
      </w:pPr>
      <w:r>
        <w:rPr>
          <w:rFonts w:hint="eastAsia"/>
        </w:rPr>
        <w:t>结合“源在兴安”区域公共品牌，结合小兴IP形象，塑造“源来在这里”兴安探索之旅系列，包括以“追风兴安1万里”为主题的自驾生活节、以“生活就要热血沸腾”为主题的冰雪嘉年华、以“过几天躺‘营’的生活”为主题的露营生活节、以“遇见 ，‘泉’新生活”为主题的温泉生活节、以“越夜越精彩，生活不设限”为主题的夜光弄潮节。</w:t>
      </w:r>
    </w:p>
    <w:p>
      <w:pPr>
        <w:pStyle w:val="3"/>
        <w:numPr>
          <w:ilvl w:val="0"/>
          <w:numId w:val="1"/>
        </w:numPr>
      </w:pPr>
      <w:bookmarkStart w:id="120" w:name="_Toc117685251"/>
      <w:bookmarkStart w:id="121" w:name="_Toc141454178"/>
      <w:r>
        <w:rPr>
          <w:rFonts w:hint="eastAsia"/>
        </w:rPr>
        <w:t>旅游相关产业融合</w:t>
      </w:r>
      <w:bookmarkEnd w:id="120"/>
      <w:bookmarkEnd w:id="121"/>
    </w:p>
    <w:p>
      <w:pPr>
        <w:ind w:firstLine="480"/>
      </w:pPr>
      <w:r>
        <w:rPr>
          <w:rFonts w:hint="eastAsia"/>
        </w:rPr>
        <w:t>以农林牧为基、以旅为衣，深入挖掘兴安盟特色产业优势，确定重点引导方向及产业门类。构建“3+4+N”的产旅融合体系。其中“3”是指以林业、农业、畜牧业为主的</w:t>
      </w:r>
      <w:r>
        <w:rPr>
          <w:rFonts w:hint="eastAsia"/>
          <w:bCs/>
        </w:rPr>
        <w:t>传统产业“+旅游”，丰富旅游产品，助推传统产业转型升级；</w:t>
      </w:r>
      <w:r>
        <w:rPr>
          <w:rFonts w:hint="eastAsia"/>
        </w:rPr>
        <w:t>“4”康养产业、文化产业、体育产业、会展产业为主的</w:t>
      </w:r>
      <w:r>
        <w:rPr>
          <w:rFonts w:hint="eastAsia"/>
          <w:bCs/>
        </w:rPr>
        <w:t>新兴产业“旅游+”</w:t>
      </w:r>
      <w:r>
        <w:rPr>
          <w:rFonts w:hint="eastAsia"/>
        </w:rPr>
        <w:t>，拉动新兴产业发展；</w:t>
      </w:r>
      <w:r>
        <w:rPr>
          <w:rFonts w:hint="eastAsia"/>
          <w:bCs/>
        </w:rPr>
        <w:t>“</w:t>
      </w:r>
      <w:r>
        <w:rPr>
          <w:bCs/>
        </w:rPr>
        <w:t>N</w:t>
      </w:r>
      <w:r>
        <w:rPr>
          <w:rFonts w:hint="eastAsia"/>
          <w:bCs/>
        </w:rPr>
        <w:t>”是指兴安盟的其他产业。</w:t>
      </w:r>
    </w:p>
    <w:p>
      <w:pPr>
        <w:pStyle w:val="4"/>
        <w:ind w:firstLine="482"/>
      </w:pPr>
      <w:r>
        <w:rPr>
          <w:rFonts w:hint="eastAsia"/>
        </w:rPr>
        <w:t>一、林业+旅游</w:t>
      </w:r>
    </w:p>
    <w:p>
      <w:pPr>
        <w:ind w:firstLine="480"/>
      </w:pPr>
      <w:r>
        <w:rPr>
          <w:rFonts w:hint="eastAsia"/>
        </w:rPr>
        <w:t>依托兴安盟丰富的森林生态空间，以及林下动植物资源，发展集森林观光、森林保健、森林娱乐、森林运动、森林探险等为一体的特色的森林旅游生态产品矩阵。</w:t>
      </w:r>
    </w:p>
    <w:p>
      <w:pPr>
        <w:ind w:firstLine="480"/>
      </w:pPr>
      <w:r>
        <w:rPr>
          <w:rFonts w:hint="eastAsia"/>
        </w:rPr>
        <w:t>打造林业与观光游乐、民宿、农家乐、休闲度假、生态疗养等林旅融合的体验产品。</w:t>
      </w:r>
    </w:p>
    <w:p>
      <w:pPr>
        <w:ind w:firstLine="480"/>
      </w:pPr>
      <w:r>
        <w:rPr>
          <w:rFonts w:hint="eastAsia"/>
        </w:rPr>
        <w:t>提升“兴安林业”高质量品牌含金量，申报一批国家森林康养基地，提升一批自然保护区、森林公园、湿地公园、林业植物园、野生动物观赏基地等森林“国字号”品牌，培育申报一批国家“森林人家”特色林家乐。</w:t>
      </w:r>
    </w:p>
    <w:p>
      <w:pPr>
        <w:pStyle w:val="4"/>
        <w:ind w:firstLine="482"/>
      </w:pPr>
      <w:r>
        <w:rPr>
          <w:rFonts w:hint="eastAsia"/>
        </w:rPr>
        <w:t>二、农业+旅游</w:t>
      </w:r>
    </w:p>
    <w:p>
      <w:pPr>
        <w:ind w:firstLine="480"/>
      </w:pPr>
      <w:r>
        <w:rPr>
          <w:rFonts w:hint="eastAsia"/>
        </w:rPr>
        <w:t>围绕有机农业品牌化、农业基地庄园化、农业产品旅游化、乡村旅游示范化四大发展方向，依托兴安盟农业产业、稻米产业、农业生态空间等资源，打造一批旅游与文创农业、科普农业、亲子农业、科技农业、养生农业等业态融合的体验产品。</w:t>
      </w:r>
    </w:p>
    <w:p>
      <w:pPr>
        <w:ind w:firstLine="480"/>
      </w:pPr>
      <w:r>
        <w:rPr>
          <w:rFonts w:hint="eastAsia"/>
        </w:rPr>
        <w:t>挖掘策划多个农旅品牌IP，发挥兴安盟稻米品牌好力保IP“好粒宝”的带头示范作用，持续提升“兴安盟大米”品牌影响力，近期将好力保文化旅游景区打造为标杆示范，重点带动兴安稻海、察尔森开心大米等地稻米基地开展文旅融合、创新升级。</w:t>
      </w:r>
    </w:p>
    <w:p>
      <w:pPr>
        <w:ind w:firstLine="480"/>
      </w:pPr>
      <w:r>
        <w:rPr>
          <w:rFonts w:hint="eastAsia"/>
        </w:rPr>
        <w:t>争创一批国家地理标志产品、开发系列农旅商品，提升和创建一批农旅融合品牌项目。</w:t>
      </w:r>
    </w:p>
    <w:p>
      <w:pPr>
        <w:pStyle w:val="4"/>
        <w:ind w:firstLine="482"/>
      </w:pPr>
      <w:r>
        <w:rPr>
          <w:rFonts w:hint="eastAsia"/>
        </w:rPr>
        <w:t>三、畜牧业+旅游</w:t>
      </w:r>
    </w:p>
    <w:p>
      <w:pPr>
        <w:ind w:firstLine="480"/>
      </w:pPr>
      <w:r>
        <w:rPr>
          <w:rFonts w:hint="eastAsia"/>
        </w:rPr>
        <w:t>依托兴安盟自然生长环境及畜牧产品品质，围绕畜牧养殖、乳制品加工、良种繁育销售等产业链条，打造畜牧+赛事节庆、主题科普、休闲度假等牧旅融合的体验产品。</w:t>
      </w:r>
    </w:p>
    <w:p>
      <w:pPr>
        <w:ind w:firstLine="480"/>
        <w:rPr>
          <w:bCs/>
        </w:rPr>
      </w:pPr>
      <w:r>
        <w:rPr>
          <w:rFonts w:hint="eastAsia"/>
          <w:bCs/>
        </w:rPr>
        <w:t>龙头企业引领，放大马产业优势，构建健全的马产业链，从研发（选种）、培育（种植）、加工与运输、交易、竞技等多个方面全面升级马产业链条。</w:t>
      </w:r>
    </w:p>
    <w:p>
      <w:pPr>
        <w:ind w:firstLine="480"/>
        <w:rPr>
          <w:b/>
          <w:bCs/>
        </w:rPr>
      </w:pPr>
      <w:r>
        <w:rPr>
          <w:rFonts w:hint="eastAsia"/>
        </w:rPr>
        <w:t>策划专业化、国际化举办马主题贸易展览，壮大谋划一批“牧主题”节庆活动。打造一批兴安盟畜牧创新旅游商品。</w:t>
      </w:r>
    </w:p>
    <w:p>
      <w:pPr>
        <w:pStyle w:val="4"/>
        <w:ind w:firstLine="482"/>
      </w:pPr>
      <w:r>
        <w:rPr>
          <w:rFonts w:hint="eastAsia"/>
        </w:rPr>
        <w:t>四、旅游+康养产业</w:t>
      </w:r>
    </w:p>
    <w:p>
      <w:pPr>
        <w:ind w:firstLine="480"/>
      </w:pPr>
      <w:r>
        <w:rPr>
          <w:rFonts w:hint="eastAsia"/>
        </w:rPr>
        <w:t>依托森林温泉等生态资源及蒙医药等文化资源，以整合康养资源、培育康养文化、打造康养模式、延伸康养产业等路径，大力发展“温泉+森林+康养+综合体验”产品模式，打造旅游与森林康养、山水养生、运动康养、温泉养生、医药养生相融合的康旅融合体验产品，重点推进阿尔山康养旅游产业发展，打造兴安盟健康产业示范地。</w:t>
      </w:r>
    </w:p>
    <w:p>
      <w:pPr>
        <w:pStyle w:val="4"/>
        <w:ind w:firstLine="482"/>
      </w:pPr>
      <w:r>
        <w:rPr>
          <w:rFonts w:hint="eastAsia"/>
        </w:rPr>
        <w:t>五、旅游+文化产业</w:t>
      </w:r>
    </w:p>
    <w:p>
      <w:pPr>
        <w:ind w:firstLine="480"/>
      </w:pPr>
      <w:r>
        <w:rPr>
          <w:rFonts w:hint="eastAsia"/>
        </w:rPr>
        <w:t>创新文化产业旅游化开发，优先培育研学旅游IP，推动文化艺术资源产业化运营。大力发展民俗文创，推动乡旅文一体化发展。</w:t>
      </w:r>
    </w:p>
    <w:p>
      <w:pPr>
        <w:ind w:firstLine="480"/>
      </w:pPr>
      <w:r>
        <w:rPr>
          <w:rFonts w:hint="eastAsia"/>
        </w:rPr>
        <w:t>加快发展文化演艺，形成主客共享的文化休闲氛围。重点打造文化与研学、文博展览、乡村、文创、活动相融合的文旅体验产品，提质升级兴安盟文化产业内涵，将兴安盟打造成为文化产业兴旺、文旅精品迭出、文旅配套完善的文化旅游融合创新样板城市。</w:t>
      </w:r>
    </w:p>
    <w:p>
      <w:pPr>
        <w:pStyle w:val="4"/>
        <w:ind w:firstLine="482"/>
      </w:pPr>
      <w:r>
        <w:rPr>
          <w:rFonts w:hint="eastAsia"/>
        </w:rPr>
        <w:t>六、旅游+体育产业</w:t>
      </w:r>
    </w:p>
    <w:p>
      <w:pPr>
        <w:ind w:firstLine="480"/>
      </w:pPr>
      <w:r>
        <w:rPr>
          <w:rFonts w:hint="eastAsia"/>
        </w:rPr>
        <w:t>依托冰雪、山地、森林草原等资源，以专项运动引领、品牌赛事引爆、大众运动培育、体育全产业链延伸为方向，创新发展专项运动示范基地、大众户外运动旅游地、体育赛事节庆、体育衍生产业等体旅融合产品。</w:t>
      </w:r>
    </w:p>
    <w:p>
      <w:pPr>
        <w:ind w:firstLine="480"/>
      </w:pPr>
      <w:r>
        <w:rPr>
          <w:rFonts w:hint="eastAsia"/>
        </w:rPr>
        <w:t>促进职业体育、竞技体育与文化、健康、旅游不断融合，走下比赛赛场，走进居民的日常生活中，向大众化方向发展，衍生出新的、多样化的形式，达到健身、健心的休闲发展。</w:t>
      </w:r>
    </w:p>
    <w:p>
      <w:pPr>
        <w:ind w:firstLine="480"/>
      </w:pPr>
      <w:r>
        <w:rPr>
          <w:rFonts w:hint="eastAsia"/>
        </w:rPr>
        <w:t>重点打造阿尔山冰雪运动品牌和科尔沁右翼中旗马产业运动品牌两大体育运动品牌。</w:t>
      </w:r>
    </w:p>
    <w:p>
      <w:pPr>
        <w:pStyle w:val="4"/>
        <w:ind w:firstLine="482"/>
      </w:pPr>
      <w:r>
        <w:rPr>
          <w:rFonts w:hint="eastAsia"/>
        </w:rPr>
        <w:t>七、旅游+会展产业</w:t>
      </w:r>
    </w:p>
    <w:p>
      <w:pPr>
        <w:ind w:firstLine="480"/>
      </w:pPr>
      <w:r>
        <w:rPr>
          <w:rFonts w:hint="eastAsia"/>
        </w:rPr>
        <w:t>以发展会议旅游和举办国际贸易展会为两大抓手，打造兴安盟国际会展旅游，构建兴安盟会展旅游体系，通过创新发展会展旅游融合体验产品，吸引会议、商务客商向都市游客转变。</w:t>
      </w:r>
    </w:p>
    <w:p>
      <w:pPr>
        <w:ind w:firstLine="480"/>
      </w:pPr>
      <w:r>
        <w:rPr>
          <w:rFonts w:hint="eastAsia"/>
        </w:rPr>
        <w:t>塑造以阿尔山为龙头的会展品牌，引进和组织阿尔山国际论坛、国内外文化交流会议以及各类各层次商务会议、旅游会议。</w:t>
      </w:r>
    </w:p>
    <w:p>
      <w:pPr>
        <w:ind w:firstLine="480"/>
      </w:pPr>
      <w:r>
        <w:rPr>
          <w:rFonts w:hint="eastAsia"/>
        </w:rPr>
        <w:t>借力与“一带一路”沿线国家贸易往来，扩大升级国际大米品牌大会、中蒙绿博会等，组织举办农畜产品、蒙中医药等出口展销会、博览会。</w:t>
      </w:r>
    </w:p>
    <w:p>
      <w:pPr>
        <w:widowControl/>
        <w:spacing w:line="240" w:lineRule="auto"/>
        <w:ind w:firstLine="0" w:firstLineChars="0"/>
        <w:jc w:val="left"/>
        <w:rPr>
          <w:rFonts w:eastAsia="黑体"/>
          <w:b/>
          <w:bCs/>
          <w:kern w:val="44"/>
          <w:sz w:val="30"/>
          <w:szCs w:val="44"/>
        </w:rPr>
      </w:pPr>
      <w:r>
        <w:br w:type="page"/>
      </w:r>
    </w:p>
    <w:p>
      <w:pPr>
        <w:pStyle w:val="2"/>
        <w:jc w:val="center"/>
      </w:pPr>
      <w:bookmarkStart w:id="122" w:name="_Toc141454179"/>
      <w:r>
        <w:rPr>
          <w:rFonts w:hint="eastAsia"/>
        </w:rPr>
        <w:t>第十一章</w:t>
      </w:r>
      <w:r>
        <w:t xml:space="preserve"> </w:t>
      </w:r>
      <w:bookmarkStart w:id="123" w:name="_Hlk132362710"/>
      <w:r>
        <w:rPr>
          <w:rFonts w:hint="eastAsia"/>
        </w:rPr>
        <w:t>体制机制与保障体系</w:t>
      </w:r>
      <w:bookmarkEnd w:id="122"/>
    </w:p>
    <w:bookmarkEnd w:id="123"/>
    <w:p>
      <w:pPr>
        <w:pStyle w:val="3"/>
        <w:numPr>
          <w:ilvl w:val="0"/>
          <w:numId w:val="1"/>
        </w:numPr>
      </w:pPr>
      <w:bookmarkStart w:id="124" w:name="_Toc141454180"/>
      <w:bookmarkStart w:id="125" w:name="_Toc117685253"/>
      <w:r>
        <w:rPr>
          <w:rFonts w:hint="eastAsia"/>
        </w:rPr>
        <w:t>体制机制</w:t>
      </w:r>
      <w:bookmarkEnd w:id="124"/>
      <w:bookmarkEnd w:id="125"/>
    </w:p>
    <w:p>
      <w:pPr>
        <w:ind w:firstLine="480"/>
      </w:pPr>
      <w:r>
        <w:rPr>
          <w:rFonts w:hint="eastAsia"/>
        </w:rPr>
        <w:t>完善领导机制加强统筹协调，搭建政府、行业、社会三方互动的旅游综合管理体制。通过党政统筹的领导主体、市场化运营机构以及社会监督与全民参与队伍，构建政府主导、部门联动、行业管理、市场促进的、“全员全参与”式的旅游发展新格局。</w:t>
      </w:r>
    </w:p>
    <w:p>
      <w:pPr>
        <w:ind w:firstLine="482"/>
      </w:pPr>
      <w:r>
        <w:rPr>
          <w:rFonts w:hint="eastAsia"/>
          <w:b/>
        </w:rPr>
        <w:t>党政统筹的领导主体。</w:t>
      </w:r>
      <w:r>
        <w:rPr>
          <w:rFonts w:hint="eastAsia"/>
        </w:rPr>
        <w:t>成立兴安盟文化和旅游高质量发展工作领导小组，建立常态化工作机制，将旅游任务全面落实至主要领导、盟直部门的工作职责中。</w:t>
      </w:r>
    </w:p>
    <w:p>
      <w:pPr>
        <w:ind w:firstLine="482"/>
      </w:pPr>
      <w:r>
        <w:rPr>
          <w:rFonts w:hint="eastAsia"/>
          <w:b/>
        </w:rPr>
        <w:t>市场化的运营机构。</w:t>
      </w:r>
      <w:r>
        <w:rPr>
          <w:rFonts w:hint="eastAsia"/>
        </w:rPr>
        <w:t>集合多元优势资源，通过顶层设计、品牌重塑、产品重组、区域聚合等措施，搭建市场化运营平台，建立文旅产业发展“命运共同体”，实现多方共赢发展。其中，文化旅游集团定位为全盟文化、旅游、体育产业投资、建设、运营平台，负责资源整合、项目投融资和产品建设与运营；业内头部文旅企业聚焦导入IP型业态项目；新型创业企业聚焦孵化培育专项文旅产品。</w:t>
      </w:r>
    </w:p>
    <w:p>
      <w:pPr>
        <w:ind w:firstLine="482"/>
      </w:pPr>
      <w:r>
        <w:rPr>
          <w:rFonts w:hint="eastAsia"/>
          <w:b/>
        </w:rPr>
        <w:t>社会监督与全民参与队伍。</w:t>
      </w:r>
      <w:r>
        <w:rPr>
          <w:rFonts w:hint="eastAsia"/>
        </w:rPr>
        <w:t>建立政府、市民、游客及文旅企业等主体间的协作机制，打造全民参与、全民监督、全民共建共享的旅游环境。其中政府营造良好的营商环境、保障文旅企业的市场化运营；旅游服务商和投资商建设、运营和提供符合市场需求、使游客满意的产品；居民和游客既是兴安盟文旅产业的受益者，也是参与者和见证者，共同推动兴安盟文旅产业持续、健康发展。</w:t>
      </w:r>
    </w:p>
    <w:p>
      <w:pPr>
        <w:pStyle w:val="3"/>
        <w:numPr>
          <w:ilvl w:val="0"/>
          <w:numId w:val="1"/>
        </w:numPr>
      </w:pPr>
      <w:bookmarkStart w:id="126" w:name="_Toc117685255"/>
      <w:bookmarkStart w:id="127" w:name="_Toc141454181"/>
      <w:r>
        <w:rPr>
          <w:rFonts w:hint="eastAsia"/>
        </w:rPr>
        <w:t>资金保障</w:t>
      </w:r>
      <w:bookmarkEnd w:id="126"/>
      <w:bookmarkEnd w:id="127"/>
    </w:p>
    <w:p>
      <w:pPr>
        <w:ind w:firstLine="482"/>
        <w:rPr>
          <w:rFonts w:ascii="宋体" w:hAnsi="宋体" w:eastAsia="宋体"/>
        </w:rPr>
      </w:pPr>
      <w:bookmarkStart w:id="128" w:name="_Hlk130561539"/>
      <w:r>
        <w:rPr>
          <w:rFonts w:hint="eastAsia"/>
          <w:b/>
        </w:rPr>
        <w:t>加大财政资金支持。</w:t>
      </w:r>
      <w:r>
        <w:rPr>
          <w:rFonts w:hint="eastAsia"/>
        </w:rPr>
        <w:t>将文化和旅游事业经费、旅游发展专项资金列入财政预算，建设与经济水平、财政能力相适应的文化和旅游财政资金投入机制，确保资金用于重点旅游项目建设、旅游营销等。针对重点项目，设立文化和旅游发展基金、文化和旅游创新基金、非遗保护基金等专项基金。针对品牌效应较好、具有示范意义的文化和旅游融合发展项目，设立文旅融合发展专项资金。财政支持的方式包括资金扶持、提供贴息贷款或税收优惠。</w:t>
      </w:r>
    </w:p>
    <w:p>
      <w:pPr>
        <w:ind w:firstLine="482"/>
      </w:pPr>
      <w:r>
        <w:rPr>
          <w:rFonts w:hint="eastAsia"/>
          <w:b/>
        </w:rPr>
        <w:t>加强市场化运作方式。</w:t>
      </w:r>
      <w:r>
        <w:rPr>
          <w:rFonts w:hint="eastAsia"/>
        </w:rPr>
        <w:t>积极引入社会资本，建立多渠道多元化筹资机制。鼓励社会企业以股权投资、重组、并购投资等方式开发具有较大潜力、带动效应显著的旅游项目。支持企业通过政府和社会资本合作模式（EPCO）投资、建设、运营项目。</w:t>
      </w:r>
    </w:p>
    <w:bookmarkEnd w:id="128"/>
    <w:p>
      <w:pPr>
        <w:pStyle w:val="3"/>
        <w:numPr>
          <w:ilvl w:val="0"/>
          <w:numId w:val="1"/>
        </w:numPr>
      </w:pPr>
      <w:bookmarkStart w:id="129" w:name="_Toc117685256"/>
      <w:bookmarkStart w:id="130" w:name="_Toc141454182"/>
      <w:r>
        <w:rPr>
          <w:rFonts w:hint="eastAsia"/>
        </w:rPr>
        <w:t>土地保障</w:t>
      </w:r>
      <w:bookmarkEnd w:id="129"/>
      <w:bookmarkEnd w:id="130"/>
    </w:p>
    <w:p>
      <w:pPr>
        <w:ind w:firstLine="482"/>
      </w:pPr>
      <w:r>
        <w:rPr>
          <w:rFonts w:hint="eastAsia"/>
          <w:b/>
          <w:bCs/>
        </w:rPr>
        <w:t>推动农村土地流转。</w:t>
      </w:r>
      <w:r>
        <w:rPr>
          <w:rFonts w:hint="eastAsia"/>
        </w:rPr>
        <w:t>支持以土地流转的方式开发乡村旅游，鼓励社会资本使用农村集体所有土地、林地、草原投资乡村休闲旅游项目。</w:t>
      </w:r>
      <w:r>
        <w:t>加快建立健全农村产权流转交易市场体系，加强土地经营权流转合同管理，推动农村土地经营权规范有序流转。强化农村宅基地管理和改革探索，推进宅基地管理制度化、规范化，在改革试点基础上加快形成可复制推广的制度成果。</w:t>
      </w:r>
    </w:p>
    <w:p>
      <w:pPr>
        <w:ind w:firstLine="482"/>
      </w:pPr>
      <w:r>
        <w:rPr>
          <w:rFonts w:hint="eastAsia"/>
          <w:b/>
          <w:bCs/>
        </w:rPr>
        <w:t>创新土地利用形式。</w:t>
      </w:r>
      <w:r>
        <w:rPr>
          <w:rFonts w:hint="eastAsia"/>
        </w:rPr>
        <w:t>发挥多规合一的土地引导作用，国土空间规划和年度用地计划中优先考虑旅游用地。支持企事业单位利用存量房产、土地资源、自有废弃厂房发展旅游，政策支持农村三荒地旅游项目的开发。</w:t>
      </w:r>
    </w:p>
    <w:p>
      <w:pPr>
        <w:ind w:firstLine="482"/>
      </w:pPr>
      <w:r>
        <w:rPr>
          <w:rFonts w:hint="eastAsia"/>
          <w:b/>
        </w:rPr>
        <w:t>提高土地综合利用率。</w:t>
      </w:r>
      <w:r>
        <w:rPr>
          <w:rFonts w:hint="eastAsia"/>
        </w:rPr>
        <w:t>提质增效现有旅游用地，加强对已开发旅游用地的综合利用。</w:t>
      </w:r>
      <w:r>
        <w:rPr>
          <w:rFonts w:hint="eastAsia"/>
          <w:bCs/>
        </w:rPr>
        <w:t>积极推进土地政策试点，整合低效闲置土地作为旅游接待设施、基础设施用地，优先保障旅游新增用地，支持使用未利用地或废弃地新增旅游用地计划或指标。利用建设用地自办或以土地使用权入股、联营，在现有土地条件下实现土地的多样化利用。</w:t>
      </w:r>
    </w:p>
    <w:p>
      <w:pPr>
        <w:ind w:firstLine="482"/>
      </w:pPr>
      <w:r>
        <w:rPr>
          <w:rFonts w:hint="eastAsia"/>
          <w:b/>
          <w:bCs/>
        </w:rPr>
        <w:t>出台差异化土地政策。</w:t>
      </w:r>
      <w:r>
        <w:rPr>
          <w:rFonts w:hint="eastAsia"/>
        </w:rPr>
        <w:t>梳理现有旅游项目用地性质，实行差异管理，优先保障旅游重点项目用地供给。鼓励以长期租赁、先租后让、租让结合方式供应旅游项目建设用地。</w:t>
      </w:r>
    </w:p>
    <w:p>
      <w:pPr>
        <w:pStyle w:val="3"/>
        <w:numPr>
          <w:ilvl w:val="0"/>
          <w:numId w:val="1"/>
        </w:numPr>
      </w:pPr>
      <w:bookmarkStart w:id="131" w:name="_Toc141454183"/>
      <w:r>
        <w:rPr>
          <w:rFonts w:hint="eastAsia"/>
        </w:rPr>
        <w:t>人才保障</w:t>
      </w:r>
      <w:bookmarkEnd w:id="131"/>
    </w:p>
    <w:p>
      <w:pPr>
        <w:ind w:firstLine="482"/>
      </w:pPr>
      <w:r>
        <w:rPr>
          <w:rFonts w:hint="eastAsia"/>
          <w:b/>
        </w:rPr>
        <w:t>人才引进。</w:t>
      </w:r>
      <w:r>
        <w:rPr>
          <w:rFonts w:hint="eastAsia"/>
        </w:rPr>
        <w:t>出台异地旅游高级人才落户政策。以具备足够吸引力的落户政策吸引旅游高级人才回兴安盟建设旅游。主动加强与首都对接，通过人才交流、异地孵化等方式，将北京人才智力资源“引流”到兴安盟。采取顾问指导、兼职服务、“候鸟式”聘任等方式，加大柔性引才引智力度。</w:t>
      </w:r>
    </w:p>
    <w:p>
      <w:pPr>
        <w:ind w:firstLine="482"/>
      </w:pPr>
      <w:r>
        <w:rPr>
          <w:rFonts w:hint="eastAsia"/>
          <w:b/>
        </w:rPr>
        <w:t>人才培养。</w:t>
      </w:r>
      <w:r>
        <w:rPr>
          <w:rFonts w:hint="eastAsia"/>
        </w:rPr>
        <w:t>加强建立人才的职业标准与资格认证，组织开展专题培训。整合旅游院校文旅企业等专家学者，定期邀请专家学者举办专题培训。企业强化人才培训，主动与知名旅游企业合作，定期开展旅游知识以及旅游技能培训。发挥阿尔山论坛、国家部委帮扶、京蒙帮扶等平台作用，建立高层次人才区域合作交流机制。</w:t>
      </w:r>
    </w:p>
    <w:p>
      <w:pPr>
        <w:ind w:firstLine="482"/>
      </w:pPr>
      <w:r>
        <w:rPr>
          <w:rFonts w:hint="eastAsia"/>
          <w:b/>
        </w:rPr>
        <w:t>人才管理。</w:t>
      </w:r>
      <w:r>
        <w:rPr>
          <w:rFonts w:hint="eastAsia"/>
        </w:rPr>
        <w:t>建立兴安盟旅游人才库。加强部门合作、校企合作，建立具有针对性的旅游人才资源统计体系。加强人才合作，定期邀请相关专家和旅游行业成功经营管理者提供旅游培训和专业指导，鼓励地区人才互换体验。优化旅游人才评价体系，与人才库连接，完善人才信息化建设。</w:t>
      </w:r>
    </w:p>
    <w:p>
      <w:pPr>
        <w:ind w:firstLine="482"/>
      </w:pPr>
      <w:r>
        <w:rPr>
          <w:rFonts w:hint="eastAsia"/>
          <w:b/>
        </w:rPr>
        <w:t>创业引导。</w:t>
      </w:r>
      <w:r>
        <w:rPr>
          <w:rFonts w:hint="eastAsia"/>
        </w:rPr>
        <w:t>吸引优秀企业落地。颁布相关政策，积极推动各类旅游企业在兴安盟落地。建设乡村旅游创业创客基地。设立人才生活津贴、人才子女境内自主择校优惠、培训补贴等政策，引进一批乡村旅游创客人才，形成典型示范效应。</w:t>
      </w:r>
    </w:p>
    <w:p>
      <w:pPr>
        <w:pStyle w:val="3"/>
        <w:numPr>
          <w:ilvl w:val="0"/>
          <w:numId w:val="1"/>
        </w:numPr>
      </w:pPr>
      <w:bookmarkStart w:id="132" w:name="_Toc141454184"/>
      <w:r>
        <w:rPr>
          <w:rFonts w:hint="eastAsia"/>
        </w:rPr>
        <w:t>招商引资保障</w:t>
      </w:r>
      <w:bookmarkEnd w:id="132"/>
    </w:p>
    <w:p>
      <w:pPr>
        <w:ind w:firstLine="482"/>
      </w:pPr>
      <w:r>
        <w:rPr>
          <w:rFonts w:hint="eastAsia"/>
          <w:b/>
          <w:bCs/>
        </w:rPr>
        <w:t>成立全域旅游招商小组。</w:t>
      </w:r>
      <w:r>
        <w:rPr>
          <w:rFonts w:hint="eastAsia"/>
        </w:rPr>
        <w:t>成立兴安盟旅游招商引资工作领导小组，重点负责统筹协调推进重大招商引资项目，规范全盟旅游招商引资秩序，制定旅游招商引资政策、招商目标任务考核等职责。</w:t>
      </w:r>
    </w:p>
    <w:p>
      <w:pPr>
        <w:ind w:firstLine="482"/>
      </w:pPr>
      <w:r>
        <w:rPr>
          <w:rFonts w:hint="eastAsia"/>
          <w:b/>
          <w:bCs/>
        </w:rPr>
        <w:t>完善招商引资服务环境。</w:t>
      </w:r>
      <w:r>
        <w:rPr>
          <w:rFonts w:hint="eastAsia"/>
        </w:rPr>
        <w:t>简化外来投资审批程序，实行企业登记并联审批，建立旅游项目招商申报、审批“绿色通道”机制，严格执行限时办结制，实行一条龙服务、一站式办结。制定全程服务制度，按项目属地管理原则，对重点旅游项目实行“一个重大项目、一名领导牵头、一套班子服务、一套方案管理、一抓到底”的推进机制。针对兴安盟旅游重大项目，给予土地储备、农转用指标、项目审批、基础设施配套、公共服务配套等要素的保障。</w:t>
      </w:r>
    </w:p>
    <w:p>
      <w:pPr>
        <w:ind w:firstLine="482"/>
      </w:pPr>
      <w:r>
        <w:rPr>
          <w:rFonts w:hint="eastAsia"/>
          <w:b/>
          <w:bCs/>
        </w:rPr>
        <w:t>优化旅游招商项目引导。</w:t>
      </w:r>
      <w:r>
        <w:rPr>
          <w:rFonts w:hint="eastAsia"/>
        </w:rPr>
        <w:t>优化旅游招商项目引导，面向市场需求、消费热点，鼓励对传统文化产业类、户外营地类、康体养生类、冰雪运动类、精品住宿接待类、品质化休闲农业类等项目的招商。提高旅游项目招商“技术性门槛”，成立旅游企业招商评估机制，制定文化旅游产业发展引导手册，设立旅游企业招商正负面清单。</w:t>
      </w:r>
      <w:r>
        <w:br w:type="page"/>
      </w:r>
    </w:p>
    <w:p>
      <w:pPr>
        <w:pStyle w:val="2"/>
        <w:jc w:val="center"/>
      </w:pPr>
      <w:bookmarkStart w:id="133" w:name="_Toc118461639"/>
      <w:bookmarkStart w:id="134" w:name="_Toc141454185"/>
      <w:r>
        <w:rPr>
          <w:rFonts w:hint="eastAsia"/>
        </w:rPr>
        <w:t>第十二章 旅游发展三年行动计划</w:t>
      </w:r>
      <w:bookmarkEnd w:id="133"/>
      <w:bookmarkEnd w:id="134"/>
    </w:p>
    <w:p>
      <w:pPr>
        <w:pStyle w:val="3"/>
        <w:numPr>
          <w:ilvl w:val="0"/>
          <w:numId w:val="1"/>
        </w:numPr>
      </w:pPr>
      <w:bookmarkStart w:id="135" w:name="_Toc118461640"/>
      <w:bookmarkStart w:id="136" w:name="_Toc141454186"/>
      <w:r>
        <w:rPr>
          <w:rFonts w:hint="eastAsia"/>
        </w:rPr>
        <w:t>发展重点</w:t>
      </w:r>
      <w:bookmarkEnd w:id="135"/>
      <w:bookmarkEnd w:id="136"/>
    </w:p>
    <w:p>
      <w:pPr>
        <w:ind w:firstLine="480"/>
        <w:rPr>
          <w:bCs/>
        </w:rPr>
      </w:pPr>
      <w:bookmarkStart w:id="137" w:name="_Hlk132362879"/>
      <w:r>
        <w:rPr>
          <w:rFonts w:hint="eastAsia"/>
          <w:bCs/>
        </w:rPr>
        <w:t>实施“215”旅游高质量发展三年行动战略计划，重点打造2个发展极，推动阿尔山龙头引领计划、草原城市共建计划；推行1个路游公园计划；推进全业态融合示范工程，全要素高质量提升工程，公共服务体系提升工程、全季发展品牌营销工程、体制机制创新改革工程5项重点工程建设工作。</w:t>
      </w:r>
    </w:p>
    <w:bookmarkEnd w:id="137"/>
    <w:p>
      <w:pPr>
        <w:pStyle w:val="3"/>
        <w:numPr>
          <w:ilvl w:val="0"/>
          <w:numId w:val="1"/>
        </w:numPr>
      </w:pPr>
      <w:bookmarkStart w:id="138" w:name="_Toc118461641"/>
      <w:bookmarkStart w:id="139" w:name="_Toc141454187"/>
      <w:r>
        <w:rPr>
          <w:rFonts w:hint="eastAsia"/>
        </w:rPr>
        <w:t>行动目标</w:t>
      </w:r>
      <w:bookmarkEnd w:id="138"/>
      <w:bookmarkEnd w:id="139"/>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遵循“215”战略计划，对应2023-2025年全盟旅游发展工作重点，结合兴安盟经济社会发展进程，依托2022年兴安盟项目建设基础，通过一年优基础、树品牌（2023），两年见成效、丰产品（2024），三年大变样、强融合（2025），实现文旅品牌全面打响、文旅产品能级显著提升、文旅服务水平全面升级的文旅产业格局，将兴安盟打造成为国家全域旅游示范区、中国北方知名的自驾游目的地、中国全景畅游度假目的地。力争三年规划期末实现接待国内外游客2066.04万人次/年，旅游综合年收入达到268.58亿元。 </w:t>
      </w:r>
    </w:p>
    <w:p>
      <w:pPr>
        <w:pStyle w:val="3"/>
        <w:numPr>
          <w:ilvl w:val="0"/>
          <w:numId w:val="1"/>
        </w:numPr>
      </w:pPr>
      <w:bookmarkStart w:id="140" w:name="_Toc141454188"/>
      <w:r>
        <w:rPr>
          <w:rFonts w:hint="eastAsia"/>
        </w:rPr>
        <w:t>行动部署</w:t>
      </w:r>
      <w:bookmarkEnd w:id="140"/>
    </w:p>
    <w:p>
      <w:pPr>
        <w:ind w:firstLine="480"/>
      </w:pPr>
      <w:r>
        <w:rPr>
          <w:rFonts w:hint="eastAsia"/>
        </w:rPr>
        <w:t>着力落实旅游规划，做精旅游产品、做响旅游品牌、做优旅游环境，完善全域旅游高质量产品和服务供给，推动两个发展极的建设工作。</w:t>
      </w:r>
    </w:p>
    <w:p>
      <w:pPr>
        <w:pStyle w:val="4"/>
        <w:ind w:firstLine="482"/>
        <w:rPr>
          <w:b w:val="0"/>
          <w:bCs w:val="0"/>
        </w:rPr>
      </w:pPr>
      <w:r>
        <w:rPr>
          <w:rFonts w:hint="eastAsia"/>
        </w:rPr>
        <w:t>一、2 个发展极</w:t>
      </w:r>
    </w:p>
    <w:p>
      <w:pPr>
        <w:pStyle w:val="37"/>
        <w:ind w:firstLine="480"/>
      </w:pPr>
      <w:bookmarkStart w:id="141" w:name="_Hlk131517981"/>
      <w:r>
        <w:rPr>
          <w:rFonts w:hint="eastAsia"/>
        </w:rPr>
        <w:t>以阿尔山市和乌兰浩特市做为兴安盟文旅发展的两极。</w:t>
      </w:r>
      <w:bookmarkEnd w:id="141"/>
      <w:r>
        <w:rPr>
          <w:rFonts w:hint="eastAsia"/>
        </w:rPr>
        <w:t>着</w:t>
      </w:r>
      <w:r>
        <w:rPr>
          <w:rFonts w:hint="eastAsia" w:ascii="Times New Roman" w:hAnsi="Times New Roman" w:cs="Times New Roman"/>
        </w:rPr>
        <w:t>力推动</w:t>
      </w:r>
      <w:r>
        <w:rPr>
          <w:rFonts w:hint="eastAsia"/>
        </w:rPr>
        <w:t>阿尔山龙头引领计划、草原城市共建计划，</w:t>
      </w:r>
      <w:r>
        <w:rPr>
          <w:rFonts w:hint="eastAsia" w:ascii="Times New Roman" w:hAnsi="Times New Roman" w:cs="Times New Roman"/>
        </w:rPr>
        <w:t>丰富产品业态，</w:t>
      </w:r>
      <w:r>
        <w:rPr>
          <w:rFonts w:hint="eastAsia"/>
        </w:rPr>
        <w:t>强化目的地的独特性，提高目的地的吸引力，增加游客的二次消费，提高旅游者的重游率，进一步提升兴安盟旅游产品品质</w:t>
      </w:r>
      <w:r>
        <w:rPr>
          <w:rFonts w:hint="eastAsia" w:ascii="Times New Roman" w:hAnsi="Times New Roman" w:cs="Times New Roman"/>
        </w:rPr>
        <w:t>。</w:t>
      </w:r>
      <w:r>
        <w:rPr>
          <w:rFonts w:hint="eastAsia"/>
          <w:bCs/>
        </w:rPr>
        <w:t>阿尔山市打造国家级旅游度假区</w:t>
      </w:r>
      <w:r>
        <w:rPr>
          <w:rFonts w:hint="eastAsia"/>
        </w:rPr>
        <w:t>，谋划森林主题、温泉主题项目、冰雪主题项目群；着力设计与推广阿尔山文创商品；谋划特色体验线路，依托阿尔山林区原有运输轨道、打造4条盟级“森林脉动火车之旅”旅游小火车线路；升级一批特色旅游项目，重点完成白狼镇华润希望小镇、热力MALL农创美食公园、鹿村度假公园的建设，加快口岸景区基础设施提升和五岔沟镇林旅商品开发工作。</w:t>
      </w:r>
    </w:p>
    <w:p>
      <w:pPr>
        <w:pStyle w:val="37"/>
        <w:ind w:firstLine="480"/>
      </w:pPr>
      <w:r>
        <w:rPr>
          <w:rFonts w:hint="eastAsia"/>
          <w:bCs/>
        </w:rPr>
        <w:t>乌兰浩特市</w:t>
      </w:r>
      <w:r>
        <w:rPr>
          <w:rFonts w:hint="eastAsia"/>
        </w:rPr>
        <w:t>优先推进“草原第一站”集散体系创新升级，重点打造草原项目，并与乌兰浩特市区进行联动，形成草原城市环游，共塑草原城市休闲新空间与城市迎客窗口，重点完成科尔沁塔拉城中草原的建设工作，建设科技馆、美食街、水上乐园、垂钓竞技比赛、无动力乐园等。打造1条洮儿河湿地画廊，完成沿线神骏湾田园综合体、兴安稻海公园项目的升级工作；提升全域文化旅游产品竞争力，完善“全时”旅游产品体系，进一步推进红色马镇——葛根庙建设，重点建设葛根庙庙前特色美食街、民宿及游乐园项目；成庙-罕山国家景区创建国家5A级旅游景区；继续推进三合民俗风情步行街、啤酒夜经济网红打卡美食街等街区的优化提升；设计开发“一馆十址”红色记忆教育游和“811”葛根庙红色研学体验游2条红色精品游线，策划研学活动；推动乌兰浩特室内滑雪场（大黑山）、恩歌山滑雪场建设。</w:t>
      </w:r>
    </w:p>
    <w:p>
      <w:pPr>
        <w:pStyle w:val="4"/>
        <w:ind w:firstLine="482"/>
        <w:rPr>
          <w:rFonts w:ascii="仿宋" w:hAnsi="仿宋"/>
          <w:b w:val="0"/>
          <w:bCs w:val="0"/>
        </w:rPr>
      </w:pPr>
      <w:r>
        <w:rPr>
          <w:rFonts w:hint="eastAsia" w:ascii="仿宋" w:hAnsi="仿宋"/>
        </w:rPr>
        <w:t>二、1 个路游公园</w:t>
      </w:r>
    </w:p>
    <w:p>
      <w:pPr>
        <w:ind w:firstLine="480"/>
      </w:pPr>
      <w:r>
        <w:rPr>
          <w:rFonts w:hint="eastAsia"/>
          <w:bCs/>
        </w:rPr>
        <w:t>由盟里统一领导，</w:t>
      </w:r>
      <w:r>
        <w:rPr>
          <w:rFonts w:hint="eastAsia"/>
        </w:rPr>
        <w:t>完成</w:t>
      </w:r>
      <w:r>
        <w:rPr>
          <w:rFonts w:hint="eastAsia"/>
          <w:bCs/>
        </w:rPr>
        <w:t>兴安北线</w:t>
      </w:r>
      <w:r>
        <w:rPr>
          <w:rFonts w:hint="eastAsia"/>
        </w:rPr>
        <w:t>、</w:t>
      </w:r>
      <w:r>
        <w:rPr>
          <w:rFonts w:hint="eastAsia"/>
          <w:bCs/>
        </w:rPr>
        <w:t>兴安中线</w:t>
      </w:r>
      <w:r>
        <w:rPr>
          <w:rFonts w:hint="eastAsia"/>
        </w:rPr>
        <w:t>、</w:t>
      </w:r>
      <w:r>
        <w:rPr>
          <w:rFonts w:hint="eastAsia"/>
          <w:bCs/>
        </w:rPr>
        <w:t>兴安南线</w:t>
      </w:r>
      <w:r>
        <w:rPr>
          <w:rFonts w:hint="eastAsia"/>
        </w:rPr>
        <w:t>三条旅游黄金游线的风貌整治、景观设置、平台建设及线路推广工作。优先</w:t>
      </w:r>
      <w:r>
        <w:rPr>
          <w:rFonts w:hint="eastAsia"/>
          <w:bCs/>
        </w:rPr>
        <w:t>提升兴安一号公路，主要建设入口节点、限速标识、厕所/住宿标识、指引标识、温馨提示等基础设施项目</w:t>
      </w:r>
      <w:r>
        <w:rPr>
          <w:rFonts w:hint="eastAsia"/>
        </w:rPr>
        <w:t>。</w:t>
      </w:r>
      <w:r>
        <w:rPr>
          <w:rFonts w:hint="eastAsia"/>
          <w:bCs/>
        </w:rPr>
        <w:t>结合线路完善兴安盟路游公园特色驿站体系</w:t>
      </w:r>
      <w:r>
        <w:rPr>
          <w:rFonts w:hint="eastAsia"/>
        </w:rPr>
        <w:t>，</w:t>
      </w:r>
      <w:r>
        <w:rPr>
          <w:rFonts w:hint="eastAsia"/>
          <w:bCs/>
        </w:rPr>
        <w:t>完成6大集散中心、31个驿站、12个营地的提升与建设工作。谋划10段最美兴安观景线路，设置观景平台,用美景汇聚目光；并加强指示标牌、停车场等服务设施建设及最美线路营销推广。结合三条旅游</w:t>
      </w:r>
      <w:r>
        <w:rPr>
          <w:rFonts w:hint="eastAsia"/>
        </w:rPr>
        <w:t>黄金游线不同的特点，设置具有线路特色的旅游产品，兴安北线以阿尔山和乌兰浩特市两大吸引力核心和集散核心为起始点，线路包含城市、森林、温泉、冰雪、河谷、湿地、稻香等景观风貌，途径扎赉特旗，结合资源特色及已建、在建项目，重点打造秘境山水主题特色产品；兴安中线为</w:t>
      </w:r>
      <w:r>
        <w:rPr>
          <w:rFonts w:hint="eastAsia"/>
          <w:bCs/>
        </w:rPr>
        <w:t>乌兰浩特市至阿尔山市必经之路</w:t>
      </w:r>
      <w:r>
        <w:rPr>
          <w:rFonts w:hint="eastAsia"/>
        </w:rPr>
        <w:t>，以</w:t>
      </w:r>
      <w:r>
        <w:rPr>
          <w:rFonts w:hint="eastAsia"/>
          <w:bCs/>
        </w:rPr>
        <w:t>草原风情集中体验地为目标</w:t>
      </w:r>
      <w:r>
        <w:rPr>
          <w:rFonts w:hint="eastAsia"/>
        </w:rPr>
        <w:t>，沿线重点打造草原度假、草原观光、民族风情为主题的线路产品；兴安南线途径科右中旗、突泉县，彰显疏林草原、枫林马镇、乡村田园特色，打造适合美拍打卡、生态度假、乡村休闲的旅游产品。</w:t>
      </w:r>
    </w:p>
    <w:p>
      <w:pPr>
        <w:pStyle w:val="4"/>
        <w:ind w:firstLine="482"/>
        <w:rPr>
          <w:rFonts w:ascii="仿宋" w:hAnsi="仿宋"/>
          <w:b w:val="0"/>
          <w:bCs w:val="0"/>
        </w:rPr>
      </w:pPr>
      <w:r>
        <w:rPr>
          <w:rFonts w:hint="eastAsia" w:ascii="仿宋" w:hAnsi="仿宋"/>
        </w:rPr>
        <w:t>三、5 大重点建设工程</w:t>
      </w:r>
    </w:p>
    <w:p>
      <w:pPr>
        <w:ind w:firstLine="482"/>
      </w:pPr>
      <w:r>
        <w:rPr>
          <w:rFonts w:hint="eastAsia"/>
          <w:b/>
        </w:rPr>
        <w:t>全业态融合示范工程。</w:t>
      </w:r>
      <w:r>
        <w:rPr>
          <w:rFonts w:hint="eastAsia"/>
          <w:bCs/>
        </w:rPr>
        <w:t>深入挖掘兴安盟特色产业优势，促进与旅游生产融合、功能融合、业态融合</w:t>
      </w:r>
      <w:r>
        <w:rPr>
          <w:rFonts w:hint="eastAsia"/>
        </w:rPr>
        <w:t>。重点推动农业、林业、畜牧业三大产业“+旅游”</w:t>
      </w:r>
      <w:r>
        <w:rPr>
          <w:rFonts w:hint="eastAsia"/>
          <w:bCs/>
        </w:rPr>
        <w:t>，助推传统产业转型升级，重点发展兴安盟绿色有机农业、林业、畜牧业与旅游的结合。</w:t>
      </w:r>
      <w:r>
        <w:rPr>
          <w:rFonts w:hint="eastAsia"/>
        </w:rPr>
        <w:t>加大文化产业、康养产业、体育产业、会展产业四大产业</w:t>
      </w:r>
      <w:r>
        <w:rPr>
          <w:rFonts w:hint="eastAsia"/>
          <w:bCs/>
        </w:rPr>
        <w:t>“旅游+”，丰富旅游业态，拉动新兴产业发展。</w:t>
      </w:r>
      <w:r>
        <w:rPr>
          <w:rFonts w:hint="eastAsia"/>
        </w:rPr>
        <w:t>用优势产业来孵化旅游产业，用旅游产业来提升既有产业，将旅游业建设成为兴安盟可持续发展的支柱产业。</w:t>
      </w:r>
    </w:p>
    <w:p>
      <w:pPr>
        <w:ind w:firstLine="482"/>
        <w:rPr>
          <w:b/>
        </w:rPr>
      </w:pPr>
      <w:r>
        <w:rPr>
          <w:rFonts w:hint="eastAsia"/>
          <w:b/>
          <w:bCs/>
        </w:rPr>
        <w:t>全要素高质量提升工程。</w:t>
      </w:r>
      <w:r>
        <w:rPr>
          <w:rFonts w:hint="eastAsia"/>
        </w:rPr>
        <w:t>着力推进文化和旅游供给侧结构性改革，进一步优化文化和旅游产业结构，实施品牌提升、产品提升、基础设施提升计划，培育新的增长点，不断提升兴安盟文化和旅游竞争力。打响兴安盟美食品牌、积极发展旅游购物、完善多元住宿设施、谋划旅游精品线路、增育夜间旅游产品、大力发展城市旅游。</w:t>
      </w:r>
    </w:p>
    <w:p>
      <w:pPr>
        <w:ind w:firstLine="482"/>
      </w:pPr>
      <w:r>
        <w:rPr>
          <w:rFonts w:hint="eastAsia"/>
          <w:b/>
        </w:rPr>
        <w:t>公共服务体系提升工程。</w:t>
      </w:r>
      <w:r>
        <w:rPr>
          <w:rFonts w:hint="eastAsia"/>
        </w:rPr>
        <w:t>以交通先行、服务跃升为主导，确立旅游交通枢纽地位，优化一批国内航线，增加北京、上海、杭州、南京、成都、郑州至乌兰浩特、阿尔山航班，积极争取乌兰浩特至阿尔山试点航线，打造“乌阿海满”旅游航空圈；完善旅游综合交通系统，主要包括建设旅游标准化公路、发展“落地自驾、异地还车”自驾车租赁网络、谋划旅游直通车线路，发展特色交通体验方式、完善旅游标识标牌建设等工作；构建“2+4+N”多层次游客服务集散体系，包括提升乌兰浩特旅游综合服务中心和阿尔山旅游集散中心2个一级区域旅游集散中心、新增和提升4个二级游客中心、优化三级游客中心；构建“1+3+1+N”的智慧旅游平台，主要包括一个大数据中心、三项基础支撑、一个大平台、N项应用；优化旅游服务环境，新建并升级一批旅游厕所。</w:t>
      </w:r>
    </w:p>
    <w:p>
      <w:pPr>
        <w:ind w:firstLine="482"/>
        <w:rPr>
          <w:b/>
          <w:bCs/>
        </w:rPr>
      </w:pPr>
      <w:r>
        <w:rPr>
          <w:rFonts w:hint="eastAsia"/>
          <w:b/>
          <w:bCs/>
        </w:rPr>
        <w:t>全季发展品牌营销工程</w:t>
      </w:r>
      <w:r>
        <w:rPr>
          <w:rFonts w:hint="eastAsia"/>
        </w:rPr>
        <w:t>。围绕构建新品牌形象识别系统、打开市场认知新形象，打响“兴安岭上兴安盟”区域公共品牌，定位、口号、形象、产品体系全媒体渠道焕新升级，作为兴安盟文化旅游的身份认同标识，结合自驾市场群体、围绕兴游牧联盟进行推广。设计并推广“兴标”和IP形象“小兴”，推进兴安盟文创产品“我把兴安盟送给你”及阿尔山文创商品开发；结合品牌口号，围绕“与山盟 与水盟 与兴安盟”形象口号及IP形象“小兴”搭建IP品牌内容。通过一场新品牌发布会、一个新品牌宣传片、一套IP导视导览系统、一套新品牌VI系统以及一系列新品牌宣传物料促进品牌形象统一；通过一个兴安盟IP原生故事、一系列IP文创产品、一系列IP表情包搭建品牌内容矩阵；通过IP文创空间和一系列IP网红打卡点的设计实现IP场景氛围的营造；结合“源在兴安”区域公共品牌，结合小兴IP形象，塑造“源来在这里”兴安探索之旅系列，包括以“追风兴安1万里”为主题的自驾生活节、以“生活就要热血沸腾”为主题的冰雪嘉年华、以“过几天躺‘营’的生活”为主题的露营生活节、以“遇见，‘泉’新生活”为主题的温泉生活节、以“越夜越精彩，生活不设限”为主题的夜光弄潮节。同时进一步完善四季旅游节庆的打造，统筹组织起乡村文化节、森林文化节、草原体育节、冰雪欢乐节等系列活动，并在每个节庆中安排3~6项具体活动内容；</w:t>
      </w:r>
      <w:r>
        <w:rPr>
          <w:rFonts w:hint="eastAsia"/>
          <w:bCs/>
        </w:rPr>
        <w:t>建立完善的营销体系，线上围绕“与山盟 与水盟 与兴安盟”品牌体系及“小兴”品牌IP形象，打造互联网传播阵地基础内容。运用新媒体内容矩阵，重点聚焦抖音/Vlog的应用，依托专业团队，为兴安盟文旅提供持续内容运营，精准触达目标客群。兴趣电商+OTA双通道，实现流量的多元高效转化，并通过私域运营，沉淀品牌长线资产。线下，整合传统纸媒、电视媒体、网络新媒体、户外媒体等四大传统媒体，以及旅游体验师、视频网站、移动端、社交媒体等新媒体，全面搭建全媒体营销系统。</w:t>
      </w:r>
    </w:p>
    <w:p>
      <w:pPr>
        <w:ind w:firstLine="482"/>
      </w:pPr>
      <w:r>
        <w:rPr>
          <w:rFonts w:hint="eastAsia"/>
          <w:b/>
          <w:bCs/>
        </w:rPr>
        <w:t>机制体制创新改革工程</w:t>
      </w:r>
      <w:r>
        <w:rPr>
          <w:rFonts w:hint="eastAsia"/>
        </w:rPr>
        <w:t>。以旅游高质量发展为核心，搭建政府、行业、社会三方互动的旅游综合管理体制，完善领导机制，加强统筹协调，培育现代文化旅游市场主体，引导全民参与推进共建共享，积极构建“全员全参与”式文化和旅游产业发展新局面；并出台资金保障、土地保障、人才保障、招商引资保障等</w:t>
      </w:r>
      <w:r>
        <w:rPr>
          <w:rFonts w:hint="eastAsia"/>
          <w:bCs/>
        </w:rPr>
        <w:t>系列保障措施</w:t>
      </w:r>
      <w:r>
        <w:rPr>
          <w:rFonts w:hint="eastAsia"/>
        </w:rPr>
        <w:t>。</w:t>
      </w:r>
    </w:p>
    <w:p>
      <w:pPr>
        <w:pStyle w:val="37"/>
        <w:ind w:firstLine="482"/>
        <w:rPr>
          <w:b/>
        </w:rPr>
        <w:sectPr>
          <w:pgSz w:w="11906" w:h="16838"/>
          <w:pgMar w:top="1440" w:right="1797" w:bottom="1440" w:left="1797" w:header="851" w:footer="992" w:gutter="0"/>
          <w:pgNumType w:start="1"/>
          <w:cols w:space="425" w:num="1"/>
          <w:docGrid w:type="lines" w:linePitch="326" w:charSpace="0"/>
        </w:sectPr>
      </w:pPr>
    </w:p>
    <w:p>
      <w:pPr>
        <w:pStyle w:val="2"/>
      </w:pPr>
      <w:bookmarkStart w:id="142" w:name="_Toc141454189"/>
      <w:r>
        <w:rPr>
          <w:rFonts w:hint="eastAsia"/>
        </w:rPr>
        <w:t>附表1：项目品牌创建表</w:t>
      </w:r>
      <w:bookmarkEnd w:id="142"/>
    </w:p>
    <w:p>
      <w:pPr>
        <w:ind w:firstLine="0" w:firstLineChars="0"/>
        <w:jc w:val="center"/>
      </w:pPr>
      <w:r>
        <w:rPr>
          <w:rFonts w:hint="eastAsia"/>
          <w:b/>
          <w:bCs/>
        </w:rPr>
        <w:t>全国文化产业赋能乡村振兴试点</w:t>
      </w:r>
      <w:r>
        <w:rPr>
          <w:rFonts w:hint="eastAsia"/>
          <w:b/>
          <w:bCs/>
          <w:i/>
          <w:iCs/>
        </w:rPr>
        <w:t xml:space="preserve">2 </w:t>
      </w:r>
      <w:r>
        <w:rPr>
          <w:rFonts w:hint="eastAsia"/>
          <w:b/>
          <w:bCs/>
        </w:rPr>
        <w:t>处，国家文旅融合产业发展示范区</w:t>
      </w:r>
      <w:r>
        <w:rPr>
          <w:rFonts w:hint="eastAsia"/>
          <w:b/>
          <w:bCs/>
          <w:i/>
          <w:iCs/>
        </w:rPr>
        <w:t xml:space="preserve">1 </w:t>
      </w:r>
      <w:r>
        <w:rPr>
          <w:rFonts w:hint="eastAsia"/>
          <w:b/>
          <w:bCs/>
        </w:rPr>
        <w:t>个，跨境旅游合作区</w:t>
      </w:r>
      <w:r>
        <w:rPr>
          <w:rFonts w:hint="eastAsia"/>
          <w:b/>
          <w:bCs/>
          <w:i/>
          <w:iCs/>
        </w:rPr>
        <w:t xml:space="preserve">1 </w:t>
      </w:r>
      <w:r>
        <w:rPr>
          <w:rFonts w:hint="eastAsia"/>
          <w:b/>
          <w:bCs/>
        </w:rPr>
        <w:t>个</w:t>
      </w:r>
    </w:p>
    <w:tbl>
      <w:tblPr>
        <w:tblStyle w:val="40"/>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9"/>
        <w:gridCol w:w="1884"/>
        <w:gridCol w:w="706"/>
        <w:gridCol w:w="707"/>
        <w:gridCol w:w="8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1"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品牌</w:t>
            </w:r>
          </w:p>
        </w:tc>
        <w:tc>
          <w:tcPr>
            <w:tcW w:w="709"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1884" w:type="dxa"/>
            <w:vMerge w:val="restart"/>
          </w:tcPr>
          <w:p>
            <w:pPr>
              <w:spacing w:line="240" w:lineRule="auto"/>
              <w:ind w:firstLine="0" w:firstLineChars="0"/>
              <w:jc w:val="center"/>
              <w:rPr>
                <w:rFonts w:ascii="仿宋" w:hAnsi="仿宋"/>
                <w:sz w:val="21"/>
                <w:szCs w:val="21"/>
              </w:rPr>
            </w:pPr>
            <w:r>
              <w:rPr>
                <w:rFonts w:hint="eastAsia" w:ascii="微软雅黑" w:hAnsi="微软雅黑" w:eastAsiaTheme="minorEastAsia"/>
                <w:b/>
                <w:bCs/>
                <w:color w:val="FFFFFF" w:themeColor="background1"/>
                <w:sz w:val="20"/>
                <w:szCs w:val="20"/>
                <w14:textFill>
                  <w14:solidFill>
                    <w14:schemeClr w14:val="bg1"/>
                  </w14:solidFill>
                </w14:textFill>
              </w:rPr>
              <w:t>旗</w:t>
            </w:r>
            <w:r>
              <w:rPr>
                <w:rFonts w:hint="eastAsia" w:ascii="仿宋" w:hAnsi="仿宋"/>
                <w:sz w:val="21"/>
                <w:szCs w:val="21"/>
              </w:rPr>
              <w:t>旗县名称</w:t>
            </w:r>
          </w:p>
        </w:tc>
        <w:tc>
          <w:tcPr>
            <w:tcW w:w="1413" w:type="dxa"/>
            <w:gridSpan w:val="2"/>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888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1" w:type="dxa"/>
            <w:vMerge w:val="continue"/>
          </w:tcPr>
          <w:p>
            <w:pPr>
              <w:spacing w:line="240" w:lineRule="auto"/>
              <w:ind w:firstLine="0" w:firstLineChars="0"/>
              <w:jc w:val="center"/>
              <w:rPr>
                <w:rFonts w:ascii="仿宋" w:hAnsi="仿宋"/>
                <w:sz w:val="21"/>
                <w:szCs w:val="21"/>
              </w:rPr>
            </w:pPr>
          </w:p>
        </w:tc>
        <w:tc>
          <w:tcPr>
            <w:tcW w:w="709" w:type="dxa"/>
            <w:vMerge w:val="continue"/>
          </w:tcPr>
          <w:p>
            <w:pPr>
              <w:spacing w:line="240" w:lineRule="auto"/>
              <w:ind w:firstLine="0" w:firstLineChars="0"/>
              <w:jc w:val="center"/>
              <w:rPr>
                <w:rFonts w:ascii="仿宋" w:hAnsi="仿宋"/>
                <w:sz w:val="21"/>
                <w:szCs w:val="21"/>
              </w:rPr>
            </w:pPr>
          </w:p>
        </w:tc>
        <w:tc>
          <w:tcPr>
            <w:tcW w:w="1884" w:type="dxa"/>
            <w:vMerge w:val="continue"/>
          </w:tcPr>
          <w:p>
            <w:pPr>
              <w:spacing w:line="240" w:lineRule="auto"/>
              <w:ind w:firstLine="0" w:firstLineChars="0"/>
              <w:jc w:val="center"/>
              <w:rPr>
                <w:rFonts w:ascii="仿宋" w:hAnsi="仿宋"/>
                <w:sz w:val="21"/>
                <w:szCs w:val="21"/>
              </w:rPr>
            </w:pPr>
          </w:p>
        </w:tc>
        <w:tc>
          <w:tcPr>
            <w:tcW w:w="706" w:type="dxa"/>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07" w:type="dxa"/>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8888" w:type="dxa"/>
            <w:vMerge w:val="continue"/>
          </w:tcPr>
          <w:p>
            <w:pPr>
              <w:spacing w:line="240" w:lineRule="auto"/>
              <w:ind w:firstLine="0" w:firstLineChars="0"/>
              <w:jc w:val="cente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71"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全国文化产业赋能乡村振兴试点</w:t>
            </w:r>
          </w:p>
          <w:p>
            <w:pPr>
              <w:spacing w:line="240" w:lineRule="auto"/>
              <w:ind w:firstLine="0" w:firstLineChars="0"/>
              <w:jc w:val="center"/>
              <w:rPr>
                <w:rFonts w:ascii="仿宋" w:hAnsi="仿宋"/>
                <w:sz w:val="21"/>
                <w:szCs w:val="21"/>
              </w:rPr>
            </w:pPr>
            <w:r>
              <w:rPr>
                <w:rFonts w:hint="eastAsia" w:ascii="仿宋" w:hAnsi="仿宋"/>
                <w:sz w:val="21"/>
                <w:szCs w:val="21"/>
              </w:rPr>
              <w:t>（2个）</w:t>
            </w:r>
          </w:p>
        </w:tc>
        <w:tc>
          <w:tcPr>
            <w:tcW w:w="709"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884" w:type="dxa"/>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7" w:type="dxa"/>
          </w:tcPr>
          <w:p>
            <w:pPr>
              <w:spacing w:line="240" w:lineRule="auto"/>
              <w:ind w:firstLine="0" w:firstLineChars="0"/>
              <w:jc w:val="left"/>
              <w:rPr>
                <w:rFonts w:ascii="仿宋" w:hAnsi="仿宋"/>
                <w:sz w:val="21"/>
                <w:szCs w:val="21"/>
              </w:rPr>
            </w:pPr>
            <w:r>
              <w:rPr>
                <w:rFonts w:hint="eastAsia" w:ascii="仿宋" w:hAnsi="仿宋"/>
                <w:sz w:val="21"/>
                <w:szCs w:val="21"/>
              </w:rPr>
              <w:t>　</w:t>
            </w:r>
          </w:p>
        </w:tc>
        <w:tc>
          <w:tcPr>
            <w:tcW w:w="8888" w:type="dxa"/>
          </w:tcPr>
          <w:p>
            <w:pPr>
              <w:spacing w:line="240" w:lineRule="auto"/>
              <w:ind w:firstLine="0" w:firstLineChars="0"/>
              <w:jc w:val="left"/>
              <w:rPr>
                <w:rFonts w:ascii="仿宋" w:hAnsi="仿宋"/>
                <w:sz w:val="21"/>
                <w:szCs w:val="21"/>
              </w:rPr>
            </w:pPr>
            <w:r>
              <w:rPr>
                <w:rFonts w:hint="eastAsia" w:ascii="仿宋" w:hAnsi="仿宋"/>
                <w:sz w:val="21"/>
                <w:szCs w:val="21"/>
              </w:rPr>
              <w:t>依托神山旅游品牌，突出地方文化特色，探索实施文化产业赋能乡村振兴新路径，在体制机制、发展举措、产业导入、政策保障等方面先行先试，促进乡村文化和旅游融合发展，推动建设宜居宜业宜游和美乡村。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71" w:type="dxa"/>
            <w:vMerge w:val="continue"/>
          </w:tcPr>
          <w:p>
            <w:pPr>
              <w:spacing w:line="240" w:lineRule="auto"/>
              <w:ind w:firstLine="0" w:firstLineChars="0"/>
              <w:jc w:val="center"/>
              <w:rPr>
                <w:rFonts w:ascii="仿宋" w:hAnsi="仿宋"/>
                <w:sz w:val="21"/>
                <w:szCs w:val="21"/>
              </w:rPr>
            </w:pPr>
          </w:p>
        </w:tc>
        <w:tc>
          <w:tcPr>
            <w:tcW w:w="709"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884" w:type="dxa"/>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7" w:type="dxa"/>
          </w:tcPr>
          <w:p>
            <w:pPr>
              <w:spacing w:line="240" w:lineRule="auto"/>
              <w:ind w:firstLine="0" w:firstLineChars="0"/>
              <w:jc w:val="left"/>
              <w:rPr>
                <w:rFonts w:ascii="仿宋" w:hAnsi="仿宋"/>
                <w:sz w:val="21"/>
                <w:szCs w:val="21"/>
              </w:rPr>
            </w:pPr>
            <w:r>
              <w:rPr>
                <w:rFonts w:ascii="仿宋" w:hAnsi="仿宋"/>
                <w:sz w:val="21"/>
                <w:szCs w:val="21"/>
              </w:rPr>
              <w:t xml:space="preserve"> </w:t>
            </w:r>
          </w:p>
        </w:tc>
        <w:tc>
          <w:tcPr>
            <w:tcW w:w="8888" w:type="dxa"/>
          </w:tcPr>
          <w:p>
            <w:pPr>
              <w:spacing w:line="240" w:lineRule="auto"/>
              <w:ind w:firstLine="0" w:firstLineChars="0"/>
              <w:jc w:val="left"/>
              <w:rPr>
                <w:rFonts w:ascii="仿宋" w:hAnsi="仿宋"/>
                <w:sz w:val="21"/>
                <w:szCs w:val="21"/>
              </w:rPr>
            </w:pPr>
            <w:r>
              <w:rPr>
                <w:rFonts w:hint="eastAsia" w:ascii="仿宋" w:hAnsi="仿宋"/>
                <w:sz w:val="21"/>
                <w:szCs w:val="21"/>
              </w:rPr>
              <w:t>依托突泉特色民宿文化，改革创新，在体制机制、发展举措、产业扶持、政策保障等方面不断探索，促进乡村文化和旅游融合发展，推动全国文化产业赋能乡村振兴试点。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71" w:type="dxa"/>
          </w:tcPr>
          <w:p>
            <w:pPr>
              <w:spacing w:line="240" w:lineRule="auto"/>
              <w:ind w:firstLine="0" w:firstLineChars="0"/>
              <w:jc w:val="center"/>
              <w:rPr>
                <w:rFonts w:ascii="仿宋" w:hAnsi="仿宋"/>
                <w:sz w:val="21"/>
                <w:szCs w:val="21"/>
              </w:rPr>
            </w:pPr>
            <w:r>
              <w:rPr>
                <w:rFonts w:hint="eastAsia" w:ascii="仿宋" w:hAnsi="仿宋"/>
                <w:sz w:val="21"/>
                <w:szCs w:val="21"/>
              </w:rPr>
              <w:t>国家文旅融合产业发展示范区</w:t>
            </w:r>
          </w:p>
          <w:p>
            <w:pPr>
              <w:spacing w:line="240" w:lineRule="auto"/>
              <w:ind w:firstLine="0" w:firstLineChars="0"/>
              <w:rPr>
                <w:rFonts w:ascii="仿宋" w:hAnsi="仿宋"/>
                <w:sz w:val="21"/>
                <w:szCs w:val="21"/>
              </w:rPr>
            </w:pPr>
            <w:r>
              <w:rPr>
                <w:rFonts w:hint="eastAsia" w:ascii="仿宋" w:hAnsi="仿宋"/>
                <w:sz w:val="21"/>
                <w:szCs w:val="21"/>
              </w:rPr>
              <w:t>（1个）</w:t>
            </w:r>
          </w:p>
        </w:tc>
        <w:tc>
          <w:tcPr>
            <w:tcW w:w="709"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884" w:type="dxa"/>
          </w:tcPr>
          <w:p>
            <w:pPr>
              <w:spacing w:line="240" w:lineRule="auto"/>
              <w:ind w:firstLine="0" w:firstLineChars="0"/>
              <w:jc w:val="center"/>
              <w:rPr>
                <w:rFonts w:ascii="仿宋" w:hAnsi="仿宋"/>
                <w:sz w:val="21"/>
                <w:szCs w:val="21"/>
              </w:rPr>
            </w:pPr>
            <w:r>
              <w:rPr>
                <w:rFonts w:hint="eastAsia" w:ascii="仿宋" w:hAnsi="仿宋"/>
                <w:sz w:val="21"/>
                <w:szCs w:val="21"/>
              </w:rPr>
              <w:t>乌兰浩特</w:t>
            </w:r>
          </w:p>
        </w:tc>
        <w:tc>
          <w:tcPr>
            <w:tcW w:w="70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7" w:type="dxa"/>
          </w:tcPr>
          <w:p>
            <w:pPr>
              <w:spacing w:line="240" w:lineRule="auto"/>
              <w:ind w:firstLine="0" w:firstLineChars="0"/>
              <w:jc w:val="left"/>
              <w:rPr>
                <w:rFonts w:ascii="仿宋" w:hAnsi="仿宋"/>
                <w:sz w:val="21"/>
                <w:szCs w:val="21"/>
              </w:rPr>
            </w:pPr>
          </w:p>
        </w:tc>
        <w:tc>
          <w:tcPr>
            <w:tcW w:w="8888" w:type="dxa"/>
          </w:tcPr>
          <w:p>
            <w:pPr>
              <w:spacing w:line="240" w:lineRule="auto"/>
              <w:ind w:firstLine="0" w:firstLineChars="0"/>
              <w:jc w:val="left"/>
              <w:rPr>
                <w:rFonts w:ascii="仿宋" w:hAnsi="仿宋"/>
                <w:sz w:val="21"/>
                <w:szCs w:val="21"/>
              </w:rPr>
            </w:pPr>
            <w:r>
              <w:rPr>
                <w:rFonts w:hint="eastAsia" w:ascii="仿宋" w:hAnsi="仿宋"/>
                <w:sz w:val="21"/>
                <w:szCs w:val="21"/>
              </w:rPr>
              <w:t>依托乌兰浩特红色文化，深入推动文化产业和旅游产业深度融合发展，打造国家文旅融合刹那也发展示范区。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271" w:type="dxa"/>
          </w:tcPr>
          <w:p>
            <w:pPr>
              <w:spacing w:line="240" w:lineRule="auto"/>
              <w:ind w:firstLine="0" w:firstLineChars="0"/>
              <w:jc w:val="center"/>
              <w:rPr>
                <w:rFonts w:ascii="仿宋" w:hAnsi="仿宋"/>
                <w:sz w:val="21"/>
                <w:szCs w:val="21"/>
              </w:rPr>
            </w:pPr>
            <w:r>
              <w:rPr>
                <w:rFonts w:hint="eastAsia" w:ascii="仿宋" w:hAnsi="仿宋"/>
                <w:sz w:val="21"/>
                <w:szCs w:val="21"/>
              </w:rPr>
              <w:t>跨境旅游合作区（1个）</w:t>
            </w:r>
          </w:p>
        </w:tc>
        <w:tc>
          <w:tcPr>
            <w:tcW w:w="709"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884" w:type="dxa"/>
          </w:tcPr>
          <w:p>
            <w:pPr>
              <w:spacing w:line="240" w:lineRule="auto"/>
              <w:ind w:firstLine="0" w:firstLineChars="0"/>
              <w:jc w:val="center"/>
              <w:rPr>
                <w:rFonts w:ascii="仿宋" w:hAnsi="仿宋"/>
                <w:sz w:val="21"/>
                <w:szCs w:val="21"/>
              </w:rPr>
            </w:pPr>
            <w:r>
              <w:rPr>
                <w:rFonts w:hint="eastAsia" w:ascii="仿宋" w:hAnsi="仿宋"/>
                <w:sz w:val="21"/>
                <w:szCs w:val="21"/>
              </w:rPr>
              <w:t>阿尔山</w:t>
            </w:r>
          </w:p>
        </w:tc>
        <w:tc>
          <w:tcPr>
            <w:tcW w:w="70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7" w:type="dxa"/>
          </w:tcPr>
          <w:p>
            <w:pPr>
              <w:spacing w:line="240" w:lineRule="auto"/>
              <w:ind w:firstLine="0" w:firstLineChars="0"/>
              <w:jc w:val="left"/>
              <w:rPr>
                <w:rFonts w:ascii="仿宋" w:hAnsi="仿宋"/>
                <w:sz w:val="21"/>
                <w:szCs w:val="21"/>
              </w:rPr>
            </w:pPr>
          </w:p>
        </w:tc>
        <w:tc>
          <w:tcPr>
            <w:tcW w:w="8888" w:type="dxa"/>
          </w:tcPr>
          <w:p>
            <w:pPr>
              <w:spacing w:line="240" w:lineRule="auto"/>
              <w:ind w:firstLine="0" w:firstLineChars="0"/>
              <w:jc w:val="left"/>
              <w:rPr>
                <w:rFonts w:ascii="仿宋" w:hAnsi="仿宋"/>
                <w:sz w:val="21"/>
                <w:szCs w:val="21"/>
              </w:rPr>
            </w:pPr>
            <w:r>
              <w:rPr>
                <w:rFonts w:hint="eastAsia" w:ascii="仿宋" w:hAnsi="仿宋"/>
                <w:sz w:val="21"/>
                <w:szCs w:val="21"/>
              </w:rPr>
              <w:t>依托阿尔山口岸，借势中俄蒙经济走廊建设机遇，加强口岸建设扩大对外开放，发挥沿边口岸优势，建设中俄开放合作高地。</w:t>
            </w:r>
          </w:p>
        </w:tc>
      </w:tr>
    </w:tbl>
    <w:p>
      <w:pPr>
        <w:ind w:firstLine="0" w:firstLineChars="0"/>
      </w:pPr>
    </w:p>
    <w:p>
      <w:pPr>
        <w:ind w:firstLine="0" w:firstLineChars="0"/>
      </w:pPr>
    </w:p>
    <w:p>
      <w:pPr>
        <w:ind w:firstLine="0" w:firstLineChars="0"/>
      </w:pPr>
    </w:p>
    <w:p>
      <w:pPr>
        <w:ind w:firstLine="0" w:firstLineChars="0"/>
        <w:jc w:val="center"/>
        <w:rPr>
          <w:rFonts w:ascii="仿宋" w:hAnsi="仿宋"/>
          <w:b/>
          <w:bCs/>
          <w:kern w:val="44"/>
          <w:szCs w:val="24"/>
        </w:rPr>
      </w:pPr>
      <w:r>
        <w:rPr>
          <w:rFonts w:hint="eastAsia" w:ascii="仿宋" w:hAnsi="仿宋"/>
          <w:b/>
          <w:bCs/>
          <w:kern w:val="44"/>
          <w:szCs w:val="24"/>
        </w:rPr>
        <w:t>国家A级旅游景区22 处，其中5A级景区4处、4A级景区12处、3A级景区6处</w:t>
      </w:r>
    </w:p>
    <w:tbl>
      <w:tblPr>
        <w:tblStyle w:val="23"/>
        <w:tblW w:w="14165" w:type="dxa"/>
        <w:tblInd w:w="0" w:type="dxa"/>
        <w:tblLayout w:type="autofit"/>
        <w:tblCellMar>
          <w:top w:w="0" w:type="dxa"/>
          <w:left w:w="0" w:type="dxa"/>
          <w:bottom w:w="0" w:type="dxa"/>
          <w:right w:w="0" w:type="dxa"/>
        </w:tblCellMar>
      </w:tblPr>
      <w:tblGrid>
        <w:gridCol w:w="841"/>
        <w:gridCol w:w="850"/>
        <w:gridCol w:w="2127"/>
        <w:gridCol w:w="1134"/>
        <w:gridCol w:w="708"/>
        <w:gridCol w:w="709"/>
        <w:gridCol w:w="7796"/>
      </w:tblGrid>
      <w:tr>
        <w:tblPrEx>
          <w:tblCellMar>
            <w:top w:w="0" w:type="dxa"/>
            <w:left w:w="0" w:type="dxa"/>
            <w:bottom w:w="0" w:type="dxa"/>
            <w:right w:w="0" w:type="dxa"/>
          </w:tblCellMar>
        </w:tblPrEx>
        <w:trPr>
          <w:trHeight w:val="345"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国家5A级旅游景区</w:t>
            </w:r>
          </w:p>
          <w:p>
            <w:pPr>
              <w:spacing w:line="240" w:lineRule="auto"/>
              <w:ind w:firstLine="0" w:firstLineChars="0"/>
              <w:jc w:val="center"/>
              <w:rPr>
                <w:rFonts w:ascii="仿宋" w:hAnsi="仿宋"/>
                <w:sz w:val="21"/>
                <w:szCs w:val="21"/>
              </w:rPr>
            </w:pPr>
            <w:r>
              <w:rPr>
                <w:rFonts w:hint="eastAsia" w:ascii="仿宋" w:hAnsi="仿宋"/>
                <w:sz w:val="21"/>
                <w:szCs w:val="21"/>
              </w:rPr>
              <w:t>（4处）</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12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7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CellMar>
            <w:top w:w="0" w:type="dxa"/>
            <w:left w:w="0" w:type="dxa"/>
            <w:bottom w:w="0" w:type="dxa"/>
            <w:right w:w="0" w:type="dxa"/>
          </w:tblCellMar>
        </w:tblPrEx>
        <w:trPr>
          <w:trHeight w:val="60"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2127"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796"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r>
      <w:tr>
        <w:tblPrEx>
          <w:tblCellMar>
            <w:top w:w="0" w:type="dxa"/>
            <w:left w:w="0" w:type="dxa"/>
            <w:bottom w:w="0" w:type="dxa"/>
            <w:right w:w="0" w:type="dxa"/>
          </w:tblCellMar>
        </w:tblPrEx>
        <w:trPr>
          <w:trHeight w:val="89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成庙-罕山国家5A级景区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5A级景区创建标准对罕山生态文化园进行提档升级，以成吉思汗庙为核心，整合前街步行街、罕山公园、罕山智慧体育公园等资源，整合北侧山体公园，开展标识标牌、旅游廊道、游客中心、非遗研培中心、旅游配套设施、景区生态等提升工程，丰富片区功能。</w:t>
            </w:r>
          </w:p>
        </w:tc>
      </w:tr>
      <w:tr>
        <w:tblPrEx>
          <w:tblCellMar>
            <w:top w:w="0" w:type="dxa"/>
            <w:left w:w="0" w:type="dxa"/>
            <w:bottom w:w="0" w:type="dxa"/>
            <w:right w:w="0" w:type="dxa"/>
          </w:tblCellMar>
        </w:tblPrEx>
        <w:trPr>
          <w:trHeight w:val="1326"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乌兰毛都草原旅游度假区</w:t>
            </w:r>
            <w:r>
              <w:rPr>
                <w:rFonts w:hint="eastAsia" w:ascii="仿宋" w:hAnsi="仿宋"/>
                <w:sz w:val="21"/>
                <w:szCs w:val="21"/>
              </w:rPr>
              <w:br w:type="textWrapping"/>
            </w:r>
            <w:r>
              <w:rPr>
                <w:rFonts w:hint="eastAsia" w:ascii="仿宋" w:hAnsi="仿宋"/>
                <w:sz w:val="21"/>
                <w:szCs w:val="21"/>
              </w:rPr>
              <w:t>（乌兰毛都草原风景区提升）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 xml:space="preserve">重点以5A标准提升金乌兰毛都草原风景区；增建高品质草原度假产品，深度体验式帐篷野奢度假营地酒店以及综合性度假产品品质，补缺公服配套，升级直升机、热气球等立体多维观景模式的游览方式，并举办系列草原体验活动引导全民参与，带动村民就业。 </w:t>
            </w:r>
          </w:p>
        </w:tc>
      </w:tr>
      <w:tr>
        <w:tblPrEx>
          <w:tblCellMar>
            <w:top w:w="0" w:type="dxa"/>
            <w:left w:w="0" w:type="dxa"/>
            <w:bottom w:w="0" w:type="dxa"/>
            <w:right w:w="0" w:type="dxa"/>
          </w:tblCellMar>
        </w:tblPrEx>
        <w:trPr>
          <w:trHeight w:val="89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宝石湖旅游风景区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5A级旅游景区为目标，规划建设春州古城、宝城辽金特色文化村、坝下草原、奇袭漂流、宝石湾滨湖休闲区、宝范湖越野公园六大核心项目，将宝石湖旅游风景区打造为中国首个辽金主题文化田园体验目的地、突泉县全域旅游心引擎。</w:t>
            </w:r>
          </w:p>
        </w:tc>
      </w:tr>
      <w:tr>
        <w:tblPrEx>
          <w:tblCellMar>
            <w:top w:w="0" w:type="dxa"/>
            <w:left w:w="0" w:type="dxa"/>
            <w:bottom w:w="0" w:type="dxa"/>
            <w:right w:w="0" w:type="dxa"/>
          </w:tblCellMar>
        </w:tblPrEx>
        <w:trPr>
          <w:trHeight w:val="89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五角枫生态旅游景区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5A级旅游景区为建设目标，联合马文化度假公园、中影制作基地、图什业图亲王府等打造成为五角枫5A级景区，近期重点建设完成“枫趣童年”草原亲子主题乐园，开发五角枫草原的枫情旅拍、逍遥马背上的自在旅拍、影视拍摄等美拍体验。</w:t>
            </w:r>
          </w:p>
        </w:tc>
      </w:tr>
      <w:tr>
        <w:tblPrEx>
          <w:tblCellMar>
            <w:top w:w="0" w:type="dxa"/>
            <w:left w:w="0" w:type="dxa"/>
            <w:bottom w:w="0" w:type="dxa"/>
            <w:right w:w="0" w:type="dxa"/>
          </w:tblCellMar>
        </w:tblPrEx>
        <w:trPr>
          <w:trHeight w:val="25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r>
              <w:rPr>
                <w:rFonts w:hint="eastAsia" w:ascii="仿宋" w:hAnsi="仿宋"/>
                <w:sz w:val="21"/>
                <w:szCs w:val="21"/>
              </w:rPr>
              <w:t>国家4A级旅游景区</w:t>
            </w:r>
          </w:p>
          <w:p>
            <w:pPr>
              <w:spacing w:line="240" w:lineRule="auto"/>
              <w:ind w:firstLine="0" w:firstLineChars="0"/>
              <w:rPr>
                <w:rFonts w:ascii="仿宋" w:hAnsi="仿宋"/>
                <w:sz w:val="21"/>
                <w:szCs w:val="21"/>
              </w:rPr>
            </w:pPr>
            <w:r>
              <w:rPr>
                <w:rFonts w:hint="eastAsia" w:ascii="仿宋" w:hAnsi="仿宋"/>
                <w:sz w:val="21"/>
                <w:szCs w:val="21"/>
              </w:rPr>
              <w:t>（12处）</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阿尔山市口岸景区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按照国家4A级旅游景区标准，进一步完善标识导览、景区道路、游客服务中心、免税购物区等各项服务设施。</w:t>
            </w:r>
          </w:p>
        </w:tc>
      </w:tr>
      <w:tr>
        <w:tblPrEx>
          <w:tblCellMar>
            <w:top w:w="0" w:type="dxa"/>
            <w:left w:w="0" w:type="dxa"/>
            <w:bottom w:w="0" w:type="dxa"/>
            <w:right w:w="0" w:type="dxa"/>
          </w:tblCellMar>
        </w:tblPrEx>
        <w:trPr>
          <w:trHeight w:val="397"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兴安盟白狼峰景区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升级白狼峰旅游业态，按照国家4A级旅游景区标准，进一步完善标识导览、景区道路、旅游公厕、客服务中心等服务设施。</w:t>
            </w:r>
          </w:p>
        </w:tc>
      </w:tr>
      <w:tr>
        <w:tblPrEx>
          <w:tblCellMar>
            <w:top w:w="0" w:type="dxa"/>
            <w:left w:w="0" w:type="dxa"/>
            <w:bottom w:w="0" w:type="dxa"/>
            <w:right w:w="0" w:type="dxa"/>
          </w:tblCellMar>
        </w:tblPrEx>
        <w:trPr>
          <w:trHeight w:val="397"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乌兰浩特市神骏湾田园综合体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按照国家4A级旅游景区标准，分期推动水稻文化馆、神骏湾生态体验区无动力乐园、特色民宿配套设施和采摘研学基地等建设。</w:t>
            </w:r>
          </w:p>
        </w:tc>
      </w:tr>
      <w:tr>
        <w:tblPrEx>
          <w:tblCellMar>
            <w:top w:w="0" w:type="dxa"/>
            <w:left w:w="0" w:type="dxa"/>
            <w:bottom w:w="0" w:type="dxa"/>
            <w:right w:w="0" w:type="dxa"/>
          </w:tblCellMar>
        </w:tblPrEx>
        <w:trPr>
          <w:trHeight w:val="757"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图牧吉-百灵湖生态旅游示范区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以国家5A级旅游景区为建设目标，突破空间限制问题，联动百灵湖及周边的乡村资源整合开发。图牧吉国家级自然保护区生态红线内做原生态的观光 、科普，提升现有宣教中心，生态红线外结合乡镇乡村完善旅游服务配套，围绕百灵湖打造环湖栈道，并引导当地村民参与旅游发展，打造不同主题的特色美丽乡村。</w:t>
            </w:r>
          </w:p>
        </w:tc>
      </w:tr>
      <w:tr>
        <w:tblPrEx>
          <w:tblCellMar>
            <w:top w:w="0" w:type="dxa"/>
            <w:left w:w="0" w:type="dxa"/>
            <w:bottom w:w="0" w:type="dxa"/>
            <w:right w:w="0" w:type="dxa"/>
          </w:tblCellMar>
        </w:tblPrEx>
        <w:trPr>
          <w:trHeight w:val="502"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巴彦塔拉·秘境河谷生态文化旅游区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以国家4A级旅游景区为目标，以绰尔河为旅游资源带，沿绰尔河上段规划一条水上漂流线路岩壁漂流，沿线布置河谷宿集度假区、秘语河滩营地、巴彦塔拉景区、火格营地以及百花伴月景区五大景区。</w:t>
            </w:r>
          </w:p>
        </w:tc>
      </w:tr>
      <w:tr>
        <w:tblPrEx>
          <w:tblCellMar>
            <w:top w:w="0" w:type="dxa"/>
            <w:left w:w="0" w:type="dxa"/>
            <w:bottom w:w="0" w:type="dxa"/>
            <w:right w:w="0" w:type="dxa"/>
          </w:tblCellMar>
        </w:tblPrEx>
        <w:trPr>
          <w:trHeight w:val="24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好力保稻谷景区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以国家4A级旅游景区为目标，以稻米产业链为引领，设计好粒宝品牌IP形象，实现从IP到品牌再到产品；以半开放、半封闭式模式运营，稻田乐园、稻谷体验馆、 1919 时光列车进行门票收费，其余区域开放，创新二次消费模式盈利。</w:t>
            </w:r>
          </w:p>
        </w:tc>
      </w:tr>
      <w:tr>
        <w:tblPrEx>
          <w:tblCellMar>
            <w:top w:w="0" w:type="dxa"/>
            <w:left w:w="0" w:type="dxa"/>
            <w:bottom w:w="0" w:type="dxa"/>
            <w:right w:w="0" w:type="dxa"/>
          </w:tblCellMar>
        </w:tblPrEx>
        <w:trPr>
          <w:trHeight w:val="502"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大兴安岭秘境山乡旅游区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推进山下乡村旅游开发，做足旅游氛围，完善旅游配套（巴彦道布生态度假村、哈拉改吐集散服务区）。联合当地村民，推进“扎赉特美文化旅游使者”计划，在山内不做大规模开发、以徒步线路串联景点资源。</w:t>
            </w:r>
          </w:p>
        </w:tc>
      </w:tr>
      <w:tr>
        <w:tblPrEx>
          <w:tblCellMar>
            <w:top w:w="0" w:type="dxa"/>
            <w:left w:w="0" w:type="dxa"/>
            <w:bottom w:w="0" w:type="dxa"/>
            <w:right w:w="0" w:type="dxa"/>
          </w:tblCellMar>
        </w:tblPrEx>
        <w:trPr>
          <w:trHeight w:val="502"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9</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孛尔只斤部落旅游村野狼谷</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以国家4A级旅游景区为目标，加快推进野狼救助站、野狼繁育区、野狼与游客互动区等主体功能建设，搭建野狼穴一处，空中木栈道观景台各一处，食物冷库一处。</w:t>
            </w:r>
          </w:p>
        </w:tc>
      </w:tr>
      <w:tr>
        <w:tblPrEx>
          <w:tblCellMar>
            <w:top w:w="0" w:type="dxa"/>
            <w:left w:w="0" w:type="dxa"/>
            <w:bottom w:w="0" w:type="dxa"/>
            <w:right w:w="0" w:type="dxa"/>
          </w:tblCellMar>
        </w:tblPrEx>
        <w:trPr>
          <w:trHeight w:val="746"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10</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明星湖旅游度假区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规划建设游客服务中心、湖鲜餐厅、船坞酒店、鲸鱼跳云、鱼骨艺术小径、彩虹沙堡、艺术灯塔七大标志建筑和景观，规划明星渔乐、东泉吃瓜、明星稻田、明四段环湖主题景观线路；近期（2022~2023）重点建设游客服务中心、亲水沙滩、稻蟹公园、特色船宿和厢乡市集等设施。</w:t>
            </w:r>
          </w:p>
        </w:tc>
      </w:tr>
      <w:tr>
        <w:tblPrEx>
          <w:tblCellMar>
            <w:top w:w="0" w:type="dxa"/>
            <w:left w:w="0" w:type="dxa"/>
            <w:bottom w:w="0" w:type="dxa"/>
            <w:right w:w="0" w:type="dxa"/>
          </w:tblCellMar>
        </w:tblPrEx>
        <w:trPr>
          <w:trHeight w:val="98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11</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赛银花农业生态示范园区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联动赛银花村，以“果蔬采摘”“农事体验”“近郊休闲”为特色业态，以路串景，以不同季节的水果、蔬菜链为基础，+科普、+美食、+故事/ip等形式，从采摘转变为全面体验，丰富提升创意工坊、赛银花自驾营地、营地餐厅、农业研学、农耕博物馆、特色民宿等项目。深化农产品加工体系，延长农业产业链，提升农产品价值，做大做强“赛银花”果蔬品牌。</w:t>
            </w:r>
          </w:p>
        </w:tc>
      </w:tr>
      <w:tr>
        <w:tblPrEx>
          <w:tblCellMar>
            <w:top w:w="0" w:type="dxa"/>
            <w:left w:w="0" w:type="dxa"/>
            <w:bottom w:w="0" w:type="dxa"/>
            <w:right w:w="0" w:type="dxa"/>
          </w:tblCellMar>
        </w:tblPrEx>
        <w:trPr>
          <w:trHeight w:val="45"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12</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曙光现代农业循环经济园区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完善业态功能，田园变公园、产品变商品、产区变景区，以4A标准打造集食宿、观光、采摘、游玩于一体的城市周边游聚集地，完善景区标识系统、游客服务中心等基础服务设施，创建国家4A级景区、农旅融合产业示范区，建设成为农旅融合的示范样板、乡村振兴样板。</w:t>
            </w:r>
          </w:p>
        </w:tc>
      </w:tr>
      <w:tr>
        <w:tblPrEx>
          <w:tblCellMar>
            <w:top w:w="0" w:type="dxa"/>
            <w:left w:w="0" w:type="dxa"/>
            <w:bottom w:w="0" w:type="dxa"/>
            <w:right w:w="0" w:type="dxa"/>
          </w:tblCellMar>
        </w:tblPrEx>
        <w:trPr>
          <w:trHeight w:val="955"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国家3A级旅游景区</w:t>
            </w:r>
          </w:p>
          <w:p>
            <w:pPr>
              <w:ind w:firstLine="0" w:firstLineChars="0"/>
              <w:jc w:val="center"/>
              <w:rPr>
                <w:rFonts w:eastAsia="黑体"/>
                <w:b/>
                <w:bCs/>
                <w:kern w:val="44"/>
                <w:szCs w:val="24"/>
              </w:rPr>
            </w:pPr>
            <w:r>
              <w:rPr>
                <w:rFonts w:hint="eastAsia" w:ascii="仿宋" w:hAnsi="仿宋"/>
                <w:sz w:val="21"/>
                <w:szCs w:val="21"/>
              </w:rPr>
              <w:t>（6处）</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1</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南兴安爱国主义教育基地</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以国家3A级旅游景区为目标，建设南兴安隧道堡垒博物馆、日伪时期火车站参观、花炮台军事要塞文化馆、大和旅社纪念馆、五岔沟飞机包体验区，开发阿尔山爱国主义教育主题游线。</w:t>
            </w:r>
          </w:p>
        </w:tc>
      </w:tr>
      <w:tr>
        <w:tblPrEx>
          <w:tblCellMar>
            <w:top w:w="0" w:type="dxa"/>
            <w:left w:w="0" w:type="dxa"/>
            <w:bottom w:w="0" w:type="dxa"/>
            <w:right w:w="0" w:type="dxa"/>
          </w:tblCellMar>
        </w:tblPrEx>
        <w:trPr>
          <w:trHeight w:val="955"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2</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兴安稻海公园</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以国家3A级旅游景区为目标，提升城市近郊乡村游、农业研学游及农业产业休闲体验。</w:t>
            </w:r>
          </w:p>
        </w:tc>
      </w:tr>
      <w:tr>
        <w:tblPrEx>
          <w:tblCellMar>
            <w:top w:w="0" w:type="dxa"/>
            <w:left w:w="0" w:type="dxa"/>
            <w:bottom w:w="0" w:type="dxa"/>
            <w:right w:w="0" w:type="dxa"/>
          </w:tblCellMar>
        </w:tblPrEx>
        <w:trPr>
          <w:trHeight w:val="79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jc w:val="center"/>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3</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突泉温泉滑雪场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以国家3A级旅游景区为目标，提档升级滑雪场地，重点开发细分市场，以近郊家庭亲子客群、教育研学客群为主，对接中小学院校，丰富冰雪体验、滑雪培训、开设滑雪课程等系列产品，成为定点学校运动培训、户外拓展的场所，并配备专业教练。</w:t>
            </w:r>
          </w:p>
        </w:tc>
      </w:tr>
      <w:tr>
        <w:tblPrEx>
          <w:tblCellMar>
            <w:top w:w="0" w:type="dxa"/>
            <w:left w:w="0" w:type="dxa"/>
            <w:bottom w:w="0" w:type="dxa"/>
            <w:right w:w="0" w:type="dxa"/>
          </w:tblCellMar>
        </w:tblPrEx>
        <w:trPr>
          <w:trHeight w:val="521"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4</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巴彦敖包乡村旅游度假村</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以蒙古风情为魂，以美丽田园为韵，以草原农业为基，打造集农业种植、采摘、观光、娱乐、休闲为一体的旅游度假村。突破传统的乡村旅游观念，延展曾经田园生活的概念，以原汁原味的蒙古族民俗风情为基础，重构“牧野新居”，建设5000㎡水上乐园，建设水幕电影，扩建儿童乐园，建设夏季冰景项目。完善基础服务设施与景观标识系统等内容，创建国家3A级景区。</w:t>
            </w:r>
          </w:p>
        </w:tc>
      </w:tr>
      <w:tr>
        <w:tblPrEx>
          <w:tblCellMar>
            <w:top w:w="0" w:type="dxa"/>
            <w:left w:w="0" w:type="dxa"/>
            <w:bottom w:w="0" w:type="dxa"/>
            <w:right w:w="0" w:type="dxa"/>
          </w:tblCellMar>
        </w:tblPrEx>
        <w:trPr>
          <w:trHeight w:val="521"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5</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蒙格罕山生态旅游景区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立足蒙格罕山鲜卑族圣山、生态养生山两大抓手，结合山下的废弃矿区改造，建设工业酒店、游乐项目、研学项目、停车场、道路及相关配套设施等。打造集文化研学教育、山地运动休闲与一体的蒙格罕山生态旅游景区、文化研学基地、生态研学实践教育基地。</w:t>
            </w:r>
          </w:p>
        </w:tc>
      </w:tr>
      <w:tr>
        <w:tblPrEx>
          <w:tblCellMar>
            <w:top w:w="0" w:type="dxa"/>
            <w:left w:w="0" w:type="dxa"/>
            <w:bottom w:w="0" w:type="dxa"/>
            <w:right w:w="0" w:type="dxa"/>
          </w:tblCellMar>
        </w:tblPrEx>
        <w:trPr>
          <w:trHeight w:val="2318"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ind w:firstLine="0" w:firstLineChars="0"/>
              <w:rPr>
                <w:rFonts w:eastAsia="黑体"/>
                <w:b/>
                <w:bCs/>
                <w:kern w:val="44"/>
                <w:szCs w:val="24"/>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6</w:t>
            </w:r>
          </w:p>
        </w:tc>
        <w:tc>
          <w:tcPr>
            <w:tcW w:w="21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德伯斯镇黑羊山生态旅游区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jc w:val="center"/>
              <w:rPr>
                <w:rFonts w:ascii="仿宋" w:hAnsi="仿宋"/>
                <w:sz w:val="21"/>
                <w:szCs w:val="21"/>
              </w:rPr>
            </w:pP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ind w:firstLine="0" w:firstLineChars="0"/>
              <w:rPr>
                <w:rFonts w:ascii="仿宋" w:hAnsi="仿宋"/>
                <w:sz w:val="21"/>
                <w:szCs w:val="21"/>
              </w:rPr>
            </w:pPr>
            <w:r>
              <w:rPr>
                <w:rFonts w:hint="eastAsia" w:ascii="仿宋" w:hAnsi="仿宋"/>
                <w:sz w:val="21"/>
                <w:szCs w:val="21"/>
              </w:rPr>
              <w:t>以国家3A级旅游景区为目标，建设生态化旅游步道，同时设置系列岩画景观、生态化的互动体验装置与科普体验装置，以彩色岩石、药材粉末、动物皮毛和骨头、纸张木材等材料，模仿动物足迹、山脊等高线起伏等路径敷设在森林地面，形成人类活动、自然更替交互影响的创意艺术景观空间。丰富游客体验——雅玛洞内通过声光电的方式，将迷失历史与互动科技碰撞，新方式展示黑山羊文化传说故事。同时策划走进黑羊山研学活动，包括生态地质考察、人文课堂、团队协作拓展训练等项目。</w:t>
            </w:r>
          </w:p>
        </w:tc>
      </w:tr>
    </w:tbl>
    <w:p>
      <w:pPr>
        <w:ind w:firstLine="0" w:firstLineChars="0"/>
        <w:rPr>
          <w:rFonts w:eastAsia="黑体"/>
          <w:b/>
          <w:bCs/>
          <w:kern w:val="44"/>
          <w:szCs w:val="24"/>
        </w:rPr>
      </w:pPr>
    </w:p>
    <w:p>
      <w:pPr>
        <w:ind w:firstLine="0" w:firstLineChars="0"/>
        <w:jc w:val="center"/>
        <w:rPr>
          <w:rFonts w:ascii="仿宋" w:hAnsi="仿宋"/>
          <w:b/>
          <w:bCs/>
          <w:kern w:val="44"/>
          <w:szCs w:val="24"/>
        </w:rPr>
      </w:pPr>
      <w:r>
        <w:rPr>
          <w:rFonts w:hint="eastAsia" w:ascii="仿宋" w:hAnsi="仿宋"/>
          <w:b/>
          <w:bCs/>
          <w:kern w:val="44"/>
          <w:szCs w:val="24"/>
        </w:rPr>
        <w:t>旅游度假区8处，其中国家级旅游度假区3处、省（自治区）级旅游度假区5处</w:t>
      </w:r>
    </w:p>
    <w:tbl>
      <w:tblPr>
        <w:tblStyle w:val="23"/>
        <w:tblW w:w="14165" w:type="dxa"/>
        <w:tblInd w:w="0" w:type="dxa"/>
        <w:tblLayout w:type="autofit"/>
        <w:tblCellMar>
          <w:top w:w="0" w:type="dxa"/>
          <w:left w:w="0" w:type="dxa"/>
          <w:bottom w:w="0" w:type="dxa"/>
          <w:right w:w="0" w:type="dxa"/>
        </w:tblCellMar>
      </w:tblPr>
      <w:tblGrid>
        <w:gridCol w:w="983"/>
        <w:gridCol w:w="567"/>
        <w:gridCol w:w="2268"/>
        <w:gridCol w:w="1134"/>
        <w:gridCol w:w="708"/>
        <w:gridCol w:w="709"/>
        <w:gridCol w:w="7796"/>
      </w:tblGrid>
      <w:tr>
        <w:tblPrEx>
          <w:tblCellMar>
            <w:top w:w="0" w:type="dxa"/>
            <w:left w:w="0" w:type="dxa"/>
            <w:bottom w:w="0" w:type="dxa"/>
            <w:right w:w="0" w:type="dxa"/>
          </w:tblCellMar>
        </w:tblPrEx>
        <w:trPr>
          <w:trHeight w:val="292"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56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26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7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CellMar>
            <w:top w:w="0" w:type="dxa"/>
            <w:left w:w="0" w:type="dxa"/>
            <w:bottom w:w="0" w:type="dxa"/>
            <w:right w:w="0" w:type="dxa"/>
          </w:tblCellMar>
        </w:tblPrEx>
        <w:trPr>
          <w:trHeight w:val="292"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2268"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796"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r>
      <w:tr>
        <w:tblPrEx>
          <w:tblCellMar>
            <w:top w:w="0" w:type="dxa"/>
            <w:left w:w="0" w:type="dxa"/>
            <w:bottom w:w="0" w:type="dxa"/>
            <w:right w:w="0" w:type="dxa"/>
          </w:tblCellMar>
        </w:tblPrEx>
        <w:trPr>
          <w:trHeight w:val="512"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国家级旅游度假区</w:t>
            </w:r>
          </w:p>
          <w:p>
            <w:pPr>
              <w:spacing w:line="240" w:lineRule="auto"/>
              <w:ind w:firstLine="0" w:firstLineChars="0"/>
              <w:rPr>
                <w:rFonts w:ascii="仿宋" w:hAnsi="仿宋"/>
                <w:sz w:val="21"/>
                <w:szCs w:val="21"/>
              </w:rPr>
            </w:pPr>
            <w:r>
              <w:rPr>
                <w:rFonts w:hint="eastAsia" w:ascii="仿宋" w:hAnsi="仿宋"/>
                <w:sz w:val="21"/>
                <w:szCs w:val="21"/>
              </w:rPr>
              <w:t>（3处）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级旅游度假区为目标，主要包括阿尔山旅游度假区温泉主街风貌提升项目、阿尔山旅游度假区核心区风貌提升项目（温泉主街除外）、阿尔山旅游度假区巷道风貌改造项目、圣泉广场改造、火车站历史风貌改造和汤屋改造项目。</w:t>
            </w:r>
          </w:p>
        </w:tc>
      </w:tr>
      <w:tr>
        <w:tblPrEx>
          <w:tblCellMar>
            <w:top w:w="0" w:type="dxa"/>
            <w:left w:w="0" w:type="dxa"/>
            <w:bottom w:w="0" w:type="dxa"/>
            <w:right w:w="0" w:type="dxa"/>
          </w:tblCellMar>
        </w:tblPrEx>
        <w:trPr>
          <w:trHeight w:val="1500"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乌兰毛都草原旅游度假区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构建草原度假标杆，从“草原观光”向“草原度假”品质升级，输出一套草原风情旅游为引领的产业发展模式，草原风情主题项目先期引爆，逐步完善住宿、观光、经济、美食等功能，增加二次消费，通过草原全产业发展模式，以5A标准提升金马鞍风景区，通过深度体验式帐篷野奢度假营地酒店以及综合性度假产品的建设，彰显草原特色、提升度假区品质。同时补缺公服配套，实现生态旅游度假区服务配套、住宿、餐饮、休闲产品、内部景区游线的全面升级。升级游览方式，通过直升机、热气球等立体多维观景模式，开启时尚游憩新视角。并举办系列草原体验活动引导全民参与，带动村民就业。</w:t>
            </w:r>
          </w:p>
        </w:tc>
      </w:tr>
      <w:tr>
        <w:tblPrEx>
          <w:tblCellMar>
            <w:top w:w="0" w:type="dxa"/>
            <w:left w:w="0" w:type="dxa"/>
            <w:bottom w:w="0" w:type="dxa"/>
            <w:right w:w="0" w:type="dxa"/>
          </w:tblCellMar>
        </w:tblPrEx>
        <w:trPr>
          <w:trHeight w:val="759"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翰嘎利湖休闲旅游度假区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联动周边资源，创建国家级休闲旅游度假区为目标。重点提升翰嘎利湖滨湖休闲水上项目，打造湖边游乐项目，C级旅居车营地，设置打卡度假旅游节点，策划升级休闲旅游度假区产品和体验项目，建设翰嘎利湖渔村等项目。</w:t>
            </w:r>
          </w:p>
        </w:tc>
      </w:tr>
      <w:tr>
        <w:tblPrEx>
          <w:tblCellMar>
            <w:top w:w="0" w:type="dxa"/>
            <w:left w:w="0" w:type="dxa"/>
            <w:bottom w:w="0" w:type="dxa"/>
            <w:right w:w="0" w:type="dxa"/>
          </w:tblCellMar>
        </w:tblPrEx>
        <w:trPr>
          <w:trHeight w:val="532"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r>
              <w:rPr>
                <w:rFonts w:hint="eastAsia" w:ascii="仿宋" w:hAnsi="仿宋"/>
                <w:sz w:val="21"/>
                <w:szCs w:val="21"/>
              </w:rPr>
              <w:t>省（自治区）级旅游度假区</w:t>
            </w:r>
          </w:p>
          <w:p>
            <w:pPr>
              <w:spacing w:line="240" w:lineRule="auto"/>
              <w:ind w:firstLine="0" w:firstLineChars="0"/>
              <w:rPr>
                <w:rFonts w:ascii="仿宋" w:hAnsi="仿宋"/>
                <w:sz w:val="21"/>
                <w:szCs w:val="21"/>
              </w:rPr>
            </w:pPr>
            <w:r>
              <w:rPr>
                <w:rFonts w:hint="eastAsia" w:ascii="仿宋" w:hAnsi="仿宋"/>
                <w:sz w:val="21"/>
                <w:szCs w:val="21"/>
              </w:rPr>
              <w:t>（6处）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大兴安岭秘境山乡旅游区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针对神山生态保护限制，在山内不做大规模开发，保持原始环境，以徒步线路串联景点资源。推进山下乡村旅游开发，做足旅游氛围，完善旅游配套（巴彦道布生态度假村、哈拉改吐集散服务区）。以神山的开发带动周边乡村的旅游发展，推动乡村振兴。联合当地村民，推进“扎赉特美文化旅游使者”计划，由当地村民带领，深入体验当地文化，听取当地故事，享受当地生活。打造山岳型旅游景区创新示范、创建国家5A 级旅游景区、内蒙古自治区级旅游度假区。</w:t>
            </w:r>
          </w:p>
        </w:tc>
      </w:tr>
      <w:tr>
        <w:tblPrEx>
          <w:tblCellMar>
            <w:top w:w="0" w:type="dxa"/>
            <w:left w:w="0" w:type="dxa"/>
            <w:bottom w:w="0" w:type="dxa"/>
            <w:right w:w="0" w:type="dxa"/>
          </w:tblCellMar>
        </w:tblPrEx>
        <w:trPr>
          <w:trHeight w:val="526"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草原宿集休闲旅游度假区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以草原宿集为核心，省级旅游度假区为目标，完善周边休闲业态、景观打卡点，丰富游客的体验项目</w:t>
            </w:r>
          </w:p>
        </w:tc>
      </w:tr>
      <w:tr>
        <w:tblPrEx>
          <w:tblCellMar>
            <w:top w:w="0" w:type="dxa"/>
            <w:left w:w="0" w:type="dxa"/>
            <w:bottom w:w="0" w:type="dxa"/>
            <w:right w:w="0" w:type="dxa"/>
          </w:tblCellMar>
        </w:tblPrEx>
        <w:trPr>
          <w:trHeight w:val="759"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文得根国家级水利风景区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抓住水利发展机遇，以打造国家水利风景区、内蒙古自治区级旅游度假区为发展目标，大力推进文得根水库旅游发展。近期优先推进“超级大坝”，布局环湖营地体系。中远期招商引资，引进水上运动、度假酒店等业态，打造“治水兴水”迭代升级。</w:t>
            </w:r>
          </w:p>
        </w:tc>
      </w:tr>
      <w:tr>
        <w:tblPrEx>
          <w:tblCellMar>
            <w:top w:w="0" w:type="dxa"/>
            <w:left w:w="0" w:type="dxa"/>
            <w:bottom w:w="0" w:type="dxa"/>
            <w:right w:w="0" w:type="dxa"/>
          </w:tblCellMar>
        </w:tblPrEx>
        <w:trPr>
          <w:trHeight w:val="869"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三合村朝鲜族特色度假区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有机打造十二个功能分区，将三合村打造成为融吃、住、行、游、娱、购、学为一体的特色风情度假区。重点突出建筑特色，强化民族文化，对原有民房10栋进行改造新建成特色民宿、餐饮、小商业等； 从纬九街到步行街再到三合村西大坝3.3公里原有道路进行改造升级；新建步行街配套出行环路1800延长米；同时对步行街进行美化、亮化、绿化工程。</w:t>
            </w:r>
          </w:p>
        </w:tc>
      </w:tr>
      <w:tr>
        <w:tblPrEx>
          <w:tblCellMar>
            <w:top w:w="0" w:type="dxa"/>
            <w:left w:w="0" w:type="dxa"/>
            <w:bottom w:w="0" w:type="dxa"/>
            <w:right w:w="0" w:type="dxa"/>
          </w:tblCellMar>
        </w:tblPrEx>
        <w:trPr>
          <w:trHeight w:val="1253"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金江沟温泉度假区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金江沟核心资源为依托，推出阿尔山温泉康养与森林度假完美融合的“健康度假”主题的定位，打造集温泉旅游、森林养生、健康度假、生态养老、运动康体、森林教育、冰雪体验和文化体验为一体的健康主题度假区、林海雪原深处的火山温泉康养小镇，提炼出火山温泉、温泉度假酒店、火山温泉街、民俗风情街、森林疗法中心、森林木屋、森林健康体验区、自然学习乐园、森林探险俱乐部、森林探秘乐园、湿地公园11个亮点产品。最终发展成“中国生态养生旅游领导品牌、中国首席森林疗法示范基地、世界级温泉健康度假目的地”。</w:t>
            </w:r>
          </w:p>
        </w:tc>
      </w:tr>
    </w:tbl>
    <w:p>
      <w:pPr>
        <w:spacing w:line="240" w:lineRule="auto"/>
        <w:ind w:firstLine="0" w:firstLineChars="0"/>
        <w:jc w:val="center"/>
        <w:rPr>
          <w:rFonts w:ascii="仿宋" w:hAnsi="仿宋"/>
          <w:sz w:val="21"/>
          <w:szCs w:val="21"/>
        </w:rPr>
      </w:pPr>
    </w:p>
    <w:p>
      <w:pPr>
        <w:ind w:firstLine="0" w:firstLineChars="0"/>
        <w:rPr>
          <w:rFonts w:ascii="仿宋" w:hAnsi="仿宋"/>
          <w:b/>
          <w:bCs/>
          <w:kern w:val="44"/>
          <w:szCs w:val="24"/>
        </w:rPr>
      </w:pPr>
    </w:p>
    <w:p>
      <w:pPr>
        <w:ind w:firstLine="0" w:firstLineChars="0"/>
        <w:jc w:val="center"/>
        <w:rPr>
          <w:rFonts w:ascii="仿宋" w:hAnsi="仿宋"/>
          <w:b/>
          <w:bCs/>
          <w:kern w:val="44"/>
          <w:szCs w:val="24"/>
        </w:rPr>
      </w:pPr>
      <w:r>
        <w:rPr>
          <w:rFonts w:hint="eastAsia" w:ascii="仿宋" w:hAnsi="仿宋"/>
          <w:b/>
          <w:bCs/>
          <w:kern w:val="44"/>
          <w:szCs w:val="24"/>
        </w:rPr>
        <w:t>国家级滑雪旅游度假地2处、省（自治区）级滑雪旅游度假地1处；国家体育旅游示范基地7处</w:t>
      </w:r>
    </w:p>
    <w:tbl>
      <w:tblPr>
        <w:tblStyle w:val="23"/>
        <w:tblW w:w="14165" w:type="dxa"/>
        <w:tblInd w:w="0" w:type="dxa"/>
        <w:tblLayout w:type="autofit"/>
        <w:tblCellMar>
          <w:top w:w="0" w:type="dxa"/>
          <w:left w:w="0" w:type="dxa"/>
          <w:bottom w:w="0" w:type="dxa"/>
          <w:right w:w="0" w:type="dxa"/>
        </w:tblCellMar>
      </w:tblPr>
      <w:tblGrid>
        <w:gridCol w:w="983"/>
        <w:gridCol w:w="567"/>
        <w:gridCol w:w="2327"/>
        <w:gridCol w:w="1075"/>
        <w:gridCol w:w="691"/>
        <w:gridCol w:w="745"/>
        <w:gridCol w:w="7777"/>
      </w:tblGrid>
      <w:tr>
        <w:tblPrEx>
          <w:tblCellMar>
            <w:top w:w="0" w:type="dxa"/>
            <w:left w:w="0" w:type="dxa"/>
            <w:bottom w:w="0" w:type="dxa"/>
            <w:right w:w="0" w:type="dxa"/>
          </w:tblCellMar>
        </w:tblPrEx>
        <w:trPr>
          <w:trHeight w:val="295"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56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32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10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3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77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CellMar>
            <w:top w:w="0" w:type="dxa"/>
            <w:left w:w="0" w:type="dxa"/>
            <w:bottom w:w="0" w:type="dxa"/>
            <w:right w:w="0" w:type="dxa"/>
          </w:tblCellMar>
        </w:tblPrEx>
        <w:trPr>
          <w:trHeight w:val="295" w:hRule="atLeast"/>
        </w:trPr>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5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23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10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777"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r>
      <w:tr>
        <w:tblPrEx>
          <w:tblCellMar>
            <w:top w:w="0" w:type="dxa"/>
            <w:left w:w="0" w:type="dxa"/>
            <w:bottom w:w="0" w:type="dxa"/>
            <w:right w:w="0" w:type="dxa"/>
          </w:tblCellMar>
        </w:tblPrEx>
        <w:trPr>
          <w:trHeight w:val="517"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国家级滑雪旅游度假地</w:t>
            </w:r>
          </w:p>
          <w:p>
            <w:pPr>
              <w:spacing w:line="240" w:lineRule="auto"/>
              <w:ind w:firstLine="0" w:firstLineChars="0"/>
              <w:rPr>
                <w:rFonts w:ascii="仿宋" w:hAnsi="仿宋"/>
                <w:sz w:val="21"/>
                <w:szCs w:val="21"/>
              </w:rPr>
            </w:pPr>
            <w:r>
              <w:rPr>
                <w:rFonts w:hint="eastAsia" w:ascii="仿宋" w:hAnsi="仿宋"/>
                <w:sz w:val="21"/>
                <w:szCs w:val="21"/>
              </w:rPr>
              <w:t>（2处）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阿尔山太平岭国际滑雪场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规划建设雪上专业运动区、运动服务配套区、生活服务配套区、冰雪休闲体验区、冰雪旅游综合服务区五个功能区。在森林公园核心景区的天池林场配套建设自驾车营地配套项目，填补阿尔山旅游景区自驾车露营的历史空白。</w:t>
            </w:r>
          </w:p>
        </w:tc>
      </w:tr>
      <w:tr>
        <w:tblPrEx>
          <w:tblCellMar>
            <w:top w:w="0" w:type="dxa"/>
            <w:left w:w="0" w:type="dxa"/>
            <w:bottom w:w="0" w:type="dxa"/>
            <w:right w:w="0" w:type="dxa"/>
          </w:tblCellMar>
        </w:tblPrEx>
        <w:trPr>
          <w:trHeight w:val="517"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阿尔山市白狼峰滑雪场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规划建设白狼峰滑雪度假区，可占地面积约160万平方米，滑雪区可利用区域面积约为60万平方米，建设雪道与场地、索道及其雪场设备器材、基础设施及配套服务设施。</w:t>
            </w:r>
          </w:p>
        </w:tc>
      </w:tr>
      <w:tr>
        <w:tblPrEx>
          <w:tblCellMar>
            <w:top w:w="0" w:type="dxa"/>
            <w:left w:w="0" w:type="dxa"/>
            <w:bottom w:w="0" w:type="dxa"/>
            <w:right w:w="0" w:type="dxa"/>
          </w:tblCellMar>
        </w:tblPrEx>
        <w:trPr>
          <w:trHeight w:val="767" w:hRule="atLeast"/>
        </w:trPr>
        <w:tc>
          <w:tcPr>
            <w:tcW w:w="983"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省（自治区）级滑雪旅游度假地</w:t>
            </w:r>
          </w:p>
          <w:p>
            <w:pPr>
              <w:spacing w:line="240" w:lineRule="auto"/>
              <w:ind w:firstLine="0" w:firstLineChars="0"/>
              <w:rPr>
                <w:rFonts w:ascii="仿宋" w:hAnsi="仿宋"/>
                <w:sz w:val="21"/>
                <w:szCs w:val="21"/>
              </w:rPr>
            </w:pPr>
            <w:r>
              <w:rPr>
                <w:rFonts w:hint="eastAsia" w:ascii="仿宋" w:hAnsi="仿宋"/>
                <w:sz w:val="21"/>
                <w:szCs w:val="21"/>
              </w:rPr>
              <w:t>（1处）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阿尔山太伟滑雪场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滑雪场提质升级，区别于西山滑雪场以竞技、训练基地为主题，东山滑雪场以冰雪运动、冰雪娱乐为主题，设置多样的冰雪项目，单板滑雪、滑雪橇、雪鞋践行等冰雪特色活动，满足于不同年龄阶段与不同滑雪需求的客群。作为健康谷度假康养的主要冰雪娱乐配套产品。</w:t>
            </w:r>
          </w:p>
        </w:tc>
      </w:tr>
      <w:tr>
        <w:tblPrEx>
          <w:tblCellMar>
            <w:top w:w="0" w:type="dxa"/>
            <w:left w:w="0" w:type="dxa"/>
            <w:bottom w:w="0" w:type="dxa"/>
            <w:right w:w="0" w:type="dxa"/>
          </w:tblCellMar>
        </w:tblPrEx>
        <w:trPr>
          <w:trHeight w:val="517" w:hRule="atLeast"/>
        </w:trPr>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国家体育旅游示范基地</w:t>
            </w:r>
          </w:p>
          <w:p>
            <w:pPr>
              <w:spacing w:line="240" w:lineRule="auto"/>
              <w:ind w:firstLine="0" w:firstLineChars="0"/>
              <w:rPr>
                <w:rFonts w:ascii="仿宋" w:hAnsi="仿宋"/>
                <w:sz w:val="21"/>
                <w:szCs w:val="21"/>
              </w:rPr>
            </w:pPr>
            <w:r>
              <w:rPr>
                <w:rFonts w:hint="eastAsia" w:ascii="仿宋" w:hAnsi="仿宋"/>
                <w:sz w:val="21"/>
                <w:szCs w:val="21"/>
              </w:rPr>
              <w:t>（7处）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阿尔山滑雪场集群</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推动阿尔山太伟滑雪场、阿尔山太伟西山滑雪场、阿尔山市白狼峰滑雪场、阿尔山太平岭国际滑雪场、阿尔山市温泉雪城体育公园等具备创建国家体育旅游示范基地的基础。</w:t>
            </w:r>
          </w:p>
        </w:tc>
      </w:tr>
      <w:tr>
        <w:tblPrEx>
          <w:tblCellMar>
            <w:top w:w="0" w:type="dxa"/>
            <w:left w:w="0" w:type="dxa"/>
            <w:bottom w:w="0" w:type="dxa"/>
            <w:right w:w="0" w:type="dxa"/>
          </w:tblCellMar>
        </w:tblPrEx>
        <w:trPr>
          <w:trHeight w:val="767"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好森沟森林户外运动基地</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生态保护为主，打造不同长度、不同难度的森林徒步线路，完善线路沿线的引导、服务设施建设游乐、休闲，拓展训练设施，设置树上穿越、蛛网乐园、树上客栈、森林鹿苑项目。结合森林环境，邀请艺术家创作大地艺术作品设计充满科技感的银河营地、太空房车、星云空间、未来栖息站等露营场所。</w:t>
            </w:r>
          </w:p>
        </w:tc>
      </w:tr>
      <w:tr>
        <w:tblPrEx>
          <w:tblCellMar>
            <w:top w:w="0" w:type="dxa"/>
            <w:left w:w="0" w:type="dxa"/>
            <w:bottom w:w="0" w:type="dxa"/>
            <w:right w:w="0" w:type="dxa"/>
          </w:tblCellMar>
        </w:tblPrEx>
        <w:trPr>
          <w:trHeight w:val="517"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巴彦塔拉·秘境河谷生态文化旅游区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以国家4A级旅游景区为目标，以绰尔河为旅游资源带，沿绰尔河上段规划一条水上漂流线路岩壁漂流，沿线布置河谷宿集度假区、秘语河滩营地、巴彦塔拉景区、火格营地以及百花伴月景区五大景区。</w:t>
            </w:r>
          </w:p>
        </w:tc>
      </w:tr>
      <w:tr>
        <w:tblPrEx>
          <w:tblCellMar>
            <w:top w:w="0" w:type="dxa"/>
            <w:left w:w="0" w:type="dxa"/>
            <w:bottom w:w="0" w:type="dxa"/>
            <w:right w:w="0" w:type="dxa"/>
          </w:tblCellMar>
        </w:tblPrEx>
        <w:trPr>
          <w:trHeight w:val="767"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乌兰毛都草原旅游度假区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乌兰毛都草原旅游度假区包含乌兰毛都草原风景区、赛马场、草原宿集等多种产品，涵盖的户外运动营地、赛马场等运动场所，可开展冰雪运动、航空运动、草原竞技等多种户外运动形式，具备打造国家体育旅游示范基地的基础，</w:t>
            </w:r>
          </w:p>
        </w:tc>
      </w:tr>
      <w:tr>
        <w:tblPrEx>
          <w:tblCellMar>
            <w:top w:w="0" w:type="dxa"/>
            <w:left w:w="0" w:type="dxa"/>
            <w:bottom w:w="0" w:type="dxa"/>
            <w:right w:w="0" w:type="dxa"/>
          </w:tblCellMar>
        </w:tblPrEx>
        <w:trPr>
          <w:trHeight w:val="663"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老头山山地旅游区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生态保护优先，通过“山上游览、山下休闲”的适度开发模式，放大老头山地形起伏，山地景观特色丰富的资源基础，抓住玄武岩地质的区域垄断性，叫响“北方石林”品牌，培育森林生态、地质科普研学，引入食养、森养、动养等多种康养业态，发展直升机、热气球、滑翔伞空中观光游览形式；山下依托老头山林场打造老头衫森养田园综合体，配备停机坪、飞行培训基地，提供各种服务配套。</w:t>
            </w:r>
          </w:p>
        </w:tc>
      </w:tr>
      <w:tr>
        <w:tblPrEx>
          <w:tblCellMar>
            <w:top w:w="0" w:type="dxa"/>
            <w:left w:w="0" w:type="dxa"/>
            <w:bottom w:w="0" w:type="dxa"/>
            <w:right w:w="0" w:type="dxa"/>
          </w:tblCellMar>
        </w:tblPrEx>
        <w:trPr>
          <w:trHeight w:val="767"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马文化度假公园</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谋划系列马主题旅游项目，以“马博物馆+马主题商业街+马术学校+主题赛事”为核心特色，加快形成马产业集群。进一步强化马术活动，举办速度马赛事、蒙古马赛事、马王赛事、万马奔腾，结合蒙古民俗牛色活动，形成科尔沁草原最具激情的旅游区。</w:t>
            </w:r>
          </w:p>
        </w:tc>
      </w:tr>
      <w:tr>
        <w:tblPrEx>
          <w:tblCellMar>
            <w:top w:w="0" w:type="dxa"/>
            <w:left w:w="0" w:type="dxa"/>
            <w:bottom w:w="0" w:type="dxa"/>
            <w:right w:w="0" w:type="dxa"/>
          </w:tblCellMar>
        </w:tblPrEx>
        <w:trPr>
          <w:trHeight w:val="1032" w:hRule="atLeast"/>
        </w:trPr>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23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蒙格罕山生态旅游景区</w:t>
            </w:r>
          </w:p>
        </w:tc>
        <w:tc>
          <w:tcPr>
            <w:tcW w:w="1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6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立足蒙格罕山鲜卑族圣山、生态养生山两大抓手，结合山下的废弃矿区改造，建设工业酒店、游乐项目、研学项目、停车场、道路及相关配套设施等。打造集文化研学教育、山地运动休闲与一体的蒙格罕山生态旅游景区、文化研学基地、生态研学实践教育基地。</w:t>
            </w:r>
          </w:p>
        </w:tc>
      </w:tr>
    </w:tbl>
    <w:p>
      <w:pPr>
        <w:spacing w:line="240" w:lineRule="auto"/>
        <w:ind w:firstLine="0" w:firstLineChars="0"/>
        <w:rPr>
          <w:rFonts w:ascii="仿宋" w:hAnsi="仿宋"/>
          <w:sz w:val="21"/>
          <w:szCs w:val="21"/>
        </w:rPr>
      </w:pPr>
    </w:p>
    <w:p>
      <w:pPr>
        <w:ind w:firstLine="0" w:firstLineChars="0"/>
        <w:jc w:val="center"/>
        <w:rPr>
          <w:rFonts w:ascii="仿宋" w:hAnsi="仿宋"/>
          <w:b/>
          <w:bCs/>
          <w:kern w:val="44"/>
          <w:szCs w:val="24"/>
        </w:rPr>
      </w:pPr>
      <w:r>
        <w:rPr>
          <w:rFonts w:hint="eastAsia" w:ascii="仿宋" w:hAnsi="仿宋"/>
          <w:b/>
          <w:bCs/>
          <w:kern w:val="44"/>
          <w:szCs w:val="24"/>
        </w:rPr>
        <w:t>全国中小学生研学实践教育基地11处；全国研学旅行基地（营地）10处</w:t>
      </w:r>
    </w:p>
    <w:tbl>
      <w:tblPr>
        <w:tblStyle w:val="23"/>
        <w:tblW w:w="14165" w:type="dxa"/>
        <w:tblInd w:w="0" w:type="dxa"/>
        <w:tblLayout w:type="autofit"/>
        <w:tblCellMar>
          <w:top w:w="0" w:type="dxa"/>
          <w:left w:w="0" w:type="dxa"/>
          <w:bottom w:w="0" w:type="dxa"/>
          <w:right w:w="0" w:type="dxa"/>
        </w:tblCellMar>
      </w:tblPr>
      <w:tblGrid>
        <w:gridCol w:w="841"/>
        <w:gridCol w:w="567"/>
        <w:gridCol w:w="2402"/>
        <w:gridCol w:w="8"/>
        <w:gridCol w:w="1134"/>
        <w:gridCol w:w="708"/>
        <w:gridCol w:w="709"/>
        <w:gridCol w:w="7796"/>
      </w:tblGrid>
      <w:tr>
        <w:trPr>
          <w:trHeight w:val="167"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56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40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114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7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CellMar>
            <w:top w:w="0" w:type="dxa"/>
            <w:left w:w="0" w:type="dxa"/>
            <w:bottom w:w="0" w:type="dxa"/>
            <w:right w:w="0" w:type="dxa"/>
          </w:tblCellMar>
        </w:tblPrEx>
        <w:trPr>
          <w:trHeight w:val="167"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2402"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114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sz w:val="21"/>
                <w:szCs w:val="21"/>
              </w:rPr>
            </w:pP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796"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r>
      <w:tr>
        <w:tblPrEx>
          <w:tblCellMar>
            <w:top w:w="0" w:type="dxa"/>
            <w:left w:w="0" w:type="dxa"/>
            <w:bottom w:w="0" w:type="dxa"/>
            <w:right w:w="0" w:type="dxa"/>
          </w:tblCellMar>
        </w:tblPrEx>
        <w:trPr>
          <w:trHeight w:val="795"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r>
              <w:rPr>
                <w:rFonts w:hint="eastAsia" w:ascii="仿宋" w:hAnsi="仿宋"/>
                <w:sz w:val="21"/>
                <w:szCs w:val="21"/>
              </w:rPr>
              <w:t>全国中小学生研学实践教育基地</w:t>
            </w:r>
          </w:p>
          <w:p>
            <w:pPr>
              <w:spacing w:line="240" w:lineRule="auto"/>
              <w:ind w:firstLine="0" w:firstLineChars="0"/>
              <w:rPr>
                <w:rFonts w:ascii="仿宋" w:hAnsi="仿宋"/>
                <w:sz w:val="21"/>
                <w:szCs w:val="21"/>
              </w:rPr>
            </w:pPr>
            <w:r>
              <w:rPr>
                <w:rFonts w:hint="eastAsia" w:ascii="仿宋" w:hAnsi="仿宋"/>
                <w:sz w:val="21"/>
                <w:szCs w:val="21"/>
              </w:rPr>
              <w:t>（11处）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经开工业旅游体验区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依托科沁万佳食品公司，参观酱菜、调味品的生产流程。3A乌兰浩特市蒙牛乳业景区，蒙牛乳业景区打造一系列可参与、可感知、可科普的项目。参观工厂生产流水线，参观智能化生产车间、了解现代牧场，更可以接触到“牛奶时空仓”VR“黑科技”带来的沉浸式体验魅力。依托白云酒业，集中展现内蒙古酒文化的博物馆——内蒙古酒文化为主题，主要展示五千年来的酿酒技术和酿酒器皿，草原各民族贮酒和盛酒用器的变化，到今天的温酒和饮酒器具，北方草原酒宴、酒会、酒礼、酒疗、酒禁、轶闻掌故等。</w:t>
            </w:r>
          </w:p>
        </w:tc>
      </w:tr>
      <w:tr>
        <w:tblPrEx>
          <w:tblCellMar>
            <w:top w:w="0" w:type="dxa"/>
            <w:left w:w="0" w:type="dxa"/>
            <w:bottom w:w="0" w:type="dxa"/>
            <w:right w:w="0" w:type="dxa"/>
          </w:tblCellMar>
        </w:tblPrEx>
        <w:trPr>
          <w:trHeight w:val="638"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洮儿河国家湿地画廊</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升级打造乌兰浩特市“田园城市”、湿地城市空间，以河为脉联动兴安稻海公园、大兴安岭生态体验基地、神骏湾田园综合体、成吉思汗庙-罕山景区、洮儿河湿地风光景区等主要景点，并结合湿地研学教育，创新更多趣味交通方式，结合水上游和自驾路游的方式，打造成为可逛艺术集市、可游夜光河岸、可观趣味演出、可拍网红打卡点、可宿星空营地、可游亲子游乐的集休闲、观光、打卡、娱乐、住宿、餐饮等于一体的洮儿河湿地画廊。</w:t>
            </w:r>
          </w:p>
        </w:tc>
      </w:tr>
      <w:tr>
        <w:tblPrEx>
          <w:tblCellMar>
            <w:top w:w="0" w:type="dxa"/>
            <w:left w:w="0" w:type="dxa"/>
            <w:bottom w:w="0" w:type="dxa"/>
            <w:right w:w="0" w:type="dxa"/>
          </w:tblCellMar>
        </w:tblPrEx>
        <w:trPr>
          <w:trHeight w:val="481"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乌兰浩特市-红色旅游线路开发项目</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推出乌兰浩特市内的遗迹红色记忆追踪线路：“一馆十址”以庄重严肃的游线设计，利用葛根庙镇其他文旅资源，重点开展扩建广场、“8·11”葛根庙抗日武装起义旧址保护与修缮、骑兵一师雕塑项目，配合增建设立射击、骑行、野战等体验性项目。沿线村镇做服务配套。</w:t>
            </w:r>
          </w:p>
        </w:tc>
      </w:tr>
      <w:tr>
        <w:tblPrEx>
          <w:tblCellMar>
            <w:top w:w="0" w:type="dxa"/>
            <w:left w:w="0" w:type="dxa"/>
            <w:bottom w:w="0" w:type="dxa"/>
            <w:right w:w="0" w:type="dxa"/>
          </w:tblCellMar>
        </w:tblPrEx>
        <w:trPr>
          <w:trHeight w:val="107"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哈拉哈河森林时光研学科普园</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对标基地建设要求，以东北区系植物收集、保存与迁地保护为主，国内外其它植物收集为辅，融科研、科普、景观和游憩为一体，以旅游观光为主要支撑，以实体、活体植物展示与网络虚拟互动、室内外结合为展示方式，成为集研究、植物种源保存、种苗培育、观赏植物开发、园艺技术发展、以及民众植物教育普及等功能于一体的综合性国家科普园。</w:t>
            </w:r>
          </w:p>
        </w:tc>
      </w:tr>
      <w:tr>
        <w:tblPrEx>
          <w:tblCellMar>
            <w:top w:w="0" w:type="dxa"/>
            <w:left w:w="0" w:type="dxa"/>
            <w:bottom w:w="0" w:type="dxa"/>
            <w:right w:w="0" w:type="dxa"/>
          </w:tblCellMar>
        </w:tblPrEx>
        <w:trPr>
          <w:trHeight w:val="32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南兴安爱国主义教育基地</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红色研学、党建研学为主。建设南兴安隧道堡垒博物馆、日伪时期火车站参观、花炮台军事要塞文化馆、大和旅社纪念馆、五岔沟飞机堡体验区，开发阿尔山爱国主义教育主题游线。</w:t>
            </w:r>
          </w:p>
        </w:tc>
      </w:tr>
      <w:tr>
        <w:tblPrEx>
          <w:tblCellMar>
            <w:top w:w="0" w:type="dxa"/>
            <w:left w:w="0" w:type="dxa"/>
            <w:bottom w:w="0" w:type="dxa"/>
            <w:right w:w="0" w:type="dxa"/>
          </w:tblCellMar>
        </w:tblPrEx>
        <w:trPr>
          <w:trHeight w:val="638"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大兴安岭森林工业主题文化广场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综合利用本案工业遗址原有元素，以森林工业文化旅游为主要场景，立足绿色发展与生态建设原则，对标基地建设要求，强化中小学研学教育配套，创新丰富森工文化展示、高端集会、旅游集散、休闲度假、科普研学、森林文创、旅游商贸、餐饮娱乐等业态，森林工业博物馆文化引擎、森林工业纪念塔旅游地表和森林工业生产恢复区绿色园区三大项目组团，将其建设成为森林工业地标型文化旅游综合体。</w:t>
            </w:r>
          </w:p>
        </w:tc>
      </w:tr>
      <w:tr>
        <w:tblPrEx>
          <w:tblCellMar>
            <w:top w:w="0" w:type="dxa"/>
            <w:left w:w="0" w:type="dxa"/>
            <w:bottom w:w="0" w:type="dxa"/>
            <w:right w:w="0" w:type="dxa"/>
          </w:tblCellMar>
        </w:tblPrEx>
        <w:trPr>
          <w:trHeight w:val="168"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玫瑰峰景区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提升改造游客服务中心、增设地质研学、主题景观打卡点等项目，与中小学合作，策划并开展地质研学夏令营等活动。</w:t>
            </w:r>
          </w:p>
        </w:tc>
      </w:tr>
      <w:tr>
        <w:tblPrEx>
          <w:tblCellMar>
            <w:top w:w="0" w:type="dxa"/>
            <w:left w:w="0" w:type="dxa"/>
            <w:bottom w:w="0" w:type="dxa"/>
            <w:right w:w="0" w:type="dxa"/>
          </w:tblCellMar>
        </w:tblPrEx>
        <w:trPr>
          <w:trHeight w:val="481"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大青山（内蒙古青山国家级自然保护区）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保护为先，教学科研为主，结合自然保护区保护范围限制要求，构建生态保护示范区、环境教育示范区、科研基地示范区、研学旅游示范区四个示范区，探索“生态+研学”发展路径，打造成为环境最好、教育研学最优的集生物多样性保护、科研监测、教学实习、宣传教育和可持续发展等多功能于一体自然科普教育基地。</w:t>
            </w:r>
          </w:p>
        </w:tc>
      </w:tr>
      <w:tr>
        <w:tblPrEx>
          <w:tblCellMar>
            <w:top w:w="0" w:type="dxa"/>
            <w:left w:w="0" w:type="dxa"/>
            <w:bottom w:w="0" w:type="dxa"/>
            <w:right w:w="0" w:type="dxa"/>
          </w:tblCellMar>
        </w:tblPrEx>
        <w:trPr>
          <w:trHeight w:val="32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9</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图布台草原自然公园</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保护为主，适度开发自然公园，发挥首批国家草原自然公园试点建设名单品质背书，规划以小体量开发建设、科研研学为主，通过设置与自然融合的观景平台、热气球观赏点的方式，通过立体高空视角，欣赏图布台草原自然公园绝美风光。</w:t>
            </w:r>
          </w:p>
        </w:tc>
      </w:tr>
      <w:tr>
        <w:tblPrEx>
          <w:tblCellMar>
            <w:top w:w="0" w:type="dxa"/>
            <w:left w:w="0" w:type="dxa"/>
            <w:bottom w:w="0" w:type="dxa"/>
            <w:right w:w="0" w:type="dxa"/>
          </w:tblCellMar>
        </w:tblPrEx>
        <w:trPr>
          <w:trHeight w:val="31"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10</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德伯斯镇黑羊山生态旅游区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3A级景区为目标，建设生态化旅游步道，同时设置系列岩画景观、生态化的互动体验装置与科普体验装置，以彩色岩石、药材粉末、动物皮毛和骨头、纸张木材等材料，模仿动物足迹、山脊等高线起伏等路径敷设在森林地面，形成人类活动、自然更替交互影响的创意艺术景观空间。丰富游客体验，雅玛洞内通过声光电的方式，将迷失历史与互动科技碰撞，新方式展示黑山羊文化传说故事。同时策划走进黑羊山研学活动，包括生态地质考察、人文课堂、团队协作拓展训练等项目。</w:t>
            </w:r>
          </w:p>
        </w:tc>
      </w:tr>
      <w:tr>
        <w:tblPrEx>
          <w:tblCellMar>
            <w:top w:w="0" w:type="dxa"/>
            <w:left w:w="0" w:type="dxa"/>
            <w:bottom w:w="0" w:type="dxa"/>
            <w:right w:w="0" w:type="dxa"/>
          </w:tblCellMar>
        </w:tblPrEx>
        <w:trPr>
          <w:trHeight w:val="32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jc w:val="center"/>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11</w:t>
            </w:r>
          </w:p>
        </w:tc>
        <w:tc>
          <w:tcPr>
            <w:tcW w:w="24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科尔沁国家级自然保护区</w:t>
            </w:r>
          </w:p>
        </w:tc>
        <w:tc>
          <w:tcPr>
            <w:tcW w:w="114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保护优先，对现有展览馆、珍禽繁育基地、观鹤塔、布鲁岛等景点提档升级，以自然观光、生态研学为主，通过自然生态化的小型景观构筑物、讲解牌、互动装置，打造户外的自然博物馆。</w:t>
            </w:r>
          </w:p>
        </w:tc>
      </w:tr>
      <w:tr>
        <w:tblPrEx>
          <w:tblCellMar>
            <w:top w:w="0" w:type="dxa"/>
            <w:left w:w="0" w:type="dxa"/>
            <w:bottom w:w="0" w:type="dxa"/>
            <w:right w:w="0" w:type="dxa"/>
          </w:tblCellMar>
        </w:tblPrEx>
        <w:trPr>
          <w:trHeight w:val="96"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center"/>
              <w:rPr>
                <w:rFonts w:ascii="仿宋" w:hAnsi="仿宋"/>
                <w:sz w:val="21"/>
                <w:szCs w:val="21"/>
              </w:rPr>
            </w:pPr>
          </w:p>
          <w:p>
            <w:pPr>
              <w:spacing w:line="240" w:lineRule="auto"/>
              <w:ind w:firstLine="0" w:firstLineChars="0"/>
              <w:jc w:val="left"/>
              <w:rPr>
                <w:rFonts w:ascii="仿宋" w:hAnsi="仿宋"/>
                <w:sz w:val="21"/>
                <w:szCs w:val="21"/>
              </w:rPr>
            </w:pPr>
          </w:p>
          <w:p>
            <w:pPr>
              <w:spacing w:line="240" w:lineRule="auto"/>
              <w:ind w:firstLine="0" w:firstLineChars="0"/>
              <w:jc w:val="center"/>
              <w:rPr>
                <w:rFonts w:ascii="仿宋" w:hAnsi="仿宋"/>
                <w:sz w:val="21"/>
                <w:szCs w:val="21"/>
              </w:rPr>
            </w:pPr>
            <w:r>
              <w:rPr>
                <w:rFonts w:hint="eastAsia" w:ascii="仿宋" w:hAnsi="仿宋"/>
                <w:sz w:val="21"/>
                <w:szCs w:val="21"/>
              </w:rPr>
              <w:t>全国研学旅行基地</w:t>
            </w:r>
          </w:p>
          <w:p>
            <w:pPr>
              <w:spacing w:line="240" w:lineRule="auto"/>
              <w:ind w:firstLine="0" w:firstLineChars="0"/>
              <w:rPr>
                <w:rFonts w:ascii="仿宋" w:hAnsi="仿宋"/>
                <w:sz w:val="21"/>
                <w:szCs w:val="21"/>
              </w:rPr>
            </w:pPr>
            <w:r>
              <w:rPr>
                <w:rFonts w:hint="eastAsia" w:ascii="仿宋" w:hAnsi="仿宋"/>
                <w:sz w:val="21"/>
                <w:szCs w:val="21"/>
              </w:rPr>
              <w:t>（营地）</w:t>
            </w:r>
          </w:p>
          <w:p>
            <w:pPr>
              <w:spacing w:line="240" w:lineRule="auto"/>
              <w:ind w:firstLine="0" w:firstLineChars="0"/>
              <w:rPr>
                <w:rFonts w:ascii="仿宋" w:hAnsi="仿宋"/>
                <w:sz w:val="21"/>
                <w:szCs w:val="21"/>
              </w:rPr>
            </w:pPr>
            <w:r>
              <w:rPr>
                <w:rFonts w:hint="eastAsia" w:ascii="仿宋" w:hAnsi="仿宋"/>
                <w:sz w:val="21"/>
                <w:szCs w:val="21"/>
              </w:rPr>
              <w:t>（9处）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乌兰毛都草原旅游度假区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构建草原度假标杆，从“草原观光”向“草原度假”品质升级，输出一套草原风情旅游为引领的产业发展模式，草原风情主题项目先期引爆，逐步完善住宿、观光、经济、美食等功能，增加二次消费，通过草原全产业发展模式，以5A标准提升乌兰毛都草原风景区，通过深度体验式帐篷野奢度假营地酒店以及综合性度假产品的建设，彰显草原特色、提升度假区品质。同时补缺公服配套，实现生态旅游度假区服务配套、住宿、餐饮、休闲产品、内部景区游线的全面升级。升级游览方式，通过直升机、热气球等立体多维观景模式，开启时尚游憩新视角。并举办系列草原体验活动引导全民参与，带动村民就业。</w:t>
            </w:r>
          </w:p>
        </w:tc>
      </w:tr>
      <w:tr>
        <w:tblPrEx>
          <w:tblCellMar>
            <w:top w:w="0" w:type="dxa"/>
            <w:left w:w="0" w:type="dxa"/>
            <w:bottom w:w="0" w:type="dxa"/>
            <w:right w:w="0" w:type="dxa"/>
          </w:tblCellMar>
        </w:tblPrEx>
        <w:trPr>
          <w:trHeight w:val="48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图牧吉生态旅游区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图牧吉国家级自然保护区生态红线内做原生态的观光 、科普，提升现有宣教中心，通过声光电技术，植入互动体验产品，对室外景观进行提升，以最原生态的方式，打造景观节点，同时植入飞鸟课堂、小小医生等互动性专业研学课程。</w:t>
            </w:r>
          </w:p>
        </w:tc>
      </w:tr>
      <w:tr>
        <w:tblPrEx>
          <w:tblCellMar>
            <w:top w:w="0" w:type="dxa"/>
            <w:left w:w="0" w:type="dxa"/>
            <w:bottom w:w="0" w:type="dxa"/>
            <w:right w:w="0" w:type="dxa"/>
          </w:tblCellMar>
        </w:tblPrEx>
        <w:trPr>
          <w:trHeight w:val="48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大兴安岭秘境山乡旅游区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推进山下乡村旅游开发，做足旅游氛围，完善旅游配套（巴彦道布生态度假村、哈拉改吐集散服务区）。联合当地村民，推进“扎赉特美文化旅游使者”计划，在山内不做大规模开发、以徒步线路串联景点资源。</w:t>
            </w:r>
          </w:p>
        </w:tc>
      </w:tr>
      <w:tr>
        <w:tblPrEx>
          <w:tblCellMar>
            <w:top w:w="0" w:type="dxa"/>
            <w:left w:w="0" w:type="dxa"/>
            <w:bottom w:w="0" w:type="dxa"/>
            <w:right w:w="0" w:type="dxa"/>
          </w:tblCellMar>
        </w:tblPrEx>
        <w:trPr>
          <w:trHeight w:val="94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阿尔山森林公园</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全面升级现有天池、石塘林、玫瑰峰等重点景点的游憩休闲业态，增建“心动天池”主题的云梯滑索、热气球观光、森林脉动网红小火车等产品，构建森林公园“树上+树下”立体综合的游憩空间；做强阿尔山森林中火山石的亮点，以“知识体验化+设施观赏化+线路产品化”三重策略策划火山石科普的线路，全力构建打造“极致观光+研游度假”为核心的世界地质森林旅游目的地。</w:t>
            </w:r>
          </w:p>
        </w:tc>
      </w:tr>
      <w:tr>
        <w:tblPrEx>
          <w:tblCellMar>
            <w:top w:w="0" w:type="dxa"/>
            <w:left w:w="0" w:type="dxa"/>
            <w:bottom w:w="0" w:type="dxa"/>
            <w:right w:w="0" w:type="dxa"/>
          </w:tblCellMar>
        </w:tblPrEx>
        <w:trPr>
          <w:trHeight w:val="24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白狼峰景区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联合白狼林俗村开展山上山下联动开发，白狼峰景区以生态保护为先、重点优先开展山岳观光摄影、山路越野、生态科普探索、林间露营等专业化、轻体量项目。</w:t>
            </w:r>
          </w:p>
        </w:tc>
      </w:tr>
      <w:tr>
        <w:tblPrEx>
          <w:tblCellMar>
            <w:top w:w="0" w:type="dxa"/>
            <w:left w:w="0" w:type="dxa"/>
            <w:bottom w:w="0" w:type="dxa"/>
            <w:right w:w="0" w:type="dxa"/>
          </w:tblCellMar>
        </w:tblPrEx>
        <w:trPr>
          <w:trHeight w:val="482"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葛根庙马文化特色小镇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打造独具特色的马文化特色小镇，打造包括马术赛事活动、育马基地、世界名马博览园、大型实景演出剧场等，彰显蒙古族特色。</w:t>
            </w:r>
          </w:p>
        </w:tc>
      </w:tr>
      <w:tr>
        <w:tblPrEx>
          <w:tblCellMar>
            <w:top w:w="0" w:type="dxa"/>
            <w:left w:w="0" w:type="dxa"/>
            <w:bottom w:w="0" w:type="dxa"/>
            <w:right w:w="0" w:type="dxa"/>
          </w:tblCellMar>
        </w:tblPrEx>
        <w:trPr>
          <w:trHeight w:val="964"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老头山山地旅游区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生态保护优先，通过“山上游览、山下休闲”的适度开发模式，放大老头山地形起伏，山地景观特色丰富的资源基础，抓住玄武岩地质的区域垄断性，叫响“北方石林”品牌，培育森林生态、地质科普研学，引入食养、森养、动养等多种康养业态，发展直升机、热气球、滑翔伞空中观光游览形式；山下依托老头山林场打造老头衫森养田园综合体，配备停机坪、飞行培训基地，提供各种服务配套。</w:t>
            </w:r>
          </w:p>
        </w:tc>
      </w:tr>
      <w:tr>
        <w:tblPrEx>
          <w:tblCellMar>
            <w:top w:w="0" w:type="dxa"/>
            <w:left w:w="0" w:type="dxa"/>
            <w:bottom w:w="0" w:type="dxa"/>
            <w:right w:w="0" w:type="dxa"/>
          </w:tblCellMar>
        </w:tblPrEx>
        <w:trPr>
          <w:trHeight w:val="658"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科尔沁湿地研学基地项目（草原方舟）</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依托科尔沁湿地、疏林草原、鸟类等资源，开展教育研学基地楼、鸟类、树木、花草等研学项目。</w:t>
            </w:r>
          </w:p>
        </w:tc>
      </w:tr>
      <w:tr>
        <w:tblPrEx>
          <w:tblCellMar>
            <w:top w:w="0" w:type="dxa"/>
            <w:left w:w="0" w:type="dxa"/>
            <w:bottom w:w="0" w:type="dxa"/>
            <w:right w:w="0" w:type="dxa"/>
          </w:tblCellMar>
        </w:tblPrEx>
        <w:trPr>
          <w:trHeight w:val="489" w:hRule="atLeast"/>
        </w:trPr>
        <w:tc>
          <w:tcPr>
            <w:tcW w:w="841"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uto"/>
              <w:ind w:firstLine="0" w:firstLineChars="0"/>
              <w:rPr>
                <w:rFonts w:ascii="仿宋" w:hAnsi="仿宋"/>
                <w:sz w:val="21"/>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9</w:t>
            </w:r>
          </w:p>
        </w:tc>
        <w:tc>
          <w:tcPr>
            <w:tcW w:w="2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宝石湖旅游风景区</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7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line="240" w:lineRule="auto"/>
              <w:ind w:firstLine="0" w:firstLineChars="0"/>
              <w:jc w:val="left"/>
              <w:rPr>
                <w:rFonts w:ascii="仿宋" w:hAnsi="仿宋"/>
                <w:sz w:val="21"/>
                <w:szCs w:val="21"/>
              </w:rPr>
            </w:pPr>
            <w:r>
              <w:rPr>
                <w:rFonts w:hint="eastAsia" w:ascii="仿宋" w:hAnsi="仿宋"/>
                <w:sz w:val="21"/>
                <w:szCs w:val="21"/>
              </w:rPr>
              <w:t>以国家5A级景区为目标，规划建设春州古城、宝城辽金特色文化村、坝下草原、奇袭漂流、宝石湾滨湖休闲区、宝范湖越野公园六大核心项目，将宝石湖旅游风景区打造成为中国首个辽金主题文化田园体验目的地、突泉县全域旅游新引擎。</w:t>
            </w:r>
          </w:p>
        </w:tc>
      </w:tr>
    </w:tbl>
    <w:p>
      <w:pPr>
        <w:ind w:firstLine="0" w:firstLineChars="0"/>
        <w:jc w:val="center"/>
        <w:rPr>
          <w:rFonts w:ascii="仿宋" w:hAnsi="仿宋"/>
          <w:b/>
          <w:bCs/>
          <w:kern w:val="44"/>
          <w:szCs w:val="24"/>
        </w:rPr>
      </w:pPr>
      <w:r>
        <w:rPr>
          <w:rFonts w:hint="eastAsia" w:ascii="仿宋" w:hAnsi="仿宋"/>
          <w:b/>
          <w:bCs/>
          <w:kern w:val="44"/>
          <w:szCs w:val="24"/>
        </w:rPr>
        <w:t>5C、4C级自驾车旅居车营地共4处</w:t>
      </w:r>
    </w:p>
    <w:tbl>
      <w:tblPr>
        <w:tblStyle w:val="40"/>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471"/>
        <w:gridCol w:w="2552"/>
        <w:gridCol w:w="1134"/>
        <w:gridCol w:w="766"/>
        <w:gridCol w:w="7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95"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471"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552"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1134"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559" w:type="dxa"/>
            <w:gridSpan w:val="2"/>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654"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95" w:type="dxa"/>
            <w:vMerge w:val="continue"/>
          </w:tcPr>
          <w:p>
            <w:pPr>
              <w:spacing w:line="240" w:lineRule="auto"/>
              <w:ind w:firstLine="0" w:firstLineChars="0"/>
              <w:jc w:val="center"/>
              <w:rPr>
                <w:rFonts w:ascii="仿宋" w:hAnsi="仿宋"/>
                <w:sz w:val="21"/>
                <w:szCs w:val="21"/>
              </w:rPr>
            </w:pPr>
          </w:p>
        </w:tc>
        <w:tc>
          <w:tcPr>
            <w:tcW w:w="471" w:type="dxa"/>
            <w:vMerge w:val="continue"/>
          </w:tcPr>
          <w:p>
            <w:pPr>
              <w:spacing w:line="240" w:lineRule="auto"/>
              <w:ind w:firstLine="0" w:firstLineChars="0"/>
              <w:jc w:val="center"/>
              <w:rPr>
                <w:rFonts w:ascii="仿宋" w:hAnsi="仿宋"/>
                <w:sz w:val="21"/>
                <w:szCs w:val="21"/>
              </w:rPr>
            </w:pPr>
          </w:p>
        </w:tc>
        <w:tc>
          <w:tcPr>
            <w:tcW w:w="2552" w:type="dxa"/>
            <w:vMerge w:val="continue"/>
          </w:tcPr>
          <w:p>
            <w:pPr>
              <w:spacing w:line="240" w:lineRule="auto"/>
              <w:ind w:firstLine="0" w:firstLineChars="0"/>
              <w:jc w:val="center"/>
              <w:rPr>
                <w:rFonts w:ascii="仿宋" w:hAnsi="仿宋"/>
                <w:sz w:val="21"/>
                <w:szCs w:val="21"/>
              </w:rPr>
            </w:pPr>
          </w:p>
        </w:tc>
        <w:tc>
          <w:tcPr>
            <w:tcW w:w="1134" w:type="dxa"/>
            <w:vMerge w:val="continue"/>
          </w:tcPr>
          <w:p>
            <w:pPr>
              <w:spacing w:line="240" w:lineRule="auto"/>
              <w:ind w:firstLine="0" w:firstLineChars="0"/>
              <w:jc w:val="center"/>
              <w:rPr>
                <w:rFonts w:ascii="仿宋" w:hAnsi="仿宋"/>
                <w:sz w:val="21"/>
                <w:szCs w:val="21"/>
              </w:rPr>
            </w:pPr>
          </w:p>
        </w:tc>
        <w:tc>
          <w:tcPr>
            <w:tcW w:w="766" w:type="dxa"/>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93" w:type="dxa"/>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654" w:type="dxa"/>
            <w:vMerge w:val="continue"/>
          </w:tcPr>
          <w:p>
            <w:pPr>
              <w:spacing w:line="240" w:lineRule="auto"/>
              <w:ind w:firstLine="0" w:firstLineChars="0"/>
              <w:jc w:val="cente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5" w:type="dxa"/>
          </w:tcPr>
          <w:p>
            <w:pPr>
              <w:spacing w:line="240" w:lineRule="auto"/>
              <w:ind w:firstLine="0" w:firstLineChars="0"/>
              <w:jc w:val="center"/>
              <w:rPr>
                <w:rFonts w:ascii="仿宋" w:hAnsi="仿宋"/>
                <w:sz w:val="21"/>
                <w:szCs w:val="21"/>
              </w:rPr>
            </w:pPr>
            <w:r>
              <w:rPr>
                <w:rFonts w:hint="eastAsia" w:ascii="仿宋" w:hAnsi="仿宋"/>
                <w:sz w:val="21"/>
                <w:szCs w:val="21"/>
              </w:rPr>
              <w:t>5C级自驾车旅居车营地</w:t>
            </w:r>
          </w:p>
          <w:p>
            <w:pPr>
              <w:spacing w:line="240" w:lineRule="auto"/>
              <w:ind w:firstLine="0" w:firstLineChars="0"/>
              <w:rPr>
                <w:rFonts w:ascii="仿宋" w:hAnsi="仿宋"/>
                <w:sz w:val="21"/>
                <w:szCs w:val="21"/>
              </w:rPr>
            </w:pPr>
            <w:r>
              <w:rPr>
                <w:rFonts w:hint="eastAsia" w:ascii="仿宋" w:hAnsi="仿宋"/>
                <w:sz w:val="21"/>
                <w:szCs w:val="21"/>
              </w:rPr>
              <w:t>（1处）</w:t>
            </w:r>
          </w:p>
        </w:tc>
        <w:tc>
          <w:tcPr>
            <w:tcW w:w="471"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552" w:type="dxa"/>
          </w:tcPr>
          <w:p>
            <w:pPr>
              <w:spacing w:line="240" w:lineRule="auto"/>
              <w:ind w:firstLine="0" w:firstLineChars="0"/>
              <w:jc w:val="center"/>
              <w:rPr>
                <w:rFonts w:ascii="仿宋" w:hAnsi="仿宋"/>
                <w:sz w:val="21"/>
                <w:szCs w:val="21"/>
              </w:rPr>
            </w:pPr>
            <w:r>
              <w:rPr>
                <w:rFonts w:hint="eastAsia" w:ascii="仿宋" w:hAnsi="仿宋"/>
                <w:sz w:val="21"/>
                <w:szCs w:val="21"/>
              </w:rPr>
              <w:t>鹿角湾温泉度假营地</w:t>
            </w:r>
          </w:p>
        </w:tc>
        <w:tc>
          <w:tcPr>
            <w:tcW w:w="1134" w:type="dxa"/>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6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93"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654" w:type="dxa"/>
          </w:tcPr>
          <w:p>
            <w:pPr>
              <w:spacing w:line="240" w:lineRule="auto"/>
              <w:ind w:firstLine="0" w:firstLineChars="0"/>
              <w:jc w:val="left"/>
              <w:rPr>
                <w:rFonts w:ascii="仿宋" w:hAnsi="仿宋"/>
                <w:sz w:val="21"/>
                <w:szCs w:val="21"/>
              </w:rPr>
            </w:pPr>
            <w:r>
              <w:rPr>
                <w:rFonts w:hint="eastAsia" w:ascii="仿宋" w:hAnsi="仿宋"/>
                <w:sz w:val="21"/>
                <w:szCs w:val="21"/>
              </w:rPr>
              <w:t>按照5C级自驾车旅居车营地质量等级认定要求，以阿尔山温泉资源为特色、以“有温度”为基调，打造内蒙古自驾车房车营地的引领者+国家级旅游度假区自驾车与房车度假总基营+兴安盟“美行”&amp;“温泉”示范标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95"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4C级自驾车旅居车营地</w:t>
            </w:r>
          </w:p>
          <w:p>
            <w:pPr>
              <w:spacing w:line="240" w:lineRule="auto"/>
              <w:ind w:firstLine="0" w:firstLineChars="0"/>
              <w:rPr>
                <w:rFonts w:ascii="仿宋" w:hAnsi="仿宋"/>
                <w:sz w:val="21"/>
                <w:szCs w:val="21"/>
              </w:rPr>
            </w:pPr>
            <w:r>
              <w:rPr>
                <w:rFonts w:hint="eastAsia" w:ascii="仿宋" w:hAnsi="仿宋"/>
                <w:sz w:val="21"/>
                <w:szCs w:val="21"/>
              </w:rPr>
              <w:t>（3处）</w:t>
            </w:r>
          </w:p>
        </w:tc>
        <w:tc>
          <w:tcPr>
            <w:tcW w:w="471"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552" w:type="dxa"/>
          </w:tcPr>
          <w:p>
            <w:pPr>
              <w:spacing w:line="240" w:lineRule="auto"/>
              <w:ind w:firstLine="0" w:firstLineChars="0"/>
              <w:jc w:val="center"/>
              <w:rPr>
                <w:rFonts w:ascii="仿宋" w:hAnsi="仿宋"/>
                <w:sz w:val="21"/>
                <w:szCs w:val="21"/>
              </w:rPr>
            </w:pPr>
            <w:r>
              <w:rPr>
                <w:rFonts w:hint="eastAsia" w:ascii="仿宋" w:hAnsi="仿宋"/>
                <w:sz w:val="21"/>
                <w:szCs w:val="21"/>
              </w:rPr>
              <w:t>巴彦塔拉·秘境河谷生态文化旅游区</w:t>
            </w:r>
            <w:r>
              <w:rPr>
                <w:rFonts w:hint="eastAsia" w:ascii="仿宋" w:hAnsi="仿宋"/>
                <w:sz w:val="21"/>
                <w:szCs w:val="21"/>
              </w:rPr>
              <w:br w:type="textWrapping"/>
            </w:r>
            <w:r>
              <w:rPr>
                <w:rFonts w:hint="eastAsia" w:ascii="仿宋" w:hAnsi="仿宋"/>
                <w:sz w:val="21"/>
                <w:szCs w:val="21"/>
              </w:rPr>
              <w:t>秘语河滩营地</w:t>
            </w:r>
          </w:p>
        </w:tc>
        <w:tc>
          <w:tcPr>
            <w:tcW w:w="1134" w:type="dxa"/>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66"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93"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654" w:type="dxa"/>
          </w:tcPr>
          <w:p>
            <w:pPr>
              <w:spacing w:line="240" w:lineRule="auto"/>
              <w:ind w:firstLine="0" w:firstLineChars="0"/>
              <w:jc w:val="left"/>
              <w:rPr>
                <w:rFonts w:ascii="仿宋" w:hAnsi="仿宋"/>
                <w:sz w:val="21"/>
                <w:szCs w:val="21"/>
              </w:rPr>
            </w:pPr>
            <w:r>
              <w:rPr>
                <w:rFonts w:hint="eastAsia" w:ascii="仿宋" w:hAnsi="仿宋"/>
                <w:sz w:val="21"/>
                <w:szCs w:val="21"/>
              </w:rPr>
              <w:t>按照4C级自驾车旅居车营地质量等级认定要求，利用湿地之心良好的生态环境，打造流光云驿、河滩露营、星空泡泡屋等，在玩乐中倾听自然的声音，心形的湿地路径勾描梦幻之旅。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95" w:type="dxa"/>
            <w:vMerge w:val="continue"/>
          </w:tcPr>
          <w:p>
            <w:pPr>
              <w:spacing w:line="240" w:lineRule="auto"/>
              <w:ind w:firstLine="0" w:firstLineChars="0"/>
              <w:jc w:val="center"/>
              <w:rPr>
                <w:rFonts w:ascii="仿宋" w:hAnsi="仿宋"/>
                <w:sz w:val="21"/>
                <w:szCs w:val="21"/>
              </w:rPr>
            </w:pPr>
          </w:p>
        </w:tc>
        <w:tc>
          <w:tcPr>
            <w:tcW w:w="471"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552" w:type="dxa"/>
          </w:tcPr>
          <w:p>
            <w:pPr>
              <w:spacing w:line="240" w:lineRule="auto"/>
              <w:ind w:firstLine="0" w:firstLineChars="0"/>
              <w:jc w:val="center"/>
              <w:rPr>
                <w:rFonts w:ascii="仿宋" w:hAnsi="仿宋"/>
                <w:sz w:val="21"/>
                <w:szCs w:val="21"/>
              </w:rPr>
            </w:pPr>
            <w:r>
              <w:rPr>
                <w:rFonts w:hint="eastAsia" w:ascii="仿宋" w:hAnsi="仿宋"/>
                <w:sz w:val="21"/>
                <w:szCs w:val="21"/>
              </w:rPr>
              <w:t>南湖生态自驾露营地</w:t>
            </w:r>
          </w:p>
        </w:tc>
        <w:tc>
          <w:tcPr>
            <w:tcW w:w="1134" w:type="dxa"/>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76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93"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654" w:type="dxa"/>
          </w:tcPr>
          <w:p>
            <w:pPr>
              <w:spacing w:line="240" w:lineRule="auto"/>
              <w:ind w:firstLine="0" w:firstLineChars="0"/>
              <w:jc w:val="left"/>
              <w:rPr>
                <w:rFonts w:ascii="仿宋" w:hAnsi="仿宋"/>
                <w:sz w:val="21"/>
                <w:szCs w:val="21"/>
              </w:rPr>
            </w:pPr>
            <w:r>
              <w:rPr>
                <w:rFonts w:hint="eastAsia" w:ascii="仿宋" w:hAnsi="仿宋"/>
                <w:sz w:val="21"/>
                <w:szCs w:val="21"/>
              </w:rPr>
              <w:t>按照4C级自驾车旅居车营地质量等级认定要求，在南湖公园按照4C级自驾车旅居车营地质量等级建设自驾露营地，以轻投资、生态化、景观化为特色，除了停车位，配备篝火（野炊）休闲草坪、无动力亲子乐园产品。建设输水管道、初雨收集池、生态拦截带、600米亲水栈桥、自驾游000平方米戏水沙滩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95" w:type="dxa"/>
            <w:vMerge w:val="continue"/>
          </w:tcPr>
          <w:p>
            <w:pPr>
              <w:spacing w:line="240" w:lineRule="auto"/>
              <w:ind w:firstLine="0" w:firstLineChars="0"/>
              <w:jc w:val="center"/>
              <w:rPr>
                <w:rFonts w:ascii="仿宋" w:hAnsi="仿宋"/>
                <w:sz w:val="21"/>
                <w:szCs w:val="21"/>
              </w:rPr>
            </w:pPr>
          </w:p>
        </w:tc>
        <w:tc>
          <w:tcPr>
            <w:tcW w:w="471" w:type="dxa"/>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2552" w:type="dxa"/>
          </w:tcPr>
          <w:p>
            <w:pPr>
              <w:spacing w:line="240" w:lineRule="auto"/>
              <w:ind w:firstLine="0" w:firstLineChars="0"/>
              <w:jc w:val="center"/>
              <w:rPr>
                <w:rFonts w:ascii="仿宋" w:hAnsi="仿宋"/>
                <w:sz w:val="21"/>
                <w:szCs w:val="21"/>
              </w:rPr>
            </w:pPr>
            <w:r>
              <w:rPr>
                <w:rFonts w:hint="eastAsia" w:ascii="仿宋" w:hAnsi="仿宋"/>
                <w:sz w:val="21"/>
                <w:szCs w:val="21"/>
              </w:rPr>
              <w:t>奥伦布坎自驾营地</w:t>
            </w:r>
          </w:p>
        </w:tc>
        <w:tc>
          <w:tcPr>
            <w:tcW w:w="1134" w:type="dxa"/>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66"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93"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654" w:type="dxa"/>
          </w:tcPr>
          <w:p>
            <w:pPr>
              <w:spacing w:line="240" w:lineRule="auto"/>
              <w:ind w:firstLine="0" w:firstLineChars="0"/>
              <w:jc w:val="left"/>
              <w:rPr>
                <w:rFonts w:ascii="仿宋" w:hAnsi="仿宋"/>
                <w:sz w:val="21"/>
                <w:szCs w:val="21"/>
              </w:rPr>
            </w:pPr>
            <w:r>
              <w:rPr>
                <w:rFonts w:hint="eastAsia" w:ascii="仿宋" w:hAnsi="仿宋"/>
                <w:sz w:val="21"/>
                <w:szCs w:val="21"/>
              </w:rPr>
              <w:t>优化升级现有营地品质和特色的基础上，按4C级自驾车旅居车营地质量等级标准升级提升现有自驾营地配套水平。</w:t>
            </w:r>
          </w:p>
        </w:tc>
      </w:tr>
    </w:tbl>
    <w:p>
      <w:pPr>
        <w:ind w:firstLine="0" w:firstLineChars="0"/>
        <w:rPr>
          <w:rFonts w:ascii="仿宋" w:hAnsi="仿宋"/>
          <w:b/>
          <w:bCs/>
          <w:kern w:val="44"/>
          <w:szCs w:val="24"/>
        </w:rPr>
      </w:pPr>
    </w:p>
    <w:p>
      <w:pPr>
        <w:ind w:firstLine="0" w:firstLineChars="0"/>
        <w:jc w:val="center"/>
        <w:rPr>
          <w:rFonts w:ascii="仿宋" w:hAnsi="仿宋"/>
          <w:b/>
          <w:bCs/>
          <w:kern w:val="44"/>
          <w:szCs w:val="24"/>
        </w:rPr>
      </w:pPr>
      <w:r>
        <w:rPr>
          <w:rFonts w:hint="eastAsia" w:ascii="仿宋" w:hAnsi="仿宋"/>
          <w:b/>
          <w:bCs/>
          <w:kern w:val="44"/>
          <w:szCs w:val="24"/>
        </w:rPr>
        <w:t>国家级旅游休闲街区1处、省级旅游休闲街区2处；</w:t>
      </w:r>
    </w:p>
    <w:p>
      <w:pPr>
        <w:ind w:firstLine="0" w:firstLineChars="0"/>
        <w:jc w:val="center"/>
        <w:rPr>
          <w:rFonts w:ascii="仿宋" w:hAnsi="仿宋"/>
          <w:b/>
          <w:bCs/>
          <w:kern w:val="44"/>
          <w:szCs w:val="24"/>
        </w:rPr>
      </w:pPr>
      <w:r>
        <w:rPr>
          <w:rFonts w:hint="eastAsia" w:ascii="仿宋" w:hAnsi="仿宋"/>
          <w:b/>
          <w:bCs/>
          <w:kern w:val="44"/>
          <w:szCs w:val="24"/>
        </w:rPr>
        <w:t>国家级夜间文化和旅游消费集聚区2处、省级夜间文化和旅游消费集聚区2处</w:t>
      </w:r>
    </w:p>
    <w:tbl>
      <w:tblPr>
        <w:tblStyle w:val="40"/>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7"/>
        <w:gridCol w:w="2126"/>
        <w:gridCol w:w="928"/>
        <w:gridCol w:w="745"/>
        <w:gridCol w:w="669"/>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71"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567"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2126"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92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14" w:type="dxa"/>
            <w:gridSpan w:val="2"/>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859"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71" w:type="dxa"/>
            <w:vMerge w:val="continue"/>
          </w:tcPr>
          <w:p>
            <w:pPr>
              <w:spacing w:line="240" w:lineRule="auto"/>
              <w:ind w:firstLine="0" w:firstLineChars="0"/>
              <w:jc w:val="center"/>
              <w:rPr>
                <w:rFonts w:ascii="仿宋" w:hAnsi="仿宋"/>
                <w:sz w:val="21"/>
                <w:szCs w:val="21"/>
              </w:rPr>
            </w:pPr>
          </w:p>
        </w:tc>
        <w:tc>
          <w:tcPr>
            <w:tcW w:w="567" w:type="dxa"/>
            <w:vMerge w:val="continue"/>
          </w:tcPr>
          <w:p>
            <w:pPr>
              <w:spacing w:line="240" w:lineRule="auto"/>
              <w:ind w:firstLine="0" w:firstLineChars="0"/>
              <w:jc w:val="center"/>
              <w:rPr>
                <w:rFonts w:ascii="仿宋" w:hAnsi="仿宋"/>
                <w:sz w:val="21"/>
                <w:szCs w:val="21"/>
              </w:rPr>
            </w:pPr>
          </w:p>
        </w:tc>
        <w:tc>
          <w:tcPr>
            <w:tcW w:w="2126" w:type="dxa"/>
            <w:vMerge w:val="continue"/>
          </w:tcPr>
          <w:p>
            <w:pPr>
              <w:spacing w:line="240" w:lineRule="auto"/>
              <w:ind w:firstLine="0" w:firstLineChars="0"/>
              <w:jc w:val="center"/>
              <w:rPr>
                <w:rFonts w:ascii="仿宋" w:hAnsi="仿宋"/>
                <w:sz w:val="21"/>
                <w:szCs w:val="21"/>
              </w:rPr>
            </w:pPr>
          </w:p>
        </w:tc>
        <w:tc>
          <w:tcPr>
            <w:tcW w:w="0" w:type="auto"/>
            <w:vMerge w:val="continue"/>
          </w:tcPr>
          <w:p>
            <w:pPr>
              <w:spacing w:line="240" w:lineRule="auto"/>
              <w:ind w:firstLine="0" w:firstLineChars="0"/>
              <w:jc w:val="center"/>
              <w:rPr>
                <w:rFonts w:ascii="仿宋" w:hAnsi="仿宋"/>
                <w:sz w:val="21"/>
                <w:szCs w:val="21"/>
              </w:rPr>
            </w:pP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859" w:type="dxa"/>
            <w:vMerge w:val="continue"/>
          </w:tcPr>
          <w:p>
            <w:pPr>
              <w:spacing w:line="240" w:lineRule="auto"/>
              <w:ind w:firstLine="0" w:firstLineChars="0"/>
              <w:jc w:val="cente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71" w:type="dxa"/>
          </w:tcPr>
          <w:p>
            <w:pPr>
              <w:spacing w:line="240" w:lineRule="auto"/>
              <w:ind w:firstLine="0" w:firstLineChars="0"/>
              <w:jc w:val="center"/>
              <w:rPr>
                <w:rFonts w:ascii="仿宋" w:hAnsi="仿宋"/>
                <w:sz w:val="21"/>
                <w:szCs w:val="21"/>
              </w:rPr>
            </w:pPr>
            <w:r>
              <w:rPr>
                <w:rFonts w:hint="eastAsia" w:ascii="仿宋" w:hAnsi="仿宋"/>
                <w:sz w:val="21"/>
                <w:szCs w:val="21"/>
              </w:rPr>
              <w:t>国家级旅游休闲街区</w:t>
            </w:r>
            <w:r>
              <w:rPr>
                <w:rFonts w:hint="eastAsia" w:ascii="仿宋" w:hAnsi="仿宋"/>
                <w:sz w:val="21"/>
                <w:szCs w:val="21"/>
              </w:rPr>
              <w:br w:type="textWrapping"/>
            </w:r>
            <w:r>
              <w:rPr>
                <w:rFonts w:hint="eastAsia" w:ascii="仿宋" w:hAnsi="仿宋"/>
                <w:sz w:val="21"/>
                <w:szCs w:val="21"/>
              </w:rPr>
              <w:t>（1处）</w:t>
            </w: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前街步行街</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策划引入夜秀、夜游、夜吧、夜市等多业态，以现有公园景观意境为背景，设立全域旅游一站式综合服务中心街区，近期优先完成集散中心的设立，内部完成展陈设置、全域标识系统、门户景观打造；增设旅游交通巴士串联义勒力特机场与乌兰浩特站的接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71" w:type="dxa"/>
            <w:vMerge w:val="restart"/>
          </w:tcPr>
          <w:p>
            <w:pPr>
              <w:spacing w:line="240" w:lineRule="auto"/>
              <w:ind w:firstLine="0" w:firstLineChars="0"/>
              <w:rPr>
                <w:rFonts w:ascii="仿宋" w:hAnsi="仿宋"/>
                <w:sz w:val="21"/>
                <w:szCs w:val="21"/>
              </w:rPr>
            </w:pPr>
          </w:p>
          <w:p>
            <w:pPr>
              <w:spacing w:line="240" w:lineRule="auto"/>
              <w:ind w:firstLine="0" w:firstLineChars="0"/>
              <w:jc w:val="center"/>
              <w:rPr>
                <w:rFonts w:ascii="仿宋" w:hAnsi="仿宋"/>
                <w:sz w:val="21"/>
                <w:szCs w:val="21"/>
              </w:rPr>
            </w:pPr>
            <w:r>
              <w:rPr>
                <w:rFonts w:hint="eastAsia" w:ascii="仿宋" w:hAnsi="仿宋"/>
                <w:sz w:val="21"/>
                <w:szCs w:val="21"/>
              </w:rPr>
              <w:t>省级旅游休闲街区（2处）</w:t>
            </w: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三合村朝鲜族风情街区</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45" w:type="dxa"/>
          </w:tcPr>
          <w:p>
            <w:pPr>
              <w:spacing w:line="240" w:lineRule="auto"/>
              <w:ind w:firstLine="0" w:firstLineChars="0"/>
              <w:jc w:val="center"/>
              <w:rPr>
                <w:rFonts w:ascii="仿宋" w:hAnsi="仿宋"/>
                <w:sz w:val="21"/>
                <w:szCs w:val="21"/>
              </w:rPr>
            </w:pP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位于乌兰哈达镇三合村，打造三合村南北步行街600米，对原有民房10栋进行改造新建成特色民宿、餐饮、小商业等；从纬九街到步行街再到三合村西大坝3.3公里原有道路进行改造升级；新建步行街配套出行环路1800延长米；同时对步行街进行美化、亮化、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1" w:type="dxa"/>
            <w:vMerge w:val="continue"/>
          </w:tcPr>
          <w:p>
            <w:pPr>
              <w:spacing w:line="240" w:lineRule="auto"/>
              <w:ind w:firstLine="0" w:firstLineChars="0"/>
              <w:jc w:val="center"/>
              <w:rPr>
                <w:rFonts w:ascii="仿宋" w:hAnsi="仿宋"/>
                <w:sz w:val="21"/>
                <w:szCs w:val="21"/>
              </w:rPr>
            </w:pP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阿尔山温泉街</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全面提升阿尔山市中心街（温泉路）沿街餐饮、购物等商铺特色和品质，引入阿尔山市集、夜间集市等业态，中远期可引入穿街休闲小火车，实现边逛边吃边玩的小城休闲胜地。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271"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国家级夜间文化和旅游消费集聚区</w:t>
            </w:r>
            <w:r>
              <w:rPr>
                <w:rFonts w:hint="eastAsia" w:ascii="仿宋" w:hAnsi="仿宋"/>
                <w:sz w:val="21"/>
                <w:szCs w:val="21"/>
              </w:rPr>
              <w:br w:type="textWrapping"/>
            </w:r>
            <w:r>
              <w:rPr>
                <w:rFonts w:hint="eastAsia" w:ascii="仿宋" w:hAnsi="仿宋"/>
                <w:sz w:val="21"/>
                <w:szCs w:val="21"/>
              </w:rPr>
              <w:t>（2处）</w:t>
            </w: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科尔沁塔拉城中草原</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与乌市联动，草原城市环游，共塑草原城市休闲新空间与城市迎客窗口。完善建设旅游服务中心；打造室内营造亮点，招商引资内部做创新业态与特色场景塑造，建设内容包括演艺厅、特色酒店、餐饮服务、特色旅游产品营销及1万平方米的室内草原等项目；外围做亮化，网红打卡景观、草原娱乐、城市休闲，共塑城市草原休闲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71" w:type="dxa"/>
            <w:vMerge w:val="continue"/>
          </w:tcPr>
          <w:p>
            <w:pPr>
              <w:spacing w:line="240" w:lineRule="auto"/>
              <w:ind w:firstLine="0" w:firstLineChars="0"/>
              <w:jc w:val="center"/>
              <w:rPr>
                <w:rFonts w:ascii="仿宋" w:hAnsi="仿宋"/>
                <w:sz w:val="21"/>
                <w:szCs w:val="21"/>
              </w:rPr>
            </w:pP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前街步行街</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策划引入夜秀、夜游、夜吧、夜市等多业态，以现有公园景观意境为背景，设立全域旅游一站式综合服务中心街区，近期优先完成集散中心的设立，内部完成展陈设置、全域标识系统、门户景观打造；增设旅游交通巴士串联义勒力特机场与乌兰浩特站的接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71" w:type="dxa"/>
            <w:vMerge w:val="restart"/>
          </w:tcPr>
          <w:p>
            <w:pPr>
              <w:spacing w:line="240" w:lineRule="auto"/>
              <w:ind w:firstLine="0" w:firstLineChars="0"/>
              <w:jc w:val="center"/>
              <w:rPr>
                <w:rFonts w:ascii="仿宋" w:hAnsi="仿宋"/>
                <w:sz w:val="21"/>
                <w:szCs w:val="21"/>
              </w:rPr>
            </w:pPr>
            <w:r>
              <w:rPr>
                <w:rFonts w:ascii="仿宋" w:hAnsi="仿宋"/>
                <w:sz w:val="21"/>
                <w:szCs w:val="21"/>
              </w:rPr>
              <w:t>省级夜间文化和旅游消费集聚区</w:t>
            </w:r>
            <w:r>
              <w:rPr>
                <w:rFonts w:ascii="仿宋" w:hAnsi="仿宋"/>
                <w:sz w:val="21"/>
                <w:szCs w:val="21"/>
              </w:rPr>
              <w:br w:type="textWrapping"/>
            </w:r>
            <w:r>
              <w:rPr>
                <w:rFonts w:hint="eastAsia" w:ascii="仿宋" w:hAnsi="仿宋"/>
                <w:sz w:val="21"/>
                <w:szCs w:val="21"/>
              </w:rPr>
              <w:t>（2处）</w:t>
            </w: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啤酒夜经济网红打卡美食街</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以啤酒美食街为示范，设置娱乐用餐区、美食售卖区、酒水展示区等10个功能区，导入特色美食、网红观景台等丰富多彩的活动项目。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71" w:type="dxa"/>
            <w:vMerge w:val="continue"/>
          </w:tcPr>
          <w:p>
            <w:pPr>
              <w:spacing w:line="240" w:lineRule="auto"/>
              <w:ind w:firstLine="0" w:firstLineChars="0"/>
              <w:jc w:val="center"/>
              <w:rPr>
                <w:rFonts w:ascii="仿宋" w:hAnsi="仿宋"/>
                <w:sz w:val="21"/>
                <w:szCs w:val="21"/>
              </w:rPr>
            </w:pPr>
          </w:p>
        </w:tc>
        <w:tc>
          <w:tcPr>
            <w:tcW w:w="567"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2126" w:type="dxa"/>
          </w:tcPr>
          <w:p>
            <w:pPr>
              <w:spacing w:line="240" w:lineRule="auto"/>
              <w:ind w:firstLine="0" w:firstLineChars="0"/>
              <w:jc w:val="center"/>
              <w:rPr>
                <w:rFonts w:ascii="仿宋" w:hAnsi="仿宋"/>
                <w:sz w:val="21"/>
                <w:szCs w:val="21"/>
              </w:rPr>
            </w:pPr>
            <w:r>
              <w:rPr>
                <w:rFonts w:hint="eastAsia" w:ascii="仿宋" w:hAnsi="仿宋"/>
                <w:sz w:val="21"/>
                <w:szCs w:val="21"/>
              </w:rPr>
              <w:t>多兰湖城市休闲公园</w:t>
            </w:r>
          </w:p>
        </w:tc>
        <w:tc>
          <w:tcPr>
            <w:tcW w:w="928" w:type="dxa"/>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745"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669"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859" w:type="dxa"/>
          </w:tcPr>
          <w:p>
            <w:pPr>
              <w:spacing w:line="240" w:lineRule="auto"/>
              <w:ind w:firstLine="0" w:firstLineChars="0"/>
              <w:jc w:val="left"/>
              <w:rPr>
                <w:rFonts w:ascii="仿宋" w:hAnsi="仿宋"/>
                <w:sz w:val="21"/>
                <w:szCs w:val="21"/>
              </w:rPr>
            </w:pPr>
            <w:r>
              <w:rPr>
                <w:rFonts w:hint="eastAsia" w:ascii="仿宋" w:hAnsi="仿宋"/>
                <w:sz w:val="21"/>
                <w:szCs w:val="21"/>
              </w:rPr>
              <w:t>点燃城市夜间消费经济活力，重点建设体育运动区、游客体验区、汽车露营区、滨水景观区四个活动体验区，并配置智慧停车场。</w:t>
            </w:r>
          </w:p>
        </w:tc>
      </w:tr>
    </w:tbl>
    <w:p>
      <w:pPr>
        <w:spacing w:line="240" w:lineRule="auto"/>
        <w:ind w:firstLine="0" w:firstLineChars="0"/>
        <w:rPr>
          <w:rFonts w:ascii="仿宋" w:hAnsi="仿宋"/>
          <w:sz w:val="21"/>
          <w:szCs w:val="21"/>
        </w:rPr>
      </w:pPr>
    </w:p>
    <w:p>
      <w:pPr>
        <w:ind w:firstLine="0" w:firstLineChars="0"/>
        <w:jc w:val="center"/>
        <w:rPr>
          <w:rFonts w:ascii="仿宋" w:hAnsi="仿宋"/>
          <w:b/>
          <w:bCs/>
          <w:kern w:val="44"/>
          <w:szCs w:val="24"/>
        </w:rPr>
      </w:pPr>
      <w:r>
        <w:rPr>
          <w:rFonts w:hint="eastAsia" w:ascii="仿宋" w:hAnsi="仿宋"/>
          <w:b/>
          <w:bCs/>
          <w:kern w:val="44"/>
          <w:szCs w:val="24"/>
        </w:rPr>
        <w:t>国家文化产业示范园区1处、内蒙古自治区级文化产业园区2处</w:t>
      </w:r>
    </w:p>
    <w:tbl>
      <w:tblPr>
        <w:tblStyle w:val="40"/>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18"/>
        <w:gridCol w:w="3128"/>
        <w:gridCol w:w="958"/>
        <w:gridCol w:w="674"/>
        <w:gridCol w:w="749"/>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8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品级</w:t>
            </w:r>
          </w:p>
        </w:tc>
        <w:tc>
          <w:tcPr>
            <w:tcW w:w="51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序号</w:t>
            </w:r>
          </w:p>
        </w:tc>
        <w:tc>
          <w:tcPr>
            <w:tcW w:w="312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项目名称</w:t>
            </w:r>
          </w:p>
        </w:tc>
        <w:tc>
          <w:tcPr>
            <w:tcW w:w="95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所属旗县</w:t>
            </w:r>
          </w:p>
        </w:tc>
        <w:tc>
          <w:tcPr>
            <w:tcW w:w="1423" w:type="dxa"/>
            <w:gridSpan w:val="2"/>
          </w:tcPr>
          <w:p>
            <w:pPr>
              <w:spacing w:line="240" w:lineRule="auto"/>
              <w:ind w:firstLine="0" w:firstLineChars="0"/>
              <w:jc w:val="center"/>
              <w:rPr>
                <w:rFonts w:ascii="仿宋" w:hAnsi="仿宋"/>
                <w:sz w:val="21"/>
                <w:szCs w:val="21"/>
              </w:rPr>
            </w:pPr>
            <w:r>
              <w:rPr>
                <w:rFonts w:hint="eastAsia" w:ascii="仿宋" w:hAnsi="仿宋"/>
                <w:sz w:val="21"/>
                <w:szCs w:val="21"/>
              </w:rPr>
              <w:t>开发时序</w:t>
            </w:r>
          </w:p>
        </w:tc>
        <w:tc>
          <w:tcPr>
            <w:tcW w:w="7160"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建设要点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88" w:type="dxa"/>
            <w:vMerge w:val="continue"/>
          </w:tcPr>
          <w:p>
            <w:pPr>
              <w:spacing w:line="240" w:lineRule="auto"/>
              <w:ind w:firstLine="0" w:firstLineChars="0"/>
              <w:jc w:val="center"/>
              <w:rPr>
                <w:rFonts w:ascii="仿宋" w:hAnsi="仿宋"/>
                <w:sz w:val="21"/>
                <w:szCs w:val="21"/>
              </w:rPr>
            </w:pPr>
          </w:p>
        </w:tc>
        <w:tc>
          <w:tcPr>
            <w:tcW w:w="518" w:type="dxa"/>
            <w:vMerge w:val="continue"/>
          </w:tcPr>
          <w:p>
            <w:pPr>
              <w:spacing w:line="240" w:lineRule="auto"/>
              <w:ind w:firstLine="0" w:firstLineChars="0"/>
              <w:jc w:val="center"/>
              <w:rPr>
                <w:rFonts w:ascii="仿宋" w:hAnsi="仿宋"/>
                <w:sz w:val="21"/>
                <w:szCs w:val="21"/>
              </w:rPr>
            </w:pPr>
          </w:p>
        </w:tc>
        <w:tc>
          <w:tcPr>
            <w:tcW w:w="0" w:type="auto"/>
            <w:vMerge w:val="continue"/>
          </w:tcPr>
          <w:p>
            <w:pPr>
              <w:spacing w:line="240" w:lineRule="auto"/>
              <w:ind w:firstLine="0" w:firstLineChars="0"/>
              <w:jc w:val="center"/>
              <w:rPr>
                <w:rFonts w:ascii="仿宋" w:hAnsi="仿宋"/>
                <w:sz w:val="21"/>
                <w:szCs w:val="21"/>
              </w:rPr>
            </w:pPr>
          </w:p>
        </w:tc>
        <w:tc>
          <w:tcPr>
            <w:tcW w:w="0" w:type="auto"/>
            <w:vMerge w:val="continue"/>
          </w:tcPr>
          <w:p>
            <w:pPr>
              <w:spacing w:line="240" w:lineRule="auto"/>
              <w:ind w:firstLine="0" w:firstLineChars="0"/>
              <w:jc w:val="center"/>
              <w:rPr>
                <w:rFonts w:ascii="仿宋" w:hAnsi="仿宋"/>
                <w:sz w:val="21"/>
                <w:szCs w:val="21"/>
              </w:rPr>
            </w:pPr>
          </w:p>
        </w:tc>
        <w:tc>
          <w:tcPr>
            <w:tcW w:w="674" w:type="dxa"/>
          </w:tcPr>
          <w:p>
            <w:pPr>
              <w:spacing w:line="240" w:lineRule="auto"/>
              <w:ind w:firstLine="0" w:firstLineChars="0"/>
              <w:jc w:val="center"/>
              <w:rPr>
                <w:rFonts w:ascii="仿宋" w:hAnsi="仿宋"/>
                <w:sz w:val="21"/>
                <w:szCs w:val="21"/>
              </w:rPr>
            </w:pPr>
            <w:r>
              <w:rPr>
                <w:rFonts w:hint="eastAsia" w:ascii="仿宋" w:hAnsi="仿宋"/>
                <w:sz w:val="21"/>
                <w:szCs w:val="21"/>
              </w:rPr>
              <w:t>近三年</w:t>
            </w:r>
          </w:p>
        </w:tc>
        <w:tc>
          <w:tcPr>
            <w:tcW w:w="749" w:type="dxa"/>
          </w:tcPr>
          <w:p>
            <w:pPr>
              <w:spacing w:line="240" w:lineRule="auto"/>
              <w:ind w:firstLine="0" w:firstLineChars="0"/>
              <w:jc w:val="center"/>
              <w:rPr>
                <w:rFonts w:ascii="仿宋" w:hAnsi="仿宋"/>
                <w:sz w:val="21"/>
                <w:szCs w:val="21"/>
              </w:rPr>
            </w:pPr>
            <w:r>
              <w:rPr>
                <w:rFonts w:hint="eastAsia" w:ascii="仿宋" w:hAnsi="仿宋"/>
                <w:sz w:val="21"/>
                <w:szCs w:val="21"/>
              </w:rPr>
              <w:t>中远期</w:t>
            </w:r>
          </w:p>
        </w:tc>
        <w:tc>
          <w:tcPr>
            <w:tcW w:w="7160" w:type="dxa"/>
            <w:vMerge w:val="continue"/>
          </w:tcPr>
          <w:p>
            <w:pPr>
              <w:spacing w:line="240" w:lineRule="auto"/>
              <w:ind w:firstLine="0" w:firstLineChars="0"/>
              <w:jc w:val="cente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88" w:type="dxa"/>
          </w:tcPr>
          <w:p>
            <w:pPr>
              <w:spacing w:line="240" w:lineRule="auto"/>
              <w:ind w:firstLine="0" w:firstLineChars="0"/>
              <w:jc w:val="center"/>
              <w:rPr>
                <w:rFonts w:ascii="仿宋" w:hAnsi="仿宋"/>
                <w:sz w:val="21"/>
                <w:szCs w:val="21"/>
              </w:rPr>
            </w:pPr>
            <w:r>
              <w:rPr>
                <w:rFonts w:hint="eastAsia" w:ascii="仿宋" w:hAnsi="仿宋"/>
                <w:sz w:val="21"/>
                <w:szCs w:val="21"/>
              </w:rPr>
              <w:t>国家文化产业示范基地</w:t>
            </w:r>
          </w:p>
          <w:p>
            <w:pPr>
              <w:spacing w:line="240" w:lineRule="auto"/>
              <w:ind w:firstLine="0" w:firstLineChars="0"/>
              <w:rPr>
                <w:rFonts w:ascii="仿宋" w:hAnsi="仿宋"/>
                <w:sz w:val="21"/>
                <w:szCs w:val="21"/>
              </w:rPr>
            </w:pPr>
            <w:r>
              <w:rPr>
                <w:rFonts w:hint="eastAsia" w:ascii="仿宋" w:hAnsi="仿宋"/>
                <w:sz w:val="21"/>
                <w:szCs w:val="21"/>
              </w:rPr>
              <w:t>（1处）</w:t>
            </w:r>
          </w:p>
        </w:tc>
        <w:tc>
          <w:tcPr>
            <w:tcW w:w="518"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3128" w:type="dxa"/>
          </w:tcPr>
          <w:p>
            <w:pPr>
              <w:spacing w:line="240" w:lineRule="auto"/>
              <w:ind w:firstLine="0" w:firstLineChars="0"/>
              <w:jc w:val="center"/>
              <w:rPr>
                <w:rFonts w:ascii="仿宋" w:hAnsi="仿宋"/>
                <w:sz w:val="21"/>
                <w:szCs w:val="21"/>
              </w:rPr>
            </w:pPr>
            <w:r>
              <w:rPr>
                <w:rFonts w:hint="eastAsia" w:ascii="仿宋" w:hAnsi="仿宋"/>
                <w:sz w:val="21"/>
                <w:szCs w:val="21"/>
              </w:rPr>
              <w:t>曙光现代农业循环经济园区</w:t>
            </w:r>
          </w:p>
        </w:tc>
        <w:tc>
          <w:tcPr>
            <w:tcW w:w="958" w:type="dxa"/>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674"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9"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160" w:type="dxa"/>
          </w:tcPr>
          <w:p>
            <w:pPr>
              <w:spacing w:line="240" w:lineRule="auto"/>
              <w:ind w:firstLine="0" w:firstLineChars="0"/>
              <w:jc w:val="left"/>
              <w:rPr>
                <w:rFonts w:ascii="仿宋" w:hAnsi="仿宋"/>
                <w:sz w:val="21"/>
                <w:szCs w:val="21"/>
              </w:rPr>
            </w:pPr>
            <w:r>
              <w:rPr>
                <w:rFonts w:hint="eastAsia" w:ascii="仿宋" w:hAnsi="仿宋"/>
                <w:sz w:val="21"/>
                <w:szCs w:val="21"/>
              </w:rPr>
              <w:t>以园区的农业休闲、农业产品、花卉产业为依托，探索“旅游+”“农业+”“互联网+”等产业新业态，不断丰富旅游产品，同时完善乡村旅游服务设施，构建新品种新技术应用、农业产品标准化生产、电子商务销售、旅游观光体验等多业态、链条化、三产融合发展的农旅融合产业示范区，建设成为农旅融合的示范样板、乡村振兴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988" w:type="dxa"/>
            <w:vMerge w:val="restart"/>
          </w:tcPr>
          <w:p>
            <w:pPr>
              <w:spacing w:line="240" w:lineRule="auto"/>
              <w:ind w:firstLine="0" w:firstLineChars="0"/>
              <w:jc w:val="center"/>
              <w:rPr>
                <w:rFonts w:ascii="仿宋" w:hAnsi="仿宋"/>
                <w:sz w:val="21"/>
                <w:szCs w:val="21"/>
              </w:rPr>
            </w:pPr>
            <w:r>
              <w:rPr>
                <w:rFonts w:hint="eastAsia" w:ascii="仿宋" w:hAnsi="仿宋"/>
                <w:sz w:val="21"/>
                <w:szCs w:val="21"/>
              </w:rPr>
              <w:t>内蒙古自治区级文化产业园区</w:t>
            </w:r>
          </w:p>
          <w:p>
            <w:pPr>
              <w:spacing w:line="240" w:lineRule="auto"/>
              <w:ind w:firstLine="0" w:firstLineChars="0"/>
              <w:rPr>
                <w:rFonts w:ascii="仿宋" w:hAnsi="仿宋"/>
                <w:sz w:val="21"/>
                <w:szCs w:val="21"/>
              </w:rPr>
            </w:pPr>
            <w:r>
              <w:rPr>
                <w:rFonts w:hint="eastAsia" w:ascii="仿宋" w:hAnsi="仿宋"/>
                <w:sz w:val="21"/>
                <w:szCs w:val="21"/>
              </w:rPr>
              <w:t>（2处）</w:t>
            </w:r>
          </w:p>
        </w:tc>
        <w:tc>
          <w:tcPr>
            <w:tcW w:w="518" w:type="dxa"/>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3128" w:type="dxa"/>
          </w:tcPr>
          <w:p>
            <w:pPr>
              <w:spacing w:line="240" w:lineRule="auto"/>
              <w:ind w:firstLine="0" w:firstLineChars="0"/>
              <w:jc w:val="center"/>
              <w:rPr>
                <w:rFonts w:ascii="仿宋" w:hAnsi="仿宋"/>
                <w:sz w:val="21"/>
                <w:szCs w:val="21"/>
              </w:rPr>
            </w:pPr>
            <w:r>
              <w:rPr>
                <w:rFonts w:hint="eastAsia" w:ascii="仿宋" w:hAnsi="仿宋"/>
                <w:sz w:val="21"/>
                <w:szCs w:val="21"/>
              </w:rPr>
              <w:t>经开工业旅游体验区</w:t>
            </w:r>
          </w:p>
        </w:tc>
        <w:tc>
          <w:tcPr>
            <w:tcW w:w="958" w:type="dxa"/>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674"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9"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160" w:type="dxa"/>
          </w:tcPr>
          <w:p>
            <w:pPr>
              <w:spacing w:line="240" w:lineRule="auto"/>
              <w:ind w:firstLine="0" w:firstLineChars="0"/>
              <w:jc w:val="left"/>
              <w:rPr>
                <w:rFonts w:ascii="仿宋" w:hAnsi="仿宋"/>
                <w:sz w:val="21"/>
                <w:szCs w:val="21"/>
              </w:rPr>
            </w:pPr>
            <w:r>
              <w:rPr>
                <w:rFonts w:hint="eastAsia" w:ascii="仿宋" w:hAnsi="仿宋"/>
                <w:sz w:val="21"/>
                <w:szCs w:val="21"/>
              </w:rPr>
              <w:t>依托科沁万佳食品公司、蒙牛乳业、白云酒业等工业资源，重点打造科沁万佳食品王国、蒙牛乳业景区、白云酒业、福源涌烧锅博物馆，将园区整体以绿色农畜产品加工、制药、烟草、饮品为主，规划打造科工贸休闲一体的综合型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988" w:type="dxa"/>
            <w:vMerge w:val="continue"/>
          </w:tcPr>
          <w:p>
            <w:pPr>
              <w:spacing w:line="240" w:lineRule="auto"/>
              <w:ind w:firstLine="0" w:firstLineChars="0"/>
              <w:jc w:val="center"/>
              <w:rPr>
                <w:rFonts w:ascii="仿宋" w:hAnsi="仿宋"/>
                <w:sz w:val="21"/>
                <w:szCs w:val="21"/>
              </w:rPr>
            </w:pPr>
          </w:p>
        </w:tc>
        <w:tc>
          <w:tcPr>
            <w:tcW w:w="518" w:type="dxa"/>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3128" w:type="dxa"/>
          </w:tcPr>
          <w:p>
            <w:pPr>
              <w:spacing w:line="240" w:lineRule="auto"/>
              <w:ind w:firstLine="0" w:firstLineChars="0"/>
              <w:jc w:val="center"/>
              <w:rPr>
                <w:rFonts w:ascii="仿宋" w:hAnsi="仿宋"/>
                <w:sz w:val="21"/>
                <w:szCs w:val="21"/>
              </w:rPr>
            </w:pPr>
            <w:r>
              <w:rPr>
                <w:rFonts w:hint="eastAsia" w:ascii="仿宋" w:hAnsi="仿宋"/>
                <w:sz w:val="21"/>
                <w:szCs w:val="21"/>
              </w:rPr>
              <w:t>苏雅乐文化产业园</w:t>
            </w:r>
          </w:p>
        </w:tc>
        <w:tc>
          <w:tcPr>
            <w:tcW w:w="958" w:type="dxa"/>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674" w:type="dxa"/>
          </w:tcPr>
          <w:p>
            <w:pPr>
              <w:spacing w:line="240" w:lineRule="auto"/>
              <w:ind w:firstLine="0" w:firstLineChars="0"/>
              <w:jc w:val="center"/>
              <w:rPr>
                <w:rFonts w:ascii="仿宋" w:hAnsi="仿宋"/>
                <w:sz w:val="21"/>
                <w:szCs w:val="21"/>
              </w:rPr>
            </w:pPr>
            <w:r>
              <w:rPr>
                <w:rFonts w:hint="eastAsia" w:ascii="仿宋" w:hAnsi="仿宋"/>
                <w:sz w:val="21"/>
                <w:szCs w:val="21"/>
              </w:rPr>
              <w:t>√</w:t>
            </w:r>
          </w:p>
        </w:tc>
        <w:tc>
          <w:tcPr>
            <w:tcW w:w="749" w:type="dxa"/>
          </w:tcPr>
          <w:p>
            <w:pPr>
              <w:spacing w:line="240" w:lineRule="auto"/>
              <w:ind w:firstLine="0" w:firstLineChars="0"/>
              <w:jc w:val="center"/>
              <w:rPr>
                <w:rFonts w:ascii="仿宋" w:hAnsi="仿宋"/>
                <w:sz w:val="21"/>
                <w:szCs w:val="21"/>
              </w:rPr>
            </w:pPr>
            <w:r>
              <w:rPr>
                <w:rFonts w:hint="eastAsia" w:ascii="仿宋" w:hAnsi="仿宋"/>
                <w:sz w:val="21"/>
                <w:szCs w:val="21"/>
              </w:rPr>
              <w:t>　</w:t>
            </w:r>
          </w:p>
        </w:tc>
        <w:tc>
          <w:tcPr>
            <w:tcW w:w="7160" w:type="dxa"/>
          </w:tcPr>
          <w:p>
            <w:pPr>
              <w:spacing w:line="240" w:lineRule="auto"/>
              <w:ind w:firstLine="0" w:firstLineChars="0"/>
              <w:jc w:val="left"/>
              <w:rPr>
                <w:rFonts w:ascii="仿宋" w:hAnsi="仿宋"/>
                <w:sz w:val="21"/>
                <w:szCs w:val="21"/>
              </w:rPr>
            </w:pPr>
            <w:r>
              <w:rPr>
                <w:rFonts w:hint="eastAsia" w:ascii="仿宋" w:hAnsi="仿宋"/>
                <w:sz w:val="21"/>
                <w:szCs w:val="21"/>
              </w:rPr>
              <w:t>依托科右中旗文化历史、非遗项目，以创意文化、非遗传承、休闲旅游、非议培训等产业为主导方向，建设科尔沁民族婚礼艺术中心，四胡主题音乐餐厅，文展交流中心，科尔沁红色记忆馆，雅居文坊多功能用房，非遗研学教育基地等高质量、高标准的文化产业园区。</w:t>
            </w:r>
          </w:p>
        </w:tc>
      </w:tr>
    </w:tbl>
    <w:p>
      <w:pPr>
        <w:spacing w:line="240" w:lineRule="auto"/>
        <w:ind w:firstLine="0" w:firstLineChars="0"/>
        <w:rPr>
          <w:rFonts w:ascii="仿宋" w:hAnsi="仿宋"/>
          <w:sz w:val="21"/>
          <w:szCs w:val="21"/>
        </w:rPr>
      </w:pPr>
    </w:p>
    <w:p>
      <w:pPr>
        <w:spacing w:line="240" w:lineRule="auto"/>
        <w:ind w:firstLine="0" w:firstLineChars="0"/>
        <w:jc w:val="center"/>
        <w:rPr>
          <w:rFonts w:ascii="仿宋" w:hAnsi="仿宋"/>
          <w:b/>
          <w:bCs/>
          <w:kern w:val="44"/>
          <w:szCs w:val="24"/>
        </w:rPr>
      </w:pPr>
      <w:r>
        <w:rPr>
          <w:rFonts w:hint="eastAsia" w:ascii="仿宋" w:hAnsi="仿宋"/>
          <w:b/>
          <w:bCs/>
          <w:kern w:val="44"/>
          <w:szCs w:val="24"/>
        </w:rPr>
        <w:t>全国乡村旅游重点村8处、全国乡村旅游重点镇4处</w:t>
      </w:r>
    </w:p>
    <w:p>
      <w:pPr>
        <w:spacing w:line="240" w:lineRule="auto"/>
        <w:ind w:firstLine="0" w:firstLineChars="0"/>
        <w:jc w:val="center"/>
        <w:rPr>
          <w:rFonts w:ascii="仿宋" w:hAnsi="仿宋"/>
          <w:b/>
          <w:bCs/>
          <w:kern w:val="44"/>
          <w:szCs w:val="24"/>
        </w:rPr>
      </w:pPr>
      <w:r>
        <w:rPr>
          <w:rFonts w:hint="eastAsia" w:ascii="仿宋" w:hAnsi="仿宋"/>
          <w:b/>
          <w:bCs/>
          <w:kern w:val="44"/>
          <w:szCs w:val="24"/>
        </w:rPr>
        <w:t>省（自治区）级乡村旅游重点村8处、省（自治区）乡村旅游重点镇7处</w:t>
      </w:r>
    </w:p>
    <w:tbl>
      <w:tblPr>
        <w:tblStyle w:val="40"/>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555"/>
        <w:gridCol w:w="1828"/>
        <w:gridCol w:w="988"/>
        <w:gridCol w:w="703"/>
        <w:gridCol w:w="703"/>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37"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品级</w:t>
            </w:r>
          </w:p>
        </w:tc>
        <w:tc>
          <w:tcPr>
            <w:tcW w:w="555"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序号</w:t>
            </w:r>
          </w:p>
        </w:tc>
        <w:tc>
          <w:tcPr>
            <w:tcW w:w="182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项目名称</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所属旗县</w:t>
            </w:r>
          </w:p>
        </w:tc>
        <w:tc>
          <w:tcPr>
            <w:tcW w:w="1406" w:type="dxa"/>
            <w:gridSpan w:val="2"/>
          </w:tcPr>
          <w:p>
            <w:pPr>
              <w:spacing w:line="300" w:lineRule="exact"/>
              <w:ind w:firstLine="0" w:firstLineChars="0"/>
              <w:jc w:val="center"/>
              <w:rPr>
                <w:rFonts w:ascii="仿宋" w:hAnsi="仿宋"/>
                <w:sz w:val="21"/>
                <w:szCs w:val="21"/>
              </w:rPr>
            </w:pPr>
            <w:r>
              <w:rPr>
                <w:rFonts w:hint="eastAsia" w:ascii="仿宋" w:hAnsi="仿宋"/>
                <w:sz w:val="21"/>
                <w:szCs w:val="21"/>
              </w:rPr>
              <w:t>开发时序</w:t>
            </w:r>
          </w:p>
        </w:tc>
        <w:tc>
          <w:tcPr>
            <w:tcW w:w="8551"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建设要点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37" w:type="dxa"/>
            <w:vMerge w:val="continue"/>
          </w:tcPr>
          <w:p>
            <w:pPr>
              <w:spacing w:line="300" w:lineRule="exact"/>
              <w:ind w:firstLine="0" w:firstLineChars="0"/>
              <w:jc w:val="center"/>
              <w:rPr>
                <w:rFonts w:ascii="仿宋" w:hAnsi="仿宋"/>
                <w:sz w:val="21"/>
                <w:szCs w:val="21"/>
              </w:rPr>
            </w:pPr>
          </w:p>
        </w:tc>
        <w:tc>
          <w:tcPr>
            <w:tcW w:w="555" w:type="dxa"/>
            <w:vMerge w:val="continue"/>
          </w:tcPr>
          <w:p>
            <w:pPr>
              <w:spacing w:line="300" w:lineRule="exact"/>
              <w:ind w:firstLine="0" w:firstLineChars="0"/>
              <w:jc w:val="center"/>
              <w:rPr>
                <w:rFonts w:ascii="仿宋" w:hAnsi="仿宋"/>
                <w:sz w:val="21"/>
                <w:szCs w:val="21"/>
              </w:rPr>
            </w:pPr>
          </w:p>
        </w:tc>
        <w:tc>
          <w:tcPr>
            <w:tcW w:w="1828" w:type="dxa"/>
            <w:vMerge w:val="continue"/>
          </w:tcPr>
          <w:p>
            <w:pPr>
              <w:spacing w:line="300" w:lineRule="exact"/>
              <w:ind w:firstLine="0" w:firstLineChars="0"/>
              <w:jc w:val="center"/>
              <w:rPr>
                <w:rFonts w:ascii="仿宋" w:hAnsi="仿宋"/>
                <w:sz w:val="21"/>
                <w:szCs w:val="21"/>
              </w:rPr>
            </w:pP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近三年</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中远期</w:t>
            </w:r>
          </w:p>
        </w:tc>
        <w:tc>
          <w:tcPr>
            <w:tcW w:w="8551" w:type="dxa"/>
            <w:vMerge w:val="continue"/>
          </w:tcPr>
          <w:p>
            <w:pPr>
              <w:spacing w:line="300" w:lineRule="exact"/>
              <w:ind w:firstLine="0" w:firstLineChars="0"/>
              <w:jc w:val="center"/>
              <w:rPr>
                <w:rFonts w:ascii="仿宋"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restart"/>
          </w:tcPr>
          <w:p>
            <w:pPr>
              <w:spacing w:line="300" w:lineRule="exact"/>
              <w:ind w:firstLine="0" w:firstLineChars="0"/>
              <w:rPr>
                <w:rFonts w:ascii="仿宋" w:hAnsi="仿宋"/>
                <w:sz w:val="21"/>
                <w:szCs w:val="21"/>
              </w:rPr>
            </w:pPr>
            <w:r>
              <w:rPr>
                <w:rFonts w:hint="eastAsia" w:ascii="仿宋" w:hAnsi="仿宋"/>
                <w:sz w:val="21"/>
                <w:szCs w:val="21"/>
              </w:rPr>
              <w:t>全国乡村旅游重点村（8处）</w:t>
            </w: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1</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白狼镇鹿村</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阿尔山市</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发挥《亲爱的客栈 2 》综艺影响力，擦亮形象、景村联动，开通主要景区点到村落的旅游专线，围绕鹿、森林等主题，打造主题民宿、Discovery探索基地、萌宠乐园、鹿文创商品街和光影森林演艺。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2</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好力保镇永兴村</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扎赉特旗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在自治区级乡村旅游重点村的基础之上，以“塞北江南风光”村寨的定位，打造综合农耕文化园，积极拓展农业产业+旅游，发展乡村旅游、休闲农业，拓展农民增收渠道。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3</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代钦塔拉镇代钦塔拉嘎查</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科右中旗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翰嘎利五角枫休闲旅游度假区、图什业图亲王府两个核心景区在内容和功能上互补发展，加强与景区的线路连接，依据客源市场及本身特点，深度开发乡村体验产品，吸引游客前去旅游消费，引导村民参与发展旅游，促进当地群众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4</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额木庭高勒苏木巴彦敖包嘎查</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以农耕文化为特色，打造趣味化的农耕农俗文化活态体验场，实现生产、生活、生态与旅游的有机融合。促进农耕生产与旅游融合，变劳动为体验式的运动，如犁地、插秧、收稻等。 促进民俗与旅游融合 ，举办民俗嘉年华系列活动，如乡村丰收节、茶歇会、运动节等。做好乡村旅游后备箱工程，推出系列土特商品。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5</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察尔森镇察尔森嘎查</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科右前旗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依托察尔森水库，以草原、湖泊及民族文化等为主要特点，打造集生态休闲观光、滨湖娱乐休闲、渔家住宿体验、湖鲜美食度假为一体的现代滨湖休闲度假村。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6</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乌兰毛都苏木勿布林嘎查</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在自治区级乡村旅游重点村的基础之上，发挥中国少数民族特色村寨的特色，积极发扬传统手工艺制作，提升多样旅游体验方式，丰富民俗文化研学、餐饮住宿等业态。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7</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明星村</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突泉县</w:t>
            </w:r>
          </w:p>
        </w:tc>
        <w:tc>
          <w:tcPr>
            <w:tcW w:w="703" w:type="dxa"/>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规划聚焦明星沙滩渔乐公社、东泉艺术吃瓜公社、明星稻田休闲庄园、明星湿地科普公园四大主题分区，将其打造成为兼具沙滩娱乐、水上休闲、稻草市集、农耕体验、非标住宿、果蔬采摘、亲子教育、艺术打卡、绿道运动等于一体的亲子家庭休闲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8</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宝城村</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宝城村秉持“绿水青山就是金山银山”的发展理念，立足宝城村现状岩画、烽火台遗址的文化资源与古城遗址外围的良好区位，总体上以形成重点项目强化吸引力为目标，在完善配套旅游村功能的同时，在遗址保护的基础上塑造重点观光项目，通过文创非遗产业植入带动共同富裕、基础设施改善与村落景观升级促进城村融合，强化旅游吸引力。辐射带动周边乡村发展农家乐、主题民宿等“旅游+”产业，实现生态与农业、农村、农民效益的统一，打造特色生态农业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37"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全国乡村旅游重点镇</w:t>
            </w:r>
            <w:r>
              <w:rPr>
                <w:rFonts w:hint="eastAsia" w:ascii="仿宋" w:hAnsi="仿宋"/>
                <w:sz w:val="21"/>
                <w:szCs w:val="21"/>
              </w:rPr>
              <w:br w:type="textWrapping"/>
            </w:r>
            <w:r>
              <w:rPr>
                <w:rFonts w:hint="eastAsia" w:ascii="仿宋" w:hAnsi="仿宋"/>
                <w:sz w:val="21"/>
                <w:szCs w:val="21"/>
              </w:rPr>
              <w:t>（4处）</w:t>
            </w:r>
          </w:p>
        </w:tc>
        <w:tc>
          <w:tcPr>
            <w:tcW w:w="555" w:type="dxa"/>
          </w:tcPr>
          <w:p>
            <w:pPr>
              <w:spacing w:line="300" w:lineRule="exact"/>
              <w:ind w:firstLine="199" w:firstLineChars="95"/>
              <w:rPr>
                <w:rFonts w:ascii="仿宋" w:hAnsi="仿宋"/>
                <w:sz w:val="21"/>
                <w:szCs w:val="21"/>
              </w:rPr>
            </w:pPr>
            <w:r>
              <w:rPr>
                <w:rFonts w:hint="eastAsia" w:ascii="仿宋" w:hAnsi="仿宋"/>
                <w:sz w:val="21"/>
                <w:szCs w:val="21"/>
              </w:rPr>
              <w:t>1</w:t>
            </w:r>
          </w:p>
        </w:tc>
        <w:tc>
          <w:tcPr>
            <w:tcW w:w="1828" w:type="dxa"/>
          </w:tcPr>
          <w:p>
            <w:pPr>
              <w:spacing w:line="300" w:lineRule="exact"/>
              <w:ind w:firstLine="420"/>
              <w:rPr>
                <w:rFonts w:ascii="仿宋" w:hAnsi="仿宋"/>
                <w:sz w:val="21"/>
                <w:szCs w:val="21"/>
              </w:rPr>
            </w:pPr>
            <w:r>
              <w:rPr>
                <w:rFonts w:hint="eastAsia" w:ascii="仿宋" w:hAnsi="仿宋"/>
                <w:sz w:val="21"/>
                <w:szCs w:val="21"/>
              </w:rPr>
              <w:t>察尔森镇</w:t>
            </w:r>
          </w:p>
        </w:tc>
        <w:tc>
          <w:tcPr>
            <w:tcW w:w="988" w:type="dxa"/>
            <w:vMerge w:val="restart"/>
          </w:tcPr>
          <w:p>
            <w:pPr>
              <w:spacing w:line="300" w:lineRule="exact"/>
              <w:ind w:firstLine="0" w:firstLineChars="0"/>
              <w:rPr>
                <w:rFonts w:ascii="仿宋" w:hAnsi="仿宋"/>
                <w:sz w:val="21"/>
                <w:szCs w:val="21"/>
              </w:rPr>
            </w:pPr>
            <w:r>
              <w:rPr>
                <w:rFonts w:hint="eastAsia" w:ascii="仿宋" w:hAnsi="仿宋"/>
                <w:sz w:val="21"/>
                <w:szCs w:val="21"/>
              </w:rPr>
              <w:t>科右前旗</w:t>
            </w:r>
          </w:p>
        </w:tc>
        <w:tc>
          <w:tcPr>
            <w:tcW w:w="703" w:type="dxa"/>
          </w:tcPr>
          <w:p>
            <w:pPr>
              <w:spacing w:line="300" w:lineRule="exact"/>
              <w:ind w:firstLine="199" w:firstLineChars="95"/>
              <w:rPr>
                <w:rFonts w:ascii="仿宋" w:hAnsi="仿宋"/>
                <w:sz w:val="21"/>
                <w:szCs w:val="21"/>
              </w:rPr>
            </w:pPr>
          </w:p>
        </w:tc>
        <w:tc>
          <w:tcPr>
            <w:tcW w:w="703" w:type="dxa"/>
          </w:tcPr>
          <w:p>
            <w:pPr>
              <w:spacing w:line="300" w:lineRule="exact"/>
              <w:ind w:firstLine="199" w:firstLineChars="95"/>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深挖草原湖泊休闲文化，打造让城市人放松心灵的假日度假小镇，建设营地，对滨湖生态景观提升，并在湖区设置集娱乐性、休闲性等业态的湖泊休闲度假区。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2</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乌兰毛都苏木</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围绕乌兰毛都草原旅游资源，融合蒙古大营、牧区、牧场及特色民族村落，构建包含草原观光、休闲活动、帐篷营地、民族村落、民宿体验、文化体验等旅游业态。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3</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好力保镇</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扎赉特旗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依托永兴村及好力保稻谷景区，重点发展特色种养殖、农副产品加工等产业，打造一二三产融合示范镇。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4</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义勒力特花乡小镇</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乌兰浩特市</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做出水环境，农旅深度融合发展，重点在花卉经济、果蔬经济和夜经济实现突破发展，打造成为近郊乡村休闲旅游目的地、休闲观光农业和宜居宜商宜游的城市“后花园”。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37" w:type="dxa"/>
            <w:vMerge w:val="restart"/>
          </w:tcPr>
          <w:p>
            <w:pPr>
              <w:spacing w:line="300" w:lineRule="exact"/>
              <w:ind w:firstLine="0" w:firstLineChars="0"/>
              <w:jc w:val="center"/>
              <w:rPr>
                <w:rFonts w:ascii="仿宋" w:hAnsi="仿宋"/>
                <w:sz w:val="21"/>
                <w:szCs w:val="21"/>
              </w:rPr>
            </w:pPr>
          </w:p>
          <w:p>
            <w:pPr>
              <w:spacing w:line="300" w:lineRule="exact"/>
              <w:ind w:firstLine="0" w:firstLineChars="0"/>
              <w:jc w:val="center"/>
              <w:rPr>
                <w:rFonts w:ascii="仿宋" w:hAnsi="仿宋"/>
                <w:sz w:val="21"/>
                <w:szCs w:val="21"/>
              </w:rPr>
            </w:pPr>
          </w:p>
          <w:p>
            <w:pPr>
              <w:spacing w:line="300" w:lineRule="exact"/>
              <w:ind w:firstLine="0" w:firstLineChars="0"/>
              <w:jc w:val="center"/>
              <w:rPr>
                <w:rFonts w:ascii="仿宋" w:hAnsi="仿宋"/>
                <w:sz w:val="21"/>
                <w:szCs w:val="21"/>
              </w:rPr>
            </w:pPr>
          </w:p>
          <w:p>
            <w:pPr>
              <w:spacing w:line="300" w:lineRule="exact"/>
              <w:ind w:firstLine="0" w:firstLineChars="0"/>
              <w:rPr>
                <w:rFonts w:ascii="仿宋" w:hAnsi="仿宋"/>
                <w:sz w:val="21"/>
                <w:szCs w:val="21"/>
              </w:rPr>
            </w:pPr>
          </w:p>
          <w:p>
            <w:pPr>
              <w:spacing w:line="300" w:lineRule="exact"/>
              <w:ind w:firstLine="0" w:firstLineChars="0"/>
              <w:rPr>
                <w:rFonts w:ascii="仿宋" w:hAnsi="仿宋"/>
                <w:sz w:val="21"/>
                <w:szCs w:val="21"/>
              </w:rPr>
            </w:pPr>
          </w:p>
          <w:p>
            <w:pPr>
              <w:spacing w:line="300" w:lineRule="exact"/>
              <w:ind w:firstLine="0" w:firstLineChars="0"/>
              <w:rPr>
                <w:rFonts w:ascii="仿宋" w:hAnsi="仿宋"/>
                <w:sz w:val="21"/>
                <w:szCs w:val="21"/>
              </w:rPr>
            </w:pPr>
          </w:p>
          <w:p>
            <w:pPr>
              <w:spacing w:line="300" w:lineRule="exact"/>
              <w:ind w:firstLine="0" w:firstLineChars="0"/>
              <w:rPr>
                <w:rFonts w:ascii="仿宋" w:hAnsi="仿宋"/>
                <w:sz w:val="21"/>
                <w:szCs w:val="21"/>
              </w:rPr>
            </w:pPr>
            <w:r>
              <w:rPr>
                <w:rFonts w:hint="eastAsia" w:ascii="仿宋" w:hAnsi="仿宋"/>
                <w:sz w:val="21"/>
                <w:szCs w:val="21"/>
              </w:rPr>
              <w:t>省（自治区）级乡村旅游重点村</w:t>
            </w:r>
            <w:r>
              <w:rPr>
                <w:rFonts w:hint="eastAsia" w:ascii="仿宋" w:hAnsi="仿宋"/>
                <w:sz w:val="21"/>
                <w:szCs w:val="21"/>
              </w:rPr>
              <w:br w:type="textWrapping"/>
            </w:r>
            <w:r>
              <w:rPr>
                <w:rFonts w:hint="eastAsia" w:ascii="仿宋" w:hAnsi="仿宋"/>
                <w:sz w:val="21"/>
                <w:szCs w:val="21"/>
              </w:rPr>
              <w:t>（8处）</w:t>
            </w: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1</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好力保镇古庙村</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扎赉特旗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依托好力保稻谷景区的客源基础，做好服务配套，围绕乡村主题，打造特色住宿、特色餐饮等服务体验。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2</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平安农业产业特色村（番茄公社）</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科右前旗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番茄公社项目作为科右前旗首家以番茄为主题的农旅融合产业示范基地，着力于以农促旅、以旅兴农，促进产业提档升级。建设冷棚56座、番茄博物馆一座、直播驿站一间、番茄公社智慧跑道及提升改造晓景创业就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3</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巴音海日汗旅游度假村</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以草原放牧为主导产业，打造集特色体验、科普宣传、休闲观光体验于一体的休闲观光牧业乡村。加入生态化、主题式观光旅游，让游客体验牧场生活。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4</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海力森百年古榆民俗旅游度假村</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位于阿力得尔苏木，计划新建传旗文旅乡创中心、榆风市集、民宿示范院落两处和自然可降解式厕所两组；汽车营地基础设施及配套设施等。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5</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乌兰哈达镇三合村朝鲜族特色度假村</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乌兰浩特市</w:t>
            </w:r>
          </w:p>
        </w:tc>
        <w:tc>
          <w:tcPr>
            <w:tcW w:w="703" w:type="dxa"/>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以 “一心一环，两轴一带”为总体格局，有机打造十二个功能分区，突出建筑特色，强化民族文化，将三合村打造成为融吃、住、行、游、娱、购、学为一体的特色风情度假区。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6</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葛根庙村</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依托葛根庙呼格吉勒嘎查周边的草原区域，打造独具特色的马文化特色小镇，包括马文化博物馆、葛根庙美食街、红色村庄，红色文化纪念馆、产业孵化基地等。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7</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哈日道卜嘎查</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科右中旗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擦亮沙地大米品牌，创新举办中国沙地稻香节，通过“稻田养殖、“稻田艺术”、“稻田＋体验”、“稻田+研学”四个路径，全面延展水稻产业链条。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8</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赛银花村</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突泉县</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 xml:space="preserve">以“赛银花现代农业生态园”为吸引核，以“果蔬采摘”为特色，园村互动发展，共建果蔬特色的田园综合体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7"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省（自治区）级乡村旅游重点镇</w:t>
            </w:r>
            <w:r>
              <w:rPr>
                <w:rFonts w:hint="eastAsia" w:ascii="仿宋" w:hAnsi="仿宋"/>
                <w:sz w:val="21"/>
                <w:szCs w:val="21"/>
              </w:rPr>
              <w:br w:type="textWrapping"/>
            </w:r>
            <w:r>
              <w:rPr>
                <w:rFonts w:hint="eastAsia" w:ascii="仿宋" w:hAnsi="仿宋"/>
                <w:sz w:val="21"/>
                <w:szCs w:val="21"/>
              </w:rPr>
              <w:t>（7处）</w:t>
            </w: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1</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巴日型斯台乡红色小镇</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科右前旗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依托兴安第党支部等红色资源与丰富的农牧业资源，发展红色体验与观光旅游、园采摘等体闲观光农业。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2</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满族屯满族乡</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科右前旗</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围绕满、蒙古族辅食、艺术品等相关产品加工生产，传授讲解蒙古族文化，通过对满蒙工艺品、服饰的加工制作，营造浓厚的满蒙民族风情，体现出原汁原味的民俗小镇风情。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3</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葛根庙马文化特色小镇</w:t>
            </w:r>
          </w:p>
        </w:tc>
        <w:tc>
          <w:tcPr>
            <w:tcW w:w="988" w:type="dxa"/>
          </w:tcPr>
          <w:p>
            <w:pPr>
              <w:spacing w:line="300" w:lineRule="exact"/>
              <w:ind w:firstLine="0" w:firstLineChars="0"/>
              <w:jc w:val="center"/>
              <w:rPr>
                <w:rFonts w:ascii="仿宋" w:hAnsi="仿宋"/>
                <w:sz w:val="21"/>
                <w:szCs w:val="21"/>
              </w:rPr>
            </w:pPr>
            <w:r>
              <w:rPr>
                <w:rFonts w:hint="eastAsia" w:ascii="仿宋" w:hAnsi="仿宋"/>
                <w:sz w:val="21"/>
                <w:szCs w:val="21"/>
              </w:rPr>
              <w:t>乌兰浩特市</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打造独具特色的马文化特色小镇，包括马术赛事活动、育马基地、世界名马博览园、大型实景演出剧场等，彰显蒙古族特色。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4</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荆花温泉康养小镇</w:t>
            </w:r>
          </w:p>
        </w:tc>
        <w:tc>
          <w:tcPr>
            <w:tcW w:w="988" w:type="dxa"/>
            <w:vMerge w:val="restart"/>
          </w:tcPr>
          <w:p>
            <w:pPr>
              <w:spacing w:line="300" w:lineRule="exact"/>
              <w:ind w:firstLine="0" w:firstLineChars="0"/>
              <w:jc w:val="center"/>
              <w:rPr>
                <w:rFonts w:ascii="仿宋" w:hAnsi="仿宋"/>
                <w:sz w:val="21"/>
                <w:szCs w:val="21"/>
              </w:rPr>
            </w:pPr>
            <w:r>
              <w:rPr>
                <w:rFonts w:hint="eastAsia" w:ascii="仿宋" w:hAnsi="仿宋"/>
                <w:sz w:val="21"/>
                <w:szCs w:val="21"/>
              </w:rPr>
              <w:t>阿尔山市</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以旅游产业为主导，打造具有鲜明文化特色，集休闲康养、文化创新、口岸交易、商务社交、高端集会功能于一体的高端森林温泉康养小镇、祖国北疆高端森林温泉康养特色小镇。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5</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五岔沟镇</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完善服务配套设施，建设游客集散中心、综合性服务场所、停车场等设施，推动实现村旅融合发展。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7" w:type="dxa"/>
            <w:vMerge w:val="continue"/>
          </w:tcPr>
          <w:p>
            <w:pPr>
              <w:spacing w:line="300" w:lineRule="exact"/>
              <w:ind w:firstLine="0" w:firstLineChars="0"/>
              <w:jc w:val="center"/>
              <w:rPr>
                <w:rFonts w:ascii="仿宋" w:hAnsi="仿宋"/>
                <w:sz w:val="21"/>
                <w:szCs w:val="21"/>
              </w:rPr>
            </w:pPr>
          </w:p>
        </w:tc>
        <w:tc>
          <w:tcPr>
            <w:tcW w:w="555" w:type="dxa"/>
          </w:tcPr>
          <w:p>
            <w:pPr>
              <w:spacing w:line="300" w:lineRule="exact"/>
              <w:ind w:firstLine="0" w:firstLineChars="0"/>
              <w:jc w:val="center"/>
              <w:rPr>
                <w:rFonts w:ascii="仿宋" w:hAnsi="仿宋"/>
                <w:sz w:val="21"/>
                <w:szCs w:val="21"/>
              </w:rPr>
            </w:pPr>
            <w:r>
              <w:rPr>
                <w:rFonts w:hint="eastAsia" w:ascii="仿宋" w:hAnsi="仿宋"/>
                <w:sz w:val="21"/>
                <w:szCs w:val="21"/>
              </w:rPr>
              <w:t>6</w:t>
            </w:r>
          </w:p>
        </w:tc>
        <w:tc>
          <w:tcPr>
            <w:tcW w:w="1828" w:type="dxa"/>
          </w:tcPr>
          <w:p>
            <w:pPr>
              <w:spacing w:line="300" w:lineRule="exact"/>
              <w:ind w:firstLine="0" w:firstLineChars="0"/>
              <w:jc w:val="center"/>
              <w:rPr>
                <w:rFonts w:ascii="仿宋" w:hAnsi="仿宋"/>
                <w:sz w:val="21"/>
                <w:szCs w:val="21"/>
              </w:rPr>
            </w:pPr>
            <w:r>
              <w:rPr>
                <w:rFonts w:hint="eastAsia" w:ascii="仿宋" w:hAnsi="仿宋"/>
                <w:sz w:val="21"/>
                <w:szCs w:val="21"/>
              </w:rPr>
              <w:t>天池镇</w:t>
            </w:r>
          </w:p>
        </w:tc>
        <w:tc>
          <w:tcPr>
            <w:tcW w:w="988" w:type="dxa"/>
            <w:vMerge w:val="continue"/>
          </w:tcPr>
          <w:p>
            <w:pPr>
              <w:spacing w:line="300" w:lineRule="exact"/>
              <w:ind w:firstLine="0" w:firstLineChars="0"/>
              <w:jc w:val="center"/>
              <w:rPr>
                <w:rFonts w:ascii="仿宋" w:hAnsi="仿宋"/>
                <w:sz w:val="21"/>
                <w:szCs w:val="21"/>
              </w:rPr>
            </w:pP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　</w:t>
            </w:r>
          </w:p>
        </w:tc>
        <w:tc>
          <w:tcPr>
            <w:tcW w:w="703" w:type="dxa"/>
          </w:tcPr>
          <w:p>
            <w:pPr>
              <w:spacing w:line="300" w:lineRule="exact"/>
              <w:ind w:firstLine="0" w:firstLineChars="0"/>
              <w:jc w:val="center"/>
              <w:rPr>
                <w:rFonts w:ascii="仿宋" w:hAnsi="仿宋"/>
                <w:sz w:val="21"/>
                <w:szCs w:val="21"/>
              </w:rPr>
            </w:pPr>
            <w:r>
              <w:rPr>
                <w:rFonts w:hint="eastAsia" w:ascii="仿宋" w:hAnsi="仿宋"/>
                <w:sz w:val="21"/>
                <w:szCs w:val="21"/>
              </w:rPr>
              <w:t>√</w:t>
            </w:r>
          </w:p>
        </w:tc>
        <w:tc>
          <w:tcPr>
            <w:tcW w:w="8551" w:type="dxa"/>
          </w:tcPr>
          <w:p>
            <w:pPr>
              <w:spacing w:line="300" w:lineRule="exact"/>
              <w:ind w:firstLine="0" w:firstLineChars="0"/>
              <w:jc w:val="left"/>
              <w:rPr>
                <w:rFonts w:ascii="仿宋" w:hAnsi="仿宋"/>
                <w:sz w:val="21"/>
                <w:szCs w:val="21"/>
              </w:rPr>
            </w:pPr>
            <w:r>
              <w:rPr>
                <w:rFonts w:hint="eastAsia" w:ascii="仿宋" w:hAnsi="仿宋"/>
                <w:sz w:val="21"/>
                <w:szCs w:val="21"/>
              </w:rPr>
              <w:t>依托天池核心景点，完善天池镇区餐饮、住宿等业态配套，打造天池艺术小镇。</w:t>
            </w:r>
          </w:p>
        </w:tc>
      </w:tr>
    </w:tbl>
    <w:p>
      <w:pPr>
        <w:spacing w:line="240" w:lineRule="auto"/>
        <w:ind w:firstLine="0" w:firstLineChars="0"/>
        <w:jc w:val="center"/>
        <w:rPr>
          <w:rFonts w:ascii="仿宋" w:hAnsi="仿宋"/>
          <w:b/>
          <w:bCs/>
          <w:kern w:val="44"/>
          <w:szCs w:val="24"/>
        </w:rPr>
      </w:pPr>
    </w:p>
    <w:p>
      <w:pPr>
        <w:spacing w:line="300" w:lineRule="exact"/>
        <w:ind w:firstLine="0" w:firstLineChars="0"/>
        <w:jc w:val="left"/>
      </w:pPr>
      <w:r>
        <w:rPr>
          <w:rFonts w:hint="eastAsia" w:ascii="仿宋" w:hAnsi="仿宋"/>
          <w:sz w:val="21"/>
          <w:szCs w:val="21"/>
        </w:rPr>
        <w:br w:type="page"/>
      </w:r>
    </w:p>
    <w:p>
      <w:pPr>
        <w:pStyle w:val="2"/>
      </w:pPr>
      <w:bookmarkStart w:id="143" w:name="_Toc141454190"/>
      <w:r>
        <w:rPr>
          <w:rFonts w:hint="eastAsia"/>
        </w:rPr>
        <w:t>附表2：2</w:t>
      </w:r>
      <w:r>
        <w:t>023</w:t>
      </w:r>
      <w:r>
        <w:rPr>
          <w:rFonts w:hint="eastAsia"/>
        </w:rPr>
        <w:t>年重点项目</w:t>
      </w:r>
      <w:bookmarkEnd w:id="143"/>
    </w:p>
    <w:tbl>
      <w:tblPr>
        <w:tblStyle w:val="23"/>
        <w:tblW w:w="14029" w:type="dxa"/>
        <w:tblInd w:w="0" w:type="dxa"/>
        <w:tblLayout w:type="autofit"/>
        <w:tblCellMar>
          <w:top w:w="0" w:type="dxa"/>
          <w:left w:w="108" w:type="dxa"/>
          <w:bottom w:w="0" w:type="dxa"/>
          <w:right w:w="108" w:type="dxa"/>
        </w:tblCellMar>
      </w:tblPr>
      <w:tblGrid>
        <w:gridCol w:w="704"/>
        <w:gridCol w:w="709"/>
        <w:gridCol w:w="1992"/>
        <w:gridCol w:w="1126"/>
        <w:gridCol w:w="851"/>
        <w:gridCol w:w="709"/>
        <w:gridCol w:w="7938"/>
      </w:tblGrid>
      <w:tr>
        <w:trPr>
          <w:trHeight w:val="532"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旗县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项目编号</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主项目</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建设地点</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项目开发模式</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投资主体</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发展思路/建设内容</w:t>
            </w:r>
          </w:p>
        </w:tc>
      </w:tr>
      <w:tr>
        <w:tblPrEx>
          <w:tblCellMar>
            <w:top w:w="0" w:type="dxa"/>
            <w:left w:w="108" w:type="dxa"/>
            <w:bottom w:w="0" w:type="dxa"/>
            <w:right w:w="108" w:type="dxa"/>
          </w:tblCellMar>
        </w:tblPrEx>
        <w:trPr>
          <w:trHeight w:val="734"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r>
              <w:rPr>
                <w:rFonts w:hint="eastAsia" w:ascii="仿宋" w:hAnsi="仿宋"/>
                <w:b/>
                <w:bCs/>
                <w:sz w:val="21"/>
                <w:szCs w:val="21"/>
              </w:rPr>
              <w:t>乌兰浩特市</w:t>
            </w: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旅游驿站、营地建设</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乌兰浩特市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建设与提升天骄天骏驿站、葛根庙旅游驿站两大驿站体系</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红色马镇——葛根庙</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葛根庙镇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建设葛根庙庙前特色美食街、民宿及游乐园项目。</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成庙-罕山国家5A级景区</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成庙</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以成吉思汗庙为核心，整合北侧山体公园，完善基础服务设施，联合打造成为成庙-罕山国家AAAAA级国家旅游景区</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洮儿河湿地画廊</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洮儿河</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建议进行洮儿河湿地画廊设计工作，全面激活沿线空间与项目产品。提升洮儿河湿地景观带风貌，推进环境整治、滨河线路升级、文化景观建设，并围绕“洮儿河之冰+湿地之雪”做好冬季旅游产品的开发。</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神骏湾特色民宿建设项目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乌兰哈达镇高根营子嘎查</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在神骏湾生态体验区入口东侧打造乡村旅游民宿3000平方米。</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“一馆十址”红色记忆教育游</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重点项目</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以观光车、步道等串联“一馆十址”进行线路组织与产品设计。对接学校、研学机构等组织红色主题研学活动。</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兴安领创非遗文化中心及周边基础设施配套建设项目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重点项目</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为进一步统筹非遗保护传承、开发利用，通过对原有建筑的外立面和空间进行改造，在前街步行街打造全盟的非遗文化中心，项目包括：对四中食堂、宿舍、教学楼和原成吉思汗公园前游客服务中心的4栋建筑外立面改造和对四中食堂、兴安中学礼堂旧址的内部空间改造。</w:t>
            </w:r>
          </w:p>
        </w:tc>
      </w:tr>
      <w:tr>
        <w:tblPrEx>
          <w:tblCellMar>
            <w:top w:w="0" w:type="dxa"/>
            <w:left w:w="108" w:type="dxa"/>
            <w:bottom w:w="0" w:type="dxa"/>
            <w:right w:w="108" w:type="dxa"/>
          </w:tblCellMar>
        </w:tblPrEx>
        <w:trPr>
          <w:trHeight w:val="734"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r>
              <w:rPr>
                <w:rFonts w:hint="eastAsia" w:ascii="仿宋" w:hAnsi="仿宋"/>
                <w:b/>
                <w:bCs/>
                <w:sz w:val="21"/>
                <w:szCs w:val="21"/>
              </w:rPr>
              <w:t>阿尔山市</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全域旅游导览标识系统建设项目</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主要对通往景区的标识标牌进行建设。</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阿柴景区旅游基础设施改造提升项目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阿柴景区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对景区智慧管理设施、游客服务设施、旅游交通设施进行改造提升。</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旅游驿站、营地建设</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建设完成温泉度假营地，规划建设西口旅游驿站、白狼旅游驿站、门德沟旅游驿站</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美拍路段升级提升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对不冻河最美森林湿地公路和阿尔山最美童话小镇公路进行提升，增设摄影观景游憩平台，完善沿途交通服务设施配置</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圣泉雪集旅游休闲街区</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温泉街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项目位于温泉街，打造咖啡厅、休闲茶吧、零售打卡、文创展示、运动驿站等休闲配套产品。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魔幻森林</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阿尔山市环湖公园西侧</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以“奇幻森林谷”为主题，引入lumina打造奇幻森林、时光长廊、异星世界、四季廊道、幻光花海5大场景，引入延长夜间体验，扮靓城市水岸夜游空间，建设森林神秘树洞、森林的狂欢、精灵树屋、奇幻家园栈道、召唤生命树、国潮文化打卡点等。</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森林体验游</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以阿尔山森工公司为牵头，依托阿尔山林区原有运输轨道、引入全地形越野车改装成的接驳小火车，分别打造4条旅游小火车线路，一路驰骋观赏雪地、森林、丘陵、沼泽等奇景，打造盟级“森林脉动火车之旅（阿尔山示范段）”。</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9</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阿尔山天然雪地越野公园活动提升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利用现有的场地以及不同的地形地貌，对冰雪越野赛道进行合理规划，打造216km长冰雪越野赛道。升级壮大“阿尔山冰雪英雄会”、“冰雪英雄穿越之旅”等项目活动，强化营销提升品牌感召力，成为常态化、品牌化、区域化、标杆化的冰雪运动赛事。</w:t>
            </w:r>
          </w:p>
        </w:tc>
      </w:tr>
      <w:tr>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10</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金江沟温泉康养开发项目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金江沟</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重点建设接待中心、精品温泉别院、头汤养生馆、温泉公园及配套设施。</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11</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氧心森林浴道业态提升项目、森林雪野项目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东沟里</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丰富森林游乐体验，建设氧心森林浴道滑索，长约1000米。</w:t>
            </w:r>
          </w:p>
        </w:tc>
      </w:tr>
      <w:tr>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海神温泉改造提升项目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海神温泉度假区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项目位于规划的阿尔山海神圣泉旅游度假区（5A级景区），2023年优先对海神温泉博物馆进行改造提升。</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天池观光项目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阿尔山天池</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综合研判国土空间、生态红线等影响要素，丰富观景体验、增建“心动天池”的天池山索道，建设“并蒂云梯”、“一箭穿心”滑索，2023年优先进行项目选址勘测工作，引入热气球、直升机等低空观景设备，通过水陆空多维观景升级为好看好玩好打卡的湖泊森林之境。</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白狼峰滑雪场</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白狼镇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对外招商</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建设雪道与场地、索道及其雪场设备器材、基础设施及配套服务设施。</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冰雪运动中心项目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温泉街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建设室内四季能承办国际、国家级冰上赛事的运动场馆，运动员日常体能训练场馆以及相关配套设施。</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16</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阿尔山太伟温泉度假酒店</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西山滑雪场北侧</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建设5星级酒店，豪华、私密的汤达人馆。</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17</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白狼镇华润希望小镇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白狼镇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对白狼镇进行打造提升。</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18</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口岸景区基础设施提升项目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口岸</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建设游客服务中心、停车场、旅游厕所、景区道路等。</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19</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文创商品创建工程</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阿尔山市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“山珍水宴”美食品牌及产品创建、“阿尔山礼物”文创系列商品设计</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20</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特色文创商品店</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温泉街锦江之星门市</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开设中俄蒙文创旅游艺术品店，销售俄罗斯、蒙古、内蒙古等各地旅游商品及兴安盟、阿尔山的文创商品。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21</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热力MALL农创美食公园</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雪源热力原厂房</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对外招商</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建设以加工互动、文创体验、餐饮休闲为一体的产业园区。</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五岔沟镇林旅商品开发项目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五岔沟镇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对外招商</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建设3400平方米旅游产品生产加工厂房，购置配套生产设备。</w:t>
            </w:r>
          </w:p>
        </w:tc>
      </w:tr>
      <w:tr>
        <w:tblPrEx>
          <w:tblCellMar>
            <w:top w:w="0" w:type="dxa"/>
            <w:left w:w="108" w:type="dxa"/>
            <w:bottom w:w="0" w:type="dxa"/>
            <w:right w:w="108" w:type="dxa"/>
          </w:tblCellMar>
        </w:tblPrEx>
        <w:trPr>
          <w:trHeight w:val="734"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r>
              <w:rPr>
                <w:rFonts w:hint="eastAsia" w:ascii="仿宋" w:hAnsi="仿宋"/>
                <w:b/>
                <w:bCs/>
                <w:sz w:val="21"/>
                <w:szCs w:val="21"/>
              </w:rPr>
              <w:t>科右前旗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旅游驿站、营地建设</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建设与提升乌兰毛都草原羊旅游驿站、索伦旅游驿站、德伯斯旅游驿站、察尔森旅游驿站、白音居日合旅游驿站、满族屯湿地驿站、黑羊山旅游驿站、特门驿站。</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美拍路段提升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科右前旗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优化提升图布台最美杭盖草原公路、宿集最美高山草原公路，增设摄影观景游憩平台，完善沿途交通服务设施配置。</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城中草原不夜街项目（梦幻塔拉文化游乐园）</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科尔沁镇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打造网红休闲一条街，包括灯光秀打卡点、文创产品销售、特色美食、酒吧演绎、儿童游乐、直播带货等业态。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科尔沁塔拉城中草原项目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科尔沁镇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建设科技馆、美食街、水上乐园、垂钓竞技比赛、无动力乐园等。完成主体外部工程理石干挂、门窗、屋顶钢结构安装；完成配套设施设备安装、内部公众区域装修；完成主体外部广场、停车场硬化、绿化工程。</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乌兰毛都—草原自然度假区项目（草原宿集项目）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满族屯满族乡</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进一步丰富民宿周边游客体验项目，如：低空飞行等体验类新兴业态。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海力森百年古榆民俗旅游度假村项目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阿力得尔苏木</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对民宿酒店进行改造提升，新增大学生实践活动基地，科普、会议和乡创产品展销等业态。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乌兰毛都草原风景区项目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乌兰毛都苏木</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建设房车营地、餐饮、军创基地、低空飞行等旅游业态。</w:t>
            </w:r>
          </w:p>
        </w:tc>
      </w:tr>
      <w:tr>
        <w:tblPrEx>
          <w:tblCellMar>
            <w:top w:w="0" w:type="dxa"/>
            <w:left w:w="108" w:type="dxa"/>
            <w:bottom w:w="0" w:type="dxa"/>
            <w:right w:w="108" w:type="dxa"/>
          </w:tblCellMar>
        </w:tblPrEx>
        <w:trPr>
          <w:trHeight w:val="734"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满族屯孛尔只斤部落旅游村野狼谷项目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满族屯满族乡</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继续打造提升野狼谷基础设施，丰富旅游业态。</w:t>
            </w:r>
          </w:p>
        </w:tc>
      </w:tr>
      <w:tr>
        <w:tblPrEx>
          <w:tblCellMar>
            <w:top w:w="0" w:type="dxa"/>
            <w:left w:w="108" w:type="dxa"/>
            <w:bottom w:w="0" w:type="dxa"/>
            <w:right w:w="108" w:type="dxa"/>
          </w:tblCellMar>
        </w:tblPrEx>
        <w:trPr>
          <w:trHeight w:val="460"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rPr>
                <w:rFonts w:ascii="仿宋" w:hAnsi="仿宋"/>
                <w:b/>
                <w:bCs/>
                <w:sz w:val="21"/>
                <w:szCs w:val="21"/>
              </w:rPr>
            </w:pPr>
            <w:r>
              <w:rPr>
                <w:rFonts w:hint="eastAsia" w:ascii="仿宋" w:hAnsi="仿宋"/>
                <w:b/>
                <w:bCs/>
                <w:sz w:val="21"/>
                <w:szCs w:val="21"/>
              </w:rPr>
              <w:t>扎赉特旗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旅游驿站、营地建设</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规划建设秘境山乡驿站、文得根驿站。</w:t>
            </w:r>
          </w:p>
        </w:tc>
      </w:tr>
      <w:tr>
        <w:tblPrEx>
          <w:tblCellMar>
            <w:top w:w="0" w:type="dxa"/>
            <w:left w:w="108" w:type="dxa"/>
            <w:bottom w:w="0" w:type="dxa"/>
            <w:right w:w="108" w:type="dxa"/>
          </w:tblCellMar>
        </w:tblPrEx>
        <w:trPr>
          <w:trHeight w:val="575"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ascii="仿宋" w:hAnsi="仿宋"/>
                <w:sz w:val="21"/>
                <w:szCs w:val="21"/>
              </w:rPr>
            </w:pPr>
            <w:r>
              <w:rPr>
                <w:rFonts w:hint="eastAsia" w:ascii="仿宋" w:hAnsi="仿宋"/>
                <w:sz w:val="21"/>
                <w:szCs w:val="21"/>
              </w:rPr>
              <w:t>美拍路段提升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扎赉特旗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优化提升几字湾最美秘境河谷公路、扎阿最美森林草原公路、好力保最美生态稻田公路、图牧吉最美湿地水上公路，增设摄影观景游憩平台，完善沿途交通服务设施配置。</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rFonts w:ascii="仿宋" w:hAnsi="仿宋"/>
                <w:sz w:val="21"/>
                <w:szCs w:val="21"/>
              </w:rPr>
            </w:pPr>
            <w:r>
              <w:rPr>
                <w:rFonts w:hint="eastAsia" w:ascii="仿宋" w:hAnsi="仿宋"/>
                <w:sz w:val="21"/>
                <w:szCs w:val="21"/>
              </w:rPr>
              <w:t>网红休闲街区项目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音德尔镇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打造网红休闲一条街，包括灯光秀打卡点、文创产品销售、特色美食、酒吧演绎、儿童游乐、直播带货等业态。</w:t>
            </w:r>
          </w:p>
        </w:tc>
      </w:tr>
      <w:tr>
        <w:tblPrEx>
          <w:tblCellMar>
            <w:top w:w="0" w:type="dxa"/>
            <w:left w:w="108" w:type="dxa"/>
            <w:bottom w:w="0" w:type="dxa"/>
            <w:right w:w="108" w:type="dxa"/>
          </w:tblCellMar>
        </w:tblPrEx>
        <w:trPr>
          <w:trHeight w:val="820"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大兴安岭·秘境山乡旅游区项目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巴彦乌兰苏木</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建设生态步道、生态体验基地、森林研学科普基地、巴彦道布乡村旅游区、哈拉改吐乡村示范区等。</w:t>
            </w:r>
          </w:p>
        </w:tc>
      </w:tr>
      <w:tr>
        <w:tblPrEx>
          <w:tblCellMar>
            <w:top w:w="0" w:type="dxa"/>
            <w:left w:w="108" w:type="dxa"/>
            <w:bottom w:w="0" w:type="dxa"/>
            <w:right w:w="108" w:type="dxa"/>
          </w:tblCellMar>
        </w:tblPrEx>
        <w:trPr>
          <w:trHeight w:val="820"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好力保稻谷景区项目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好力保镇古庙村</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建设稻米文创园及相关二消业态。</w:t>
            </w:r>
          </w:p>
        </w:tc>
      </w:tr>
      <w:tr>
        <w:tblPrEx>
          <w:tblCellMar>
            <w:top w:w="0" w:type="dxa"/>
            <w:left w:w="108" w:type="dxa"/>
            <w:bottom w:w="0" w:type="dxa"/>
            <w:right w:w="108" w:type="dxa"/>
          </w:tblCellMar>
        </w:tblPrEx>
        <w:trPr>
          <w:trHeight w:val="820"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r>
              <w:rPr>
                <w:rFonts w:hint="eastAsia" w:ascii="仿宋" w:hAnsi="仿宋"/>
                <w:b/>
                <w:bCs/>
                <w:sz w:val="21"/>
                <w:szCs w:val="21"/>
              </w:rPr>
              <w:t>科右中旗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旅游驿站、营地建设</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规划提升哈日诺尔驿站。</w:t>
            </w:r>
          </w:p>
        </w:tc>
      </w:tr>
      <w:tr>
        <w:tblPrEx>
          <w:tblCellMar>
            <w:top w:w="0" w:type="dxa"/>
            <w:left w:w="108" w:type="dxa"/>
            <w:bottom w:w="0" w:type="dxa"/>
            <w:right w:w="108" w:type="dxa"/>
          </w:tblCellMar>
        </w:tblPrEx>
        <w:trPr>
          <w:trHeight w:val="820"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美拍路段提升</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优化提升五角枫最美湖林旅游公路，增设摄影观景游憩平台，完善沿途交通服务设施配置。</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翰嘎利湖—五角枫旅游区旅游基础设施项目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巴彦呼舒镇翰嘎利湖区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建设旅游咨询中心、旅游厕所、内部道路、新建智慧停车场及相关配套设施等。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西日道卜水美乡村旅游项目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巴彦呼舒镇西日道卜嘎查</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建设文化旅游体验馆、采摘基地及相关配套设施等。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6</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苏雅乐文化产业园项目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巴彦呼舒镇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建设科尔沁民族婚礼艺术中心、四胡主题音乐餐厅、非遗研学教育基地，文化酒店、特色商贸城等。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7</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科右中旗非遗体验馆建设项目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建设面积8000平方米，设立非遗展示、非遗传习、非遗研学、手工体验等区域，融合传统手工艺、传统音乐、传统曲艺、游艺、传统舞蹈、传统美术等10大类别，近百种体验项目。</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8</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兴安盟科右中旗文化中心项目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总占地面积为6.8万平方米，建筑面积1.8万平方米，建设内容主要包括少年宫、科技馆、文化馆、体育馆（游泳馆）、图书馆、美术馆及文化广场等相关配套设施。</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9</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科右中旗旅游配套服务设施落实项目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科右中旗</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重点景区提档升级设施设备、装修装饰、智慧旅游系统、标识标牌、旅游驿站、亮化美化绿化、LED屏、弱点系统、及其他相关旅游服务体系设施设备等。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10</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内蒙古自治区兴安盟科右中旗五角枫生态旅游景区51127㎡新建项目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巴彦呼舒镇翰嘎利湖区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占地面积46207平方米，主要建设内容为游客服务中心、旅游厕所、内部道路、停车场及相关配套设施等。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11</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科右中旗翰嘎利—五角枫生态旅游度假区项目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巴彦呼舒镇翰嘎利湖区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项目总用地面积为 261321平方米，主要包括：五角枫自然生态观光区、翰嘎利湖休闲度假区、民俗文化特色旅游服务中心、游客集散中心功能区基础设施及配套工程。</w:t>
            </w:r>
          </w:p>
        </w:tc>
      </w:tr>
      <w:tr>
        <w:tblPrEx>
          <w:tblCellMar>
            <w:top w:w="0" w:type="dxa"/>
            <w:left w:w="108" w:type="dxa"/>
            <w:bottom w:w="0" w:type="dxa"/>
            <w:right w:w="108" w:type="dxa"/>
          </w:tblCellMar>
        </w:tblPrEx>
        <w:trPr>
          <w:trHeight w:val="546" w:hRule="atLeast"/>
        </w:trPr>
        <w:tc>
          <w:tcPr>
            <w:tcW w:w="704" w:type="dxa"/>
            <w:vMerge w:val="restart"/>
            <w:tcBorders>
              <w:top w:val="nil"/>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r>
              <w:rPr>
                <w:rFonts w:hint="eastAsia" w:ascii="仿宋" w:hAnsi="仿宋"/>
                <w:b/>
                <w:bCs/>
                <w:sz w:val="21"/>
                <w:szCs w:val="21"/>
              </w:rPr>
              <w:t>突泉县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1</w:t>
            </w:r>
          </w:p>
        </w:tc>
        <w:tc>
          <w:tcPr>
            <w:tcW w:w="1992"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美拍路段提升</w:t>
            </w:r>
          </w:p>
        </w:tc>
        <w:tc>
          <w:tcPr>
            <w:tcW w:w="112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提升</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政府主导</w:t>
            </w:r>
          </w:p>
        </w:tc>
        <w:tc>
          <w:tcPr>
            <w:tcW w:w="7938"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优化提升明星湖最美田园夕阳公路，增设摄影观景游憩平台，完善沿途交通服务设施配置。</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2</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老头山森养田园综合体</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宝石镇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续建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建设地质科普研学基地、元味森林美食苑、森林音乐草坪、山石之声剧场等。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3</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浆果文化产业园项目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太平乡赛银花园区</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建设浆果采摘体验区、浆果展示区、浆果智慧化生产中心、浆果广场，开展研学活动。</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4</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宝石镇宝石湖旅游风景区项目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突泉县宝石镇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政企合作</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建设“春州古城、湖岸渔村”仿古牌楼、宝石湖周边景观、古城花海、游客服务中心等。</w:t>
            </w:r>
          </w:p>
        </w:tc>
      </w:tr>
      <w:tr>
        <w:tblPrEx>
          <w:tblCellMar>
            <w:top w:w="0" w:type="dxa"/>
            <w:left w:w="108" w:type="dxa"/>
            <w:bottom w:w="0" w:type="dxa"/>
            <w:right w:w="108" w:type="dxa"/>
          </w:tblCellMar>
        </w:tblPrEx>
        <w:trPr>
          <w:trHeight w:val="546" w:hRule="atLeast"/>
        </w:trPr>
        <w:tc>
          <w:tcPr>
            <w:tcW w:w="70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b/>
                <w:bCs/>
                <w:sz w:val="21"/>
                <w:szCs w:val="21"/>
              </w:rPr>
            </w:pP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5</w:t>
            </w:r>
          </w:p>
        </w:tc>
        <w:tc>
          <w:tcPr>
            <w:tcW w:w="1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明星湖旅游度假区项目</w:t>
            </w:r>
          </w:p>
        </w:tc>
        <w:tc>
          <w:tcPr>
            <w:tcW w:w="1126"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突泉县杜尔基镇</w:t>
            </w:r>
          </w:p>
        </w:tc>
        <w:tc>
          <w:tcPr>
            <w:tcW w:w="851"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新建</w:t>
            </w:r>
          </w:p>
        </w:tc>
        <w:tc>
          <w:tcPr>
            <w:tcW w:w="709"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仿宋" w:hAnsi="仿宋"/>
                <w:sz w:val="21"/>
                <w:szCs w:val="21"/>
              </w:rPr>
            </w:pPr>
            <w:r>
              <w:rPr>
                <w:rFonts w:hint="eastAsia" w:ascii="仿宋" w:hAnsi="仿宋"/>
                <w:sz w:val="21"/>
                <w:szCs w:val="21"/>
              </w:rPr>
              <w:t>企业主导</w:t>
            </w:r>
          </w:p>
        </w:tc>
        <w:tc>
          <w:tcPr>
            <w:tcW w:w="793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ascii="仿宋" w:hAnsi="仿宋"/>
                <w:sz w:val="21"/>
                <w:szCs w:val="21"/>
              </w:rPr>
            </w:pPr>
            <w:r>
              <w:rPr>
                <w:rFonts w:hint="eastAsia" w:ascii="仿宋" w:hAnsi="仿宋"/>
                <w:sz w:val="21"/>
                <w:szCs w:val="21"/>
              </w:rPr>
              <w:t>建设游客服务中心及附属设施，农耕主题雕塑、健身路径、公共厕所等。</w:t>
            </w:r>
          </w:p>
        </w:tc>
      </w:tr>
    </w:tbl>
    <w:p>
      <w:pPr>
        <w:ind w:firstLine="0" w:firstLineChars="0"/>
      </w:pPr>
    </w:p>
    <w:sectPr>
      <w:headerReference r:id="rId11" w:type="default"/>
      <w:footerReference r:id="rId12" w:type="default"/>
      <w:pgSz w:w="16838" w:h="11906" w:orient="landscape"/>
      <w:pgMar w:top="1800" w:right="1440" w:bottom="1800" w:left="1440" w:header="851" w:footer="992" w:gutter="0"/>
      <w:pgNumType w:start="45"/>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676591"/>
    </w:sdtPr>
    <w:sdtContent>
      <w:p>
        <w:pPr>
          <w:pStyle w:val="15"/>
          <w:ind w:firstLineChars="111"/>
          <w:jc w:val="center"/>
        </w:pPr>
        <w:r>
          <w:fldChar w:fldCharType="begin"/>
        </w:r>
        <w:r>
          <w:instrText xml:space="preserve">PAGE   \* MERGEFORMAT</w:instrText>
        </w:r>
        <w:r>
          <w:fldChar w:fldCharType="separate"/>
        </w:r>
        <w:r>
          <w:rPr>
            <w:lang w:val="zh-CN"/>
          </w:rPr>
          <w:t>47</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641781"/>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241633"/>
    </w:sdtPr>
    <w:sdtContent>
      <w:p>
        <w:pPr>
          <w:pStyle w:val="15"/>
          <w:ind w:firstLineChars="111"/>
          <w:jc w:val="center"/>
        </w:pPr>
        <w:r>
          <w:fldChar w:fldCharType="begin"/>
        </w:r>
        <w:r>
          <w:instrText xml:space="preserve">PAGE   \* MERGEFORMAT</w:instrText>
        </w:r>
        <w:r>
          <w:fldChar w:fldCharType="separate"/>
        </w:r>
        <w:r>
          <w:rPr>
            <w:lang w:val="zh-CN"/>
          </w:rPr>
          <w:t>69</w:t>
        </w:r>
        <w:r>
          <w:fldChar w:fldCharType="end"/>
        </w:r>
      </w:p>
    </w:sdtContent>
  </w:sdt>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rFonts w:hint="eastAsia"/>
      </w:rPr>
      <w:t>兴安盟旅游高质量发展规划（2022-2035年）文本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rFonts w:hint="eastAsia"/>
      </w:rPr>
      <w:t>兴安盟旅游高质量发展规划（2022-2035年）文本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61CDE"/>
    <w:multiLevelType w:val="multilevel"/>
    <w:tmpl w:val="71261CDE"/>
    <w:lvl w:ilvl="0" w:tentative="0">
      <w:start w:val="1"/>
      <w:numFmt w:val="chineseCountingThousand"/>
      <w:lvlText w:val="第%1条"/>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OTE4NzQ3NDMzYmQ0NmQ4ZjEwY2I1Yjk0OTg1YWYifQ=="/>
  </w:docVars>
  <w:rsids>
    <w:rsidRoot w:val="00823C0F"/>
    <w:rsid w:val="00000DC0"/>
    <w:rsid w:val="0000297F"/>
    <w:rsid w:val="000029CC"/>
    <w:rsid w:val="0000348C"/>
    <w:rsid w:val="000040C4"/>
    <w:rsid w:val="000061D0"/>
    <w:rsid w:val="000062A0"/>
    <w:rsid w:val="00007A07"/>
    <w:rsid w:val="00007E9D"/>
    <w:rsid w:val="00011062"/>
    <w:rsid w:val="00014B3D"/>
    <w:rsid w:val="00014EFA"/>
    <w:rsid w:val="000165EA"/>
    <w:rsid w:val="00016B73"/>
    <w:rsid w:val="000170D5"/>
    <w:rsid w:val="0002028A"/>
    <w:rsid w:val="0002150A"/>
    <w:rsid w:val="000223DE"/>
    <w:rsid w:val="0002291A"/>
    <w:rsid w:val="00022BB1"/>
    <w:rsid w:val="00023DE3"/>
    <w:rsid w:val="0002456B"/>
    <w:rsid w:val="00024905"/>
    <w:rsid w:val="0002564B"/>
    <w:rsid w:val="00025759"/>
    <w:rsid w:val="000258F0"/>
    <w:rsid w:val="00025AA4"/>
    <w:rsid w:val="00026BA3"/>
    <w:rsid w:val="00027104"/>
    <w:rsid w:val="000338D5"/>
    <w:rsid w:val="000350FD"/>
    <w:rsid w:val="00035BFA"/>
    <w:rsid w:val="000366C2"/>
    <w:rsid w:val="00036BD8"/>
    <w:rsid w:val="00036DF6"/>
    <w:rsid w:val="00037545"/>
    <w:rsid w:val="000403C4"/>
    <w:rsid w:val="00040A3A"/>
    <w:rsid w:val="000411EE"/>
    <w:rsid w:val="00046656"/>
    <w:rsid w:val="00047166"/>
    <w:rsid w:val="00047725"/>
    <w:rsid w:val="00047FD6"/>
    <w:rsid w:val="00051B56"/>
    <w:rsid w:val="00053787"/>
    <w:rsid w:val="00053946"/>
    <w:rsid w:val="00055272"/>
    <w:rsid w:val="00055653"/>
    <w:rsid w:val="00056E3B"/>
    <w:rsid w:val="000604A6"/>
    <w:rsid w:val="000617F0"/>
    <w:rsid w:val="00061A3F"/>
    <w:rsid w:val="00064127"/>
    <w:rsid w:val="0006414E"/>
    <w:rsid w:val="00064D2F"/>
    <w:rsid w:val="00065844"/>
    <w:rsid w:val="0006642A"/>
    <w:rsid w:val="0006647A"/>
    <w:rsid w:val="000665C3"/>
    <w:rsid w:val="000679D3"/>
    <w:rsid w:val="00071E6B"/>
    <w:rsid w:val="00072149"/>
    <w:rsid w:val="000725AB"/>
    <w:rsid w:val="000729C4"/>
    <w:rsid w:val="00072A28"/>
    <w:rsid w:val="000744CE"/>
    <w:rsid w:val="00075CF9"/>
    <w:rsid w:val="00076039"/>
    <w:rsid w:val="00076EDF"/>
    <w:rsid w:val="0007764A"/>
    <w:rsid w:val="00077A3F"/>
    <w:rsid w:val="00080F81"/>
    <w:rsid w:val="00081A52"/>
    <w:rsid w:val="00084D8D"/>
    <w:rsid w:val="00085BFE"/>
    <w:rsid w:val="000918A3"/>
    <w:rsid w:val="000921DF"/>
    <w:rsid w:val="00094035"/>
    <w:rsid w:val="000942CC"/>
    <w:rsid w:val="000947A1"/>
    <w:rsid w:val="00095177"/>
    <w:rsid w:val="000951EA"/>
    <w:rsid w:val="000959EA"/>
    <w:rsid w:val="00097E2F"/>
    <w:rsid w:val="000A036C"/>
    <w:rsid w:val="000A08CE"/>
    <w:rsid w:val="000A172C"/>
    <w:rsid w:val="000A1C03"/>
    <w:rsid w:val="000A3257"/>
    <w:rsid w:val="000A4BA3"/>
    <w:rsid w:val="000B1665"/>
    <w:rsid w:val="000B2255"/>
    <w:rsid w:val="000B30A7"/>
    <w:rsid w:val="000B3255"/>
    <w:rsid w:val="000B351E"/>
    <w:rsid w:val="000B388F"/>
    <w:rsid w:val="000B4129"/>
    <w:rsid w:val="000B588F"/>
    <w:rsid w:val="000B621C"/>
    <w:rsid w:val="000B6F08"/>
    <w:rsid w:val="000C136F"/>
    <w:rsid w:val="000C1767"/>
    <w:rsid w:val="000C248E"/>
    <w:rsid w:val="000C2B8B"/>
    <w:rsid w:val="000C2E5B"/>
    <w:rsid w:val="000C3566"/>
    <w:rsid w:val="000C389D"/>
    <w:rsid w:val="000C473A"/>
    <w:rsid w:val="000C47F3"/>
    <w:rsid w:val="000C589C"/>
    <w:rsid w:val="000C6993"/>
    <w:rsid w:val="000D0677"/>
    <w:rsid w:val="000D3272"/>
    <w:rsid w:val="000D35E0"/>
    <w:rsid w:val="000D35F4"/>
    <w:rsid w:val="000D6A44"/>
    <w:rsid w:val="000E3CC0"/>
    <w:rsid w:val="000E4CD4"/>
    <w:rsid w:val="000E6D93"/>
    <w:rsid w:val="000E790C"/>
    <w:rsid w:val="000E7F36"/>
    <w:rsid w:val="000F0A97"/>
    <w:rsid w:val="000F1816"/>
    <w:rsid w:val="000F1AC3"/>
    <w:rsid w:val="000F1EE1"/>
    <w:rsid w:val="000F421D"/>
    <w:rsid w:val="000F58A6"/>
    <w:rsid w:val="000F5BE7"/>
    <w:rsid w:val="000F67E5"/>
    <w:rsid w:val="000F71B7"/>
    <w:rsid w:val="000F72C7"/>
    <w:rsid w:val="000F74F9"/>
    <w:rsid w:val="000F7557"/>
    <w:rsid w:val="0010046C"/>
    <w:rsid w:val="00101DDF"/>
    <w:rsid w:val="0010236E"/>
    <w:rsid w:val="001024D5"/>
    <w:rsid w:val="00104176"/>
    <w:rsid w:val="001041B3"/>
    <w:rsid w:val="00105635"/>
    <w:rsid w:val="0010782A"/>
    <w:rsid w:val="00107F6F"/>
    <w:rsid w:val="00107FE9"/>
    <w:rsid w:val="001105DE"/>
    <w:rsid w:val="0011186E"/>
    <w:rsid w:val="00114285"/>
    <w:rsid w:val="001154AB"/>
    <w:rsid w:val="00115E02"/>
    <w:rsid w:val="00115F16"/>
    <w:rsid w:val="001166DF"/>
    <w:rsid w:val="00117931"/>
    <w:rsid w:val="00117C45"/>
    <w:rsid w:val="00120BFF"/>
    <w:rsid w:val="0012348F"/>
    <w:rsid w:val="00123D93"/>
    <w:rsid w:val="00125ABE"/>
    <w:rsid w:val="00126296"/>
    <w:rsid w:val="00127B4E"/>
    <w:rsid w:val="00130CB7"/>
    <w:rsid w:val="00131580"/>
    <w:rsid w:val="00131AA1"/>
    <w:rsid w:val="001333A5"/>
    <w:rsid w:val="00133A9D"/>
    <w:rsid w:val="00134E87"/>
    <w:rsid w:val="00136E18"/>
    <w:rsid w:val="001412E2"/>
    <w:rsid w:val="001429DD"/>
    <w:rsid w:val="00142A09"/>
    <w:rsid w:val="00143321"/>
    <w:rsid w:val="00143707"/>
    <w:rsid w:val="0014451F"/>
    <w:rsid w:val="00145FA3"/>
    <w:rsid w:val="00146128"/>
    <w:rsid w:val="00147776"/>
    <w:rsid w:val="00147BDA"/>
    <w:rsid w:val="00150027"/>
    <w:rsid w:val="001516FD"/>
    <w:rsid w:val="00151B95"/>
    <w:rsid w:val="001525BA"/>
    <w:rsid w:val="00154A55"/>
    <w:rsid w:val="00154B4E"/>
    <w:rsid w:val="00155B45"/>
    <w:rsid w:val="00156CCA"/>
    <w:rsid w:val="00157A7E"/>
    <w:rsid w:val="0016044D"/>
    <w:rsid w:val="00160874"/>
    <w:rsid w:val="001623A0"/>
    <w:rsid w:val="001628F3"/>
    <w:rsid w:val="001636F8"/>
    <w:rsid w:val="00163CD6"/>
    <w:rsid w:val="00163F9F"/>
    <w:rsid w:val="00165D0D"/>
    <w:rsid w:val="00167A23"/>
    <w:rsid w:val="0017018C"/>
    <w:rsid w:val="00171962"/>
    <w:rsid w:val="00173395"/>
    <w:rsid w:val="00173CD3"/>
    <w:rsid w:val="00175063"/>
    <w:rsid w:val="001779F6"/>
    <w:rsid w:val="00177A8E"/>
    <w:rsid w:val="00177C13"/>
    <w:rsid w:val="001843D8"/>
    <w:rsid w:val="00185435"/>
    <w:rsid w:val="001859BA"/>
    <w:rsid w:val="00186C3C"/>
    <w:rsid w:val="001874DA"/>
    <w:rsid w:val="00187C29"/>
    <w:rsid w:val="00187CD7"/>
    <w:rsid w:val="00190FB8"/>
    <w:rsid w:val="001938F8"/>
    <w:rsid w:val="00195162"/>
    <w:rsid w:val="00195A84"/>
    <w:rsid w:val="0019651A"/>
    <w:rsid w:val="001969EF"/>
    <w:rsid w:val="00196D6C"/>
    <w:rsid w:val="001A0A31"/>
    <w:rsid w:val="001A1753"/>
    <w:rsid w:val="001A5388"/>
    <w:rsid w:val="001A55BD"/>
    <w:rsid w:val="001A5A9B"/>
    <w:rsid w:val="001A62E6"/>
    <w:rsid w:val="001A67DA"/>
    <w:rsid w:val="001A7333"/>
    <w:rsid w:val="001B17BE"/>
    <w:rsid w:val="001B2055"/>
    <w:rsid w:val="001B2C01"/>
    <w:rsid w:val="001B4951"/>
    <w:rsid w:val="001B5822"/>
    <w:rsid w:val="001B5BEB"/>
    <w:rsid w:val="001B6074"/>
    <w:rsid w:val="001B62D2"/>
    <w:rsid w:val="001B67AA"/>
    <w:rsid w:val="001B6E87"/>
    <w:rsid w:val="001B6FE7"/>
    <w:rsid w:val="001B70CB"/>
    <w:rsid w:val="001C5322"/>
    <w:rsid w:val="001C6D4E"/>
    <w:rsid w:val="001C765A"/>
    <w:rsid w:val="001C7C32"/>
    <w:rsid w:val="001C7F21"/>
    <w:rsid w:val="001D039D"/>
    <w:rsid w:val="001D0710"/>
    <w:rsid w:val="001D1955"/>
    <w:rsid w:val="001D19E2"/>
    <w:rsid w:val="001D2147"/>
    <w:rsid w:val="001D252D"/>
    <w:rsid w:val="001D387C"/>
    <w:rsid w:val="001D4725"/>
    <w:rsid w:val="001D4B96"/>
    <w:rsid w:val="001D645E"/>
    <w:rsid w:val="001D6A68"/>
    <w:rsid w:val="001D7255"/>
    <w:rsid w:val="001D7705"/>
    <w:rsid w:val="001D7DB1"/>
    <w:rsid w:val="001E4253"/>
    <w:rsid w:val="001E5792"/>
    <w:rsid w:val="001E660F"/>
    <w:rsid w:val="001E6F09"/>
    <w:rsid w:val="001E70CE"/>
    <w:rsid w:val="001E7869"/>
    <w:rsid w:val="001F0FF0"/>
    <w:rsid w:val="001F1273"/>
    <w:rsid w:val="001F2649"/>
    <w:rsid w:val="001F3648"/>
    <w:rsid w:val="001F3FAF"/>
    <w:rsid w:val="001F57C9"/>
    <w:rsid w:val="001F6D1C"/>
    <w:rsid w:val="001F7F8E"/>
    <w:rsid w:val="00200881"/>
    <w:rsid w:val="00200BD6"/>
    <w:rsid w:val="0020211F"/>
    <w:rsid w:val="00202FE8"/>
    <w:rsid w:val="002038CB"/>
    <w:rsid w:val="00203C1C"/>
    <w:rsid w:val="00204313"/>
    <w:rsid w:val="00204BA8"/>
    <w:rsid w:val="002053F7"/>
    <w:rsid w:val="00205C77"/>
    <w:rsid w:val="00205CAA"/>
    <w:rsid w:val="00207A95"/>
    <w:rsid w:val="00207EC5"/>
    <w:rsid w:val="002105F8"/>
    <w:rsid w:val="002119F7"/>
    <w:rsid w:val="0021206C"/>
    <w:rsid w:val="00212539"/>
    <w:rsid w:val="00213E8D"/>
    <w:rsid w:val="00214E90"/>
    <w:rsid w:val="00215CBF"/>
    <w:rsid w:val="00216596"/>
    <w:rsid w:val="00216AED"/>
    <w:rsid w:val="00216CB7"/>
    <w:rsid w:val="0021783D"/>
    <w:rsid w:val="002202C2"/>
    <w:rsid w:val="0022098A"/>
    <w:rsid w:val="00222E86"/>
    <w:rsid w:val="0022330D"/>
    <w:rsid w:val="00223673"/>
    <w:rsid w:val="00225432"/>
    <w:rsid w:val="002258DB"/>
    <w:rsid w:val="00225D95"/>
    <w:rsid w:val="00225F92"/>
    <w:rsid w:val="00226080"/>
    <w:rsid w:val="0022659C"/>
    <w:rsid w:val="002267D2"/>
    <w:rsid w:val="00226C79"/>
    <w:rsid w:val="002308E2"/>
    <w:rsid w:val="00230E16"/>
    <w:rsid w:val="002325C3"/>
    <w:rsid w:val="00232777"/>
    <w:rsid w:val="00232F43"/>
    <w:rsid w:val="0023337C"/>
    <w:rsid w:val="00233550"/>
    <w:rsid w:val="00234F38"/>
    <w:rsid w:val="002357ED"/>
    <w:rsid w:val="00235FAA"/>
    <w:rsid w:val="00240432"/>
    <w:rsid w:val="00240A4B"/>
    <w:rsid w:val="00240C67"/>
    <w:rsid w:val="00240D6F"/>
    <w:rsid w:val="0024199C"/>
    <w:rsid w:val="002423FE"/>
    <w:rsid w:val="00242A50"/>
    <w:rsid w:val="00243028"/>
    <w:rsid w:val="00243B3E"/>
    <w:rsid w:val="00243DB1"/>
    <w:rsid w:val="00243FC0"/>
    <w:rsid w:val="0024429E"/>
    <w:rsid w:val="00244617"/>
    <w:rsid w:val="00245463"/>
    <w:rsid w:val="00246AEE"/>
    <w:rsid w:val="002479AA"/>
    <w:rsid w:val="002479DA"/>
    <w:rsid w:val="002479EC"/>
    <w:rsid w:val="00247BCE"/>
    <w:rsid w:val="002509A0"/>
    <w:rsid w:val="00250C8B"/>
    <w:rsid w:val="00250F00"/>
    <w:rsid w:val="00250FDA"/>
    <w:rsid w:val="0025151A"/>
    <w:rsid w:val="0025349D"/>
    <w:rsid w:val="00253B6D"/>
    <w:rsid w:val="00253C4C"/>
    <w:rsid w:val="00257FC8"/>
    <w:rsid w:val="002604FC"/>
    <w:rsid w:val="0026079B"/>
    <w:rsid w:val="00261010"/>
    <w:rsid w:val="00261328"/>
    <w:rsid w:val="00264877"/>
    <w:rsid w:val="00266675"/>
    <w:rsid w:val="00266822"/>
    <w:rsid w:val="002670AC"/>
    <w:rsid w:val="00267839"/>
    <w:rsid w:val="002709B7"/>
    <w:rsid w:val="00270ACD"/>
    <w:rsid w:val="002715C5"/>
    <w:rsid w:val="002719F6"/>
    <w:rsid w:val="00271F6D"/>
    <w:rsid w:val="00272C34"/>
    <w:rsid w:val="00276666"/>
    <w:rsid w:val="00276A8F"/>
    <w:rsid w:val="00280D1D"/>
    <w:rsid w:val="002824B2"/>
    <w:rsid w:val="00282DBD"/>
    <w:rsid w:val="00283738"/>
    <w:rsid w:val="002839C4"/>
    <w:rsid w:val="00283A59"/>
    <w:rsid w:val="00283B06"/>
    <w:rsid w:val="00285881"/>
    <w:rsid w:val="00287451"/>
    <w:rsid w:val="00290A81"/>
    <w:rsid w:val="00290C11"/>
    <w:rsid w:val="00291DC9"/>
    <w:rsid w:val="002923DA"/>
    <w:rsid w:val="002935E4"/>
    <w:rsid w:val="00293961"/>
    <w:rsid w:val="00294CCF"/>
    <w:rsid w:val="00296647"/>
    <w:rsid w:val="002A0A30"/>
    <w:rsid w:val="002A1B10"/>
    <w:rsid w:val="002A288E"/>
    <w:rsid w:val="002A2DEA"/>
    <w:rsid w:val="002A5249"/>
    <w:rsid w:val="002A52D2"/>
    <w:rsid w:val="002A5AFD"/>
    <w:rsid w:val="002A667A"/>
    <w:rsid w:val="002A674B"/>
    <w:rsid w:val="002A778F"/>
    <w:rsid w:val="002B1434"/>
    <w:rsid w:val="002B1E85"/>
    <w:rsid w:val="002B2768"/>
    <w:rsid w:val="002B4CEA"/>
    <w:rsid w:val="002B54FF"/>
    <w:rsid w:val="002B590D"/>
    <w:rsid w:val="002B61FF"/>
    <w:rsid w:val="002B635E"/>
    <w:rsid w:val="002B762A"/>
    <w:rsid w:val="002B7BE7"/>
    <w:rsid w:val="002C11C1"/>
    <w:rsid w:val="002C30E5"/>
    <w:rsid w:val="002C3320"/>
    <w:rsid w:val="002C37D9"/>
    <w:rsid w:val="002C3E3C"/>
    <w:rsid w:val="002C53C6"/>
    <w:rsid w:val="002C5E59"/>
    <w:rsid w:val="002C6927"/>
    <w:rsid w:val="002C78F1"/>
    <w:rsid w:val="002C7E05"/>
    <w:rsid w:val="002D2CC4"/>
    <w:rsid w:val="002D33D4"/>
    <w:rsid w:val="002D3C78"/>
    <w:rsid w:val="002D3FF4"/>
    <w:rsid w:val="002D4951"/>
    <w:rsid w:val="002D54EF"/>
    <w:rsid w:val="002D5CA5"/>
    <w:rsid w:val="002D6863"/>
    <w:rsid w:val="002D6E0F"/>
    <w:rsid w:val="002D78F1"/>
    <w:rsid w:val="002E1B2B"/>
    <w:rsid w:val="002E3C84"/>
    <w:rsid w:val="002E4406"/>
    <w:rsid w:val="002E626A"/>
    <w:rsid w:val="002E62FB"/>
    <w:rsid w:val="002E772B"/>
    <w:rsid w:val="002E7825"/>
    <w:rsid w:val="002F03DD"/>
    <w:rsid w:val="002F21FD"/>
    <w:rsid w:val="002F3CED"/>
    <w:rsid w:val="002F459D"/>
    <w:rsid w:val="002F5379"/>
    <w:rsid w:val="002F575B"/>
    <w:rsid w:val="002F5AFC"/>
    <w:rsid w:val="002F6275"/>
    <w:rsid w:val="00300340"/>
    <w:rsid w:val="003010A7"/>
    <w:rsid w:val="00303B89"/>
    <w:rsid w:val="0030587A"/>
    <w:rsid w:val="00311D3E"/>
    <w:rsid w:val="00312E0C"/>
    <w:rsid w:val="00313EFB"/>
    <w:rsid w:val="00313F6A"/>
    <w:rsid w:val="003144BA"/>
    <w:rsid w:val="00315581"/>
    <w:rsid w:val="00315792"/>
    <w:rsid w:val="003169BE"/>
    <w:rsid w:val="0031772E"/>
    <w:rsid w:val="00317A7F"/>
    <w:rsid w:val="00320BB6"/>
    <w:rsid w:val="00320BD9"/>
    <w:rsid w:val="0032275E"/>
    <w:rsid w:val="00326B27"/>
    <w:rsid w:val="00326B41"/>
    <w:rsid w:val="00326BE8"/>
    <w:rsid w:val="00327B36"/>
    <w:rsid w:val="003320F1"/>
    <w:rsid w:val="00333269"/>
    <w:rsid w:val="00334702"/>
    <w:rsid w:val="00334DD0"/>
    <w:rsid w:val="003355A4"/>
    <w:rsid w:val="003362B8"/>
    <w:rsid w:val="00340188"/>
    <w:rsid w:val="00340F2E"/>
    <w:rsid w:val="003422AC"/>
    <w:rsid w:val="0034319D"/>
    <w:rsid w:val="00345D91"/>
    <w:rsid w:val="003464BA"/>
    <w:rsid w:val="00346A56"/>
    <w:rsid w:val="00347174"/>
    <w:rsid w:val="00350B76"/>
    <w:rsid w:val="0035247A"/>
    <w:rsid w:val="003528DC"/>
    <w:rsid w:val="00354453"/>
    <w:rsid w:val="003549EE"/>
    <w:rsid w:val="00355317"/>
    <w:rsid w:val="00355F1E"/>
    <w:rsid w:val="00356792"/>
    <w:rsid w:val="00356F38"/>
    <w:rsid w:val="003577C7"/>
    <w:rsid w:val="00361955"/>
    <w:rsid w:val="0036412D"/>
    <w:rsid w:val="003641F1"/>
    <w:rsid w:val="00364EBB"/>
    <w:rsid w:val="0036550B"/>
    <w:rsid w:val="00366E1C"/>
    <w:rsid w:val="00366FEA"/>
    <w:rsid w:val="00367407"/>
    <w:rsid w:val="0037050B"/>
    <w:rsid w:val="00370722"/>
    <w:rsid w:val="0037146C"/>
    <w:rsid w:val="00372DE0"/>
    <w:rsid w:val="0037328B"/>
    <w:rsid w:val="0037510A"/>
    <w:rsid w:val="00375573"/>
    <w:rsid w:val="003771DC"/>
    <w:rsid w:val="00377B40"/>
    <w:rsid w:val="00380D83"/>
    <w:rsid w:val="00381BB3"/>
    <w:rsid w:val="00382D0F"/>
    <w:rsid w:val="00383AE1"/>
    <w:rsid w:val="003848E7"/>
    <w:rsid w:val="00385E8A"/>
    <w:rsid w:val="00385EE7"/>
    <w:rsid w:val="003861E1"/>
    <w:rsid w:val="00386429"/>
    <w:rsid w:val="00386F67"/>
    <w:rsid w:val="00386F8F"/>
    <w:rsid w:val="0038797F"/>
    <w:rsid w:val="00391D4C"/>
    <w:rsid w:val="00392192"/>
    <w:rsid w:val="0039354D"/>
    <w:rsid w:val="0039395E"/>
    <w:rsid w:val="00394DF3"/>
    <w:rsid w:val="00395557"/>
    <w:rsid w:val="003957AD"/>
    <w:rsid w:val="0039590B"/>
    <w:rsid w:val="00395EFF"/>
    <w:rsid w:val="0039687A"/>
    <w:rsid w:val="00396D49"/>
    <w:rsid w:val="00396EAF"/>
    <w:rsid w:val="00397D5B"/>
    <w:rsid w:val="003A09F2"/>
    <w:rsid w:val="003A122E"/>
    <w:rsid w:val="003A2305"/>
    <w:rsid w:val="003A241B"/>
    <w:rsid w:val="003A3D9A"/>
    <w:rsid w:val="003A7EA1"/>
    <w:rsid w:val="003B0DE7"/>
    <w:rsid w:val="003B3371"/>
    <w:rsid w:val="003B4AFF"/>
    <w:rsid w:val="003B4D1D"/>
    <w:rsid w:val="003B7F11"/>
    <w:rsid w:val="003C0818"/>
    <w:rsid w:val="003C1692"/>
    <w:rsid w:val="003C171B"/>
    <w:rsid w:val="003C1931"/>
    <w:rsid w:val="003C19AF"/>
    <w:rsid w:val="003C2076"/>
    <w:rsid w:val="003C2A90"/>
    <w:rsid w:val="003C5017"/>
    <w:rsid w:val="003C53BF"/>
    <w:rsid w:val="003C5C48"/>
    <w:rsid w:val="003D01E7"/>
    <w:rsid w:val="003D0F14"/>
    <w:rsid w:val="003D118A"/>
    <w:rsid w:val="003D3608"/>
    <w:rsid w:val="003D4038"/>
    <w:rsid w:val="003D4618"/>
    <w:rsid w:val="003D5030"/>
    <w:rsid w:val="003D6280"/>
    <w:rsid w:val="003D6CEB"/>
    <w:rsid w:val="003D757C"/>
    <w:rsid w:val="003D7E59"/>
    <w:rsid w:val="003E0134"/>
    <w:rsid w:val="003E0AB7"/>
    <w:rsid w:val="003E27B5"/>
    <w:rsid w:val="003E3D98"/>
    <w:rsid w:val="003E530D"/>
    <w:rsid w:val="003E54FE"/>
    <w:rsid w:val="003E652F"/>
    <w:rsid w:val="003E6626"/>
    <w:rsid w:val="003F0718"/>
    <w:rsid w:val="003F0C93"/>
    <w:rsid w:val="003F1F2D"/>
    <w:rsid w:val="003F1FCE"/>
    <w:rsid w:val="003F3AEA"/>
    <w:rsid w:val="003F4D1D"/>
    <w:rsid w:val="003F623B"/>
    <w:rsid w:val="003F7D09"/>
    <w:rsid w:val="00400356"/>
    <w:rsid w:val="00402AA6"/>
    <w:rsid w:val="004033D8"/>
    <w:rsid w:val="00403486"/>
    <w:rsid w:val="004050F1"/>
    <w:rsid w:val="00406AF5"/>
    <w:rsid w:val="0041141C"/>
    <w:rsid w:val="004117F1"/>
    <w:rsid w:val="00411852"/>
    <w:rsid w:val="00412ACA"/>
    <w:rsid w:val="00415B73"/>
    <w:rsid w:val="00416322"/>
    <w:rsid w:val="00416764"/>
    <w:rsid w:val="004200DA"/>
    <w:rsid w:val="004218B8"/>
    <w:rsid w:val="00422BAE"/>
    <w:rsid w:val="00423A6B"/>
    <w:rsid w:val="00423A92"/>
    <w:rsid w:val="00423F45"/>
    <w:rsid w:val="00424D9F"/>
    <w:rsid w:val="00424E3B"/>
    <w:rsid w:val="00425B2E"/>
    <w:rsid w:val="004276A0"/>
    <w:rsid w:val="004279C7"/>
    <w:rsid w:val="00427C0E"/>
    <w:rsid w:val="00432D9D"/>
    <w:rsid w:val="00433216"/>
    <w:rsid w:val="00434E14"/>
    <w:rsid w:val="004352CD"/>
    <w:rsid w:val="0043531E"/>
    <w:rsid w:val="0043703F"/>
    <w:rsid w:val="00440AA6"/>
    <w:rsid w:val="00441FE1"/>
    <w:rsid w:val="00442C48"/>
    <w:rsid w:val="00442E47"/>
    <w:rsid w:val="00442FD5"/>
    <w:rsid w:val="00444488"/>
    <w:rsid w:val="00444A81"/>
    <w:rsid w:val="00445465"/>
    <w:rsid w:val="004456B2"/>
    <w:rsid w:val="00446058"/>
    <w:rsid w:val="00446423"/>
    <w:rsid w:val="004478D8"/>
    <w:rsid w:val="00450239"/>
    <w:rsid w:val="0045089D"/>
    <w:rsid w:val="00450A5B"/>
    <w:rsid w:val="00450B36"/>
    <w:rsid w:val="00452331"/>
    <w:rsid w:val="0045238B"/>
    <w:rsid w:val="00453016"/>
    <w:rsid w:val="00453D81"/>
    <w:rsid w:val="00454665"/>
    <w:rsid w:val="0045652E"/>
    <w:rsid w:val="00457699"/>
    <w:rsid w:val="00460E40"/>
    <w:rsid w:val="004624B9"/>
    <w:rsid w:val="004635CC"/>
    <w:rsid w:val="0046475C"/>
    <w:rsid w:val="00464E91"/>
    <w:rsid w:val="00465FBE"/>
    <w:rsid w:val="0046627A"/>
    <w:rsid w:val="00466664"/>
    <w:rsid w:val="0046669C"/>
    <w:rsid w:val="004668A2"/>
    <w:rsid w:val="00466C5F"/>
    <w:rsid w:val="00466E9A"/>
    <w:rsid w:val="00470B2E"/>
    <w:rsid w:val="00470DA6"/>
    <w:rsid w:val="00470DA7"/>
    <w:rsid w:val="00471A14"/>
    <w:rsid w:val="004729F2"/>
    <w:rsid w:val="00473DA2"/>
    <w:rsid w:val="0047407D"/>
    <w:rsid w:val="004747E7"/>
    <w:rsid w:val="004751F4"/>
    <w:rsid w:val="00476993"/>
    <w:rsid w:val="004774EA"/>
    <w:rsid w:val="00477534"/>
    <w:rsid w:val="00480559"/>
    <w:rsid w:val="0048200F"/>
    <w:rsid w:val="00482084"/>
    <w:rsid w:val="0048353B"/>
    <w:rsid w:val="00484D3B"/>
    <w:rsid w:val="0048526B"/>
    <w:rsid w:val="00486A4A"/>
    <w:rsid w:val="00487FA2"/>
    <w:rsid w:val="00490398"/>
    <w:rsid w:val="004929F3"/>
    <w:rsid w:val="004934DD"/>
    <w:rsid w:val="00494220"/>
    <w:rsid w:val="00495FF6"/>
    <w:rsid w:val="00496DC3"/>
    <w:rsid w:val="004A07AC"/>
    <w:rsid w:val="004A0903"/>
    <w:rsid w:val="004A09D3"/>
    <w:rsid w:val="004A1516"/>
    <w:rsid w:val="004A2341"/>
    <w:rsid w:val="004A3232"/>
    <w:rsid w:val="004A3478"/>
    <w:rsid w:val="004A361E"/>
    <w:rsid w:val="004A392C"/>
    <w:rsid w:val="004A3CBB"/>
    <w:rsid w:val="004A49D9"/>
    <w:rsid w:val="004A5022"/>
    <w:rsid w:val="004A69BA"/>
    <w:rsid w:val="004A6DD0"/>
    <w:rsid w:val="004A6E26"/>
    <w:rsid w:val="004A7CB1"/>
    <w:rsid w:val="004B034F"/>
    <w:rsid w:val="004B0E82"/>
    <w:rsid w:val="004B3516"/>
    <w:rsid w:val="004B3E40"/>
    <w:rsid w:val="004B43A1"/>
    <w:rsid w:val="004B4958"/>
    <w:rsid w:val="004B5BEF"/>
    <w:rsid w:val="004B5DF3"/>
    <w:rsid w:val="004B5EE2"/>
    <w:rsid w:val="004B6587"/>
    <w:rsid w:val="004B6C90"/>
    <w:rsid w:val="004B70D9"/>
    <w:rsid w:val="004B7A98"/>
    <w:rsid w:val="004C05B3"/>
    <w:rsid w:val="004C07B7"/>
    <w:rsid w:val="004C0DD3"/>
    <w:rsid w:val="004C1231"/>
    <w:rsid w:val="004C1475"/>
    <w:rsid w:val="004C2C7E"/>
    <w:rsid w:val="004C2F27"/>
    <w:rsid w:val="004C377B"/>
    <w:rsid w:val="004C715B"/>
    <w:rsid w:val="004C789C"/>
    <w:rsid w:val="004D1613"/>
    <w:rsid w:val="004D1D9C"/>
    <w:rsid w:val="004D3B93"/>
    <w:rsid w:val="004D4305"/>
    <w:rsid w:val="004D4FC7"/>
    <w:rsid w:val="004D5CFD"/>
    <w:rsid w:val="004D7AD8"/>
    <w:rsid w:val="004E0022"/>
    <w:rsid w:val="004E0095"/>
    <w:rsid w:val="004E095A"/>
    <w:rsid w:val="004E4CFD"/>
    <w:rsid w:val="004E54BF"/>
    <w:rsid w:val="004E6219"/>
    <w:rsid w:val="004E79BF"/>
    <w:rsid w:val="004E7D57"/>
    <w:rsid w:val="004F203B"/>
    <w:rsid w:val="004F20F8"/>
    <w:rsid w:val="004F286E"/>
    <w:rsid w:val="004F380F"/>
    <w:rsid w:val="004F4235"/>
    <w:rsid w:val="004F44D6"/>
    <w:rsid w:val="004F460B"/>
    <w:rsid w:val="004F475F"/>
    <w:rsid w:val="004F4B39"/>
    <w:rsid w:val="004F5148"/>
    <w:rsid w:val="004F6178"/>
    <w:rsid w:val="004F7B0D"/>
    <w:rsid w:val="00502611"/>
    <w:rsid w:val="00502AB7"/>
    <w:rsid w:val="00502CDC"/>
    <w:rsid w:val="00502E93"/>
    <w:rsid w:val="005031E4"/>
    <w:rsid w:val="00503C6C"/>
    <w:rsid w:val="0050571E"/>
    <w:rsid w:val="005059B3"/>
    <w:rsid w:val="00506155"/>
    <w:rsid w:val="00506EEB"/>
    <w:rsid w:val="005105CC"/>
    <w:rsid w:val="005105EB"/>
    <w:rsid w:val="00511488"/>
    <w:rsid w:val="0051194B"/>
    <w:rsid w:val="00511DFB"/>
    <w:rsid w:val="00511EB2"/>
    <w:rsid w:val="00512CD5"/>
    <w:rsid w:val="00512E25"/>
    <w:rsid w:val="00513DB2"/>
    <w:rsid w:val="00514B3F"/>
    <w:rsid w:val="005150FA"/>
    <w:rsid w:val="00517341"/>
    <w:rsid w:val="00517F1E"/>
    <w:rsid w:val="00522300"/>
    <w:rsid w:val="00523CAB"/>
    <w:rsid w:val="005246A7"/>
    <w:rsid w:val="00525B50"/>
    <w:rsid w:val="00527DA6"/>
    <w:rsid w:val="00530341"/>
    <w:rsid w:val="00530BCE"/>
    <w:rsid w:val="00531033"/>
    <w:rsid w:val="0053165F"/>
    <w:rsid w:val="00531E44"/>
    <w:rsid w:val="00534C6F"/>
    <w:rsid w:val="0054110F"/>
    <w:rsid w:val="0054214A"/>
    <w:rsid w:val="0054428D"/>
    <w:rsid w:val="00544D46"/>
    <w:rsid w:val="005452E6"/>
    <w:rsid w:val="005459E6"/>
    <w:rsid w:val="00545AF2"/>
    <w:rsid w:val="00550C88"/>
    <w:rsid w:val="00551098"/>
    <w:rsid w:val="00551A02"/>
    <w:rsid w:val="00554F1D"/>
    <w:rsid w:val="00555CD2"/>
    <w:rsid w:val="0055788F"/>
    <w:rsid w:val="005579C9"/>
    <w:rsid w:val="0056132D"/>
    <w:rsid w:val="0056215B"/>
    <w:rsid w:val="00562413"/>
    <w:rsid w:val="00563AB8"/>
    <w:rsid w:val="00563FDD"/>
    <w:rsid w:val="00564485"/>
    <w:rsid w:val="00564724"/>
    <w:rsid w:val="005661DA"/>
    <w:rsid w:val="005664D4"/>
    <w:rsid w:val="00567B30"/>
    <w:rsid w:val="0057060F"/>
    <w:rsid w:val="005713EA"/>
    <w:rsid w:val="00571D66"/>
    <w:rsid w:val="00572114"/>
    <w:rsid w:val="00572E48"/>
    <w:rsid w:val="0057304E"/>
    <w:rsid w:val="005762A4"/>
    <w:rsid w:val="005775FC"/>
    <w:rsid w:val="00577995"/>
    <w:rsid w:val="00580149"/>
    <w:rsid w:val="00580487"/>
    <w:rsid w:val="0058070B"/>
    <w:rsid w:val="00582783"/>
    <w:rsid w:val="005840F2"/>
    <w:rsid w:val="005842EF"/>
    <w:rsid w:val="00586BFE"/>
    <w:rsid w:val="0058789E"/>
    <w:rsid w:val="00587AA5"/>
    <w:rsid w:val="00590713"/>
    <w:rsid w:val="00590848"/>
    <w:rsid w:val="00590BA8"/>
    <w:rsid w:val="00590E50"/>
    <w:rsid w:val="0059109E"/>
    <w:rsid w:val="0059141F"/>
    <w:rsid w:val="005914B6"/>
    <w:rsid w:val="005931E8"/>
    <w:rsid w:val="005932FF"/>
    <w:rsid w:val="00593FE3"/>
    <w:rsid w:val="005940EC"/>
    <w:rsid w:val="005948DA"/>
    <w:rsid w:val="00594AF2"/>
    <w:rsid w:val="0059504F"/>
    <w:rsid w:val="005951C2"/>
    <w:rsid w:val="00595448"/>
    <w:rsid w:val="00596267"/>
    <w:rsid w:val="005A15D0"/>
    <w:rsid w:val="005A36E5"/>
    <w:rsid w:val="005A4D40"/>
    <w:rsid w:val="005A5964"/>
    <w:rsid w:val="005A6CF7"/>
    <w:rsid w:val="005B0ED8"/>
    <w:rsid w:val="005B1AE4"/>
    <w:rsid w:val="005B21EC"/>
    <w:rsid w:val="005B2BEF"/>
    <w:rsid w:val="005B3B04"/>
    <w:rsid w:val="005B4571"/>
    <w:rsid w:val="005B5D57"/>
    <w:rsid w:val="005B7228"/>
    <w:rsid w:val="005C09DE"/>
    <w:rsid w:val="005C0BB7"/>
    <w:rsid w:val="005C132D"/>
    <w:rsid w:val="005C1533"/>
    <w:rsid w:val="005C1E44"/>
    <w:rsid w:val="005C3297"/>
    <w:rsid w:val="005C3ECF"/>
    <w:rsid w:val="005C453B"/>
    <w:rsid w:val="005C4A9F"/>
    <w:rsid w:val="005C5F6C"/>
    <w:rsid w:val="005D0D1B"/>
    <w:rsid w:val="005D23EA"/>
    <w:rsid w:val="005D266D"/>
    <w:rsid w:val="005D2DC3"/>
    <w:rsid w:val="005D3150"/>
    <w:rsid w:val="005D58E8"/>
    <w:rsid w:val="005D5B6E"/>
    <w:rsid w:val="005D746A"/>
    <w:rsid w:val="005D7835"/>
    <w:rsid w:val="005E0790"/>
    <w:rsid w:val="005E1AC8"/>
    <w:rsid w:val="005E2218"/>
    <w:rsid w:val="005E3011"/>
    <w:rsid w:val="005E31B4"/>
    <w:rsid w:val="005E3DCE"/>
    <w:rsid w:val="005E43F4"/>
    <w:rsid w:val="005E4903"/>
    <w:rsid w:val="005E5513"/>
    <w:rsid w:val="005E6077"/>
    <w:rsid w:val="005E6E8E"/>
    <w:rsid w:val="005F0A21"/>
    <w:rsid w:val="005F2DE3"/>
    <w:rsid w:val="005F343C"/>
    <w:rsid w:val="005F4FFB"/>
    <w:rsid w:val="005F5A03"/>
    <w:rsid w:val="005F7429"/>
    <w:rsid w:val="005F7AE5"/>
    <w:rsid w:val="0060008A"/>
    <w:rsid w:val="00600610"/>
    <w:rsid w:val="00601904"/>
    <w:rsid w:val="00601E93"/>
    <w:rsid w:val="00603316"/>
    <w:rsid w:val="00603D92"/>
    <w:rsid w:val="00604038"/>
    <w:rsid w:val="00605BB0"/>
    <w:rsid w:val="006063E0"/>
    <w:rsid w:val="00611BDB"/>
    <w:rsid w:val="00611FAD"/>
    <w:rsid w:val="00613BBD"/>
    <w:rsid w:val="0061446E"/>
    <w:rsid w:val="00614671"/>
    <w:rsid w:val="006167D5"/>
    <w:rsid w:val="00617CF0"/>
    <w:rsid w:val="006201BF"/>
    <w:rsid w:val="006204DD"/>
    <w:rsid w:val="00620E6E"/>
    <w:rsid w:val="0062194C"/>
    <w:rsid w:val="00621CA6"/>
    <w:rsid w:val="006225BF"/>
    <w:rsid w:val="00622F62"/>
    <w:rsid w:val="00625C2C"/>
    <w:rsid w:val="006263F0"/>
    <w:rsid w:val="00627B63"/>
    <w:rsid w:val="00630D6C"/>
    <w:rsid w:val="00633A6B"/>
    <w:rsid w:val="0063543F"/>
    <w:rsid w:val="00635D30"/>
    <w:rsid w:val="00636852"/>
    <w:rsid w:val="00637277"/>
    <w:rsid w:val="00637E9B"/>
    <w:rsid w:val="0064064C"/>
    <w:rsid w:val="00640795"/>
    <w:rsid w:val="00640D19"/>
    <w:rsid w:val="006432C2"/>
    <w:rsid w:val="0064462F"/>
    <w:rsid w:val="006446A1"/>
    <w:rsid w:val="00645AE5"/>
    <w:rsid w:val="00646427"/>
    <w:rsid w:val="00646EF9"/>
    <w:rsid w:val="00646F06"/>
    <w:rsid w:val="00650C65"/>
    <w:rsid w:val="00651DCF"/>
    <w:rsid w:val="006521CE"/>
    <w:rsid w:val="00655AF3"/>
    <w:rsid w:val="00655EAE"/>
    <w:rsid w:val="00656937"/>
    <w:rsid w:val="006600C2"/>
    <w:rsid w:val="006632A7"/>
    <w:rsid w:val="00664515"/>
    <w:rsid w:val="0066792F"/>
    <w:rsid w:val="006679EE"/>
    <w:rsid w:val="00667E2E"/>
    <w:rsid w:val="00667FDD"/>
    <w:rsid w:val="00670C09"/>
    <w:rsid w:val="00672D1E"/>
    <w:rsid w:val="00672FFC"/>
    <w:rsid w:val="00673E05"/>
    <w:rsid w:val="00674AA0"/>
    <w:rsid w:val="00674D18"/>
    <w:rsid w:val="006753B1"/>
    <w:rsid w:val="0067606C"/>
    <w:rsid w:val="0067719E"/>
    <w:rsid w:val="00681F5F"/>
    <w:rsid w:val="006822AE"/>
    <w:rsid w:val="00685F3A"/>
    <w:rsid w:val="00687D88"/>
    <w:rsid w:val="00690699"/>
    <w:rsid w:val="0069197E"/>
    <w:rsid w:val="0069285A"/>
    <w:rsid w:val="006930A0"/>
    <w:rsid w:val="00693EB2"/>
    <w:rsid w:val="0069492B"/>
    <w:rsid w:val="00694C9C"/>
    <w:rsid w:val="00695442"/>
    <w:rsid w:val="0069563A"/>
    <w:rsid w:val="006A2C64"/>
    <w:rsid w:val="006A43AD"/>
    <w:rsid w:val="006A5FE2"/>
    <w:rsid w:val="006A6103"/>
    <w:rsid w:val="006A6962"/>
    <w:rsid w:val="006A6998"/>
    <w:rsid w:val="006A73CA"/>
    <w:rsid w:val="006A7904"/>
    <w:rsid w:val="006A7A96"/>
    <w:rsid w:val="006B0AED"/>
    <w:rsid w:val="006B1A5D"/>
    <w:rsid w:val="006B2CD0"/>
    <w:rsid w:val="006B3EF5"/>
    <w:rsid w:val="006B4466"/>
    <w:rsid w:val="006B5BA5"/>
    <w:rsid w:val="006B5C52"/>
    <w:rsid w:val="006B662E"/>
    <w:rsid w:val="006B7E99"/>
    <w:rsid w:val="006C0147"/>
    <w:rsid w:val="006C20FD"/>
    <w:rsid w:val="006C229B"/>
    <w:rsid w:val="006C4E1B"/>
    <w:rsid w:val="006C5E0A"/>
    <w:rsid w:val="006C6730"/>
    <w:rsid w:val="006C6CFF"/>
    <w:rsid w:val="006C7A00"/>
    <w:rsid w:val="006D0A06"/>
    <w:rsid w:val="006D0C00"/>
    <w:rsid w:val="006D0F35"/>
    <w:rsid w:val="006D1B57"/>
    <w:rsid w:val="006D1ED6"/>
    <w:rsid w:val="006D2916"/>
    <w:rsid w:val="006D2E47"/>
    <w:rsid w:val="006D34D3"/>
    <w:rsid w:val="006D48CA"/>
    <w:rsid w:val="006D5580"/>
    <w:rsid w:val="006D79E5"/>
    <w:rsid w:val="006E05FA"/>
    <w:rsid w:val="006E0A07"/>
    <w:rsid w:val="006E1867"/>
    <w:rsid w:val="006E2D0D"/>
    <w:rsid w:val="006E3756"/>
    <w:rsid w:val="006E3E23"/>
    <w:rsid w:val="006E3FD3"/>
    <w:rsid w:val="006E4B9C"/>
    <w:rsid w:val="006E5D4B"/>
    <w:rsid w:val="006E717F"/>
    <w:rsid w:val="006E72E5"/>
    <w:rsid w:val="006E73CA"/>
    <w:rsid w:val="006E7ECC"/>
    <w:rsid w:val="006F0144"/>
    <w:rsid w:val="006F0BDC"/>
    <w:rsid w:val="006F18DF"/>
    <w:rsid w:val="006F236E"/>
    <w:rsid w:val="006F43D9"/>
    <w:rsid w:val="006F5C51"/>
    <w:rsid w:val="006F7230"/>
    <w:rsid w:val="006F7757"/>
    <w:rsid w:val="00700470"/>
    <w:rsid w:val="007012F5"/>
    <w:rsid w:val="00702EF3"/>
    <w:rsid w:val="00703B1F"/>
    <w:rsid w:val="00704201"/>
    <w:rsid w:val="00705EAA"/>
    <w:rsid w:val="007063C9"/>
    <w:rsid w:val="0070685F"/>
    <w:rsid w:val="007075AA"/>
    <w:rsid w:val="007079AB"/>
    <w:rsid w:val="00710C0A"/>
    <w:rsid w:val="00711E49"/>
    <w:rsid w:val="007121D2"/>
    <w:rsid w:val="00712ED9"/>
    <w:rsid w:val="007130C3"/>
    <w:rsid w:val="00713155"/>
    <w:rsid w:val="00715946"/>
    <w:rsid w:val="0071630A"/>
    <w:rsid w:val="00716F20"/>
    <w:rsid w:val="00717592"/>
    <w:rsid w:val="007214D0"/>
    <w:rsid w:val="00722CAF"/>
    <w:rsid w:val="00723364"/>
    <w:rsid w:val="0072386A"/>
    <w:rsid w:val="00724C46"/>
    <w:rsid w:val="00726194"/>
    <w:rsid w:val="0073065F"/>
    <w:rsid w:val="007310B7"/>
    <w:rsid w:val="0073138B"/>
    <w:rsid w:val="0073250B"/>
    <w:rsid w:val="007341C3"/>
    <w:rsid w:val="00735F3D"/>
    <w:rsid w:val="007422E7"/>
    <w:rsid w:val="007429DF"/>
    <w:rsid w:val="007430D5"/>
    <w:rsid w:val="0074436B"/>
    <w:rsid w:val="0074481E"/>
    <w:rsid w:val="00744D22"/>
    <w:rsid w:val="00744E1C"/>
    <w:rsid w:val="0074647E"/>
    <w:rsid w:val="00746525"/>
    <w:rsid w:val="0074721A"/>
    <w:rsid w:val="007476DA"/>
    <w:rsid w:val="00747BD7"/>
    <w:rsid w:val="00751C76"/>
    <w:rsid w:val="00751CC7"/>
    <w:rsid w:val="00752A84"/>
    <w:rsid w:val="007536B7"/>
    <w:rsid w:val="00754EF5"/>
    <w:rsid w:val="00755004"/>
    <w:rsid w:val="00755DC4"/>
    <w:rsid w:val="00755E74"/>
    <w:rsid w:val="007572E9"/>
    <w:rsid w:val="00757D70"/>
    <w:rsid w:val="00760498"/>
    <w:rsid w:val="00765A2B"/>
    <w:rsid w:val="007665F2"/>
    <w:rsid w:val="00767D8A"/>
    <w:rsid w:val="00771748"/>
    <w:rsid w:val="0077194E"/>
    <w:rsid w:val="00772E90"/>
    <w:rsid w:val="00773215"/>
    <w:rsid w:val="00773494"/>
    <w:rsid w:val="0077357D"/>
    <w:rsid w:val="0077465E"/>
    <w:rsid w:val="007756FB"/>
    <w:rsid w:val="00775E63"/>
    <w:rsid w:val="00776479"/>
    <w:rsid w:val="00776BF4"/>
    <w:rsid w:val="00777C7D"/>
    <w:rsid w:val="00780494"/>
    <w:rsid w:val="00780B26"/>
    <w:rsid w:val="0078321B"/>
    <w:rsid w:val="00785C3D"/>
    <w:rsid w:val="00786F09"/>
    <w:rsid w:val="00787087"/>
    <w:rsid w:val="0078741E"/>
    <w:rsid w:val="007903B2"/>
    <w:rsid w:val="00790BE2"/>
    <w:rsid w:val="007930E0"/>
    <w:rsid w:val="00793270"/>
    <w:rsid w:val="007936A1"/>
    <w:rsid w:val="00794E99"/>
    <w:rsid w:val="0079735B"/>
    <w:rsid w:val="007A213B"/>
    <w:rsid w:val="007A46EA"/>
    <w:rsid w:val="007A5EE7"/>
    <w:rsid w:val="007B0151"/>
    <w:rsid w:val="007B2AFC"/>
    <w:rsid w:val="007B38EB"/>
    <w:rsid w:val="007B39AE"/>
    <w:rsid w:val="007B3D48"/>
    <w:rsid w:val="007B6700"/>
    <w:rsid w:val="007B7637"/>
    <w:rsid w:val="007C0CC6"/>
    <w:rsid w:val="007C18CD"/>
    <w:rsid w:val="007C1A0F"/>
    <w:rsid w:val="007C1A85"/>
    <w:rsid w:val="007C1B2E"/>
    <w:rsid w:val="007C2050"/>
    <w:rsid w:val="007C2C5F"/>
    <w:rsid w:val="007C3D76"/>
    <w:rsid w:val="007C4309"/>
    <w:rsid w:val="007C4FA6"/>
    <w:rsid w:val="007C58BD"/>
    <w:rsid w:val="007C703A"/>
    <w:rsid w:val="007C7258"/>
    <w:rsid w:val="007D4126"/>
    <w:rsid w:val="007E00E4"/>
    <w:rsid w:val="007E18EA"/>
    <w:rsid w:val="007E1A86"/>
    <w:rsid w:val="007E353B"/>
    <w:rsid w:val="007E35B6"/>
    <w:rsid w:val="007E3B59"/>
    <w:rsid w:val="007E3E46"/>
    <w:rsid w:val="007E405F"/>
    <w:rsid w:val="007E438F"/>
    <w:rsid w:val="007E70DB"/>
    <w:rsid w:val="007F0EB2"/>
    <w:rsid w:val="007F2776"/>
    <w:rsid w:val="007F350A"/>
    <w:rsid w:val="007F4164"/>
    <w:rsid w:val="007F5342"/>
    <w:rsid w:val="007F55C0"/>
    <w:rsid w:val="007F62EB"/>
    <w:rsid w:val="007F6BEA"/>
    <w:rsid w:val="007F73B2"/>
    <w:rsid w:val="00800A1D"/>
    <w:rsid w:val="00801390"/>
    <w:rsid w:val="00801892"/>
    <w:rsid w:val="00801EC0"/>
    <w:rsid w:val="00802CE8"/>
    <w:rsid w:val="00803E38"/>
    <w:rsid w:val="00804009"/>
    <w:rsid w:val="00805AB8"/>
    <w:rsid w:val="00805C2E"/>
    <w:rsid w:val="0080602C"/>
    <w:rsid w:val="00807108"/>
    <w:rsid w:val="00810A0A"/>
    <w:rsid w:val="00811399"/>
    <w:rsid w:val="008114D7"/>
    <w:rsid w:val="0081220D"/>
    <w:rsid w:val="00812409"/>
    <w:rsid w:val="0081378A"/>
    <w:rsid w:val="00813C51"/>
    <w:rsid w:val="0081521A"/>
    <w:rsid w:val="00815922"/>
    <w:rsid w:val="00815A7A"/>
    <w:rsid w:val="008162E7"/>
    <w:rsid w:val="008172A2"/>
    <w:rsid w:val="008216F6"/>
    <w:rsid w:val="00821890"/>
    <w:rsid w:val="00821C3A"/>
    <w:rsid w:val="0082290E"/>
    <w:rsid w:val="0082290F"/>
    <w:rsid w:val="008238C6"/>
    <w:rsid w:val="00823C0F"/>
    <w:rsid w:val="008245D7"/>
    <w:rsid w:val="00826239"/>
    <w:rsid w:val="0082681C"/>
    <w:rsid w:val="0082696F"/>
    <w:rsid w:val="00826B95"/>
    <w:rsid w:val="008272DF"/>
    <w:rsid w:val="008308BB"/>
    <w:rsid w:val="00830D3A"/>
    <w:rsid w:val="00831166"/>
    <w:rsid w:val="008318A2"/>
    <w:rsid w:val="00832463"/>
    <w:rsid w:val="00833001"/>
    <w:rsid w:val="0083367E"/>
    <w:rsid w:val="00835617"/>
    <w:rsid w:val="00836352"/>
    <w:rsid w:val="00836E94"/>
    <w:rsid w:val="008371B2"/>
    <w:rsid w:val="008376D8"/>
    <w:rsid w:val="00840131"/>
    <w:rsid w:val="00841032"/>
    <w:rsid w:val="00842594"/>
    <w:rsid w:val="008441A4"/>
    <w:rsid w:val="008442B7"/>
    <w:rsid w:val="0084496B"/>
    <w:rsid w:val="008512AA"/>
    <w:rsid w:val="0085180C"/>
    <w:rsid w:val="0085303E"/>
    <w:rsid w:val="0085374B"/>
    <w:rsid w:val="00853932"/>
    <w:rsid w:val="00853B5A"/>
    <w:rsid w:val="00854FCC"/>
    <w:rsid w:val="00855E14"/>
    <w:rsid w:val="008560A0"/>
    <w:rsid w:val="00856350"/>
    <w:rsid w:val="0085640F"/>
    <w:rsid w:val="008569B8"/>
    <w:rsid w:val="00857138"/>
    <w:rsid w:val="0085739A"/>
    <w:rsid w:val="00857FC4"/>
    <w:rsid w:val="00860365"/>
    <w:rsid w:val="008603A4"/>
    <w:rsid w:val="00860C6A"/>
    <w:rsid w:val="008628A5"/>
    <w:rsid w:val="00863AFF"/>
    <w:rsid w:val="00863E98"/>
    <w:rsid w:val="00865165"/>
    <w:rsid w:val="00865517"/>
    <w:rsid w:val="00865B5D"/>
    <w:rsid w:val="00866FFB"/>
    <w:rsid w:val="0086768B"/>
    <w:rsid w:val="0086776F"/>
    <w:rsid w:val="00870121"/>
    <w:rsid w:val="008712C0"/>
    <w:rsid w:val="0087222B"/>
    <w:rsid w:val="00872957"/>
    <w:rsid w:val="0087370E"/>
    <w:rsid w:val="00876222"/>
    <w:rsid w:val="00877BFA"/>
    <w:rsid w:val="00880132"/>
    <w:rsid w:val="00880185"/>
    <w:rsid w:val="0088066E"/>
    <w:rsid w:val="00880AB6"/>
    <w:rsid w:val="0088168B"/>
    <w:rsid w:val="00881AB3"/>
    <w:rsid w:val="00883179"/>
    <w:rsid w:val="008832A0"/>
    <w:rsid w:val="00883B9C"/>
    <w:rsid w:val="00883DF1"/>
    <w:rsid w:val="00884022"/>
    <w:rsid w:val="00884A68"/>
    <w:rsid w:val="00885794"/>
    <w:rsid w:val="00887AAA"/>
    <w:rsid w:val="00887DCC"/>
    <w:rsid w:val="008903D6"/>
    <w:rsid w:val="00890E5F"/>
    <w:rsid w:val="008919D5"/>
    <w:rsid w:val="00892CEC"/>
    <w:rsid w:val="00892E89"/>
    <w:rsid w:val="008934A9"/>
    <w:rsid w:val="008934C7"/>
    <w:rsid w:val="0089398A"/>
    <w:rsid w:val="0089520B"/>
    <w:rsid w:val="00895A65"/>
    <w:rsid w:val="008A1BB2"/>
    <w:rsid w:val="008A26D0"/>
    <w:rsid w:val="008A36B6"/>
    <w:rsid w:val="008A41C5"/>
    <w:rsid w:val="008A5E65"/>
    <w:rsid w:val="008A684D"/>
    <w:rsid w:val="008B0F69"/>
    <w:rsid w:val="008B23A1"/>
    <w:rsid w:val="008B276E"/>
    <w:rsid w:val="008B3A2B"/>
    <w:rsid w:val="008B44E6"/>
    <w:rsid w:val="008B57AA"/>
    <w:rsid w:val="008B5FB8"/>
    <w:rsid w:val="008B7013"/>
    <w:rsid w:val="008B74DC"/>
    <w:rsid w:val="008C0F05"/>
    <w:rsid w:val="008C1177"/>
    <w:rsid w:val="008C124A"/>
    <w:rsid w:val="008C1EAF"/>
    <w:rsid w:val="008C25E2"/>
    <w:rsid w:val="008C279B"/>
    <w:rsid w:val="008C3B55"/>
    <w:rsid w:val="008C4901"/>
    <w:rsid w:val="008C6A60"/>
    <w:rsid w:val="008C6DA6"/>
    <w:rsid w:val="008D0B83"/>
    <w:rsid w:val="008D0CAF"/>
    <w:rsid w:val="008D0DFC"/>
    <w:rsid w:val="008D21DC"/>
    <w:rsid w:val="008D28DD"/>
    <w:rsid w:val="008D2940"/>
    <w:rsid w:val="008D3072"/>
    <w:rsid w:val="008D3D9C"/>
    <w:rsid w:val="008D492E"/>
    <w:rsid w:val="008D59AC"/>
    <w:rsid w:val="008D6572"/>
    <w:rsid w:val="008D67A0"/>
    <w:rsid w:val="008D6BE0"/>
    <w:rsid w:val="008D6F89"/>
    <w:rsid w:val="008D7C00"/>
    <w:rsid w:val="008E175B"/>
    <w:rsid w:val="008E46EC"/>
    <w:rsid w:val="008E5234"/>
    <w:rsid w:val="008E57A0"/>
    <w:rsid w:val="008F0859"/>
    <w:rsid w:val="008F0DB5"/>
    <w:rsid w:val="008F1AD0"/>
    <w:rsid w:val="008F3921"/>
    <w:rsid w:val="008F3A54"/>
    <w:rsid w:val="008F4841"/>
    <w:rsid w:val="008F49FB"/>
    <w:rsid w:val="008F67DD"/>
    <w:rsid w:val="0090082C"/>
    <w:rsid w:val="00900A2B"/>
    <w:rsid w:val="00902805"/>
    <w:rsid w:val="00903A4D"/>
    <w:rsid w:val="009045BA"/>
    <w:rsid w:val="00905026"/>
    <w:rsid w:val="009055D3"/>
    <w:rsid w:val="00905704"/>
    <w:rsid w:val="00905B65"/>
    <w:rsid w:val="00906F8B"/>
    <w:rsid w:val="0090708D"/>
    <w:rsid w:val="0091618A"/>
    <w:rsid w:val="00916DB3"/>
    <w:rsid w:val="00917B9F"/>
    <w:rsid w:val="009202B7"/>
    <w:rsid w:val="00921ECF"/>
    <w:rsid w:val="00922F90"/>
    <w:rsid w:val="00923064"/>
    <w:rsid w:val="00923756"/>
    <w:rsid w:val="00925A9D"/>
    <w:rsid w:val="00926D8E"/>
    <w:rsid w:val="0093044B"/>
    <w:rsid w:val="0093083E"/>
    <w:rsid w:val="00932ACD"/>
    <w:rsid w:val="00932DF3"/>
    <w:rsid w:val="00932EE4"/>
    <w:rsid w:val="00936471"/>
    <w:rsid w:val="00936F2B"/>
    <w:rsid w:val="0093738E"/>
    <w:rsid w:val="00940449"/>
    <w:rsid w:val="00940F1C"/>
    <w:rsid w:val="00942595"/>
    <w:rsid w:val="009444CE"/>
    <w:rsid w:val="009459BD"/>
    <w:rsid w:val="00945CCD"/>
    <w:rsid w:val="009462DE"/>
    <w:rsid w:val="00946DB8"/>
    <w:rsid w:val="00950096"/>
    <w:rsid w:val="00951318"/>
    <w:rsid w:val="00951F83"/>
    <w:rsid w:val="00952A56"/>
    <w:rsid w:val="009531EE"/>
    <w:rsid w:val="009535D5"/>
    <w:rsid w:val="00953943"/>
    <w:rsid w:val="00953C57"/>
    <w:rsid w:val="009567AE"/>
    <w:rsid w:val="00957328"/>
    <w:rsid w:val="009611DF"/>
    <w:rsid w:val="00962480"/>
    <w:rsid w:val="00962E4F"/>
    <w:rsid w:val="00964472"/>
    <w:rsid w:val="00965A56"/>
    <w:rsid w:val="00967AD0"/>
    <w:rsid w:val="00970053"/>
    <w:rsid w:val="0097063A"/>
    <w:rsid w:val="00971DD0"/>
    <w:rsid w:val="00972A75"/>
    <w:rsid w:val="00973F49"/>
    <w:rsid w:val="00974071"/>
    <w:rsid w:val="00974873"/>
    <w:rsid w:val="009760ED"/>
    <w:rsid w:val="00976E22"/>
    <w:rsid w:val="00980381"/>
    <w:rsid w:val="009811C6"/>
    <w:rsid w:val="009837AD"/>
    <w:rsid w:val="00984275"/>
    <w:rsid w:val="0098441A"/>
    <w:rsid w:val="009844BC"/>
    <w:rsid w:val="00984C44"/>
    <w:rsid w:val="00986235"/>
    <w:rsid w:val="00986411"/>
    <w:rsid w:val="009865A3"/>
    <w:rsid w:val="0099014C"/>
    <w:rsid w:val="009902BD"/>
    <w:rsid w:val="009904C2"/>
    <w:rsid w:val="00990C20"/>
    <w:rsid w:val="00992047"/>
    <w:rsid w:val="0099519E"/>
    <w:rsid w:val="00995FEB"/>
    <w:rsid w:val="00996F13"/>
    <w:rsid w:val="0099709A"/>
    <w:rsid w:val="009974E3"/>
    <w:rsid w:val="00997EF9"/>
    <w:rsid w:val="009A0EAB"/>
    <w:rsid w:val="009A1076"/>
    <w:rsid w:val="009A1388"/>
    <w:rsid w:val="009A2018"/>
    <w:rsid w:val="009A3ACD"/>
    <w:rsid w:val="009A415D"/>
    <w:rsid w:val="009A5046"/>
    <w:rsid w:val="009A5BD8"/>
    <w:rsid w:val="009A6732"/>
    <w:rsid w:val="009A7086"/>
    <w:rsid w:val="009A72CB"/>
    <w:rsid w:val="009A760B"/>
    <w:rsid w:val="009B2054"/>
    <w:rsid w:val="009B232D"/>
    <w:rsid w:val="009B3630"/>
    <w:rsid w:val="009B3BE4"/>
    <w:rsid w:val="009B3D87"/>
    <w:rsid w:val="009B4C62"/>
    <w:rsid w:val="009B5011"/>
    <w:rsid w:val="009B503F"/>
    <w:rsid w:val="009B69AC"/>
    <w:rsid w:val="009C0971"/>
    <w:rsid w:val="009C0F3F"/>
    <w:rsid w:val="009C2188"/>
    <w:rsid w:val="009C2A74"/>
    <w:rsid w:val="009C380E"/>
    <w:rsid w:val="009C4AB5"/>
    <w:rsid w:val="009C66FA"/>
    <w:rsid w:val="009C7F9C"/>
    <w:rsid w:val="009D08B3"/>
    <w:rsid w:val="009D09B7"/>
    <w:rsid w:val="009D151D"/>
    <w:rsid w:val="009D1F6F"/>
    <w:rsid w:val="009D3FB4"/>
    <w:rsid w:val="009D4ABB"/>
    <w:rsid w:val="009D6B3F"/>
    <w:rsid w:val="009D6DE4"/>
    <w:rsid w:val="009E1236"/>
    <w:rsid w:val="009E1886"/>
    <w:rsid w:val="009E3479"/>
    <w:rsid w:val="009E40DD"/>
    <w:rsid w:val="009E6139"/>
    <w:rsid w:val="009E6FB4"/>
    <w:rsid w:val="009E7927"/>
    <w:rsid w:val="009E7A43"/>
    <w:rsid w:val="009F070E"/>
    <w:rsid w:val="009F1155"/>
    <w:rsid w:val="009F2CDF"/>
    <w:rsid w:val="009F3841"/>
    <w:rsid w:val="009F3C43"/>
    <w:rsid w:val="009F733E"/>
    <w:rsid w:val="009F7867"/>
    <w:rsid w:val="00A0034E"/>
    <w:rsid w:val="00A01EDE"/>
    <w:rsid w:val="00A027AA"/>
    <w:rsid w:val="00A058BF"/>
    <w:rsid w:val="00A064CA"/>
    <w:rsid w:val="00A069D6"/>
    <w:rsid w:val="00A10217"/>
    <w:rsid w:val="00A10B6B"/>
    <w:rsid w:val="00A1140F"/>
    <w:rsid w:val="00A118AC"/>
    <w:rsid w:val="00A13924"/>
    <w:rsid w:val="00A14801"/>
    <w:rsid w:val="00A14A36"/>
    <w:rsid w:val="00A1535F"/>
    <w:rsid w:val="00A214B3"/>
    <w:rsid w:val="00A231F7"/>
    <w:rsid w:val="00A232B9"/>
    <w:rsid w:val="00A24900"/>
    <w:rsid w:val="00A24FFB"/>
    <w:rsid w:val="00A25635"/>
    <w:rsid w:val="00A258F3"/>
    <w:rsid w:val="00A27353"/>
    <w:rsid w:val="00A27841"/>
    <w:rsid w:val="00A315C9"/>
    <w:rsid w:val="00A31782"/>
    <w:rsid w:val="00A31AD6"/>
    <w:rsid w:val="00A33CC8"/>
    <w:rsid w:val="00A34BD8"/>
    <w:rsid w:val="00A35F34"/>
    <w:rsid w:val="00A40588"/>
    <w:rsid w:val="00A40E4B"/>
    <w:rsid w:val="00A41AF2"/>
    <w:rsid w:val="00A42394"/>
    <w:rsid w:val="00A44495"/>
    <w:rsid w:val="00A46827"/>
    <w:rsid w:val="00A472CB"/>
    <w:rsid w:val="00A47943"/>
    <w:rsid w:val="00A4795D"/>
    <w:rsid w:val="00A47E0C"/>
    <w:rsid w:val="00A525CE"/>
    <w:rsid w:val="00A5388F"/>
    <w:rsid w:val="00A53AB1"/>
    <w:rsid w:val="00A53DBD"/>
    <w:rsid w:val="00A54040"/>
    <w:rsid w:val="00A54B8A"/>
    <w:rsid w:val="00A54E13"/>
    <w:rsid w:val="00A54E5C"/>
    <w:rsid w:val="00A56CF2"/>
    <w:rsid w:val="00A570F5"/>
    <w:rsid w:val="00A60C67"/>
    <w:rsid w:val="00A610A2"/>
    <w:rsid w:val="00A616FF"/>
    <w:rsid w:val="00A617DC"/>
    <w:rsid w:val="00A61A13"/>
    <w:rsid w:val="00A61A27"/>
    <w:rsid w:val="00A61AC7"/>
    <w:rsid w:val="00A6207D"/>
    <w:rsid w:val="00A62567"/>
    <w:rsid w:val="00A657AE"/>
    <w:rsid w:val="00A67746"/>
    <w:rsid w:val="00A67A88"/>
    <w:rsid w:val="00A70353"/>
    <w:rsid w:val="00A70EAA"/>
    <w:rsid w:val="00A71644"/>
    <w:rsid w:val="00A71BA3"/>
    <w:rsid w:val="00A71C3C"/>
    <w:rsid w:val="00A732C4"/>
    <w:rsid w:val="00A739ED"/>
    <w:rsid w:val="00A75CAD"/>
    <w:rsid w:val="00A76220"/>
    <w:rsid w:val="00A76F63"/>
    <w:rsid w:val="00A770B7"/>
    <w:rsid w:val="00A82C74"/>
    <w:rsid w:val="00A840CA"/>
    <w:rsid w:val="00A86431"/>
    <w:rsid w:val="00A8752B"/>
    <w:rsid w:val="00A90589"/>
    <w:rsid w:val="00A90F6B"/>
    <w:rsid w:val="00A9504D"/>
    <w:rsid w:val="00A95163"/>
    <w:rsid w:val="00A959A9"/>
    <w:rsid w:val="00A95FA3"/>
    <w:rsid w:val="00A96019"/>
    <w:rsid w:val="00AA11D2"/>
    <w:rsid w:val="00AA1656"/>
    <w:rsid w:val="00AA1932"/>
    <w:rsid w:val="00AA3E75"/>
    <w:rsid w:val="00AA537C"/>
    <w:rsid w:val="00AA5AFE"/>
    <w:rsid w:val="00AA6545"/>
    <w:rsid w:val="00AA6F31"/>
    <w:rsid w:val="00AB0046"/>
    <w:rsid w:val="00AB00D4"/>
    <w:rsid w:val="00AB0E42"/>
    <w:rsid w:val="00AB1AC3"/>
    <w:rsid w:val="00AB24BE"/>
    <w:rsid w:val="00AB2BD2"/>
    <w:rsid w:val="00AB38D0"/>
    <w:rsid w:val="00AB5FE3"/>
    <w:rsid w:val="00AB63EF"/>
    <w:rsid w:val="00AC1788"/>
    <w:rsid w:val="00AC30F7"/>
    <w:rsid w:val="00AC314E"/>
    <w:rsid w:val="00AC3C48"/>
    <w:rsid w:val="00AC4270"/>
    <w:rsid w:val="00AC440A"/>
    <w:rsid w:val="00AC562F"/>
    <w:rsid w:val="00AC5EB5"/>
    <w:rsid w:val="00AC6EC2"/>
    <w:rsid w:val="00AD036F"/>
    <w:rsid w:val="00AD0D40"/>
    <w:rsid w:val="00AD147E"/>
    <w:rsid w:val="00AD14D8"/>
    <w:rsid w:val="00AD1642"/>
    <w:rsid w:val="00AD1D62"/>
    <w:rsid w:val="00AD2904"/>
    <w:rsid w:val="00AD3437"/>
    <w:rsid w:val="00AD3B54"/>
    <w:rsid w:val="00AD3CEF"/>
    <w:rsid w:val="00AD6A21"/>
    <w:rsid w:val="00AD726C"/>
    <w:rsid w:val="00AD7E55"/>
    <w:rsid w:val="00AE0A0A"/>
    <w:rsid w:val="00AE0DE2"/>
    <w:rsid w:val="00AE238B"/>
    <w:rsid w:val="00AE2E8C"/>
    <w:rsid w:val="00AE3316"/>
    <w:rsid w:val="00AE3955"/>
    <w:rsid w:val="00AE397A"/>
    <w:rsid w:val="00AE3E62"/>
    <w:rsid w:val="00AF03E7"/>
    <w:rsid w:val="00AF18E0"/>
    <w:rsid w:val="00AF1FAD"/>
    <w:rsid w:val="00AF3C73"/>
    <w:rsid w:val="00AF4506"/>
    <w:rsid w:val="00AF45FE"/>
    <w:rsid w:val="00AF4C9B"/>
    <w:rsid w:val="00AF5A83"/>
    <w:rsid w:val="00AF5CC0"/>
    <w:rsid w:val="00AF6E27"/>
    <w:rsid w:val="00AF7421"/>
    <w:rsid w:val="00B006EF"/>
    <w:rsid w:val="00B01029"/>
    <w:rsid w:val="00B017CC"/>
    <w:rsid w:val="00B01D7C"/>
    <w:rsid w:val="00B0264F"/>
    <w:rsid w:val="00B03876"/>
    <w:rsid w:val="00B04850"/>
    <w:rsid w:val="00B04A48"/>
    <w:rsid w:val="00B04C28"/>
    <w:rsid w:val="00B069AA"/>
    <w:rsid w:val="00B1021E"/>
    <w:rsid w:val="00B106FE"/>
    <w:rsid w:val="00B12697"/>
    <w:rsid w:val="00B136DE"/>
    <w:rsid w:val="00B13ABE"/>
    <w:rsid w:val="00B1407F"/>
    <w:rsid w:val="00B162F8"/>
    <w:rsid w:val="00B16DA3"/>
    <w:rsid w:val="00B20F0E"/>
    <w:rsid w:val="00B20F55"/>
    <w:rsid w:val="00B21AFD"/>
    <w:rsid w:val="00B21B38"/>
    <w:rsid w:val="00B22621"/>
    <w:rsid w:val="00B22D9A"/>
    <w:rsid w:val="00B2367F"/>
    <w:rsid w:val="00B24DAE"/>
    <w:rsid w:val="00B25C13"/>
    <w:rsid w:val="00B268D9"/>
    <w:rsid w:val="00B27A76"/>
    <w:rsid w:val="00B27FDA"/>
    <w:rsid w:val="00B301D4"/>
    <w:rsid w:val="00B3070B"/>
    <w:rsid w:val="00B31003"/>
    <w:rsid w:val="00B3117E"/>
    <w:rsid w:val="00B31D78"/>
    <w:rsid w:val="00B32BD8"/>
    <w:rsid w:val="00B33434"/>
    <w:rsid w:val="00B33ED2"/>
    <w:rsid w:val="00B3450B"/>
    <w:rsid w:val="00B36368"/>
    <w:rsid w:val="00B36BFA"/>
    <w:rsid w:val="00B4024F"/>
    <w:rsid w:val="00B4061C"/>
    <w:rsid w:val="00B42F52"/>
    <w:rsid w:val="00B44096"/>
    <w:rsid w:val="00B44F79"/>
    <w:rsid w:val="00B45EDF"/>
    <w:rsid w:val="00B45FDA"/>
    <w:rsid w:val="00B46A1A"/>
    <w:rsid w:val="00B46C3F"/>
    <w:rsid w:val="00B505F3"/>
    <w:rsid w:val="00B54751"/>
    <w:rsid w:val="00B54C0C"/>
    <w:rsid w:val="00B5540B"/>
    <w:rsid w:val="00B56230"/>
    <w:rsid w:val="00B5668B"/>
    <w:rsid w:val="00B5703D"/>
    <w:rsid w:val="00B61019"/>
    <w:rsid w:val="00B6170C"/>
    <w:rsid w:val="00B61A77"/>
    <w:rsid w:val="00B622EF"/>
    <w:rsid w:val="00B6347F"/>
    <w:rsid w:val="00B638C2"/>
    <w:rsid w:val="00B64008"/>
    <w:rsid w:val="00B64CB9"/>
    <w:rsid w:val="00B653EA"/>
    <w:rsid w:val="00B656C6"/>
    <w:rsid w:val="00B65EBF"/>
    <w:rsid w:val="00B666E5"/>
    <w:rsid w:val="00B73257"/>
    <w:rsid w:val="00B7334B"/>
    <w:rsid w:val="00B7495C"/>
    <w:rsid w:val="00B74964"/>
    <w:rsid w:val="00B75B93"/>
    <w:rsid w:val="00B76448"/>
    <w:rsid w:val="00B77147"/>
    <w:rsid w:val="00B7737D"/>
    <w:rsid w:val="00B7760F"/>
    <w:rsid w:val="00B81249"/>
    <w:rsid w:val="00B828B6"/>
    <w:rsid w:val="00B8329D"/>
    <w:rsid w:val="00B838E7"/>
    <w:rsid w:val="00B8399E"/>
    <w:rsid w:val="00B83BC6"/>
    <w:rsid w:val="00B855D5"/>
    <w:rsid w:val="00B85902"/>
    <w:rsid w:val="00B85C20"/>
    <w:rsid w:val="00B861A9"/>
    <w:rsid w:val="00B8648A"/>
    <w:rsid w:val="00B86F68"/>
    <w:rsid w:val="00B87A6F"/>
    <w:rsid w:val="00B91EB0"/>
    <w:rsid w:val="00B92500"/>
    <w:rsid w:val="00B94BDD"/>
    <w:rsid w:val="00B95ABA"/>
    <w:rsid w:val="00B97671"/>
    <w:rsid w:val="00B97E2B"/>
    <w:rsid w:val="00BA0853"/>
    <w:rsid w:val="00BA1F8D"/>
    <w:rsid w:val="00BA346C"/>
    <w:rsid w:val="00BA4B20"/>
    <w:rsid w:val="00BA6E5E"/>
    <w:rsid w:val="00BA723C"/>
    <w:rsid w:val="00BA74E2"/>
    <w:rsid w:val="00BA7987"/>
    <w:rsid w:val="00BA79A6"/>
    <w:rsid w:val="00BB042F"/>
    <w:rsid w:val="00BB07F4"/>
    <w:rsid w:val="00BB128B"/>
    <w:rsid w:val="00BB1AB9"/>
    <w:rsid w:val="00BB28AC"/>
    <w:rsid w:val="00BB2B18"/>
    <w:rsid w:val="00BB395F"/>
    <w:rsid w:val="00BB3D8B"/>
    <w:rsid w:val="00BB5E65"/>
    <w:rsid w:val="00BB68E5"/>
    <w:rsid w:val="00BB69C2"/>
    <w:rsid w:val="00BB6ED2"/>
    <w:rsid w:val="00BB77CD"/>
    <w:rsid w:val="00BB7D00"/>
    <w:rsid w:val="00BC022F"/>
    <w:rsid w:val="00BC118F"/>
    <w:rsid w:val="00BC1BE2"/>
    <w:rsid w:val="00BC243E"/>
    <w:rsid w:val="00BC2A39"/>
    <w:rsid w:val="00BC2E00"/>
    <w:rsid w:val="00BC3573"/>
    <w:rsid w:val="00BC5AF8"/>
    <w:rsid w:val="00BC5EAA"/>
    <w:rsid w:val="00BC6ECC"/>
    <w:rsid w:val="00BC7585"/>
    <w:rsid w:val="00BC7ADA"/>
    <w:rsid w:val="00BD0017"/>
    <w:rsid w:val="00BD00BF"/>
    <w:rsid w:val="00BD22E8"/>
    <w:rsid w:val="00BD24BD"/>
    <w:rsid w:val="00BD2629"/>
    <w:rsid w:val="00BD3579"/>
    <w:rsid w:val="00BD3DF9"/>
    <w:rsid w:val="00BD3F05"/>
    <w:rsid w:val="00BD41A5"/>
    <w:rsid w:val="00BD4DEF"/>
    <w:rsid w:val="00BD63F6"/>
    <w:rsid w:val="00BD6A5B"/>
    <w:rsid w:val="00BE126D"/>
    <w:rsid w:val="00BE1787"/>
    <w:rsid w:val="00BE2A9B"/>
    <w:rsid w:val="00BE2CA3"/>
    <w:rsid w:val="00BE4C28"/>
    <w:rsid w:val="00BF0E18"/>
    <w:rsid w:val="00BF1514"/>
    <w:rsid w:val="00BF1EA9"/>
    <w:rsid w:val="00BF372A"/>
    <w:rsid w:val="00BF43D0"/>
    <w:rsid w:val="00BF440D"/>
    <w:rsid w:val="00BF49E5"/>
    <w:rsid w:val="00BF509B"/>
    <w:rsid w:val="00BF607A"/>
    <w:rsid w:val="00BF6102"/>
    <w:rsid w:val="00BF61AF"/>
    <w:rsid w:val="00BF6578"/>
    <w:rsid w:val="00BF697D"/>
    <w:rsid w:val="00BF6AD3"/>
    <w:rsid w:val="00BF6D62"/>
    <w:rsid w:val="00C00A7E"/>
    <w:rsid w:val="00C018C8"/>
    <w:rsid w:val="00C01BF4"/>
    <w:rsid w:val="00C022DF"/>
    <w:rsid w:val="00C02C41"/>
    <w:rsid w:val="00C02F88"/>
    <w:rsid w:val="00C04BC4"/>
    <w:rsid w:val="00C04CD3"/>
    <w:rsid w:val="00C05C27"/>
    <w:rsid w:val="00C101A6"/>
    <w:rsid w:val="00C10269"/>
    <w:rsid w:val="00C11010"/>
    <w:rsid w:val="00C138FB"/>
    <w:rsid w:val="00C14CE5"/>
    <w:rsid w:val="00C15D37"/>
    <w:rsid w:val="00C161A6"/>
    <w:rsid w:val="00C17063"/>
    <w:rsid w:val="00C178C9"/>
    <w:rsid w:val="00C17F4C"/>
    <w:rsid w:val="00C20122"/>
    <w:rsid w:val="00C20C56"/>
    <w:rsid w:val="00C2122C"/>
    <w:rsid w:val="00C244A7"/>
    <w:rsid w:val="00C247E1"/>
    <w:rsid w:val="00C24A7F"/>
    <w:rsid w:val="00C25238"/>
    <w:rsid w:val="00C25F62"/>
    <w:rsid w:val="00C265B2"/>
    <w:rsid w:val="00C268F6"/>
    <w:rsid w:val="00C2738F"/>
    <w:rsid w:val="00C30271"/>
    <w:rsid w:val="00C3171E"/>
    <w:rsid w:val="00C31B8C"/>
    <w:rsid w:val="00C31BDE"/>
    <w:rsid w:val="00C31ECF"/>
    <w:rsid w:val="00C353C9"/>
    <w:rsid w:val="00C373C2"/>
    <w:rsid w:val="00C37844"/>
    <w:rsid w:val="00C40466"/>
    <w:rsid w:val="00C41797"/>
    <w:rsid w:val="00C41A24"/>
    <w:rsid w:val="00C42261"/>
    <w:rsid w:val="00C42472"/>
    <w:rsid w:val="00C433D1"/>
    <w:rsid w:val="00C4741F"/>
    <w:rsid w:val="00C47917"/>
    <w:rsid w:val="00C47A09"/>
    <w:rsid w:val="00C47D92"/>
    <w:rsid w:val="00C50893"/>
    <w:rsid w:val="00C52DFF"/>
    <w:rsid w:val="00C53214"/>
    <w:rsid w:val="00C533A8"/>
    <w:rsid w:val="00C54FF7"/>
    <w:rsid w:val="00C5574A"/>
    <w:rsid w:val="00C56BA7"/>
    <w:rsid w:val="00C604BA"/>
    <w:rsid w:val="00C60733"/>
    <w:rsid w:val="00C60B5E"/>
    <w:rsid w:val="00C6184A"/>
    <w:rsid w:val="00C61C12"/>
    <w:rsid w:val="00C61C41"/>
    <w:rsid w:val="00C61C4D"/>
    <w:rsid w:val="00C6329D"/>
    <w:rsid w:val="00C632C4"/>
    <w:rsid w:val="00C652A9"/>
    <w:rsid w:val="00C65D97"/>
    <w:rsid w:val="00C6617C"/>
    <w:rsid w:val="00C67279"/>
    <w:rsid w:val="00C67751"/>
    <w:rsid w:val="00C67C4C"/>
    <w:rsid w:val="00C702BC"/>
    <w:rsid w:val="00C718C1"/>
    <w:rsid w:val="00C7351B"/>
    <w:rsid w:val="00C7372E"/>
    <w:rsid w:val="00C7515D"/>
    <w:rsid w:val="00C7548B"/>
    <w:rsid w:val="00C75B09"/>
    <w:rsid w:val="00C7659D"/>
    <w:rsid w:val="00C76BC8"/>
    <w:rsid w:val="00C76CD1"/>
    <w:rsid w:val="00C77A05"/>
    <w:rsid w:val="00C809E7"/>
    <w:rsid w:val="00C81831"/>
    <w:rsid w:val="00C83745"/>
    <w:rsid w:val="00C8508E"/>
    <w:rsid w:val="00C86095"/>
    <w:rsid w:val="00C862F9"/>
    <w:rsid w:val="00C866C2"/>
    <w:rsid w:val="00C87A7D"/>
    <w:rsid w:val="00C90F60"/>
    <w:rsid w:val="00C915D9"/>
    <w:rsid w:val="00C9170D"/>
    <w:rsid w:val="00C9189A"/>
    <w:rsid w:val="00C945FD"/>
    <w:rsid w:val="00C95B69"/>
    <w:rsid w:val="00C95CEE"/>
    <w:rsid w:val="00CA152E"/>
    <w:rsid w:val="00CA183D"/>
    <w:rsid w:val="00CA184D"/>
    <w:rsid w:val="00CA28E6"/>
    <w:rsid w:val="00CA3362"/>
    <w:rsid w:val="00CA62D1"/>
    <w:rsid w:val="00CA701D"/>
    <w:rsid w:val="00CA754B"/>
    <w:rsid w:val="00CA7B36"/>
    <w:rsid w:val="00CA7BE1"/>
    <w:rsid w:val="00CB1586"/>
    <w:rsid w:val="00CB17BF"/>
    <w:rsid w:val="00CB3287"/>
    <w:rsid w:val="00CB3B97"/>
    <w:rsid w:val="00CB444B"/>
    <w:rsid w:val="00CB448D"/>
    <w:rsid w:val="00CB635D"/>
    <w:rsid w:val="00CB6736"/>
    <w:rsid w:val="00CB71C9"/>
    <w:rsid w:val="00CB7DCB"/>
    <w:rsid w:val="00CC0703"/>
    <w:rsid w:val="00CC0FD7"/>
    <w:rsid w:val="00CC0FEA"/>
    <w:rsid w:val="00CC12E1"/>
    <w:rsid w:val="00CC1DCB"/>
    <w:rsid w:val="00CC37C8"/>
    <w:rsid w:val="00CC486D"/>
    <w:rsid w:val="00CC52DF"/>
    <w:rsid w:val="00CC656D"/>
    <w:rsid w:val="00CC6C87"/>
    <w:rsid w:val="00CC7833"/>
    <w:rsid w:val="00CD0C94"/>
    <w:rsid w:val="00CD2904"/>
    <w:rsid w:val="00CD30AE"/>
    <w:rsid w:val="00CD32E9"/>
    <w:rsid w:val="00CD4CFC"/>
    <w:rsid w:val="00CD5FB7"/>
    <w:rsid w:val="00CD6542"/>
    <w:rsid w:val="00CD6567"/>
    <w:rsid w:val="00CD6CC0"/>
    <w:rsid w:val="00CE0E4C"/>
    <w:rsid w:val="00CE30E4"/>
    <w:rsid w:val="00CE4416"/>
    <w:rsid w:val="00CE477F"/>
    <w:rsid w:val="00CE73B7"/>
    <w:rsid w:val="00CF5B8C"/>
    <w:rsid w:val="00CF5C22"/>
    <w:rsid w:val="00D012F5"/>
    <w:rsid w:val="00D04893"/>
    <w:rsid w:val="00D054EB"/>
    <w:rsid w:val="00D06436"/>
    <w:rsid w:val="00D0681E"/>
    <w:rsid w:val="00D071E2"/>
    <w:rsid w:val="00D077CD"/>
    <w:rsid w:val="00D1044B"/>
    <w:rsid w:val="00D14BA1"/>
    <w:rsid w:val="00D15C6F"/>
    <w:rsid w:val="00D15E7A"/>
    <w:rsid w:val="00D170DA"/>
    <w:rsid w:val="00D17484"/>
    <w:rsid w:val="00D20F64"/>
    <w:rsid w:val="00D21D19"/>
    <w:rsid w:val="00D229BD"/>
    <w:rsid w:val="00D23D0F"/>
    <w:rsid w:val="00D246D7"/>
    <w:rsid w:val="00D24A31"/>
    <w:rsid w:val="00D25766"/>
    <w:rsid w:val="00D26E7E"/>
    <w:rsid w:val="00D30093"/>
    <w:rsid w:val="00D3064E"/>
    <w:rsid w:val="00D30E55"/>
    <w:rsid w:val="00D31461"/>
    <w:rsid w:val="00D3325F"/>
    <w:rsid w:val="00D33CD9"/>
    <w:rsid w:val="00D349BC"/>
    <w:rsid w:val="00D35392"/>
    <w:rsid w:val="00D369B0"/>
    <w:rsid w:val="00D37762"/>
    <w:rsid w:val="00D379BF"/>
    <w:rsid w:val="00D40AAD"/>
    <w:rsid w:val="00D40C86"/>
    <w:rsid w:val="00D429AB"/>
    <w:rsid w:val="00D4408A"/>
    <w:rsid w:val="00D441D5"/>
    <w:rsid w:val="00D4486F"/>
    <w:rsid w:val="00D44EEC"/>
    <w:rsid w:val="00D44EFC"/>
    <w:rsid w:val="00D45F0E"/>
    <w:rsid w:val="00D464E2"/>
    <w:rsid w:val="00D46938"/>
    <w:rsid w:val="00D5012D"/>
    <w:rsid w:val="00D52056"/>
    <w:rsid w:val="00D53726"/>
    <w:rsid w:val="00D53997"/>
    <w:rsid w:val="00D54040"/>
    <w:rsid w:val="00D556A8"/>
    <w:rsid w:val="00D60B93"/>
    <w:rsid w:val="00D61065"/>
    <w:rsid w:val="00D612F8"/>
    <w:rsid w:val="00D61493"/>
    <w:rsid w:val="00D63CB1"/>
    <w:rsid w:val="00D63FC1"/>
    <w:rsid w:val="00D64CF9"/>
    <w:rsid w:val="00D6526C"/>
    <w:rsid w:val="00D65408"/>
    <w:rsid w:val="00D66750"/>
    <w:rsid w:val="00D673E0"/>
    <w:rsid w:val="00D67660"/>
    <w:rsid w:val="00D706A9"/>
    <w:rsid w:val="00D715D7"/>
    <w:rsid w:val="00D73319"/>
    <w:rsid w:val="00D74A3F"/>
    <w:rsid w:val="00D74A8C"/>
    <w:rsid w:val="00D7543C"/>
    <w:rsid w:val="00D77318"/>
    <w:rsid w:val="00D77330"/>
    <w:rsid w:val="00D77534"/>
    <w:rsid w:val="00D8208D"/>
    <w:rsid w:val="00D821F5"/>
    <w:rsid w:val="00D8225A"/>
    <w:rsid w:val="00D83181"/>
    <w:rsid w:val="00D84195"/>
    <w:rsid w:val="00D84697"/>
    <w:rsid w:val="00D85B92"/>
    <w:rsid w:val="00D867E0"/>
    <w:rsid w:val="00D87836"/>
    <w:rsid w:val="00D91BB5"/>
    <w:rsid w:val="00D92BC2"/>
    <w:rsid w:val="00D94A8D"/>
    <w:rsid w:val="00D9555E"/>
    <w:rsid w:val="00D96233"/>
    <w:rsid w:val="00D96281"/>
    <w:rsid w:val="00D964EC"/>
    <w:rsid w:val="00D97E3B"/>
    <w:rsid w:val="00DA032D"/>
    <w:rsid w:val="00DA1D98"/>
    <w:rsid w:val="00DA2270"/>
    <w:rsid w:val="00DA3551"/>
    <w:rsid w:val="00DA3EB6"/>
    <w:rsid w:val="00DA456F"/>
    <w:rsid w:val="00DA4AE2"/>
    <w:rsid w:val="00DA5326"/>
    <w:rsid w:val="00DA60DD"/>
    <w:rsid w:val="00DA627B"/>
    <w:rsid w:val="00DA6984"/>
    <w:rsid w:val="00DA7049"/>
    <w:rsid w:val="00DA76E0"/>
    <w:rsid w:val="00DB0C31"/>
    <w:rsid w:val="00DB11B6"/>
    <w:rsid w:val="00DB13DF"/>
    <w:rsid w:val="00DB32F1"/>
    <w:rsid w:val="00DB4733"/>
    <w:rsid w:val="00DB7CED"/>
    <w:rsid w:val="00DC17CF"/>
    <w:rsid w:val="00DC1D9F"/>
    <w:rsid w:val="00DC34E5"/>
    <w:rsid w:val="00DC36A8"/>
    <w:rsid w:val="00DC3A57"/>
    <w:rsid w:val="00DC3EB6"/>
    <w:rsid w:val="00DC4640"/>
    <w:rsid w:val="00DC63A7"/>
    <w:rsid w:val="00DC7567"/>
    <w:rsid w:val="00DC7739"/>
    <w:rsid w:val="00DD08C9"/>
    <w:rsid w:val="00DD4CA6"/>
    <w:rsid w:val="00DD55C8"/>
    <w:rsid w:val="00DD5688"/>
    <w:rsid w:val="00DD66B9"/>
    <w:rsid w:val="00DD6EAC"/>
    <w:rsid w:val="00DE005A"/>
    <w:rsid w:val="00DE047B"/>
    <w:rsid w:val="00DE051C"/>
    <w:rsid w:val="00DE17E1"/>
    <w:rsid w:val="00DE27A2"/>
    <w:rsid w:val="00DE2A92"/>
    <w:rsid w:val="00DE4ADD"/>
    <w:rsid w:val="00DE6660"/>
    <w:rsid w:val="00DE6D3E"/>
    <w:rsid w:val="00DF15B7"/>
    <w:rsid w:val="00DF2BCE"/>
    <w:rsid w:val="00DF3E13"/>
    <w:rsid w:val="00DF4B6D"/>
    <w:rsid w:val="00DF4D29"/>
    <w:rsid w:val="00DF4DFF"/>
    <w:rsid w:val="00DF5494"/>
    <w:rsid w:val="00DF5CBF"/>
    <w:rsid w:val="00DF6408"/>
    <w:rsid w:val="00DF6451"/>
    <w:rsid w:val="00DF781A"/>
    <w:rsid w:val="00DF7BDA"/>
    <w:rsid w:val="00E00563"/>
    <w:rsid w:val="00E00F1F"/>
    <w:rsid w:val="00E01998"/>
    <w:rsid w:val="00E03B29"/>
    <w:rsid w:val="00E05707"/>
    <w:rsid w:val="00E063C2"/>
    <w:rsid w:val="00E11511"/>
    <w:rsid w:val="00E11658"/>
    <w:rsid w:val="00E116B3"/>
    <w:rsid w:val="00E118BD"/>
    <w:rsid w:val="00E11F6D"/>
    <w:rsid w:val="00E138A8"/>
    <w:rsid w:val="00E13FDF"/>
    <w:rsid w:val="00E15ECE"/>
    <w:rsid w:val="00E16734"/>
    <w:rsid w:val="00E17157"/>
    <w:rsid w:val="00E2208A"/>
    <w:rsid w:val="00E232E4"/>
    <w:rsid w:val="00E23504"/>
    <w:rsid w:val="00E23635"/>
    <w:rsid w:val="00E23DAD"/>
    <w:rsid w:val="00E24C59"/>
    <w:rsid w:val="00E24D52"/>
    <w:rsid w:val="00E2542C"/>
    <w:rsid w:val="00E26209"/>
    <w:rsid w:val="00E2650C"/>
    <w:rsid w:val="00E26BC4"/>
    <w:rsid w:val="00E271C9"/>
    <w:rsid w:val="00E27689"/>
    <w:rsid w:val="00E279DA"/>
    <w:rsid w:val="00E315AB"/>
    <w:rsid w:val="00E32FC2"/>
    <w:rsid w:val="00E34639"/>
    <w:rsid w:val="00E34942"/>
    <w:rsid w:val="00E36094"/>
    <w:rsid w:val="00E40052"/>
    <w:rsid w:val="00E406E3"/>
    <w:rsid w:val="00E43E79"/>
    <w:rsid w:val="00E44059"/>
    <w:rsid w:val="00E444A6"/>
    <w:rsid w:val="00E44517"/>
    <w:rsid w:val="00E44701"/>
    <w:rsid w:val="00E44713"/>
    <w:rsid w:val="00E44A0F"/>
    <w:rsid w:val="00E44F5B"/>
    <w:rsid w:val="00E45932"/>
    <w:rsid w:val="00E46B2D"/>
    <w:rsid w:val="00E50AD1"/>
    <w:rsid w:val="00E511A1"/>
    <w:rsid w:val="00E534ED"/>
    <w:rsid w:val="00E53540"/>
    <w:rsid w:val="00E5426F"/>
    <w:rsid w:val="00E56795"/>
    <w:rsid w:val="00E60180"/>
    <w:rsid w:val="00E60EA6"/>
    <w:rsid w:val="00E6103E"/>
    <w:rsid w:val="00E6119D"/>
    <w:rsid w:val="00E6198A"/>
    <w:rsid w:val="00E62388"/>
    <w:rsid w:val="00E63FC4"/>
    <w:rsid w:val="00E6458E"/>
    <w:rsid w:val="00E64A21"/>
    <w:rsid w:val="00E67FE5"/>
    <w:rsid w:val="00E70177"/>
    <w:rsid w:val="00E70BCF"/>
    <w:rsid w:val="00E7121D"/>
    <w:rsid w:val="00E71F97"/>
    <w:rsid w:val="00E729C3"/>
    <w:rsid w:val="00E738EC"/>
    <w:rsid w:val="00E73D8D"/>
    <w:rsid w:val="00E742AC"/>
    <w:rsid w:val="00E76F34"/>
    <w:rsid w:val="00E77366"/>
    <w:rsid w:val="00E805C4"/>
    <w:rsid w:val="00E80AFB"/>
    <w:rsid w:val="00E80C63"/>
    <w:rsid w:val="00E82EBA"/>
    <w:rsid w:val="00E83398"/>
    <w:rsid w:val="00E834F3"/>
    <w:rsid w:val="00E83A97"/>
    <w:rsid w:val="00E83C80"/>
    <w:rsid w:val="00E854F0"/>
    <w:rsid w:val="00E859BD"/>
    <w:rsid w:val="00E865C2"/>
    <w:rsid w:val="00E868D4"/>
    <w:rsid w:val="00E9065B"/>
    <w:rsid w:val="00E91008"/>
    <w:rsid w:val="00E913C7"/>
    <w:rsid w:val="00E91657"/>
    <w:rsid w:val="00E92CAB"/>
    <w:rsid w:val="00E94B62"/>
    <w:rsid w:val="00E94C1D"/>
    <w:rsid w:val="00E94D9E"/>
    <w:rsid w:val="00E95089"/>
    <w:rsid w:val="00E95A44"/>
    <w:rsid w:val="00E95E3B"/>
    <w:rsid w:val="00E962B5"/>
    <w:rsid w:val="00E96E0B"/>
    <w:rsid w:val="00E97F82"/>
    <w:rsid w:val="00EA010B"/>
    <w:rsid w:val="00EA03EA"/>
    <w:rsid w:val="00EA0F11"/>
    <w:rsid w:val="00EA1EAD"/>
    <w:rsid w:val="00EA233A"/>
    <w:rsid w:val="00EA27F2"/>
    <w:rsid w:val="00EA43DB"/>
    <w:rsid w:val="00EA577A"/>
    <w:rsid w:val="00EB01B7"/>
    <w:rsid w:val="00EB04FD"/>
    <w:rsid w:val="00EB1024"/>
    <w:rsid w:val="00EB2405"/>
    <w:rsid w:val="00EB241D"/>
    <w:rsid w:val="00EB3135"/>
    <w:rsid w:val="00EB36DB"/>
    <w:rsid w:val="00EB5568"/>
    <w:rsid w:val="00EB731D"/>
    <w:rsid w:val="00EB7E9E"/>
    <w:rsid w:val="00EC1C7F"/>
    <w:rsid w:val="00EC236F"/>
    <w:rsid w:val="00EC3509"/>
    <w:rsid w:val="00EC3A95"/>
    <w:rsid w:val="00EC3B65"/>
    <w:rsid w:val="00EC45F9"/>
    <w:rsid w:val="00EC512C"/>
    <w:rsid w:val="00EC7118"/>
    <w:rsid w:val="00ED0059"/>
    <w:rsid w:val="00ED1E89"/>
    <w:rsid w:val="00ED3971"/>
    <w:rsid w:val="00ED4B67"/>
    <w:rsid w:val="00ED59C3"/>
    <w:rsid w:val="00ED5A5A"/>
    <w:rsid w:val="00ED6AA5"/>
    <w:rsid w:val="00EE07B8"/>
    <w:rsid w:val="00EE097D"/>
    <w:rsid w:val="00EE172B"/>
    <w:rsid w:val="00EE2043"/>
    <w:rsid w:val="00EE289D"/>
    <w:rsid w:val="00EE4CDB"/>
    <w:rsid w:val="00EE75DC"/>
    <w:rsid w:val="00EE7824"/>
    <w:rsid w:val="00EE7C43"/>
    <w:rsid w:val="00EF2CC4"/>
    <w:rsid w:val="00EF2CD6"/>
    <w:rsid w:val="00EF3A60"/>
    <w:rsid w:val="00EF65DD"/>
    <w:rsid w:val="00EF76E3"/>
    <w:rsid w:val="00EF77B2"/>
    <w:rsid w:val="00F0064A"/>
    <w:rsid w:val="00F02451"/>
    <w:rsid w:val="00F02CE1"/>
    <w:rsid w:val="00F02D65"/>
    <w:rsid w:val="00F02D75"/>
    <w:rsid w:val="00F034F4"/>
    <w:rsid w:val="00F03F37"/>
    <w:rsid w:val="00F0592A"/>
    <w:rsid w:val="00F064F4"/>
    <w:rsid w:val="00F109CB"/>
    <w:rsid w:val="00F11856"/>
    <w:rsid w:val="00F11A8F"/>
    <w:rsid w:val="00F124DF"/>
    <w:rsid w:val="00F12DC9"/>
    <w:rsid w:val="00F13A32"/>
    <w:rsid w:val="00F13B9B"/>
    <w:rsid w:val="00F13F22"/>
    <w:rsid w:val="00F15351"/>
    <w:rsid w:val="00F15367"/>
    <w:rsid w:val="00F15B86"/>
    <w:rsid w:val="00F1624A"/>
    <w:rsid w:val="00F173A4"/>
    <w:rsid w:val="00F20B5A"/>
    <w:rsid w:val="00F2239D"/>
    <w:rsid w:val="00F23218"/>
    <w:rsid w:val="00F23A60"/>
    <w:rsid w:val="00F2483B"/>
    <w:rsid w:val="00F2567A"/>
    <w:rsid w:val="00F25EC9"/>
    <w:rsid w:val="00F2617E"/>
    <w:rsid w:val="00F2639A"/>
    <w:rsid w:val="00F2649B"/>
    <w:rsid w:val="00F271DF"/>
    <w:rsid w:val="00F27E26"/>
    <w:rsid w:val="00F3041E"/>
    <w:rsid w:val="00F3062D"/>
    <w:rsid w:val="00F30DF3"/>
    <w:rsid w:val="00F311E2"/>
    <w:rsid w:val="00F31CBD"/>
    <w:rsid w:val="00F32135"/>
    <w:rsid w:val="00F321B4"/>
    <w:rsid w:val="00F33FD7"/>
    <w:rsid w:val="00F353A5"/>
    <w:rsid w:val="00F35C59"/>
    <w:rsid w:val="00F35DD7"/>
    <w:rsid w:val="00F377FD"/>
    <w:rsid w:val="00F37C43"/>
    <w:rsid w:val="00F42366"/>
    <w:rsid w:val="00F42B63"/>
    <w:rsid w:val="00F4393D"/>
    <w:rsid w:val="00F44728"/>
    <w:rsid w:val="00F4542B"/>
    <w:rsid w:val="00F46A46"/>
    <w:rsid w:val="00F471BD"/>
    <w:rsid w:val="00F50128"/>
    <w:rsid w:val="00F506D6"/>
    <w:rsid w:val="00F5165F"/>
    <w:rsid w:val="00F55024"/>
    <w:rsid w:val="00F56421"/>
    <w:rsid w:val="00F568DD"/>
    <w:rsid w:val="00F57C0B"/>
    <w:rsid w:val="00F6175E"/>
    <w:rsid w:val="00F618CC"/>
    <w:rsid w:val="00F630C9"/>
    <w:rsid w:val="00F63B3A"/>
    <w:rsid w:val="00F63FDE"/>
    <w:rsid w:val="00F64483"/>
    <w:rsid w:val="00F64AFE"/>
    <w:rsid w:val="00F65797"/>
    <w:rsid w:val="00F65A84"/>
    <w:rsid w:val="00F661CC"/>
    <w:rsid w:val="00F67EF1"/>
    <w:rsid w:val="00F702C2"/>
    <w:rsid w:val="00F71002"/>
    <w:rsid w:val="00F720A6"/>
    <w:rsid w:val="00F72A80"/>
    <w:rsid w:val="00F72AF8"/>
    <w:rsid w:val="00F72C7F"/>
    <w:rsid w:val="00F73679"/>
    <w:rsid w:val="00F77D80"/>
    <w:rsid w:val="00F77FFE"/>
    <w:rsid w:val="00F8563C"/>
    <w:rsid w:val="00F8591F"/>
    <w:rsid w:val="00F86765"/>
    <w:rsid w:val="00F86792"/>
    <w:rsid w:val="00F86EF8"/>
    <w:rsid w:val="00F870D8"/>
    <w:rsid w:val="00F90585"/>
    <w:rsid w:val="00F90E81"/>
    <w:rsid w:val="00F919F6"/>
    <w:rsid w:val="00F91A76"/>
    <w:rsid w:val="00F92649"/>
    <w:rsid w:val="00F927B7"/>
    <w:rsid w:val="00F92DDD"/>
    <w:rsid w:val="00F92FEB"/>
    <w:rsid w:val="00F93B79"/>
    <w:rsid w:val="00F94384"/>
    <w:rsid w:val="00F948F2"/>
    <w:rsid w:val="00F95F5E"/>
    <w:rsid w:val="00F960E2"/>
    <w:rsid w:val="00F97727"/>
    <w:rsid w:val="00F977D2"/>
    <w:rsid w:val="00F97AB1"/>
    <w:rsid w:val="00FA050A"/>
    <w:rsid w:val="00FA0C5B"/>
    <w:rsid w:val="00FA177D"/>
    <w:rsid w:val="00FA199B"/>
    <w:rsid w:val="00FA3A20"/>
    <w:rsid w:val="00FA3A44"/>
    <w:rsid w:val="00FA52E7"/>
    <w:rsid w:val="00FA61ED"/>
    <w:rsid w:val="00FB006E"/>
    <w:rsid w:val="00FB09CE"/>
    <w:rsid w:val="00FB2AB1"/>
    <w:rsid w:val="00FB3C8B"/>
    <w:rsid w:val="00FB492E"/>
    <w:rsid w:val="00FB62B9"/>
    <w:rsid w:val="00FB675F"/>
    <w:rsid w:val="00FB691A"/>
    <w:rsid w:val="00FB6BB4"/>
    <w:rsid w:val="00FB7DAF"/>
    <w:rsid w:val="00FC270A"/>
    <w:rsid w:val="00FC3DCA"/>
    <w:rsid w:val="00FC49F1"/>
    <w:rsid w:val="00FC4D97"/>
    <w:rsid w:val="00FC50A3"/>
    <w:rsid w:val="00FC6992"/>
    <w:rsid w:val="00FC783F"/>
    <w:rsid w:val="00FD01FE"/>
    <w:rsid w:val="00FD07AC"/>
    <w:rsid w:val="00FD0C2D"/>
    <w:rsid w:val="00FD10DF"/>
    <w:rsid w:val="00FD234E"/>
    <w:rsid w:val="00FD2CC1"/>
    <w:rsid w:val="00FD3051"/>
    <w:rsid w:val="00FD3476"/>
    <w:rsid w:val="00FD406C"/>
    <w:rsid w:val="00FD5DD6"/>
    <w:rsid w:val="00FE067B"/>
    <w:rsid w:val="00FE12F6"/>
    <w:rsid w:val="00FE2296"/>
    <w:rsid w:val="00FE275D"/>
    <w:rsid w:val="00FE3142"/>
    <w:rsid w:val="00FE4343"/>
    <w:rsid w:val="00FE54D7"/>
    <w:rsid w:val="00FE6994"/>
    <w:rsid w:val="00FE6EF7"/>
    <w:rsid w:val="00FE7C4D"/>
    <w:rsid w:val="00FF222A"/>
    <w:rsid w:val="00FF2E6A"/>
    <w:rsid w:val="00FF65EB"/>
    <w:rsid w:val="00FF7F0C"/>
    <w:rsid w:val="011C4BA0"/>
    <w:rsid w:val="023D1D55"/>
    <w:rsid w:val="02916F10"/>
    <w:rsid w:val="069A6454"/>
    <w:rsid w:val="06E10A04"/>
    <w:rsid w:val="0A48626F"/>
    <w:rsid w:val="0C274712"/>
    <w:rsid w:val="0C66023C"/>
    <w:rsid w:val="0CB8798E"/>
    <w:rsid w:val="0E490703"/>
    <w:rsid w:val="10043D50"/>
    <w:rsid w:val="10DE1AC1"/>
    <w:rsid w:val="123C36AA"/>
    <w:rsid w:val="14240EDD"/>
    <w:rsid w:val="169019D2"/>
    <w:rsid w:val="187C718D"/>
    <w:rsid w:val="19750BE8"/>
    <w:rsid w:val="19C42F8E"/>
    <w:rsid w:val="1B564624"/>
    <w:rsid w:val="1D9F1C56"/>
    <w:rsid w:val="1F2C4A97"/>
    <w:rsid w:val="210F382E"/>
    <w:rsid w:val="22876BD4"/>
    <w:rsid w:val="237019E5"/>
    <w:rsid w:val="24274DD1"/>
    <w:rsid w:val="25C11EFF"/>
    <w:rsid w:val="298F77C6"/>
    <w:rsid w:val="29E82E73"/>
    <w:rsid w:val="2A0A77D4"/>
    <w:rsid w:val="2AEB0886"/>
    <w:rsid w:val="2C65098E"/>
    <w:rsid w:val="2CAA01BD"/>
    <w:rsid w:val="31890DAC"/>
    <w:rsid w:val="37823E49"/>
    <w:rsid w:val="38334114"/>
    <w:rsid w:val="38DB11E7"/>
    <w:rsid w:val="398F4C12"/>
    <w:rsid w:val="3FD37E62"/>
    <w:rsid w:val="41471F8E"/>
    <w:rsid w:val="43026121"/>
    <w:rsid w:val="48EB228D"/>
    <w:rsid w:val="4B6029D5"/>
    <w:rsid w:val="4E8209A7"/>
    <w:rsid w:val="53497EA4"/>
    <w:rsid w:val="552D09F1"/>
    <w:rsid w:val="57663E41"/>
    <w:rsid w:val="5A7E0379"/>
    <w:rsid w:val="5C4C3744"/>
    <w:rsid w:val="5E273649"/>
    <w:rsid w:val="5F143326"/>
    <w:rsid w:val="601A4AE4"/>
    <w:rsid w:val="62B3533A"/>
    <w:rsid w:val="66106F60"/>
    <w:rsid w:val="6A1F0312"/>
    <w:rsid w:val="6EF528DD"/>
    <w:rsid w:val="730F3163"/>
    <w:rsid w:val="73A83A63"/>
    <w:rsid w:val="7D51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仿宋" w:cs="Arial"/>
      <w:kern w:val="2"/>
      <w:sz w:val="24"/>
      <w:szCs w:val="22"/>
      <w:lang w:val="en-US" w:eastAsia="zh-CN" w:bidi="ar-SA"/>
    </w:rPr>
  </w:style>
  <w:style w:type="paragraph" w:styleId="2">
    <w:name w:val="heading 1"/>
    <w:basedOn w:val="1"/>
    <w:next w:val="1"/>
    <w:link w:val="30"/>
    <w:qFormat/>
    <w:uiPriority w:val="9"/>
    <w:pPr>
      <w:keepNext/>
      <w:keepLines/>
      <w:spacing w:line="578" w:lineRule="auto"/>
      <w:ind w:firstLine="0" w:firstLineChars="0"/>
      <w:outlineLvl w:val="0"/>
    </w:pPr>
    <w:rPr>
      <w:rFonts w:eastAsia="黑体"/>
      <w:b/>
      <w:bCs/>
      <w:kern w:val="44"/>
      <w:sz w:val="30"/>
      <w:szCs w:val="44"/>
    </w:rPr>
  </w:style>
  <w:style w:type="paragraph" w:styleId="3">
    <w:name w:val="heading 2"/>
    <w:basedOn w:val="1"/>
    <w:next w:val="1"/>
    <w:link w:val="29"/>
    <w:unhideWhenUsed/>
    <w:qFormat/>
    <w:uiPriority w:val="9"/>
    <w:pPr>
      <w:keepNext/>
      <w:keepLines/>
      <w:spacing w:line="415" w:lineRule="auto"/>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32"/>
    <w:unhideWhenUsed/>
    <w:qFormat/>
    <w:uiPriority w:val="9"/>
    <w:pPr>
      <w:keepNext/>
      <w:keepLines/>
      <w:spacing w:line="415" w:lineRule="auto"/>
      <w:outlineLvl w:val="2"/>
    </w:pPr>
    <w:rPr>
      <w:b/>
      <w:bCs/>
      <w:szCs w:val="32"/>
    </w:rPr>
  </w:style>
  <w:style w:type="paragraph" w:styleId="5">
    <w:name w:val="heading 4"/>
    <w:basedOn w:val="1"/>
    <w:next w:val="1"/>
    <w:link w:val="33"/>
    <w:unhideWhenUsed/>
    <w:qFormat/>
    <w:uiPriority w:val="9"/>
    <w:pPr>
      <w:keepNext/>
      <w:keepLines/>
      <w:spacing w:line="377" w:lineRule="auto"/>
      <w:ind w:firstLine="0" w:firstLineChars="0"/>
      <w:outlineLvl w:val="3"/>
    </w:pPr>
    <w:rPr>
      <w:rFonts w:asciiTheme="majorHAnsi" w:hAnsiTheme="majorHAnsi" w:cstheme="majorBidi"/>
      <w:b/>
      <w:bCs/>
      <w:szCs w:val="28"/>
    </w:rPr>
  </w:style>
  <w:style w:type="paragraph" w:styleId="6">
    <w:name w:val="heading 5"/>
    <w:basedOn w:val="1"/>
    <w:next w:val="1"/>
    <w:link w:val="34"/>
    <w:unhideWhenUsed/>
    <w:qFormat/>
    <w:uiPriority w:val="9"/>
    <w:pPr>
      <w:keepNext/>
      <w:keepLines/>
      <w:spacing w:before="280" w:after="290" w:line="376" w:lineRule="auto"/>
      <w:outlineLvl w:val="4"/>
    </w:pPr>
    <w:rPr>
      <w:b/>
      <w:bCs/>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 w:val="21"/>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annotation text"/>
    <w:basedOn w:val="1"/>
    <w:link w:val="44"/>
    <w:semiHidden/>
    <w:unhideWhenUsed/>
    <w:qFormat/>
    <w:uiPriority w:val="99"/>
    <w:pPr>
      <w:jc w:val="left"/>
    </w:pPr>
  </w:style>
  <w:style w:type="paragraph" w:styleId="10">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sz w:val="21"/>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 w:val="21"/>
    </w:rPr>
  </w:style>
  <w:style w:type="paragraph" w:styleId="13">
    <w:name w:val="Date"/>
    <w:basedOn w:val="1"/>
    <w:next w:val="1"/>
    <w:link w:val="41"/>
    <w:semiHidden/>
    <w:unhideWhenUsed/>
    <w:qFormat/>
    <w:uiPriority w:val="99"/>
    <w:pPr>
      <w:ind w:left="100" w:leftChars="2500"/>
    </w:pPr>
  </w:style>
  <w:style w:type="paragraph" w:styleId="14">
    <w:name w:val="Balloon Text"/>
    <w:basedOn w:val="1"/>
    <w:link w:val="38"/>
    <w:semiHidden/>
    <w:unhideWhenUsed/>
    <w:qFormat/>
    <w:uiPriority w:val="99"/>
    <w:pPr>
      <w:spacing w:line="240" w:lineRule="auto"/>
    </w:pPr>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line="276" w:lineRule="auto"/>
      <w:ind w:firstLine="480"/>
    </w:pPr>
  </w:style>
  <w:style w:type="paragraph" w:styleId="18">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rPr>
  </w:style>
  <w:style w:type="paragraph" w:styleId="19">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 w:val="21"/>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 w:val="21"/>
    </w:rPr>
  </w:style>
  <w:style w:type="paragraph" w:styleId="22">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szCs w:val="24"/>
    </w:rPr>
  </w:style>
  <w:style w:type="table" w:styleId="24">
    <w:name w:val="Table Grid"/>
    <w:basedOn w:val="23"/>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customStyle="1" w:styleId="27">
    <w:name w:val="页眉 字符"/>
    <w:basedOn w:val="25"/>
    <w:link w:val="16"/>
    <w:qFormat/>
    <w:uiPriority w:val="99"/>
    <w:rPr>
      <w:sz w:val="18"/>
      <w:szCs w:val="18"/>
    </w:rPr>
  </w:style>
  <w:style w:type="character" w:customStyle="1" w:styleId="28">
    <w:name w:val="页脚 字符"/>
    <w:basedOn w:val="25"/>
    <w:link w:val="15"/>
    <w:qFormat/>
    <w:uiPriority w:val="99"/>
    <w:rPr>
      <w:sz w:val="18"/>
      <w:szCs w:val="18"/>
    </w:rPr>
  </w:style>
  <w:style w:type="character" w:customStyle="1" w:styleId="29">
    <w:name w:val="标题 2 字符"/>
    <w:basedOn w:val="25"/>
    <w:link w:val="3"/>
    <w:qFormat/>
    <w:uiPriority w:val="9"/>
    <w:rPr>
      <w:rFonts w:eastAsia="黑体" w:asciiTheme="majorHAnsi" w:hAnsiTheme="majorHAnsi" w:cstheme="majorBidi"/>
      <w:b/>
      <w:bCs/>
      <w:kern w:val="2"/>
      <w:sz w:val="28"/>
      <w:szCs w:val="32"/>
    </w:rPr>
  </w:style>
  <w:style w:type="character" w:customStyle="1" w:styleId="30">
    <w:name w:val="标题 1 字符"/>
    <w:basedOn w:val="25"/>
    <w:link w:val="2"/>
    <w:qFormat/>
    <w:uiPriority w:val="9"/>
    <w:rPr>
      <w:rFonts w:eastAsia="黑体" w:cs="Arial"/>
      <w:b/>
      <w:bCs/>
      <w:kern w:val="44"/>
      <w:sz w:val="30"/>
      <w:szCs w:val="44"/>
    </w:rPr>
  </w:style>
  <w:style w:type="paragraph" w:styleId="31">
    <w:name w:val="List Paragraph"/>
    <w:basedOn w:val="1"/>
    <w:qFormat/>
    <w:uiPriority w:val="99"/>
    <w:pPr>
      <w:ind w:firstLine="420"/>
    </w:pPr>
  </w:style>
  <w:style w:type="character" w:customStyle="1" w:styleId="32">
    <w:name w:val="标题 3 字符"/>
    <w:basedOn w:val="25"/>
    <w:link w:val="4"/>
    <w:qFormat/>
    <w:uiPriority w:val="9"/>
    <w:rPr>
      <w:rFonts w:eastAsia="仿宋" w:cs="Arial"/>
      <w:b/>
      <w:bCs/>
      <w:kern w:val="2"/>
      <w:sz w:val="24"/>
      <w:szCs w:val="32"/>
    </w:rPr>
  </w:style>
  <w:style w:type="character" w:customStyle="1" w:styleId="33">
    <w:name w:val="标题 4 字符"/>
    <w:basedOn w:val="25"/>
    <w:link w:val="5"/>
    <w:qFormat/>
    <w:uiPriority w:val="9"/>
    <w:rPr>
      <w:rFonts w:eastAsia="仿宋" w:asciiTheme="majorHAnsi" w:hAnsiTheme="majorHAnsi" w:cstheme="majorBidi"/>
      <w:b/>
      <w:bCs/>
      <w:kern w:val="2"/>
      <w:sz w:val="24"/>
      <w:szCs w:val="28"/>
    </w:rPr>
  </w:style>
  <w:style w:type="character" w:customStyle="1" w:styleId="34">
    <w:name w:val="标题 5 字符"/>
    <w:basedOn w:val="25"/>
    <w:link w:val="6"/>
    <w:qFormat/>
    <w:uiPriority w:val="9"/>
    <w:rPr>
      <w:rFonts w:eastAsia="仿宋" w:cs="Arial"/>
      <w:b/>
      <w:bCs/>
      <w:kern w:val="2"/>
      <w:sz w:val="24"/>
      <w:szCs w:val="28"/>
    </w:rPr>
  </w:style>
  <w:style w:type="character" w:customStyle="1" w:styleId="35">
    <w:name w:val="fontstyle01"/>
    <w:basedOn w:val="25"/>
    <w:qFormat/>
    <w:uiPriority w:val="0"/>
    <w:rPr>
      <w:rFonts w:hint="eastAsia" w:ascii="微软雅黑" w:hAnsi="微软雅黑" w:eastAsia="微软雅黑"/>
      <w:b/>
      <w:bCs/>
      <w:color w:val="000000"/>
      <w:sz w:val="32"/>
      <w:szCs w:val="32"/>
    </w:rPr>
  </w:style>
  <w:style w:type="character" w:customStyle="1" w:styleId="36">
    <w:name w:val="fontstyle11"/>
    <w:basedOn w:val="25"/>
    <w:qFormat/>
    <w:uiPriority w:val="0"/>
    <w:rPr>
      <w:rFonts w:hint="default" w:ascii="Calibri" w:hAnsi="Calibri"/>
      <w:b/>
      <w:bCs/>
      <w:color w:val="FFFFFF"/>
      <w:sz w:val="40"/>
      <w:szCs w:val="40"/>
    </w:rPr>
  </w:style>
  <w:style w:type="paragraph" w:customStyle="1" w:styleId="37">
    <w:name w:val="报告正文"/>
    <w:basedOn w:val="1"/>
    <w:qFormat/>
    <w:uiPriority w:val="0"/>
    <w:rPr>
      <w:rFonts w:ascii="仿宋" w:hAnsi="仿宋" w:cstheme="minorBidi"/>
    </w:rPr>
  </w:style>
  <w:style w:type="character" w:customStyle="1" w:styleId="38">
    <w:name w:val="批注框文本 字符"/>
    <w:basedOn w:val="25"/>
    <w:link w:val="14"/>
    <w:semiHidden/>
    <w:uiPriority w:val="99"/>
    <w:rPr>
      <w:rFonts w:cs="Arial"/>
      <w:kern w:val="2"/>
      <w:sz w:val="18"/>
      <w:szCs w:val="18"/>
    </w:rPr>
  </w:style>
  <w:style w:type="paragraph" w:customStyle="1" w:styleId="39">
    <w:name w:val="表格2"/>
    <w:basedOn w:val="1"/>
    <w:qFormat/>
    <w:uiPriority w:val="0"/>
    <w:pPr>
      <w:spacing w:line="240" w:lineRule="auto"/>
      <w:jc w:val="center"/>
      <w:textAlignment w:val="center"/>
    </w:pPr>
    <w:rPr>
      <w:rFonts w:ascii="宋体" w:hAnsi="微软雅黑" w:eastAsia="黑体" w:cs="宋体"/>
      <w:color w:val="000000"/>
      <w:szCs w:val="24"/>
    </w:rPr>
  </w:style>
  <w:style w:type="table" w:customStyle="1" w:styleId="40">
    <w:name w:val="网格型1"/>
    <w:basedOn w:val="2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日期 字符"/>
    <w:basedOn w:val="25"/>
    <w:link w:val="13"/>
    <w:semiHidden/>
    <w:qFormat/>
    <w:uiPriority w:val="99"/>
    <w:rPr>
      <w:rFonts w:eastAsia="仿宋" w:cs="Arial"/>
      <w:kern w:val="2"/>
      <w:sz w:val="24"/>
      <w:szCs w:val="22"/>
    </w:rPr>
  </w:style>
  <w:style w:type="paragraph" w:customStyle="1" w:styleId="4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3">
    <w:name w:val="未处理的提及1"/>
    <w:basedOn w:val="25"/>
    <w:semiHidden/>
    <w:unhideWhenUsed/>
    <w:qFormat/>
    <w:uiPriority w:val="99"/>
    <w:rPr>
      <w:color w:val="605E5C"/>
      <w:shd w:val="clear" w:color="auto" w:fill="E1DFDD"/>
    </w:rPr>
  </w:style>
  <w:style w:type="character" w:customStyle="1" w:styleId="44">
    <w:name w:val="批注文字 字符"/>
    <w:basedOn w:val="25"/>
    <w:link w:val="9"/>
    <w:semiHidden/>
    <w:qFormat/>
    <w:uiPriority w:val="99"/>
    <w:rPr>
      <w:rFonts w:eastAsia="仿宋" w:cs="Arial"/>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B772-ADE9-4251-A851-D8976D0A7CCF}">
  <ds:schemaRefs/>
</ds:datastoreItem>
</file>

<file path=docProps/app.xml><?xml version="1.0" encoding="utf-8"?>
<Properties xmlns="http://schemas.openxmlformats.org/officeDocument/2006/extended-properties" xmlns:vt="http://schemas.openxmlformats.org/officeDocument/2006/docPropsVTypes">
  <Template>Normal</Template>
  <Company>Lvmama.com</Company>
  <Pages>75</Pages>
  <Words>8272</Words>
  <Characters>47151</Characters>
  <Lines>392</Lines>
  <Paragraphs>110</Paragraphs>
  <TotalTime>38</TotalTime>
  <ScaleCrop>false</ScaleCrop>
  <LinksUpToDate>false</LinksUpToDate>
  <CharactersWithSpaces>55313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2023-02-06T01:52:00Z</dcterms:created>
  <dc:creator>高隽喆</dc:creator>
  <cp:lastModifiedBy>一颗初心、慢煮岁月</cp:lastModifiedBy>
  <cp:lastPrinted>2023-07-28T08:30:00Z</cp:lastPrinted>
  <dcterms:modified xsi:type="dcterms:W3CDTF">2023-11-01T09:51:56Z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306AE4EC41B641B8A9A34DC53BC37E28</vt:lpwstr>
  </property>
</Properties>
</file>