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emf" ContentType="image/x-e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CE76179">
      <w:pPr>
        <w:keepNext w:val="0"/>
        <w:keepLines w:val="0"/>
        <w:pageBreakBefore w:val="0"/>
        <w:widowControl w:val="0"/>
        <w:kinsoku/>
        <w:wordWrap/>
        <w:overflowPunct/>
        <w:topLinePunct w:val="0"/>
        <w:autoSpaceDE/>
        <w:autoSpaceDN/>
        <w:bidi w:val="0"/>
        <w:adjustRightInd/>
        <w:snapToGrid/>
        <w:ind w:left="-960" w:leftChars="-400" w:firstLine="0" w:firstLineChars="0"/>
        <w:jc w:val="center"/>
        <w:textAlignment w:val="auto"/>
        <w:outlineLvl w:val="9"/>
        <w:rPr>
          <w:rFonts w:hint="eastAsia" w:ascii="Times New Roman" w:hAnsi="Times New Roman" w:eastAsia="宋体" w:cs="Times New Roman"/>
          <w:b/>
          <w:bCs/>
          <w:color w:val="000000" w:themeColor="text1"/>
          <w:sz w:val="36"/>
          <w:szCs w:val="36"/>
          <w:lang w:eastAsia="zh-CN"/>
          <w14:textFill>
            <w14:solidFill>
              <w14:schemeClr w14:val="tx1"/>
            </w14:solidFill>
          </w14:textFill>
        </w:rPr>
      </w:pPr>
      <w:r>
        <w:rPr>
          <w:rFonts w:hint="default" w:ascii="Times New Roman" w:hAnsi="Times New Roman" w:eastAsia="宋体" w:cs="Times New Roman"/>
          <w:b/>
          <w:bCs/>
          <w:color w:val="000000" w:themeColor="text1"/>
          <w:sz w:val="36"/>
          <w:szCs w:val="36"/>
          <w:lang w:eastAsia="zh-CN"/>
          <w14:textFill>
            <w14:solidFill>
              <w14:schemeClr w14:val="tx1"/>
            </w14:solidFill>
          </w14:textFill>
        </w:rPr>
        <w:drawing>
          <wp:inline distT="0" distB="0" distL="114300" distR="114300">
            <wp:extent cx="6115685" cy="8648700"/>
            <wp:effectExtent l="0" t="0" r="18415" b="0"/>
            <wp:docPr id="4" name="图片 4" descr="核心育种场盖章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核心育种场盖章_00"/>
                    <pic:cNvPicPr>
                      <a:picLocks noChangeAspect="1"/>
                    </pic:cNvPicPr>
                  </pic:nvPicPr>
                  <pic:blipFill>
                    <a:blip r:embed="rId24"/>
                    <a:stretch>
                      <a:fillRect/>
                    </a:stretch>
                  </pic:blipFill>
                  <pic:spPr>
                    <a:xfrm>
                      <a:off x="0" y="0"/>
                      <a:ext cx="6115685" cy="8648700"/>
                    </a:xfrm>
                    <a:prstGeom prst="rect">
                      <a:avLst/>
                    </a:prstGeom>
                  </pic:spPr>
                </pic:pic>
              </a:graphicData>
            </a:graphic>
          </wp:inline>
        </w:drawing>
      </w:r>
      <w:r>
        <w:rPr>
          <w:rFonts w:hint="eastAsia" w:ascii="Times New Roman" w:hAnsi="Times New Roman" w:eastAsia="宋体" w:cs="Times New Roman"/>
          <w:b/>
          <w:bCs/>
          <w:color w:val="000000" w:themeColor="text1"/>
          <w:sz w:val="36"/>
          <w:szCs w:val="36"/>
          <w:lang w:eastAsia="zh-CN"/>
          <w14:textFill>
            <w14:solidFill>
              <w14:schemeClr w14:val="tx1"/>
            </w14:solidFill>
          </w14:textFill>
        </w:rPr>
        <w:drawing>
          <wp:inline distT="0" distB="0" distL="114300" distR="114300">
            <wp:extent cx="6257925" cy="8098790"/>
            <wp:effectExtent l="0" t="0" r="9525" b="16510"/>
            <wp:docPr id="76" name="图片 76" descr="编制单位和编制人员情况表(1)(1)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编制单位和编制人员情况表(1)(1)_00"/>
                    <pic:cNvPicPr>
                      <a:picLocks noChangeAspect="1"/>
                    </pic:cNvPicPr>
                  </pic:nvPicPr>
                  <pic:blipFill>
                    <a:blip r:embed="rId25"/>
                    <a:stretch>
                      <a:fillRect/>
                    </a:stretch>
                  </pic:blipFill>
                  <pic:spPr>
                    <a:xfrm>
                      <a:off x="0" y="0"/>
                      <a:ext cx="6257925" cy="8098790"/>
                    </a:xfrm>
                    <a:prstGeom prst="rect">
                      <a:avLst/>
                    </a:prstGeom>
                  </pic:spPr>
                </pic:pic>
              </a:graphicData>
            </a:graphic>
          </wp:inline>
        </w:drawing>
      </w:r>
      <w:r>
        <w:rPr>
          <w:rFonts w:hint="eastAsia" w:ascii="Times New Roman" w:hAnsi="Times New Roman" w:eastAsia="宋体" w:cs="Times New Roman"/>
          <w:b/>
          <w:bCs/>
          <w:color w:val="000000" w:themeColor="text1"/>
          <w:sz w:val="36"/>
          <w:szCs w:val="36"/>
          <w:lang w:eastAsia="zh-CN"/>
          <w14:textFill>
            <w14:solidFill>
              <w14:schemeClr w14:val="tx1"/>
            </w14:solidFill>
          </w14:textFill>
        </w:rPr>
        <w:drawing>
          <wp:inline distT="0" distB="0" distL="114300" distR="114300">
            <wp:extent cx="5835650" cy="7552690"/>
            <wp:effectExtent l="0" t="0" r="12700" b="10160"/>
            <wp:docPr id="75" name="图片 75" descr="编制单位和编制人员情况表(1)(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编制单位和编制人员情况表(1)(1)_01"/>
                    <pic:cNvPicPr>
                      <a:picLocks noChangeAspect="1"/>
                    </pic:cNvPicPr>
                  </pic:nvPicPr>
                  <pic:blipFill>
                    <a:blip r:embed="rId26"/>
                    <a:stretch>
                      <a:fillRect/>
                    </a:stretch>
                  </pic:blipFill>
                  <pic:spPr>
                    <a:xfrm>
                      <a:off x="0" y="0"/>
                      <a:ext cx="5835650" cy="7552690"/>
                    </a:xfrm>
                    <a:prstGeom prst="rect">
                      <a:avLst/>
                    </a:prstGeom>
                  </pic:spPr>
                </pic:pic>
              </a:graphicData>
            </a:graphic>
          </wp:inline>
        </w:drawing>
      </w:r>
      <w:r>
        <w:rPr>
          <w:rFonts w:hint="eastAsia" w:ascii="Times New Roman" w:hAnsi="Times New Roman" w:eastAsia="宋体" w:cs="Times New Roman"/>
          <w:b/>
          <w:bCs/>
          <w:color w:val="000000" w:themeColor="text1"/>
          <w:sz w:val="36"/>
          <w:szCs w:val="36"/>
          <w:lang w:eastAsia="zh-CN"/>
          <w14:textFill>
            <w14:solidFill>
              <w14:schemeClr w14:val="tx1"/>
            </w14:solidFill>
          </w14:textFill>
        </w:rPr>
        <w:drawing>
          <wp:inline distT="0" distB="0" distL="114300" distR="114300">
            <wp:extent cx="5269865" cy="6819900"/>
            <wp:effectExtent l="0" t="0" r="6985" b="0"/>
            <wp:docPr id="74" name="图片 74" descr="编制单位和编制人员情况表(1)(1)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编制单位和编制人员情况表(1)(1)_02"/>
                    <pic:cNvPicPr>
                      <a:picLocks noChangeAspect="1"/>
                    </pic:cNvPicPr>
                  </pic:nvPicPr>
                  <pic:blipFill>
                    <a:blip r:embed="rId27"/>
                    <a:stretch>
                      <a:fillRect/>
                    </a:stretch>
                  </pic:blipFill>
                  <pic:spPr>
                    <a:xfrm>
                      <a:off x="0" y="0"/>
                      <a:ext cx="5269865" cy="6819900"/>
                    </a:xfrm>
                    <a:prstGeom prst="rect">
                      <a:avLst/>
                    </a:prstGeom>
                  </pic:spPr>
                </pic:pic>
              </a:graphicData>
            </a:graphic>
          </wp:inline>
        </w:drawing>
      </w:r>
      <w:r>
        <w:rPr>
          <w:rFonts w:hint="eastAsia" w:ascii="Times New Roman" w:hAnsi="Times New Roman" w:eastAsia="宋体" w:cs="Times New Roman"/>
          <w:b/>
          <w:bCs/>
          <w:color w:val="000000" w:themeColor="text1"/>
          <w:sz w:val="36"/>
          <w:szCs w:val="36"/>
          <w:lang w:eastAsia="zh-CN"/>
          <w14:textFill>
            <w14:solidFill>
              <w14:schemeClr w14:val="tx1"/>
            </w14:solidFill>
          </w14:textFill>
        </w:rPr>
        <w:drawing>
          <wp:inline distT="0" distB="0" distL="114300" distR="114300">
            <wp:extent cx="5269865" cy="6819900"/>
            <wp:effectExtent l="0" t="0" r="6985" b="0"/>
            <wp:docPr id="71" name="图片 71" descr="编制单位和编制人员情况表(1)(1)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编制单位和编制人员情况表(1)(1)_03"/>
                    <pic:cNvPicPr>
                      <a:picLocks noChangeAspect="1"/>
                    </pic:cNvPicPr>
                  </pic:nvPicPr>
                  <pic:blipFill>
                    <a:blip r:embed="rId28"/>
                    <a:stretch>
                      <a:fillRect/>
                    </a:stretch>
                  </pic:blipFill>
                  <pic:spPr>
                    <a:xfrm>
                      <a:off x="0" y="0"/>
                      <a:ext cx="5269865" cy="6819900"/>
                    </a:xfrm>
                    <a:prstGeom prst="rect">
                      <a:avLst/>
                    </a:prstGeom>
                  </pic:spPr>
                </pic:pic>
              </a:graphicData>
            </a:graphic>
          </wp:inline>
        </w:drawing>
      </w:r>
      <w:r>
        <w:rPr>
          <w:rFonts w:hint="eastAsia" w:ascii="Times New Roman" w:hAnsi="Times New Roman" w:eastAsia="宋体" w:cs="Times New Roman"/>
          <w:b/>
          <w:bCs/>
          <w:color w:val="000000" w:themeColor="text1"/>
          <w:sz w:val="36"/>
          <w:szCs w:val="36"/>
          <w:lang w:eastAsia="zh-CN"/>
          <w14:textFill>
            <w14:solidFill>
              <w14:schemeClr w14:val="tx1"/>
            </w14:solidFill>
          </w14:textFill>
        </w:rPr>
        <w:drawing>
          <wp:inline distT="0" distB="0" distL="114300" distR="114300">
            <wp:extent cx="5708015" cy="7386955"/>
            <wp:effectExtent l="0" t="0" r="6985" b="4445"/>
            <wp:docPr id="69" name="图片 69" descr="编制单位和编制人员情况表(1)(1)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编制单位和编制人员情况表(1)(1)_04"/>
                    <pic:cNvPicPr>
                      <a:picLocks noChangeAspect="1"/>
                    </pic:cNvPicPr>
                  </pic:nvPicPr>
                  <pic:blipFill>
                    <a:blip r:embed="rId29"/>
                    <a:stretch>
                      <a:fillRect/>
                    </a:stretch>
                  </pic:blipFill>
                  <pic:spPr>
                    <a:xfrm>
                      <a:off x="0" y="0"/>
                      <a:ext cx="5708015" cy="7386955"/>
                    </a:xfrm>
                    <a:prstGeom prst="rect">
                      <a:avLst/>
                    </a:prstGeom>
                  </pic:spPr>
                </pic:pic>
              </a:graphicData>
            </a:graphic>
          </wp:inline>
        </w:drawing>
      </w:r>
      <w:r>
        <w:rPr>
          <w:rFonts w:hint="eastAsia" w:ascii="Times New Roman" w:hAnsi="Times New Roman" w:eastAsia="宋体" w:cs="Times New Roman"/>
          <w:b/>
          <w:bCs/>
          <w:color w:val="000000" w:themeColor="text1"/>
          <w:sz w:val="36"/>
          <w:szCs w:val="36"/>
          <w:lang w:eastAsia="zh-CN"/>
          <w14:textFill>
            <w14:solidFill>
              <w14:schemeClr w14:val="tx1"/>
            </w14:solidFill>
          </w14:textFill>
        </w:rPr>
        <w:drawing>
          <wp:inline distT="0" distB="0" distL="114300" distR="114300">
            <wp:extent cx="5570855" cy="7209790"/>
            <wp:effectExtent l="0" t="0" r="10795" b="10160"/>
            <wp:docPr id="68" name="图片 68" descr="编制单位和编制人员情况表(1)(1)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编制单位和编制人员情况表(1)(1)_05"/>
                    <pic:cNvPicPr>
                      <a:picLocks noChangeAspect="1"/>
                    </pic:cNvPicPr>
                  </pic:nvPicPr>
                  <pic:blipFill>
                    <a:blip r:embed="rId30"/>
                    <a:stretch>
                      <a:fillRect/>
                    </a:stretch>
                  </pic:blipFill>
                  <pic:spPr>
                    <a:xfrm>
                      <a:off x="0" y="0"/>
                      <a:ext cx="5570855" cy="7209790"/>
                    </a:xfrm>
                    <a:prstGeom prst="rect">
                      <a:avLst/>
                    </a:prstGeom>
                  </pic:spPr>
                </pic:pic>
              </a:graphicData>
            </a:graphic>
          </wp:inline>
        </w:drawing>
      </w:r>
      <w:r>
        <w:rPr>
          <w:rFonts w:hint="eastAsia" w:ascii="Times New Roman" w:hAnsi="Times New Roman" w:eastAsia="宋体" w:cs="Times New Roman"/>
          <w:b/>
          <w:bCs/>
          <w:color w:val="000000" w:themeColor="text1"/>
          <w:sz w:val="36"/>
          <w:szCs w:val="36"/>
          <w:lang w:eastAsia="zh-CN"/>
          <w14:textFill>
            <w14:solidFill>
              <w14:schemeClr w14:val="tx1"/>
            </w14:solidFill>
          </w14:textFill>
        </w:rPr>
        <w:drawing>
          <wp:inline distT="0" distB="0" distL="114300" distR="114300">
            <wp:extent cx="5716905" cy="8219440"/>
            <wp:effectExtent l="0" t="0" r="17145" b="10160"/>
            <wp:docPr id="27" name="图片 27" descr="编制单位和编制人员情况表(1)(1)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编制单位和编制人员情况表(1)(1)_06"/>
                    <pic:cNvPicPr>
                      <a:picLocks noChangeAspect="1"/>
                    </pic:cNvPicPr>
                  </pic:nvPicPr>
                  <pic:blipFill>
                    <a:blip r:embed="rId31"/>
                    <a:stretch>
                      <a:fillRect/>
                    </a:stretch>
                  </pic:blipFill>
                  <pic:spPr>
                    <a:xfrm>
                      <a:off x="0" y="0"/>
                      <a:ext cx="5716905" cy="8219440"/>
                    </a:xfrm>
                    <a:prstGeom prst="rect">
                      <a:avLst/>
                    </a:prstGeom>
                  </pic:spPr>
                </pic:pic>
              </a:graphicData>
            </a:graphic>
          </wp:inline>
        </w:drawing>
      </w:r>
    </w:p>
    <w:p w14:paraId="09A43EEE">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bCs/>
          <w:color w:val="000000" w:themeColor="text1"/>
          <w:sz w:val="36"/>
          <w:szCs w:val="36"/>
          <w14:textFill>
            <w14:solidFill>
              <w14:schemeClr w14:val="tx1"/>
            </w14:solidFill>
          </w14:textFill>
        </w:rPr>
      </w:pPr>
    </w:p>
    <w:p w14:paraId="12FD62AC">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bCs/>
          <w:color w:val="000000" w:themeColor="text1"/>
          <w:sz w:val="36"/>
          <w:szCs w:val="36"/>
          <w14:textFill>
            <w14:solidFill>
              <w14:schemeClr w14:val="tx1"/>
            </w14:solidFill>
          </w14:textFill>
        </w:rPr>
      </w:pPr>
    </w:p>
    <w:p w14:paraId="42DCAF65">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bCs/>
          <w:color w:val="000000" w:themeColor="text1"/>
          <w:sz w:val="36"/>
          <w:szCs w:val="36"/>
          <w14:textFill>
            <w14:solidFill>
              <w14:schemeClr w14:val="tx1"/>
            </w14:solidFill>
          </w14:textFill>
        </w:rPr>
      </w:pPr>
    </w:p>
    <w:p w14:paraId="33FD2F3C">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bCs/>
          <w:color w:val="000000" w:themeColor="text1"/>
          <w:sz w:val="36"/>
          <w:szCs w:val="36"/>
          <w14:textFill>
            <w14:solidFill>
              <w14:schemeClr w14:val="tx1"/>
            </w14:solidFill>
          </w14:textFill>
        </w:rPr>
      </w:pPr>
      <w:bookmarkStart w:id="0" w:name="_Toc32629"/>
      <w:bookmarkStart w:id="1" w:name="_Toc28223"/>
      <w:bookmarkStart w:id="2" w:name="_Toc7522"/>
      <w:bookmarkStart w:id="3" w:name="_Toc22589"/>
      <w:bookmarkStart w:id="4" w:name="_Toc5345"/>
      <w:bookmarkStart w:id="5" w:name="_Toc27360"/>
      <w:bookmarkStart w:id="6" w:name="_Toc2873"/>
      <w:r>
        <w:rPr>
          <w:rFonts w:hint="default" w:ascii="Times New Roman" w:hAnsi="Times New Roman" w:eastAsia="宋体" w:cs="Times New Roman"/>
          <w:b/>
          <w:bCs/>
          <w:color w:val="000000" w:themeColor="text1"/>
          <w:sz w:val="36"/>
          <w:szCs w:val="36"/>
          <w14:textFill>
            <w14:solidFill>
              <w14:schemeClr w14:val="tx1"/>
            </w14:solidFill>
          </w14:textFill>
        </w:rPr>
        <w:t>科右前旗现代农牧业园区核心育种场养殖项目</w:t>
      </w:r>
      <w:bookmarkEnd w:id="0"/>
      <w:bookmarkEnd w:id="1"/>
      <w:bookmarkEnd w:id="2"/>
      <w:bookmarkEnd w:id="3"/>
      <w:bookmarkEnd w:id="4"/>
      <w:bookmarkEnd w:id="5"/>
      <w:bookmarkEnd w:id="6"/>
    </w:p>
    <w:p w14:paraId="34EA2441">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bCs/>
          <w:color w:val="000000" w:themeColor="text1"/>
          <w:sz w:val="36"/>
          <w:szCs w:val="36"/>
          <w14:textFill>
            <w14:solidFill>
              <w14:schemeClr w14:val="tx1"/>
            </w14:solidFill>
          </w14:textFill>
        </w:rPr>
      </w:pPr>
      <w:bookmarkStart w:id="7" w:name="_Toc27285"/>
      <w:bookmarkStart w:id="8" w:name="_Toc12002"/>
      <w:bookmarkStart w:id="9" w:name="_Toc1719"/>
      <w:bookmarkStart w:id="10" w:name="_Toc9357"/>
      <w:bookmarkStart w:id="11" w:name="_Toc7977"/>
      <w:bookmarkStart w:id="12" w:name="_Toc14287"/>
      <w:bookmarkStart w:id="13" w:name="_Toc8317"/>
      <w:r>
        <w:rPr>
          <w:rFonts w:hint="default" w:ascii="Times New Roman" w:hAnsi="Times New Roman" w:eastAsia="宋体" w:cs="Times New Roman"/>
          <w:b/>
          <w:bCs/>
          <w:color w:val="000000" w:themeColor="text1"/>
          <w:sz w:val="36"/>
          <w:szCs w:val="36"/>
          <w14:textFill>
            <w14:solidFill>
              <w14:schemeClr w14:val="tx1"/>
            </w14:solidFill>
          </w14:textFill>
        </w:rPr>
        <w:t>环境影响报告书</w:t>
      </w:r>
      <w:bookmarkEnd w:id="7"/>
      <w:bookmarkEnd w:id="8"/>
      <w:bookmarkEnd w:id="9"/>
      <w:bookmarkEnd w:id="10"/>
      <w:bookmarkEnd w:id="11"/>
      <w:bookmarkEnd w:id="12"/>
      <w:bookmarkEnd w:id="13"/>
    </w:p>
    <w:p w14:paraId="440230E4">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bCs/>
          <w:color w:val="000000" w:themeColor="text1"/>
          <w:sz w:val="36"/>
          <w:szCs w:val="36"/>
          <w14:textFill>
            <w14:solidFill>
              <w14:schemeClr w14:val="tx1"/>
            </w14:solidFill>
          </w14:textFill>
        </w:rPr>
      </w:pPr>
      <w:bookmarkStart w:id="14" w:name="_Toc14332"/>
      <w:bookmarkStart w:id="15" w:name="_Toc15274"/>
      <w:bookmarkStart w:id="16" w:name="_Toc26565"/>
      <w:bookmarkStart w:id="17" w:name="_Toc7885"/>
      <w:bookmarkStart w:id="18" w:name="_Toc4134"/>
      <w:bookmarkStart w:id="19" w:name="_Toc1933"/>
      <w:r>
        <w:rPr>
          <w:rFonts w:hint="default" w:ascii="Times New Roman" w:hAnsi="Times New Roman" w:eastAsia="宋体" w:cs="Times New Roman"/>
          <w:b/>
          <w:bCs/>
          <w:color w:val="000000" w:themeColor="text1"/>
          <w:sz w:val="36"/>
          <w:szCs w:val="36"/>
          <w14:textFill>
            <w14:solidFill>
              <w14:schemeClr w14:val="tx1"/>
            </w14:solidFill>
          </w14:textFill>
        </w:rPr>
        <w:t>（送审稿）</w:t>
      </w:r>
      <w:bookmarkEnd w:id="14"/>
      <w:bookmarkEnd w:id="15"/>
      <w:bookmarkEnd w:id="16"/>
      <w:bookmarkEnd w:id="17"/>
      <w:bookmarkEnd w:id="18"/>
      <w:bookmarkEnd w:id="19"/>
    </w:p>
    <w:p w14:paraId="42D52E04">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bCs/>
          <w:color w:val="000000" w:themeColor="text1"/>
          <w:sz w:val="36"/>
          <w:szCs w:val="36"/>
          <w14:textFill>
            <w14:solidFill>
              <w14:schemeClr w14:val="tx1"/>
            </w14:solidFill>
          </w14:textFill>
        </w:rPr>
      </w:pPr>
    </w:p>
    <w:p w14:paraId="3E7BDDB3">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bCs/>
          <w:color w:val="000000" w:themeColor="text1"/>
          <w:sz w:val="36"/>
          <w:szCs w:val="36"/>
          <w14:textFill>
            <w14:solidFill>
              <w14:schemeClr w14:val="tx1"/>
            </w14:solidFill>
          </w14:textFill>
        </w:rPr>
      </w:pPr>
    </w:p>
    <w:p w14:paraId="1D1C9802">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bCs/>
          <w:color w:val="000000" w:themeColor="text1"/>
          <w:sz w:val="36"/>
          <w:szCs w:val="36"/>
          <w14:textFill>
            <w14:solidFill>
              <w14:schemeClr w14:val="tx1"/>
            </w14:solidFill>
          </w14:textFill>
        </w:rPr>
      </w:pPr>
    </w:p>
    <w:p w14:paraId="7D64BA28">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bCs/>
          <w:color w:val="000000" w:themeColor="text1"/>
          <w:sz w:val="36"/>
          <w:szCs w:val="36"/>
          <w14:textFill>
            <w14:solidFill>
              <w14:schemeClr w14:val="tx1"/>
            </w14:solidFill>
          </w14:textFill>
        </w:rPr>
      </w:pPr>
    </w:p>
    <w:p w14:paraId="553F146E">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bCs/>
          <w:color w:val="000000" w:themeColor="text1"/>
          <w:sz w:val="36"/>
          <w:szCs w:val="36"/>
          <w14:textFill>
            <w14:solidFill>
              <w14:schemeClr w14:val="tx1"/>
            </w14:solidFill>
          </w14:textFill>
        </w:rPr>
      </w:pPr>
    </w:p>
    <w:p w14:paraId="2AD34EBC">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bCs/>
          <w:color w:val="000000" w:themeColor="text1"/>
          <w:sz w:val="36"/>
          <w:szCs w:val="36"/>
          <w14:textFill>
            <w14:solidFill>
              <w14:schemeClr w14:val="tx1"/>
            </w14:solidFill>
          </w14:textFill>
        </w:rPr>
      </w:pPr>
    </w:p>
    <w:p w14:paraId="681D93B7">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bCs/>
          <w:color w:val="000000" w:themeColor="text1"/>
          <w:sz w:val="36"/>
          <w:szCs w:val="36"/>
          <w14:textFill>
            <w14:solidFill>
              <w14:schemeClr w14:val="tx1"/>
            </w14:solidFill>
          </w14:textFill>
        </w:rPr>
      </w:pPr>
    </w:p>
    <w:p w14:paraId="64F46305">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bCs/>
          <w:color w:val="000000" w:themeColor="text1"/>
          <w:sz w:val="36"/>
          <w:szCs w:val="36"/>
          <w14:textFill>
            <w14:solidFill>
              <w14:schemeClr w14:val="tx1"/>
            </w14:solidFill>
          </w14:textFill>
        </w:rPr>
      </w:pPr>
    </w:p>
    <w:p w14:paraId="283C4BF4">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bCs/>
          <w:color w:val="000000" w:themeColor="text1"/>
          <w:sz w:val="36"/>
          <w:szCs w:val="36"/>
          <w14:textFill>
            <w14:solidFill>
              <w14:schemeClr w14:val="tx1"/>
            </w14:solidFill>
          </w14:textFill>
        </w:rPr>
      </w:pPr>
    </w:p>
    <w:p w14:paraId="5E8E1BD1">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bCs/>
          <w:color w:val="000000" w:themeColor="text1"/>
          <w:sz w:val="36"/>
          <w:szCs w:val="36"/>
          <w14:textFill>
            <w14:solidFill>
              <w14:schemeClr w14:val="tx1"/>
            </w14:solidFill>
          </w14:textFill>
        </w:rPr>
      </w:pPr>
    </w:p>
    <w:p w14:paraId="652924B8">
      <w:pPr>
        <w:keepNext w:val="0"/>
        <w:keepLines w:val="0"/>
        <w:pageBreakBefore w:val="0"/>
        <w:widowControl w:val="0"/>
        <w:kinsoku/>
        <w:wordWrap/>
        <w:overflowPunct/>
        <w:topLinePunct w:val="0"/>
        <w:autoSpaceDE/>
        <w:autoSpaceDN/>
        <w:bidi w:val="0"/>
        <w:adjustRightInd/>
        <w:snapToGrid/>
        <w:ind w:firstLine="602"/>
        <w:jc w:val="center"/>
        <w:textAlignment w:val="auto"/>
        <w:outlineLvl w:val="9"/>
        <w:rPr>
          <w:rFonts w:hint="default" w:ascii="Times New Roman" w:hAnsi="Times New Roman" w:eastAsia="宋体" w:cs="Times New Roman"/>
          <w:b/>
          <w:bCs/>
          <w:color w:val="000000" w:themeColor="text1"/>
          <w:sz w:val="30"/>
          <w:szCs w:val="30"/>
          <w14:textFill>
            <w14:solidFill>
              <w14:schemeClr w14:val="tx1"/>
            </w14:solidFill>
          </w14:textFill>
        </w:rPr>
      </w:pPr>
    </w:p>
    <w:p w14:paraId="0205582D">
      <w:pPr>
        <w:keepNext w:val="0"/>
        <w:keepLines w:val="0"/>
        <w:pageBreakBefore w:val="0"/>
        <w:widowControl w:val="0"/>
        <w:kinsoku/>
        <w:wordWrap/>
        <w:overflowPunct/>
        <w:topLinePunct w:val="0"/>
        <w:autoSpaceDE/>
        <w:autoSpaceDN/>
        <w:bidi w:val="0"/>
        <w:adjustRightInd/>
        <w:snapToGrid/>
        <w:ind w:firstLine="602"/>
        <w:jc w:val="center"/>
        <w:textAlignment w:val="auto"/>
        <w:outlineLvl w:val="9"/>
        <w:rPr>
          <w:rFonts w:hint="default" w:ascii="Times New Roman" w:hAnsi="Times New Roman" w:eastAsia="宋体" w:cs="Times New Roman"/>
          <w:b/>
          <w:bCs/>
          <w:color w:val="000000" w:themeColor="text1"/>
          <w:sz w:val="30"/>
          <w:szCs w:val="30"/>
          <w14:textFill>
            <w14:solidFill>
              <w14:schemeClr w14:val="tx1"/>
            </w14:solidFill>
          </w14:textFill>
        </w:rPr>
      </w:pPr>
      <w:bookmarkStart w:id="20" w:name="_Toc17605"/>
      <w:bookmarkStart w:id="21" w:name="_Toc17029"/>
      <w:bookmarkStart w:id="22" w:name="_Toc885"/>
      <w:bookmarkStart w:id="23" w:name="_Toc15271"/>
      <w:bookmarkStart w:id="24" w:name="_Toc3009"/>
      <w:bookmarkStart w:id="25" w:name="_Toc10399"/>
      <w:r>
        <w:rPr>
          <w:rFonts w:hint="default" w:ascii="Times New Roman" w:hAnsi="Times New Roman" w:eastAsia="宋体" w:cs="Times New Roman"/>
          <w:b/>
          <w:bCs/>
          <w:color w:val="000000" w:themeColor="text1"/>
          <w:sz w:val="30"/>
          <w:szCs w:val="30"/>
          <w14:textFill>
            <w14:solidFill>
              <w14:schemeClr w14:val="tx1"/>
            </w14:solidFill>
          </w14:textFill>
        </w:rPr>
        <w:t>建设单位：科尔沁右翼前旗现代农牧业园区管理委员会</w:t>
      </w:r>
      <w:bookmarkEnd w:id="20"/>
      <w:bookmarkEnd w:id="21"/>
      <w:bookmarkEnd w:id="22"/>
      <w:bookmarkEnd w:id="23"/>
      <w:bookmarkEnd w:id="24"/>
      <w:bookmarkEnd w:id="25"/>
    </w:p>
    <w:p w14:paraId="59C365A4">
      <w:pPr>
        <w:keepNext w:val="0"/>
        <w:keepLines w:val="0"/>
        <w:pageBreakBefore w:val="0"/>
        <w:widowControl w:val="0"/>
        <w:kinsoku/>
        <w:wordWrap/>
        <w:overflowPunct/>
        <w:topLinePunct w:val="0"/>
        <w:autoSpaceDE/>
        <w:autoSpaceDN/>
        <w:bidi w:val="0"/>
        <w:adjustRightInd/>
        <w:snapToGrid/>
        <w:ind w:firstLine="602"/>
        <w:jc w:val="center"/>
        <w:textAlignment w:val="auto"/>
        <w:outlineLvl w:val="9"/>
        <w:rPr>
          <w:rFonts w:hint="default" w:ascii="Times New Roman" w:hAnsi="Times New Roman" w:eastAsia="宋体" w:cs="Times New Roman"/>
          <w:b/>
          <w:bCs/>
          <w:color w:val="000000" w:themeColor="text1"/>
          <w:sz w:val="30"/>
          <w:szCs w:val="30"/>
          <w14:textFill>
            <w14:solidFill>
              <w14:schemeClr w14:val="tx1"/>
            </w14:solidFill>
          </w14:textFill>
        </w:rPr>
      </w:pPr>
      <w:bookmarkStart w:id="26" w:name="_Toc10710"/>
      <w:bookmarkStart w:id="27" w:name="_Toc7276"/>
      <w:bookmarkStart w:id="28" w:name="_Toc5687"/>
      <w:bookmarkStart w:id="29" w:name="_Toc19509"/>
      <w:bookmarkStart w:id="30" w:name="_Toc10528"/>
      <w:bookmarkStart w:id="31" w:name="_Toc8549"/>
      <w:bookmarkStart w:id="32" w:name="_Toc2987"/>
      <w:r>
        <w:rPr>
          <w:rFonts w:hint="default" w:ascii="Times New Roman" w:hAnsi="Times New Roman" w:eastAsia="宋体" w:cs="Times New Roman"/>
          <w:b/>
          <w:bCs/>
          <w:color w:val="000000" w:themeColor="text1"/>
          <w:sz w:val="30"/>
          <w:szCs w:val="30"/>
          <w14:textFill>
            <w14:solidFill>
              <w14:schemeClr w14:val="tx1"/>
            </w14:solidFill>
          </w14:textFill>
        </w:rPr>
        <w:t>编制单位：兴安盟博良环保技术有限公司</w:t>
      </w:r>
      <w:bookmarkEnd w:id="26"/>
      <w:bookmarkEnd w:id="27"/>
      <w:bookmarkEnd w:id="28"/>
      <w:bookmarkEnd w:id="29"/>
      <w:bookmarkEnd w:id="30"/>
      <w:bookmarkEnd w:id="31"/>
      <w:bookmarkEnd w:id="32"/>
    </w:p>
    <w:p w14:paraId="332FD3D1">
      <w:pPr>
        <w:keepNext w:val="0"/>
        <w:keepLines w:val="0"/>
        <w:pageBreakBefore w:val="0"/>
        <w:widowControl w:val="0"/>
        <w:kinsoku/>
        <w:wordWrap/>
        <w:overflowPunct/>
        <w:topLinePunct w:val="0"/>
        <w:autoSpaceDE/>
        <w:autoSpaceDN/>
        <w:bidi w:val="0"/>
        <w:adjustRightInd/>
        <w:snapToGrid/>
        <w:ind w:firstLine="602"/>
        <w:jc w:val="center"/>
        <w:textAlignment w:val="auto"/>
        <w:outlineLvl w:val="9"/>
        <w:rPr>
          <w:rFonts w:hint="default" w:ascii="Times New Roman" w:hAnsi="Times New Roman" w:eastAsia="宋体" w:cs="Times New Roman"/>
          <w:b/>
          <w:bCs/>
          <w:color w:val="000000" w:themeColor="text1"/>
          <w:sz w:val="30"/>
          <w:szCs w:val="30"/>
          <w14:textFill>
            <w14:solidFill>
              <w14:schemeClr w14:val="tx1"/>
            </w14:solidFill>
          </w14:textFill>
        </w:rPr>
      </w:pPr>
      <w:r>
        <w:rPr>
          <w:rFonts w:hint="default" w:ascii="Times New Roman" w:hAnsi="Times New Roman" w:eastAsia="宋体" w:cs="Times New Roman"/>
          <w:b/>
          <w:bCs/>
          <w:color w:val="000000" w:themeColor="text1"/>
          <w:sz w:val="30"/>
          <w:szCs w:val="30"/>
          <w14:textFill>
            <w14:solidFill>
              <w14:schemeClr w14:val="tx1"/>
            </w14:solidFill>
          </w14:textFill>
        </w:rPr>
        <w:t>二零二四年七月</w:t>
      </w:r>
    </w:p>
    <w:p w14:paraId="1FD3D379">
      <w:pPr>
        <w:ind w:firstLine="480"/>
        <w:rPr>
          <w:rFonts w:hint="default" w:ascii="Times New Roman" w:hAnsi="Times New Roman" w:eastAsia="宋体" w:cs="Times New Roman"/>
          <w:color w:val="000000" w:themeColor="text1"/>
          <w14:textFill>
            <w14:solidFill>
              <w14:schemeClr w14:val="tx1"/>
            </w14:solidFill>
          </w14:textFill>
        </w:rPr>
      </w:pPr>
    </w:p>
    <w:p w14:paraId="7787EBEB">
      <w:pPr>
        <w:ind w:firstLine="480"/>
        <w:rPr>
          <w:rFonts w:hint="default" w:ascii="Times New Roman" w:hAnsi="Times New Roman" w:eastAsia="宋体" w:cs="Times New Roman"/>
          <w:color w:val="000000" w:themeColor="text1"/>
          <w14:textFill>
            <w14:solidFill>
              <w14:schemeClr w14:val="tx1"/>
            </w14:solidFill>
          </w14:textFill>
        </w:rPr>
      </w:pPr>
    </w:p>
    <w:p w14:paraId="58271919">
      <w:pPr>
        <w:spacing w:before="0" w:beforeLines="0" w:after="0" w:afterLines="0" w:line="240" w:lineRule="auto"/>
        <w:ind w:left="0" w:leftChars="0" w:right="0" w:rightChars="0" w:firstLine="0" w:firstLineChars="0"/>
        <w:jc w:val="center"/>
        <w:rPr>
          <w:rFonts w:ascii="宋体" w:hAnsi="宋体" w:eastAsia="宋体" w:cstheme="minorBidi"/>
          <w:color w:val="000000" w:themeColor="text1"/>
          <w:kern w:val="2"/>
          <w:sz w:val="21"/>
          <w:szCs w:val="24"/>
          <w:lang w:val="en-US" w:eastAsia="zh-CN" w:bidi="ar-SA"/>
          <w14:textFill>
            <w14:solidFill>
              <w14:schemeClr w14:val="tx1"/>
            </w14:solidFill>
          </w14:textFill>
        </w:rPr>
        <w:sectPr>
          <w:headerReference r:id="rId6" w:type="first"/>
          <w:footerReference r:id="rId8" w:type="first"/>
          <w:headerReference r:id="rId5" w:type="default"/>
          <w:footerReference r:id="rId7" w:type="default"/>
          <w:pgSz w:w="11910" w:h="16840"/>
          <w:pgMar w:top="1440" w:right="1803" w:bottom="1440" w:left="1803" w:header="898" w:footer="998" w:gutter="0"/>
          <w:pgNumType w:start="1"/>
          <w:cols w:space="0" w:num="1"/>
          <w:titlePg/>
        </w:sectPr>
      </w:pPr>
    </w:p>
    <w:sdt>
      <w:sdtPr>
        <w:rPr>
          <w:rFonts w:ascii="宋体" w:hAnsi="宋体" w:eastAsia="宋体" w:cstheme="minorBidi"/>
          <w:b/>
          <w:bCs/>
          <w:kern w:val="2"/>
          <w:sz w:val="30"/>
          <w:szCs w:val="30"/>
          <w:lang w:val="en-US" w:eastAsia="zh-CN" w:bidi="ar-SA"/>
        </w:rPr>
        <w:id w:val="147466844"/>
        <w15:color w:val="DBDBDB"/>
        <w:docPartObj>
          <w:docPartGallery w:val="Table of Contents"/>
          <w:docPartUnique/>
        </w:docPartObj>
      </w:sdtPr>
      <w:sdtEndPr>
        <w:rPr>
          <w:rFonts w:hint="default" w:ascii="宋体" w:hAnsi="Courier New" w:eastAsia="宋体" w:cs="Times New Roman"/>
          <w:b/>
          <w:bCs/>
          <w:kern w:val="2"/>
          <w:sz w:val="24"/>
          <w:szCs w:val="24"/>
          <w:lang w:val="en-US" w:eastAsia="zh-CN" w:bidi="ar-SA"/>
        </w:rPr>
      </w:sdtEndPr>
      <w:sdtContent>
        <w:p w14:paraId="32FEFD83">
          <w:pPr>
            <w:spacing w:before="0" w:beforeLines="0" w:after="0" w:afterLines="0" w:line="240" w:lineRule="auto"/>
            <w:ind w:left="0" w:leftChars="0" w:right="0" w:rightChars="0" w:firstLine="0" w:firstLineChars="0"/>
            <w:jc w:val="center"/>
            <w:rPr>
              <w:b/>
              <w:bCs/>
              <w:sz w:val="30"/>
              <w:szCs w:val="30"/>
            </w:rPr>
          </w:pPr>
          <w:r>
            <w:rPr>
              <w:rFonts w:ascii="宋体" w:hAnsi="宋体" w:eastAsia="宋体"/>
              <w:b/>
              <w:bCs/>
              <w:sz w:val="30"/>
              <w:szCs w:val="30"/>
            </w:rPr>
            <w:t>目录</w:t>
          </w:r>
        </w:p>
        <w:p w14:paraId="5B302581">
          <w:pPr>
            <w:pStyle w:val="21"/>
            <w:keepNext w:val="0"/>
            <w:keepLines w:val="0"/>
            <w:pageBreakBefore w:val="0"/>
            <w:widowControl w:val="0"/>
            <w:tabs>
              <w:tab w:val="right" w:leader="dot" w:pos="8304"/>
            </w:tabs>
            <w:kinsoku/>
            <w:wordWrap/>
            <w:overflowPunct/>
            <w:topLinePunct w:val="0"/>
            <w:autoSpaceDE/>
            <w:autoSpaceDN/>
            <w:bidi w:val="0"/>
            <w:adjustRightInd/>
            <w:snapToGrid/>
            <w:spacing w:before="0"/>
            <w:ind w:left="0" w:right="0"/>
            <w:textAlignment w:val="auto"/>
            <w:rPr>
              <w:sz w:val="21"/>
              <w:szCs w:val="21"/>
            </w:rPr>
          </w:pPr>
          <w:r>
            <w:rPr>
              <w:rFonts w:hint="default"/>
              <w:sz w:val="21"/>
              <w:szCs w:val="21"/>
            </w:rPr>
            <w:fldChar w:fldCharType="begin"/>
          </w:r>
          <w:r>
            <w:rPr>
              <w:rFonts w:hint="default"/>
              <w:sz w:val="21"/>
              <w:szCs w:val="21"/>
            </w:rPr>
            <w:instrText xml:space="preserve">TOC \o "1-3" \h \u </w:instrText>
          </w:r>
          <w:r>
            <w:rPr>
              <w:rFonts w:hint="default"/>
              <w:sz w:val="21"/>
              <w:szCs w:val="21"/>
            </w:rPr>
            <w:fldChar w:fldCharType="separate"/>
          </w:r>
          <w:r>
            <w:rPr>
              <w:rFonts w:hint="default"/>
              <w:sz w:val="21"/>
              <w:szCs w:val="21"/>
            </w:rPr>
            <w:fldChar w:fldCharType="begin"/>
          </w:r>
          <w:r>
            <w:rPr>
              <w:rFonts w:hint="default"/>
              <w:sz w:val="21"/>
              <w:szCs w:val="21"/>
            </w:rPr>
            <w:instrText xml:space="preserve"> HYPERLINK \l _Toc20885 </w:instrText>
          </w:r>
          <w:r>
            <w:rPr>
              <w:rFonts w:hint="default"/>
              <w:sz w:val="21"/>
              <w:szCs w:val="21"/>
            </w:rPr>
            <w:fldChar w:fldCharType="separate"/>
          </w:r>
          <w:r>
            <w:rPr>
              <w:rFonts w:hint="default" w:ascii="Times New Roman" w:hAnsi="Times New Roman" w:eastAsia="宋体" w:cs="Times New Roman"/>
              <w:bCs/>
              <w:sz w:val="21"/>
              <w:szCs w:val="21"/>
            </w:rPr>
            <w:t>1概述</w:t>
          </w:r>
          <w:r>
            <w:rPr>
              <w:sz w:val="21"/>
              <w:szCs w:val="21"/>
            </w:rPr>
            <w:tab/>
          </w:r>
          <w:r>
            <w:rPr>
              <w:sz w:val="21"/>
              <w:szCs w:val="21"/>
            </w:rPr>
            <w:fldChar w:fldCharType="begin"/>
          </w:r>
          <w:r>
            <w:rPr>
              <w:sz w:val="21"/>
              <w:szCs w:val="21"/>
            </w:rPr>
            <w:instrText xml:space="preserve"> PAGEREF _Toc20885 \h </w:instrText>
          </w:r>
          <w:r>
            <w:rPr>
              <w:sz w:val="21"/>
              <w:szCs w:val="21"/>
            </w:rPr>
            <w:fldChar w:fldCharType="separate"/>
          </w:r>
          <w:r>
            <w:rPr>
              <w:sz w:val="21"/>
              <w:szCs w:val="21"/>
            </w:rPr>
            <w:t>1</w:t>
          </w:r>
          <w:r>
            <w:rPr>
              <w:sz w:val="21"/>
              <w:szCs w:val="21"/>
            </w:rPr>
            <w:fldChar w:fldCharType="end"/>
          </w:r>
          <w:r>
            <w:rPr>
              <w:rFonts w:hint="default"/>
              <w:sz w:val="21"/>
              <w:szCs w:val="21"/>
            </w:rPr>
            <w:fldChar w:fldCharType="end"/>
          </w:r>
        </w:p>
        <w:p w14:paraId="4571C97E">
          <w:pPr>
            <w:pStyle w:val="26"/>
            <w:tabs>
              <w:tab w:val="right" w:leader="dot" w:pos="8304"/>
            </w:tabs>
            <w:rPr>
              <w:sz w:val="21"/>
              <w:szCs w:val="21"/>
            </w:rPr>
          </w:pPr>
          <w:r>
            <w:rPr>
              <w:rFonts w:hint="default"/>
              <w:sz w:val="21"/>
              <w:szCs w:val="21"/>
            </w:rPr>
            <w:fldChar w:fldCharType="begin"/>
          </w:r>
          <w:r>
            <w:rPr>
              <w:rFonts w:hint="default"/>
              <w:sz w:val="21"/>
              <w:szCs w:val="21"/>
            </w:rPr>
            <w:instrText xml:space="preserve"> HYPERLINK \l _Toc10403 </w:instrText>
          </w:r>
          <w:r>
            <w:rPr>
              <w:rFonts w:hint="default"/>
              <w:sz w:val="21"/>
              <w:szCs w:val="21"/>
            </w:rPr>
            <w:fldChar w:fldCharType="separate"/>
          </w:r>
          <w:r>
            <w:rPr>
              <w:rFonts w:hint="default" w:ascii="Times New Roman" w:hAnsi="Times New Roman" w:eastAsia="宋体" w:cs="Times New Roman"/>
              <w:bCs/>
              <w:sz w:val="21"/>
              <w:szCs w:val="21"/>
            </w:rPr>
            <w:t>1.1项目特点及由来</w:t>
          </w:r>
          <w:r>
            <w:rPr>
              <w:sz w:val="21"/>
              <w:szCs w:val="21"/>
            </w:rPr>
            <w:tab/>
          </w:r>
          <w:r>
            <w:rPr>
              <w:sz w:val="21"/>
              <w:szCs w:val="21"/>
            </w:rPr>
            <w:fldChar w:fldCharType="begin"/>
          </w:r>
          <w:r>
            <w:rPr>
              <w:sz w:val="21"/>
              <w:szCs w:val="21"/>
            </w:rPr>
            <w:instrText xml:space="preserve"> PAGEREF _Toc10403 \h </w:instrText>
          </w:r>
          <w:r>
            <w:rPr>
              <w:sz w:val="21"/>
              <w:szCs w:val="21"/>
            </w:rPr>
            <w:fldChar w:fldCharType="separate"/>
          </w:r>
          <w:r>
            <w:rPr>
              <w:sz w:val="21"/>
              <w:szCs w:val="21"/>
            </w:rPr>
            <w:t>1</w:t>
          </w:r>
          <w:r>
            <w:rPr>
              <w:sz w:val="21"/>
              <w:szCs w:val="21"/>
            </w:rPr>
            <w:fldChar w:fldCharType="end"/>
          </w:r>
          <w:r>
            <w:rPr>
              <w:rFonts w:hint="default"/>
              <w:sz w:val="21"/>
              <w:szCs w:val="21"/>
            </w:rPr>
            <w:fldChar w:fldCharType="end"/>
          </w:r>
        </w:p>
        <w:p w14:paraId="7CBDDFBD">
          <w:pPr>
            <w:pStyle w:val="26"/>
            <w:tabs>
              <w:tab w:val="right" w:leader="dot" w:pos="8304"/>
            </w:tabs>
            <w:rPr>
              <w:sz w:val="21"/>
              <w:szCs w:val="21"/>
            </w:rPr>
          </w:pPr>
          <w:r>
            <w:rPr>
              <w:rFonts w:hint="default"/>
              <w:sz w:val="21"/>
              <w:szCs w:val="21"/>
            </w:rPr>
            <w:fldChar w:fldCharType="begin"/>
          </w:r>
          <w:r>
            <w:rPr>
              <w:rFonts w:hint="default"/>
              <w:sz w:val="21"/>
              <w:szCs w:val="21"/>
            </w:rPr>
            <w:instrText xml:space="preserve"> HYPERLINK \l _Toc277 </w:instrText>
          </w:r>
          <w:r>
            <w:rPr>
              <w:rFonts w:hint="default"/>
              <w:sz w:val="21"/>
              <w:szCs w:val="21"/>
            </w:rPr>
            <w:fldChar w:fldCharType="separate"/>
          </w:r>
          <w:r>
            <w:rPr>
              <w:rFonts w:hint="default" w:ascii="Times New Roman" w:hAnsi="Times New Roman" w:eastAsia="宋体" w:cs="Times New Roman"/>
              <w:bCs/>
              <w:sz w:val="21"/>
              <w:szCs w:val="21"/>
            </w:rPr>
            <w:t>1.2环境影响评价工作过程</w:t>
          </w:r>
          <w:r>
            <w:rPr>
              <w:sz w:val="21"/>
              <w:szCs w:val="21"/>
            </w:rPr>
            <w:tab/>
          </w:r>
          <w:r>
            <w:rPr>
              <w:sz w:val="21"/>
              <w:szCs w:val="21"/>
            </w:rPr>
            <w:fldChar w:fldCharType="begin"/>
          </w:r>
          <w:r>
            <w:rPr>
              <w:sz w:val="21"/>
              <w:szCs w:val="21"/>
            </w:rPr>
            <w:instrText xml:space="preserve"> PAGEREF _Toc277 \h </w:instrText>
          </w:r>
          <w:r>
            <w:rPr>
              <w:sz w:val="21"/>
              <w:szCs w:val="21"/>
            </w:rPr>
            <w:fldChar w:fldCharType="separate"/>
          </w:r>
          <w:r>
            <w:rPr>
              <w:sz w:val="21"/>
              <w:szCs w:val="21"/>
            </w:rPr>
            <w:t>1</w:t>
          </w:r>
          <w:r>
            <w:rPr>
              <w:sz w:val="21"/>
              <w:szCs w:val="21"/>
            </w:rPr>
            <w:fldChar w:fldCharType="end"/>
          </w:r>
          <w:r>
            <w:rPr>
              <w:rFonts w:hint="default"/>
              <w:sz w:val="21"/>
              <w:szCs w:val="21"/>
            </w:rPr>
            <w:fldChar w:fldCharType="end"/>
          </w:r>
        </w:p>
        <w:p w14:paraId="6C65E674">
          <w:pPr>
            <w:pStyle w:val="26"/>
            <w:tabs>
              <w:tab w:val="right" w:leader="dot" w:pos="8304"/>
            </w:tabs>
            <w:rPr>
              <w:sz w:val="21"/>
              <w:szCs w:val="21"/>
            </w:rPr>
          </w:pPr>
          <w:r>
            <w:rPr>
              <w:rFonts w:hint="default"/>
              <w:sz w:val="21"/>
              <w:szCs w:val="21"/>
            </w:rPr>
            <w:fldChar w:fldCharType="begin"/>
          </w:r>
          <w:r>
            <w:rPr>
              <w:rFonts w:hint="default"/>
              <w:sz w:val="21"/>
              <w:szCs w:val="21"/>
            </w:rPr>
            <w:instrText xml:space="preserve"> HYPERLINK \l _Toc30878 </w:instrText>
          </w:r>
          <w:r>
            <w:rPr>
              <w:rFonts w:hint="default"/>
              <w:sz w:val="21"/>
              <w:szCs w:val="21"/>
            </w:rPr>
            <w:fldChar w:fldCharType="separate"/>
          </w:r>
          <w:r>
            <w:rPr>
              <w:rFonts w:hint="default" w:ascii="Times New Roman" w:hAnsi="Times New Roman" w:eastAsia="宋体" w:cs="Times New Roman"/>
              <w:bCs/>
              <w:sz w:val="21"/>
              <w:szCs w:val="21"/>
            </w:rPr>
            <w:t>1.3分析判定相关情况</w:t>
          </w:r>
          <w:r>
            <w:rPr>
              <w:sz w:val="21"/>
              <w:szCs w:val="21"/>
            </w:rPr>
            <w:tab/>
          </w:r>
          <w:r>
            <w:rPr>
              <w:sz w:val="21"/>
              <w:szCs w:val="21"/>
            </w:rPr>
            <w:fldChar w:fldCharType="begin"/>
          </w:r>
          <w:r>
            <w:rPr>
              <w:sz w:val="21"/>
              <w:szCs w:val="21"/>
            </w:rPr>
            <w:instrText xml:space="preserve"> PAGEREF _Toc30878 \h </w:instrText>
          </w:r>
          <w:r>
            <w:rPr>
              <w:sz w:val="21"/>
              <w:szCs w:val="21"/>
            </w:rPr>
            <w:fldChar w:fldCharType="separate"/>
          </w:r>
          <w:r>
            <w:rPr>
              <w:sz w:val="21"/>
              <w:szCs w:val="21"/>
            </w:rPr>
            <w:t>3</w:t>
          </w:r>
          <w:r>
            <w:rPr>
              <w:sz w:val="21"/>
              <w:szCs w:val="21"/>
            </w:rPr>
            <w:fldChar w:fldCharType="end"/>
          </w:r>
          <w:r>
            <w:rPr>
              <w:rFonts w:hint="default"/>
              <w:sz w:val="21"/>
              <w:szCs w:val="21"/>
            </w:rPr>
            <w:fldChar w:fldCharType="end"/>
          </w:r>
        </w:p>
        <w:p w14:paraId="2C4BF9A1">
          <w:pPr>
            <w:pStyle w:val="14"/>
            <w:tabs>
              <w:tab w:val="right" w:leader="dot" w:pos="8304"/>
            </w:tabs>
            <w:rPr>
              <w:sz w:val="21"/>
              <w:szCs w:val="21"/>
            </w:rPr>
          </w:pPr>
          <w:r>
            <w:rPr>
              <w:rFonts w:hint="default"/>
              <w:sz w:val="21"/>
              <w:szCs w:val="21"/>
            </w:rPr>
            <w:fldChar w:fldCharType="begin"/>
          </w:r>
          <w:r>
            <w:rPr>
              <w:rFonts w:hint="default"/>
              <w:sz w:val="21"/>
              <w:szCs w:val="21"/>
            </w:rPr>
            <w:instrText xml:space="preserve"> HYPERLINK \l _Toc596 </w:instrText>
          </w:r>
          <w:r>
            <w:rPr>
              <w:rFonts w:hint="default"/>
              <w:sz w:val="21"/>
              <w:szCs w:val="21"/>
            </w:rPr>
            <w:fldChar w:fldCharType="separate"/>
          </w:r>
          <w:r>
            <w:rPr>
              <w:rFonts w:hint="default" w:ascii="Times New Roman" w:hAnsi="Times New Roman" w:eastAsia="宋体" w:cs="Times New Roman"/>
              <w:bCs/>
              <w:kern w:val="0"/>
              <w:sz w:val="21"/>
              <w:szCs w:val="21"/>
              <w:lang w:bidi="ar"/>
            </w:rPr>
            <w:t>1.3.1产业政策符合性分析</w:t>
          </w:r>
          <w:r>
            <w:rPr>
              <w:sz w:val="21"/>
              <w:szCs w:val="21"/>
            </w:rPr>
            <w:tab/>
          </w:r>
          <w:r>
            <w:rPr>
              <w:sz w:val="21"/>
              <w:szCs w:val="21"/>
            </w:rPr>
            <w:fldChar w:fldCharType="begin"/>
          </w:r>
          <w:r>
            <w:rPr>
              <w:sz w:val="21"/>
              <w:szCs w:val="21"/>
            </w:rPr>
            <w:instrText xml:space="preserve"> PAGEREF _Toc596 \h </w:instrText>
          </w:r>
          <w:r>
            <w:rPr>
              <w:sz w:val="21"/>
              <w:szCs w:val="21"/>
            </w:rPr>
            <w:fldChar w:fldCharType="separate"/>
          </w:r>
          <w:r>
            <w:rPr>
              <w:sz w:val="21"/>
              <w:szCs w:val="21"/>
            </w:rPr>
            <w:t>3</w:t>
          </w:r>
          <w:r>
            <w:rPr>
              <w:sz w:val="21"/>
              <w:szCs w:val="21"/>
            </w:rPr>
            <w:fldChar w:fldCharType="end"/>
          </w:r>
          <w:r>
            <w:rPr>
              <w:rFonts w:hint="default"/>
              <w:sz w:val="21"/>
              <w:szCs w:val="21"/>
            </w:rPr>
            <w:fldChar w:fldCharType="end"/>
          </w:r>
        </w:p>
        <w:p w14:paraId="0FEC034F">
          <w:pPr>
            <w:pStyle w:val="14"/>
            <w:tabs>
              <w:tab w:val="right" w:leader="dot" w:pos="8304"/>
            </w:tabs>
            <w:rPr>
              <w:sz w:val="21"/>
              <w:szCs w:val="21"/>
            </w:rPr>
          </w:pPr>
          <w:r>
            <w:rPr>
              <w:rFonts w:hint="default"/>
              <w:sz w:val="21"/>
              <w:szCs w:val="21"/>
            </w:rPr>
            <w:fldChar w:fldCharType="begin"/>
          </w:r>
          <w:r>
            <w:rPr>
              <w:rFonts w:hint="default"/>
              <w:sz w:val="21"/>
              <w:szCs w:val="21"/>
            </w:rPr>
            <w:instrText xml:space="preserve"> HYPERLINK \l _Toc31603 </w:instrText>
          </w:r>
          <w:r>
            <w:rPr>
              <w:rFonts w:hint="default"/>
              <w:sz w:val="21"/>
              <w:szCs w:val="21"/>
            </w:rPr>
            <w:fldChar w:fldCharType="separate"/>
          </w:r>
          <w:r>
            <w:rPr>
              <w:rFonts w:hint="default" w:ascii="Times New Roman" w:hAnsi="Times New Roman" w:eastAsia="宋体" w:cs="Times New Roman"/>
              <w:bCs/>
              <w:kern w:val="0"/>
              <w:sz w:val="21"/>
              <w:szCs w:val="21"/>
              <w:lang w:bidi="ar"/>
            </w:rPr>
            <w:t>1.3.2与相关政策符合性</w:t>
          </w:r>
          <w:r>
            <w:rPr>
              <w:sz w:val="21"/>
              <w:szCs w:val="21"/>
            </w:rPr>
            <w:tab/>
          </w:r>
          <w:r>
            <w:rPr>
              <w:sz w:val="21"/>
              <w:szCs w:val="21"/>
            </w:rPr>
            <w:fldChar w:fldCharType="begin"/>
          </w:r>
          <w:r>
            <w:rPr>
              <w:sz w:val="21"/>
              <w:szCs w:val="21"/>
            </w:rPr>
            <w:instrText xml:space="preserve"> PAGEREF _Toc31603 \h </w:instrText>
          </w:r>
          <w:r>
            <w:rPr>
              <w:sz w:val="21"/>
              <w:szCs w:val="21"/>
            </w:rPr>
            <w:fldChar w:fldCharType="separate"/>
          </w:r>
          <w:r>
            <w:rPr>
              <w:sz w:val="21"/>
              <w:szCs w:val="21"/>
            </w:rPr>
            <w:t>3</w:t>
          </w:r>
          <w:r>
            <w:rPr>
              <w:sz w:val="21"/>
              <w:szCs w:val="21"/>
            </w:rPr>
            <w:fldChar w:fldCharType="end"/>
          </w:r>
          <w:r>
            <w:rPr>
              <w:rFonts w:hint="default"/>
              <w:sz w:val="21"/>
              <w:szCs w:val="21"/>
            </w:rPr>
            <w:fldChar w:fldCharType="end"/>
          </w:r>
        </w:p>
        <w:p w14:paraId="24599793">
          <w:pPr>
            <w:pStyle w:val="14"/>
            <w:tabs>
              <w:tab w:val="right" w:leader="dot" w:pos="8304"/>
            </w:tabs>
            <w:rPr>
              <w:sz w:val="21"/>
              <w:szCs w:val="21"/>
            </w:rPr>
          </w:pPr>
          <w:r>
            <w:rPr>
              <w:rFonts w:hint="default"/>
              <w:sz w:val="21"/>
              <w:szCs w:val="21"/>
            </w:rPr>
            <w:fldChar w:fldCharType="begin"/>
          </w:r>
          <w:r>
            <w:rPr>
              <w:rFonts w:hint="default"/>
              <w:sz w:val="21"/>
              <w:szCs w:val="21"/>
            </w:rPr>
            <w:instrText xml:space="preserve"> HYPERLINK \l _Toc22469 </w:instrText>
          </w:r>
          <w:r>
            <w:rPr>
              <w:rFonts w:hint="default"/>
              <w:sz w:val="21"/>
              <w:szCs w:val="21"/>
            </w:rPr>
            <w:fldChar w:fldCharType="separate"/>
          </w:r>
          <w:r>
            <w:rPr>
              <w:rFonts w:hint="default" w:ascii="Times New Roman" w:hAnsi="Times New Roman" w:eastAsia="宋体" w:cs="Times New Roman"/>
              <w:bCs/>
              <w:kern w:val="0"/>
              <w:sz w:val="21"/>
              <w:szCs w:val="21"/>
              <w:lang w:bidi="ar"/>
            </w:rPr>
            <w:t>1.3.3行业规范符合性分析</w:t>
          </w:r>
          <w:r>
            <w:rPr>
              <w:sz w:val="21"/>
              <w:szCs w:val="21"/>
            </w:rPr>
            <w:tab/>
          </w:r>
          <w:r>
            <w:rPr>
              <w:sz w:val="21"/>
              <w:szCs w:val="21"/>
            </w:rPr>
            <w:fldChar w:fldCharType="begin"/>
          </w:r>
          <w:r>
            <w:rPr>
              <w:sz w:val="21"/>
              <w:szCs w:val="21"/>
            </w:rPr>
            <w:instrText xml:space="preserve"> PAGEREF _Toc22469 \h </w:instrText>
          </w:r>
          <w:r>
            <w:rPr>
              <w:sz w:val="21"/>
              <w:szCs w:val="21"/>
            </w:rPr>
            <w:fldChar w:fldCharType="separate"/>
          </w:r>
          <w:r>
            <w:rPr>
              <w:sz w:val="21"/>
              <w:szCs w:val="21"/>
            </w:rPr>
            <w:t>7</w:t>
          </w:r>
          <w:r>
            <w:rPr>
              <w:sz w:val="21"/>
              <w:szCs w:val="21"/>
            </w:rPr>
            <w:fldChar w:fldCharType="end"/>
          </w:r>
          <w:r>
            <w:rPr>
              <w:rFonts w:hint="default"/>
              <w:sz w:val="21"/>
              <w:szCs w:val="21"/>
            </w:rPr>
            <w:fldChar w:fldCharType="end"/>
          </w:r>
        </w:p>
        <w:p w14:paraId="1A780BC2">
          <w:pPr>
            <w:pStyle w:val="14"/>
            <w:tabs>
              <w:tab w:val="right" w:leader="dot" w:pos="8304"/>
            </w:tabs>
            <w:rPr>
              <w:sz w:val="21"/>
              <w:szCs w:val="21"/>
            </w:rPr>
          </w:pPr>
          <w:r>
            <w:rPr>
              <w:rFonts w:hint="default"/>
              <w:sz w:val="21"/>
              <w:szCs w:val="21"/>
            </w:rPr>
            <w:fldChar w:fldCharType="begin"/>
          </w:r>
          <w:r>
            <w:rPr>
              <w:rFonts w:hint="default"/>
              <w:sz w:val="21"/>
              <w:szCs w:val="21"/>
            </w:rPr>
            <w:instrText xml:space="preserve"> HYPERLINK \l _Toc3182 </w:instrText>
          </w:r>
          <w:r>
            <w:rPr>
              <w:rFonts w:hint="default"/>
              <w:sz w:val="21"/>
              <w:szCs w:val="21"/>
            </w:rPr>
            <w:fldChar w:fldCharType="separate"/>
          </w:r>
          <w:r>
            <w:rPr>
              <w:rFonts w:hint="default" w:ascii="Times New Roman" w:hAnsi="Times New Roman" w:eastAsia="宋体" w:cs="Times New Roman"/>
              <w:bCs/>
              <w:kern w:val="0"/>
              <w:sz w:val="21"/>
              <w:szCs w:val="21"/>
              <w:lang w:bidi="ar"/>
            </w:rPr>
            <w:t>1.3.5选址合理性分析</w:t>
          </w:r>
          <w:r>
            <w:rPr>
              <w:sz w:val="21"/>
              <w:szCs w:val="21"/>
            </w:rPr>
            <w:tab/>
          </w:r>
          <w:r>
            <w:rPr>
              <w:sz w:val="21"/>
              <w:szCs w:val="21"/>
            </w:rPr>
            <w:fldChar w:fldCharType="begin"/>
          </w:r>
          <w:r>
            <w:rPr>
              <w:sz w:val="21"/>
              <w:szCs w:val="21"/>
            </w:rPr>
            <w:instrText xml:space="preserve"> PAGEREF _Toc3182 \h </w:instrText>
          </w:r>
          <w:r>
            <w:rPr>
              <w:sz w:val="21"/>
              <w:szCs w:val="21"/>
            </w:rPr>
            <w:fldChar w:fldCharType="separate"/>
          </w:r>
          <w:r>
            <w:rPr>
              <w:sz w:val="21"/>
              <w:szCs w:val="21"/>
            </w:rPr>
            <w:t>13</w:t>
          </w:r>
          <w:r>
            <w:rPr>
              <w:sz w:val="21"/>
              <w:szCs w:val="21"/>
            </w:rPr>
            <w:fldChar w:fldCharType="end"/>
          </w:r>
          <w:r>
            <w:rPr>
              <w:rFonts w:hint="default"/>
              <w:sz w:val="21"/>
              <w:szCs w:val="21"/>
            </w:rPr>
            <w:fldChar w:fldCharType="end"/>
          </w:r>
        </w:p>
        <w:p w14:paraId="4A8FEB2F">
          <w:pPr>
            <w:pStyle w:val="14"/>
            <w:tabs>
              <w:tab w:val="right" w:leader="dot" w:pos="8304"/>
            </w:tabs>
            <w:rPr>
              <w:sz w:val="21"/>
              <w:szCs w:val="21"/>
            </w:rPr>
          </w:pPr>
          <w:r>
            <w:rPr>
              <w:rFonts w:hint="default"/>
              <w:sz w:val="21"/>
              <w:szCs w:val="21"/>
            </w:rPr>
            <w:fldChar w:fldCharType="begin"/>
          </w:r>
          <w:r>
            <w:rPr>
              <w:rFonts w:hint="default"/>
              <w:sz w:val="21"/>
              <w:szCs w:val="21"/>
            </w:rPr>
            <w:instrText xml:space="preserve"> HYPERLINK \l _Toc28551 </w:instrText>
          </w:r>
          <w:r>
            <w:rPr>
              <w:rFonts w:hint="default"/>
              <w:sz w:val="21"/>
              <w:szCs w:val="21"/>
            </w:rPr>
            <w:fldChar w:fldCharType="separate"/>
          </w:r>
          <w:r>
            <w:rPr>
              <w:rFonts w:hint="default" w:ascii="Times New Roman" w:hAnsi="Times New Roman" w:eastAsia="宋体" w:cs="Times New Roman"/>
              <w:bCs/>
              <w:kern w:val="0"/>
              <w:sz w:val="21"/>
              <w:szCs w:val="21"/>
              <w:lang w:bidi="ar"/>
            </w:rPr>
            <w:t>1.3.6“三线一单”符合性分析</w:t>
          </w:r>
          <w:r>
            <w:rPr>
              <w:sz w:val="21"/>
              <w:szCs w:val="21"/>
            </w:rPr>
            <w:tab/>
          </w:r>
          <w:r>
            <w:rPr>
              <w:sz w:val="21"/>
              <w:szCs w:val="21"/>
            </w:rPr>
            <w:fldChar w:fldCharType="begin"/>
          </w:r>
          <w:r>
            <w:rPr>
              <w:sz w:val="21"/>
              <w:szCs w:val="21"/>
            </w:rPr>
            <w:instrText xml:space="preserve"> PAGEREF _Toc28551 \h </w:instrText>
          </w:r>
          <w:r>
            <w:rPr>
              <w:sz w:val="21"/>
              <w:szCs w:val="21"/>
            </w:rPr>
            <w:fldChar w:fldCharType="separate"/>
          </w:r>
          <w:r>
            <w:rPr>
              <w:sz w:val="21"/>
              <w:szCs w:val="21"/>
            </w:rPr>
            <w:t>14</w:t>
          </w:r>
          <w:r>
            <w:rPr>
              <w:sz w:val="21"/>
              <w:szCs w:val="21"/>
            </w:rPr>
            <w:fldChar w:fldCharType="end"/>
          </w:r>
          <w:r>
            <w:rPr>
              <w:rFonts w:hint="default"/>
              <w:sz w:val="21"/>
              <w:szCs w:val="21"/>
            </w:rPr>
            <w:fldChar w:fldCharType="end"/>
          </w:r>
        </w:p>
        <w:p w14:paraId="277C2C57">
          <w:pPr>
            <w:pStyle w:val="26"/>
            <w:tabs>
              <w:tab w:val="right" w:leader="dot" w:pos="8304"/>
            </w:tabs>
            <w:rPr>
              <w:sz w:val="21"/>
              <w:szCs w:val="21"/>
            </w:rPr>
          </w:pPr>
          <w:r>
            <w:rPr>
              <w:rFonts w:hint="default"/>
              <w:sz w:val="21"/>
              <w:szCs w:val="21"/>
            </w:rPr>
            <w:fldChar w:fldCharType="begin"/>
          </w:r>
          <w:r>
            <w:rPr>
              <w:rFonts w:hint="default"/>
              <w:sz w:val="21"/>
              <w:szCs w:val="21"/>
            </w:rPr>
            <w:instrText xml:space="preserve"> HYPERLINK \l _Toc26927 </w:instrText>
          </w:r>
          <w:r>
            <w:rPr>
              <w:rFonts w:hint="default"/>
              <w:sz w:val="21"/>
              <w:szCs w:val="21"/>
            </w:rPr>
            <w:fldChar w:fldCharType="separate"/>
          </w:r>
          <w:r>
            <w:rPr>
              <w:rFonts w:hint="default" w:ascii="Times New Roman" w:hAnsi="Times New Roman" w:eastAsia="宋体" w:cs="Times New Roman"/>
              <w:bCs/>
              <w:sz w:val="21"/>
              <w:szCs w:val="21"/>
            </w:rPr>
            <w:t>1.4关注的主要环境问题</w:t>
          </w:r>
          <w:r>
            <w:rPr>
              <w:sz w:val="21"/>
              <w:szCs w:val="21"/>
            </w:rPr>
            <w:tab/>
          </w:r>
          <w:r>
            <w:rPr>
              <w:sz w:val="21"/>
              <w:szCs w:val="21"/>
            </w:rPr>
            <w:fldChar w:fldCharType="begin"/>
          </w:r>
          <w:r>
            <w:rPr>
              <w:sz w:val="21"/>
              <w:szCs w:val="21"/>
            </w:rPr>
            <w:instrText xml:space="preserve"> PAGEREF _Toc26927 \h </w:instrText>
          </w:r>
          <w:r>
            <w:rPr>
              <w:sz w:val="21"/>
              <w:szCs w:val="21"/>
            </w:rPr>
            <w:fldChar w:fldCharType="separate"/>
          </w:r>
          <w:r>
            <w:rPr>
              <w:sz w:val="21"/>
              <w:szCs w:val="21"/>
            </w:rPr>
            <w:t>21</w:t>
          </w:r>
          <w:r>
            <w:rPr>
              <w:sz w:val="21"/>
              <w:szCs w:val="21"/>
            </w:rPr>
            <w:fldChar w:fldCharType="end"/>
          </w:r>
          <w:r>
            <w:rPr>
              <w:rFonts w:hint="default"/>
              <w:sz w:val="21"/>
              <w:szCs w:val="21"/>
            </w:rPr>
            <w:fldChar w:fldCharType="end"/>
          </w:r>
        </w:p>
        <w:p w14:paraId="1CDA3BA0">
          <w:pPr>
            <w:pStyle w:val="26"/>
            <w:tabs>
              <w:tab w:val="right" w:leader="dot" w:pos="8304"/>
            </w:tabs>
            <w:rPr>
              <w:sz w:val="21"/>
              <w:szCs w:val="21"/>
            </w:rPr>
          </w:pPr>
          <w:r>
            <w:rPr>
              <w:rFonts w:hint="default"/>
              <w:sz w:val="21"/>
              <w:szCs w:val="21"/>
            </w:rPr>
            <w:fldChar w:fldCharType="begin"/>
          </w:r>
          <w:r>
            <w:rPr>
              <w:rFonts w:hint="default"/>
              <w:sz w:val="21"/>
              <w:szCs w:val="21"/>
            </w:rPr>
            <w:instrText xml:space="preserve"> HYPERLINK \l _Toc24778 </w:instrText>
          </w:r>
          <w:r>
            <w:rPr>
              <w:rFonts w:hint="default"/>
              <w:sz w:val="21"/>
              <w:szCs w:val="21"/>
            </w:rPr>
            <w:fldChar w:fldCharType="separate"/>
          </w:r>
          <w:r>
            <w:rPr>
              <w:rFonts w:hint="default" w:ascii="Times New Roman" w:hAnsi="Times New Roman" w:eastAsia="宋体" w:cs="Times New Roman"/>
              <w:bCs/>
              <w:sz w:val="21"/>
              <w:szCs w:val="21"/>
            </w:rPr>
            <w:t>1.5环境影响报告主要结论</w:t>
          </w:r>
          <w:r>
            <w:rPr>
              <w:sz w:val="21"/>
              <w:szCs w:val="21"/>
            </w:rPr>
            <w:tab/>
          </w:r>
          <w:r>
            <w:rPr>
              <w:sz w:val="21"/>
              <w:szCs w:val="21"/>
            </w:rPr>
            <w:fldChar w:fldCharType="begin"/>
          </w:r>
          <w:r>
            <w:rPr>
              <w:sz w:val="21"/>
              <w:szCs w:val="21"/>
            </w:rPr>
            <w:instrText xml:space="preserve"> PAGEREF _Toc24778 \h </w:instrText>
          </w:r>
          <w:r>
            <w:rPr>
              <w:sz w:val="21"/>
              <w:szCs w:val="21"/>
            </w:rPr>
            <w:fldChar w:fldCharType="separate"/>
          </w:r>
          <w:r>
            <w:rPr>
              <w:sz w:val="21"/>
              <w:szCs w:val="21"/>
            </w:rPr>
            <w:t>21</w:t>
          </w:r>
          <w:r>
            <w:rPr>
              <w:sz w:val="21"/>
              <w:szCs w:val="21"/>
            </w:rPr>
            <w:fldChar w:fldCharType="end"/>
          </w:r>
          <w:r>
            <w:rPr>
              <w:rFonts w:hint="default"/>
              <w:sz w:val="21"/>
              <w:szCs w:val="21"/>
            </w:rPr>
            <w:fldChar w:fldCharType="end"/>
          </w:r>
        </w:p>
        <w:p w14:paraId="1D901E8A">
          <w:pPr>
            <w:pStyle w:val="21"/>
            <w:keepNext w:val="0"/>
            <w:keepLines w:val="0"/>
            <w:pageBreakBefore w:val="0"/>
            <w:widowControl w:val="0"/>
            <w:tabs>
              <w:tab w:val="right" w:leader="dot" w:pos="8304"/>
            </w:tabs>
            <w:kinsoku/>
            <w:wordWrap/>
            <w:overflowPunct/>
            <w:topLinePunct w:val="0"/>
            <w:autoSpaceDE/>
            <w:autoSpaceDN/>
            <w:bidi w:val="0"/>
            <w:adjustRightInd/>
            <w:snapToGrid/>
            <w:spacing w:before="0"/>
            <w:ind w:left="0" w:right="0"/>
            <w:textAlignment w:val="auto"/>
            <w:rPr>
              <w:sz w:val="21"/>
              <w:szCs w:val="21"/>
            </w:rPr>
          </w:pPr>
          <w:r>
            <w:rPr>
              <w:rFonts w:hint="default"/>
              <w:sz w:val="21"/>
              <w:szCs w:val="21"/>
            </w:rPr>
            <w:fldChar w:fldCharType="begin"/>
          </w:r>
          <w:r>
            <w:rPr>
              <w:rFonts w:hint="default"/>
              <w:sz w:val="21"/>
              <w:szCs w:val="21"/>
            </w:rPr>
            <w:instrText xml:space="preserve"> HYPERLINK \l _Toc9203 </w:instrText>
          </w:r>
          <w:r>
            <w:rPr>
              <w:rFonts w:hint="default"/>
              <w:sz w:val="21"/>
              <w:szCs w:val="21"/>
            </w:rPr>
            <w:fldChar w:fldCharType="separate"/>
          </w:r>
          <w:r>
            <w:rPr>
              <w:rFonts w:hint="default"/>
              <w:sz w:val="21"/>
              <w:szCs w:val="21"/>
            </w:rPr>
            <w:t>2总则</w:t>
          </w:r>
          <w:r>
            <w:rPr>
              <w:rFonts w:hint="default"/>
              <w:sz w:val="21"/>
              <w:szCs w:val="21"/>
            </w:rPr>
            <w:tab/>
          </w:r>
          <w:r>
            <w:rPr>
              <w:rFonts w:hint="default"/>
              <w:sz w:val="21"/>
              <w:szCs w:val="21"/>
            </w:rPr>
            <w:fldChar w:fldCharType="begin"/>
          </w:r>
          <w:r>
            <w:rPr>
              <w:rFonts w:hint="default"/>
              <w:sz w:val="21"/>
              <w:szCs w:val="21"/>
            </w:rPr>
            <w:instrText xml:space="preserve"> PAGEREF _Toc9203 \h </w:instrText>
          </w:r>
          <w:r>
            <w:rPr>
              <w:rFonts w:hint="default"/>
              <w:sz w:val="21"/>
              <w:szCs w:val="21"/>
            </w:rPr>
            <w:fldChar w:fldCharType="separate"/>
          </w:r>
          <w:r>
            <w:rPr>
              <w:rFonts w:hint="default"/>
              <w:sz w:val="21"/>
              <w:szCs w:val="21"/>
            </w:rPr>
            <w:t>22</w:t>
          </w:r>
          <w:r>
            <w:rPr>
              <w:rFonts w:hint="default"/>
              <w:sz w:val="21"/>
              <w:szCs w:val="21"/>
            </w:rPr>
            <w:fldChar w:fldCharType="end"/>
          </w:r>
          <w:r>
            <w:rPr>
              <w:rFonts w:hint="default"/>
              <w:sz w:val="21"/>
              <w:szCs w:val="21"/>
            </w:rPr>
            <w:fldChar w:fldCharType="end"/>
          </w:r>
        </w:p>
        <w:p w14:paraId="5F9BCF25">
          <w:pPr>
            <w:pStyle w:val="26"/>
            <w:tabs>
              <w:tab w:val="right" w:leader="dot" w:pos="8304"/>
            </w:tabs>
            <w:rPr>
              <w:sz w:val="21"/>
              <w:szCs w:val="21"/>
            </w:rPr>
          </w:pPr>
          <w:r>
            <w:rPr>
              <w:rFonts w:hint="default"/>
              <w:sz w:val="21"/>
              <w:szCs w:val="21"/>
            </w:rPr>
            <w:fldChar w:fldCharType="begin"/>
          </w:r>
          <w:r>
            <w:rPr>
              <w:rFonts w:hint="default"/>
              <w:sz w:val="21"/>
              <w:szCs w:val="21"/>
            </w:rPr>
            <w:instrText xml:space="preserve"> HYPERLINK \l _Toc5500 </w:instrText>
          </w:r>
          <w:r>
            <w:rPr>
              <w:rFonts w:hint="default"/>
              <w:sz w:val="21"/>
              <w:szCs w:val="21"/>
            </w:rPr>
            <w:fldChar w:fldCharType="separate"/>
          </w:r>
          <w:r>
            <w:rPr>
              <w:rFonts w:hint="default" w:ascii="Times New Roman" w:hAnsi="Times New Roman" w:eastAsia="宋体" w:cs="Times New Roman"/>
              <w:bCs/>
              <w:sz w:val="21"/>
              <w:szCs w:val="21"/>
            </w:rPr>
            <w:t>2.1编制依据</w:t>
          </w:r>
          <w:r>
            <w:rPr>
              <w:sz w:val="21"/>
              <w:szCs w:val="21"/>
            </w:rPr>
            <w:tab/>
          </w:r>
          <w:r>
            <w:rPr>
              <w:sz w:val="21"/>
              <w:szCs w:val="21"/>
            </w:rPr>
            <w:fldChar w:fldCharType="begin"/>
          </w:r>
          <w:r>
            <w:rPr>
              <w:sz w:val="21"/>
              <w:szCs w:val="21"/>
            </w:rPr>
            <w:instrText xml:space="preserve"> PAGEREF _Toc5500 \h </w:instrText>
          </w:r>
          <w:r>
            <w:rPr>
              <w:sz w:val="21"/>
              <w:szCs w:val="21"/>
            </w:rPr>
            <w:fldChar w:fldCharType="separate"/>
          </w:r>
          <w:r>
            <w:rPr>
              <w:sz w:val="21"/>
              <w:szCs w:val="21"/>
            </w:rPr>
            <w:t>22</w:t>
          </w:r>
          <w:r>
            <w:rPr>
              <w:sz w:val="21"/>
              <w:szCs w:val="21"/>
            </w:rPr>
            <w:fldChar w:fldCharType="end"/>
          </w:r>
          <w:r>
            <w:rPr>
              <w:rFonts w:hint="default"/>
              <w:sz w:val="21"/>
              <w:szCs w:val="21"/>
            </w:rPr>
            <w:fldChar w:fldCharType="end"/>
          </w:r>
        </w:p>
        <w:p w14:paraId="636A2AC5">
          <w:pPr>
            <w:pStyle w:val="14"/>
            <w:tabs>
              <w:tab w:val="right" w:leader="dot" w:pos="8304"/>
            </w:tabs>
            <w:rPr>
              <w:sz w:val="21"/>
              <w:szCs w:val="21"/>
            </w:rPr>
          </w:pPr>
          <w:r>
            <w:rPr>
              <w:rFonts w:hint="default"/>
              <w:sz w:val="21"/>
              <w:szCs w:val="21"/>
            </w:rPr>
            <w:fldChar w:fldCharType="begin"/>
          </w:r>
          <w:r>
            <w:rPr>
              <w:rFonts w:hint="default"/>
              <w:sz w:val="21"/>
              <w:szCs w:val="21"/>
            </w:rPr>
            <w:instrText xml:space="preserve"> HYPERLINK \l _Toc9479 </w:instrText>
          </w:r>
          <w:r>
            <w:rPr>
              <w:rFonts w:hint="default"/>
              <w:sz w:val="21"/>
              <w:szCs w:val="21"/>
            </w:rPr>
            <w:fldChar w:fldCharType="separate"/>
          </w:r>
          <w:r>
            <w:rPr>
              <w:rFonts w:hint="default" w:ascii="Times New Roman" w:hAnsi="Times New Roman" w:eastAsia="宋体" w:cs="Times New Roman"/>
              <w:bCs/>
              <w:kern w:val="0"/>
              <w:sz w:val="21"/>
              <w:szCs w:val="21"/>
              <w:lang w:bidi="ar"/>
            </w:rPr>
            <w:t>2.1.1国家法律法规</w:t>
          </w:r>
          <w:r>
            <w:rPr>
              <w:sz w:val="21"/>
              <w:szCs w:val="21"/>
            </w:rPr>
            <w:tab/>
          </w:r>
          <w:r>
            <w:rPr>
              <w:sz w:val="21"/>
              <w:szCs w:val="21"/>
            </w:rPr>
            <w:fldChar w:fldCharType="begin"/>
          </w:r>
          <w:r>
            <w:rPr>
              <w:sz w:val="21"/>
              <w:szCs w:val="21"/>
            </w:rPr>
            <w:instrText xml:space="preserve"> PAGEREF _Toc9479 \h </w:instrText>
          </w:r>
          <w:r>
            <w:rPr>
              <w:sz w:val="21"/>
              <w:szCs w:val="21"/>
            </w:rPr>
            <w:fldChar w:fldCharType="separate"/>
          </w:r>
          <w:r>
            <w:rPr>
              <w:sz w:val="21"/>
              <w:szCs w:val="21"/>
            </w:rPr>
            <w:t>22</w:t>
          </w:r>
          <w:r>
            <w:rPr>
              <w:sz w:val="21"/>
              <w:szCs w:val="21"/>
            </w:rPr>
            <w:fldChar w:fldCharType="end"/>
          </w:r>
          <w:r>
            <w:rPr>
              <w:rFonts w:hint="default"/>
              <w:sz w:val="21"/>
              <w:szCs w:val="21"/>
            </w:rPr>
            <w:fldChar w:fldCharType="end"/>
          </w:r>
        </w:p>
        <w:p w14:paraId="227264E2">
          <w:pPr>
            <w:pStyle w:val="14"/>
            <w:tabs>
              <w:tab w:val="right" w:leader="dot" w:pos="8304"/>
            </w:tabs>
            <w:rPr>
              <w:sz w:val="21"/>
              <w:szCs w:val="21"/>
            </w:rPr>
          </w:pPr>
          <w:r>
            <w:rPr>
              <w:rFonts w:hint="default"/>
              <w:sz w:val="21"/>
              <w:szCs w:val="21"/>
            </w:rPr>
            <w:fldChar w:fldCharType="begin"/>
          </w:r>
          <w:r>
            <w:rPr>
              <w:rFonts w:hint="default"/>
              <w:sz w:val="21"/>
              <w:szCs w:val="21"/>
            </w:rPr>
            <w:instrText xml:space="preserve"> HYPERLINK \l _Toc19045 </w:instrText>
          </w:r>
          <w:r>
            <w:rPr>
              <w:rFonts w:hint="default"/>
              <w:sz w:val="21"/>
              <w:szCs w:val="21"/>
            </w:rPr>
            <w:fldChar w:fldCharType="separate"/>
          </w:r>
          <w:r>
            <w:rPr>
              <w:rFonts w:hint="default" w:ascii="Times New Roman" w:hAnsi="Times New Roman" w:eastAsia="宋体" w:cs="Times New Roman"/>
              <w:bCs/>
              <w:kern w:val="0"/>
              <w:sz w:val="21"/>
              <w:szCs w:val="21"/>
              <w:lang w:bidi="ar"/>
            </w:rPr>
            <w:t>2.1.2地方性法规及规范性文件</w:t>
          </w:r>
          <w:r>
            <w:rPr>
              <w:sz w:val="21"/>
              <w:szCs w:val="21"/>
            </w:rPr>
            <w:tab/>
          </w:r>
          <w:r>
            <w:rPr>
              <w:sz w:val="21"/>
              <w:szCs w:val="21"/>
            </w:rPr>
            <w:fldChar w:fldCharType="begin"/>
          </w:r>
          <w:r>
            <w:rPr>
              <w:sz w:val="21"/>
              <w:szCs w:val="21"/>
            </w:rPr>
            <w:instrText xml:space="preserve"> PAGEREF _Toc19045 \h </w:instrText>
          </w:r>
          <w:r>
            <w:rPr>
              <w:sz w:val="21"/>
              <w:szCs w:val="21"/>
            </w:rPr>
            <w:fldChar w:fldCharType="separate"/>
          </w:r>
          <w:r>
            <w:rPr>
              <w:sz w:val="21"/>
              <w:szCs w:val="21"/>
            </w:rPr>
            <w:t>23</w:t>
          </w:r>
          <w:r>
            <w:rPr>
              <w:sz w:val="21"/>
              <w:szCs w:val="21"/>
            </w:rPr>
            <w:fldChar w:fldCharType="end"/>
          </w:r>
          <w:r>
            <w:rPr>
              <w:rFonts w:hint="default"/>
              <w:sz w:val="21"/>
              <w:szCs w:val="21"/>
            </w:rPr>
            <w:fldChar w:fldCharType="end"/>
          </w:r>
        </w:p>
        <w:p w14:paraId="24D55F24">
          <w:pPr>
            <w:pStyle w:val="14"/>
            <w:tabs>
              <w:tab w:val="right" w:leader="dot" w:pos="8304"/>
            </w:tabs>
            <w:rPr>
              <w:sz w:val="21"/>
              <w:szCs w:val="21"/>
            </w:rPr>
          </w:pPr>
          <w:r>
            <w:rPr>
              <w:rFonts w:hint="default"/>
              <w:sz w:val="21"/>
              <w:szCs w:val="21"/>
            </w:rPr>
            <w:fldChar w:fldCharType="begin"/>
          </w:r>
          <w:r>
            <w:rPr>
              <w:rFonts w:hint="default"/>
              <w:sz w:val="21"/>
              <w:szCs w:val="21"/>
            </w:rPr>
            <w:instrText xml:space="preserve"> HYPERLINK \l _Toc7419 </w:instrText>
          </w:r>
          <w:r>
            <w:rPr>
              <w:rFonts w:hint="default"/>
              <w:sz w:val="21"/>
              <w:szCs w:val="21"/>
            </w:rPr>
            <w:fldChar w:fldCharType="separate"/>
          </w:r>
          <w:r>
            <w:rPr>
              <w:rFonts w:hint="default" w:ascii="Times New Roman" w:hAnsi="Times New Roman" w:eastAsia="宋体" w:cs="Times New Roman"/>
              <w:bCs/>
              <w:kern w:val="0"/>
              <w:sz w:val="21"/>
              <w:szCs w:val="21"/>
              <w:lang w:bidi="ar"/>
            </w:rPr>
            <w:t>2.1.3技术导则与规范</w:t>
          </w:r>
          <w:r>
            <w:rPr>
              <w:sz w:val="21"/>
              <w:szCs w:val="21"/>
            </w:rPr>
            <w:tab/>
          </w:r>
          <w:r>
            <w:rPr>
              <w:sz w:val="21"/>
              <w:szCs w:val="21"/>
            </w:rPr>
            <w:fldChar w:fldCharType="begin"/>
          </w:r>
          <w:r>
            <w:rPr>
              <w:sz w:val="21"/>
              <w:szCs w:val="21"/>
            </w:rPr>
            <w:instrText xml:space="preserve"> PAGEREF _Toc7419 \h </w:instrText>
          </w:r>
          <w:r>
            <w:rPr>
              <w:sz w:val="21"/>
              <w:szCs w:val="21"/>
            </w:rPr>
            <w:fldChar w:fldCharType="separate"/>
          </w:r>
          <w:r>
            <w:rPr>
              <w:sz w:val="21"/>
              <w:szCs w:val="21"/>
            </w:rPr>
            <w:t>24</w:t>
          </w:r>
          <w:r>
            <w:rPr>
              <w:sz w:val="21"/>
              <w:szCs w:val="21"/>
            </w:rPr>
            <w:fldChar w:fldCharType="end"/>
          </w:r>
          <w:r>
            <w:rPr>
              <w:rFonts w:hint="default"/>
              <w:sz w:val="21"/>
              <w:szCs w:val="21"/>
            </w:rPr>
            <w:fldChar w:fldCharType="end"/>
          </w:r>
        </w:p>
        <w:p w14:paraId="4CA12E1C">
          <w:pPr>
            <w:pStyle w:val="14"/>
            <w:tabs>
              <w:tab w:val="right" w:leader="dot" w:pos="8304"/>
            </w:tabs>
            <w:rPr>
              <w:sz w:val="21"/>
              <w:szCs w:val="21"/>
            </w:rPr>
          </w:pPr>
          <w:r>
            <w:rPr>
              <w:rFonts w:hint="default"/>
              <w:sz w:val="21"/>
              <w:szCs w:val="21"/>
            </w:rPr>
            <w:fldChar w:fldCharType="begin"/>
          </w:r>
          <w:r>
            <w:rPr>
              <w:rFonts w:hint="default"/>
              <w:sz w:val="21"/>
              <w:szCs w:val="21"/>
            </w:rPr>
            <w:instrText xml:space="preserve"> HYPERLINK \l _Toc24856 </w:instrText>
          </w:r>
          <w:r>
            <w:rPr>
              <w:rFonts w:hint="default"/>
              <w:sz w:val="21"/>
              <w:szCs w:val="21"/>
            </w:rPr>
            <w:fldChar w:fldCharType="separate"/>
          </w:r>
          <w:r>
            <w:rPr>
              <w:rFonts w:hint="default" w:ascii="Times New Roman" w:hAnsi="Times New Roman" w:eastAsia="宋体" w:cs="Times New Roman"/>
              <w:bCs/>
              <w:sz w:val="21"/>
              <w:szCs w:val="21"/>
            </w:rPr>
            <w:t>2.1.</w:t>
          </w:r>
          <w:r>
            <w:rPr>
              <w:rFonts w:hint="eastAsia" w:cs="Times New Roman"/>
              <w:bCs/>
              <w:sz w:val="21"/>
              <w:szCs w:val="21"/>
              <w:lang w:val="en-US" w:eastAsia="zh-CN"/>
            </w:rPr>
            <w:t>4</w:t>
          </w:r>
          <w:r>
            <w:rPr>
              <w:rFonts w:hint="default" w:ascii="Times New Roman" w:hAnsi="Times New Roman" w:eastAsia="宋体" w:cs="Times New Roman"/>
              <w:bCs/>
              <w:sz w:val="21"/>
              <w:szCs w:val="21"/>
            </w:rPr>
            <w:t>企业提供资料</w:t>
          </w:r>
          <w:r>
            <w:rPr>
              <w:sz w:val="21"/>
              <w:szCs w:val="21"/>
            </w:rPr>
            <w:tab/>
          </w:r>
          <w:r>
            <w:rPr>
              <w:sz w:val="21"/>
              <w:szCs w:val="21"/>
            </w:rPr>
            <w:fldChar w:fldCharType="begin"/>
          </w:r>
          <w:r>
            <w:rPr>
              <w:sz w:val="21"/>
              <w:szCs w:val="21"/>
            </w:rPr>
            <w:instrText xml:space="preserve"> PAGEREF _Toc24856 \h </w:instrText>
          </w:r>
          <w:r>
            <w:rPr>
              <w:sz w:val="21"/>
              <w:szCs w:val="21"/>
            </w:rPr>
            <w:fldChar w:fldCharType="separate"/>
          </w:r>
          <w:r>
            <w:rPr>
              <w:sz w:val="21"/>
              <w:szCs w:val="21"/>
            </w:rPr>
            <w:t>25</w:t>
          </w:r>
          <w:r>
            <w:rPr>
              <w:sz w:val="21"/>
              <w:szCs w:val="21"/>
            </w:rPr>
            <w:fldChar w:fldCharType="end"/>
          </w:r>
          <w:r>
            <w:rPr>
              <w:rFonts w:hint="default"/>
              <w:sz w:val="21"/>
              <w:szCs w:val="21"/>
            </w:rPr>
            <w:fldChar w:fldCharType="end"/>
          </w:r>
        </w:p>
        <w:p w14:paraId="11ADF5CC">
          <w:pPr>
            <w:pStyle w:val="26"/>
            <w:tabs>
              <w:tab w:val="right" w:leader="dot" w:pos="8304"/>
            </w:tabs>
            <w:rPr>
              <w:sz w:val="21"/>
              <w:szCs w:val="21"/>
            </w:rPr>
          </w:pPr>
          <w:r>
            <w:rPr>
              <w:rFonts w:hint="default"/>
              <w:sz w:val="21"/>
              <w:szCs w:val="21"/>
            </w:rPr>
            <w:fldChar w:fldCharType="begin"/>
          </w:r>
          <w:r>
            <w:rPr>
              <w:rFonts w:hint="default"/>
              <w:sz w:val="21"/>
              <w:szCs w:val="21"/>
            </w:rPr>
            <w:instrText xml:space="preserve"> HYPERLINK \l _Toc5458 </w:instrText>
          </w:r>
          <w:r>
            <w:rPr>
              <w:rFonts w:hint="default"/>
              <w:sz w:val="21"/>
              <w:szCs w:val="21"/>
            </w:rPr>
            <w:fldChar w:fldCharType="separate"/>
          </w:r>
          <w:r>
            <w:rPr>
              <w:rFonts w:hint="default" w:ascii="Times New Roman" w:hAnsi="Times New Roman" w:eastAsia="宋体" w:cs="Times New Roman"/>
              <w:bCs/>
              <w:sz w:val="21"/>
              <w:szCs w:val="21"/>
            </w:rPr>
            <w:t>2.2评价目的及原则</w:t>
          </w:r>
          <w:r>
            <w:rPr>
              <w:sz w:val="21"/>
              <w:szCs w:val="21"/>
            </w:rPr>
            <w:tab/>
          </w:r>
          <w:r>
            <w:rPr>
              <w:sz w:val="21"/>
              <w:szCs w:val="21"/>
            </w:rPr>
            <w:fldChar w:fldCharType="begin"/>
          </w:r>
          <w:r>
            <w:rPr>
              <w:sz w:val="21"/>
              <w:szCs w:val="21"/>
            </w:rPr>
            <w:instrText xml:space="preserve"> PAGEREF _Toc5458 \h </w:instrText>
          </w:r>
          <w:r>
            <w:rPr>
              <w:sz w:val="21"/>
              <w:szCs w:val="21"/>
            </w:rPr>
            <w:fldChar w:fldCharType="separate"/>
          </w:r>
          <w:r>
            <w:rPr>
              <w:sz w:val="21"/>
              <w:szCs w:val="21"/>
            </w:rPr>
            <w:t>25</w:t>
          </w:r>
          <w:r>
            <w:rPr>
              <w:sz w:val="21"/>
              <w:szCs w:val="21"/>
            </w:rPr>
            <w:fldChar w:fldCharType="end"/>
          </w:r>
          <w:r>
            <w:rPr>
              <w:rFonts w:hint="default"/>
              <w:sz w:val="21"/>
              <w:szCs w:val="21"/>
            </w:rPr>
            <w:fldChar w:fldCharType="end"/>
          </w:r>
        </w:p>
        <w:p w14:paraId="31B42C96">
          <w:pPr>
            <w:pStyle w:val="14"/>
            <w:tabs>
              <w:tab w:val="right" w:leader="dot" w:pos="8304"/>
            </w:tabs>
            <w:rPr>
              <w:sz w:val="21"/>
              <w:szCs w:val="21"/>
            </w:rPr>
          </w:pPr>
          <w:r>
            <w:rPr>
              <w:rFonts w:hint="default"/>
              <w:sz w:val="21"/>
              <w:szCs w:val="21"/>
            </w:rPr>
            <w:fldChar w:fldCharType="begin"/>
          </w:r>
          <w:r>
            <w:rPr>
              <w:rFonts w:hint="default"/>
              <w:sz w:val="21"/>
              <w:szCs w:val="21"/>
            </w:rPr>
            <w:instrText xml:space="preserve"> HYPERLINK \l _Toc6750 </w:instrText>
          </w:r>
          <w:r>
            <w:rPr>
              <w:rFonts w:hint="default"/>
              <w:sz w:val="21"/>
              <w:szCs w:val="21"/>
            </w:rPr>
            <w:fldChar w:fldCharType="separate"/>
          </w:r>
          <w:r>
            <w:rPr>
              <w:rFonts w:hint="default" w:ascii="Times New Roman" w:hAnsi="Times New Roman" w:eastAsia="宋体" w:cs="Times New Roman"/>
              <w:bCs/>
              <w:sz w:val="21"/>
              <w:szCs w:val="21"/>
            </w:rPr>
            <w:t>2.2.1评价目的</w:t>
          </w:r>
          <w:r>
            <w:rPr>
              <w:sz w:val="21"/>
              <w:szCs w:val="21"/>
            </w:rPr>
            <w:tab/>
          </w:r>
          <w:r>
            <w:rPr>
              <w:sz w:val="21"/>
              <w:szCs w:val="21"/>
            </w:rPr>
            <w:fldChar w:fldCharType="begin"/>
          </w:r>
          <w:r>
            <w:rPr>
              <w:sz w:val="21"/>
              <w:szCs w:val="21"/>
            </w:rPr>
            <w:instrText xml:space="preserve"> PAGEREF _Toc6750 \h </w:instrText>
          </w:r>
          <w:r>
            <w:rPr>
              <w:sz w:val="21"/>
              <w:szCs w:val="21"/>
            </w:rPr>
            <w:fldChar w:fldCharType="separate"/>
          </w:r>
          <w:r>
            <w:rPr>
              <w:sz w:val="21"/>
              <w:szCs w:val="21"/>
            </w:rPr>
            <w:t>25</w:t>
          </w:r>
          <w:r>
            <w:rPr>
              <w:sz w:val="21"/>
              <w:szCs w:val="21"/>
            </w:rPr>
            <w:fldChar w:fldCharType="end"/>
          </w:r>
          <w:r>
            <w:rPr>
              <w:rFonts w:hint="default"/>
              <w:sz w:val="21"/>
              <w:szCs w:val="21"/>
            </w:rPr>
            <w:fldChar w:fldCharType="end"/>
          </w:r>
        </w:p>
        <w:p w14:paraId="1F7AF2DB">
          <w:pPr>
            <w:pStyle w:val="14"/>
            <w:tabs>
              <w:tab w:val="right" w:leader="dot" w:pos="8304"/>
            </w:tabs>
            <w:rPr>
              <w:sz w:val="21"/>
              <w:szCs w:val="21"/>
            </w:rPr>
          </w:pPr>
          <w:r>
            <w:rPr>
              <w:rFonts w:hint="default"/>
              <w:sz w:val="21"/>
              <w:szCs w:val="21"/>
            </w:rPr>
            <w:fldChar w:fldCharType="begin"/>
          </w:r>
          <w:r>
            <w:rPr>
              <w:rFonts w:hint="default"/>
              <w:sz w:val="21"/>
              <w:szCs w:val="21"/>
            </w:rPr>
            <w:instrText xml:space="preserve"> HYPERLINK \l _Toc31677 </w:instrText>
          </w:r>
          <w:r>
            <w:rPr>
              <w:rFonts w:hint="default"/>
              <w:sz w:val="21"/>
              <w:szCs w:val="21"/>
            </w:rPr>
            <w:fldChar w:fldCharType="separate"/>
          </w:r>
          <w:r>
            <w:rPr>
              <w:rFonts w:hint="default" w:ascii="Times New Roman" w:hAnsi="Times New Roman" w:eastAsia="宋体" w:cs="Times New Roman"/>
              <w:bCs/>
              <w:sz w:val="21"/>
              <w:szCs w:val="21"/>
            </w:rPr>
            <w:t>2.2.2评价原则</w:t>
          </w:r>
          <w:r>
            <w:rPr>
              <w:sz w:val="21"/>
              <w:szCs w:val="21"/>
            </w:rPr>
            <w:tab/>
          </w:r>
          <w:r>
            <w:rPr>
              <w:sz w:val="21"/>
              <w:szCs w:val="21"/>
            </w:rPr>
            <w:fldChar w:fldCharType="begin"/>
          </w:r>
          <w:r>
            <w:rPr>
              <w:sz w:val="21"/>
              <w:szCs w:val="21"/>
            </w:rPr>
            <w:instrText xml:space="preserve"> PAGEREF _Toc31677 \h </w:instrText>
          </w:r>
          <w:r>
            <w:rPr>
              <w:sz w:val="21"/>
              <w:szCs w:val="21"/>
            </w:rPr>
            <w:fldChar w:fldCharType="separate"/>
          </w:r>
          <w:r>
            <w:rPr>
              <w:sz w:val="21"/>
              <w:szCs w:val="21"/>
            </w:rPr>
            <w:t>26</w:t>
          </w:r>
          <w:r>
            <w:rPr>
              <w:sz w:val="21"/>
              <w:szCs w:val="21"/>
            </w:rPr>
            <w:fldChar w:fldCharType="end"/>
          </w:r>
          <w:r>
            <w:rPr>
              <w:rFonts w:hint="default"/>
              <w:sz w:val="21"/>
              <w:szCs w:val="21"/>
            </w:rPr>
            <w:fldChar w:fldCharType="end"/>
          </w:r>
        </w:p>
        <w:p w14:paraId="025F4B5D">
          <w:pPr>
            <w:pStyle w:val="26"/>
            <w:tabs>
              <w:tab w:val="right" w:leader="dot" w:pos="8304"/>
            </w:tabs>
            <w:rPr>
              <w:sz w:val="21"/>
              <w:szCs w:val="21"/>
            </w:rPr>
          </w:pPr>
          <w:r>
            <w:rPr>
              <w:rFonts w:hint="default"/>
              <w:sz w:val="21"/>
              <w:szCs w:val="21"/>
            </w:rPr>
            <w:fldChar w:fldCharType="begin"/>
          </w:r>
          <w:r>
            <w:rPr>
              <w:rFonts w:hint="default"/>
              <w:sz w:val="21"/>
              <w:szCs w:val="21"/>
            </w:rPr>
            <w:instrText xml:space="preserve"> HYPERLINK \l _Toc17671 </w:instrText>
          </w:r>
          <w:r>
            <w:rPr>
              <w:rFonts w:hint="default"/>
              <w:sz w:val="21"/>
              <w:szCs w:val="21"/>
            </w:rPr>
            <w:fldChar w:fldCharType="separate"/>
          </w:r>
          <w:r>
            <w:rPr>
              <w:rFonts w:hint="default" w:ascii="Times New Roman" w:hAnsi="Times New Roman" w:eastAsia="宋体" w:cs="Times New Roman"/>
              <w:bCs/>
              <w:sz w:val="21"/>
              <w:szCs w:val="21"/>
            </w:rPr>
            <w:t>2.3评价内容和重点</w:t>
          </w:r>
          <w:r>
            <w:rPr>
              <w:sz w:val="21"/>
              <w:szCs w:val="21"/>
            </w:rPr>
            <w:tab/>
          </w:r>
          <w:r>
            <w:rPr>
              <w:sz w:val="21"/>
              <w:szCs w:val="21"/>
            </w:rPr>
            <w:fldChar w:fldCharType="begin"/>
          </w:r>
          <w:r>
            <w:rPr>
              <w:sz w:val="21"/>
              <w:szCs w:val="21"/>
            </w:rPr>
            <w:instrText xml:space="preserve"> PAGEREF _Toc17671 \h </w:instrText>
          </w:r>
          <w:r>
            <w:rPr>
              <w:sz w:val="21"/>
              <w:szCs w:val="21"/>
            </w:rPr>
            <w:fldChar w:fldCharType="separate"/>
          </w:r>
          <w:r>
            <w:rPr>
              <w:sz w:val="21"/>
              <w:szCs w:val="21"/>
            </w:rPr>
            <w:t>26</w:t>
          </w:r>
          <w:r>
            <w:rPr>
              <w:sz w:val="21"/>
              <w:szCs w:val="21"/>
            </w:rPr>
            <w:fldChar w:fldCharType="end"/>
          </w:r>
          <w:r>
            <w:rPr>
              <w:rFonts w:hint="default"/>
              <w:sz w:val="21"/>
              <w:szCs w:val="21"/>
            </w:rPr>
            <w:fldChar w:fldCharType="end"/>
          </w:r>
        </w:p>
        <w:p w14:paraId="34FD605F">
          <w:pPr>
            <w:pStyle w:val="26"/>
            <w:tabs>
              <w:tab w:val="right" w:leader="dot" w:pos="8304"/>
            </w:tabs>
            <w:rPr>
              <w:sz w:val="21"/>
              <w:szCs w:val="21"/>
            </w:rPr>
          </w:pPr>
          <w:r>
            <w:rPr>
              <w:rFonts w:hint="default"/>
              <w:sz w:val="21"/>
              <w:szCs w:val="21"/>
            </w:rPr>
            <w:fldChar w:fldCharType="begin"/>
          </w:r>
          <w:r>
            <w:rPr>
              <w:rFonts w:hint="default"/>
              <w:sz w:val="21"/>
              <w:szCs w:val="21"/>
            </w:rPr>
            <w:instrText xml:space="preserve"> HYPERLINK \l _Toc9253 </w:instrText>
          </w:r>
          <w:r>
            <w:rPr>
              <w:rFonts w:hint="default"/>
              <w:sz w:val="21"/>
              <w:szCs w:val="21"/>
            </w:rPr>
            <w:fldChar w:fldCharType="separate"/>
          </w:r>
          <w:r>
            <w:rPr>
              <w:rFonts w:hint="default" w:ascii="Times New Roman" w:hAnsi="Times New Roman" w:eastAsia="宋体" w:cs="Times New Roman"/>
              <w:bCs/>
              <w:sz w:val="21"/>
              <w:szCs w:val="21"/>
            </w:rPr>
            <w:t>2.4环境影响因素识别和评价因子筛选</w:t>
          </w:r>
          <w:r>
            <w:rPr>
              <w:sz w:val="21"/>
              <w:szCs w:val="21"/>
            </w:rPr>
            <w:tab/>
          </w:r>
          <w:r>
            <w:rPr>
              <w:sz w:val="21"/>
              <w:szCs w:val="21"/>
            </w:rPr>
            <w:fldChar w:fldCharType="begin"/>
          </w:r>
          <w:r>
            <w:rPr>
              <w:sz w:val="21"/>
              <w:szCs w:val="21"/>
            </w:rPr>
            <w:instrText xml:space="preserve"> PAGEREF _Toc9253 \h </w:instrText>
          </w:r>
          <w:r>
            <w:rPr>
              <w:sz w:val="21"/>
              <w:szCs w:val="21"/>
            </w:rPr>
            <w:fldChar w:fldCharType="separate"/>
          </w:r>
          <w:r>
            <w:rPr>
              <w:sz w:val="21"/>
              <w:szCs w:val="21"/>
            </w:rPr>
            <w:t>26</w:t>
          </w:r>
          <w:r>
            <w:rPr>
              <w:sz w:val="21"/>
              <w:szCs w:val="21"/>
            </w:rPr>
            <w:fldChar w:fldCharType="end"/>
          </w:r>
          <w:r>
            <w:rPr>
              <w:rFonts w:hint="default"/>
              <w:sz w:val="21"/>
              <w:szCs w:val="21"/>
            </w:rPr>
            <w:fldChar w:fldCharType="end"/>
          </w:r>
        </w:p>
        <w:p w14:paraId="71CEDC26">
          <w:pPr>
            <w:pStyle w:val="14"/>
            <w:tabs>
              <w:tab w:val="right" w:leader="dot" w:pos="8304"/>
            </w:tabs>
            <w:rPr>
              <w:sz w:val="21"/>
              <w:szCs w:val="21"/>
            </w:rPr>
          </w:pPr>
          <w:r>
            <w:rPr>
              <w:rFonts w:hint="default"/>
              <w:sz w:val="21"/>
              <w:szCs w:val="21"/>
            </w:rPr>
            <w:fldChar w:fldCharType="begin"/>
          </w:r>
          <w:r>
            <w:rPr>
              <w:rFonts w:hint="default"/>
              <w:sz w:val="21"/>
              <w:szCs w:val="21"/>
            </w:rPr>
            <w:instrText xml:space="preserve"> HYPERLINK \l _Toc3145 </w:instrText>
          </w:r>
          <w:r>
            <w:rPr>
              <w:rFonts w:hint="default"/>
              <w:sz w:val="21"/>
              <w:szCs w:val="21"/>
            </w:rPr>
            <w:fldChar w:fldCharType="separate"/>
          </w:r>
          <w:r>
            <w:rPr>
              <w:rFonts w:hint="default" w:ascii="Times New Roman" w:hAnsi="Times New Roman" w:eastAsia="宋体" w:cs="Times New Roman"/>
              <w:bCs/>
              <w:sz w:val="21"/>
              <w:szCs w:val="21"/>
            </w:rPr>
            <w:t>2.4.1环境影响因素识别</w:t>
          </w:r>
          <w:r>
            <w:rPr>
              <w:sz w:val="21"/>
              <w:szCs w:val="21"/>
            </w:rPr>
            <w:tab/>
          </w:r>
          <w:r>
            <w:rPr>
              <w:sz w:val="21"/>
              <w:szCs w:val="21"/>
            </w:rPr>
            <w:fldChar w:fldCharType="begin"/>
          </w:r>
          <w:r>
            <w:rPr>
              <w:sz w:val="21"/>
              <w:szCs w:val="21"/>
            </w:rPr>
            <w:instrText xml:space="preserve"> PAGEREF _Toc3145 \h </w:instrText>
          </w:r>
          <w:r>
            <w:rPr>
              <w:sz w:val="21"/>
              <w:szCs w:val="21"/>
            </w:rPr>
            <w:fldChar w:fldCharType="separate"/>
          </w:r>
          <w:r>
            <w:rPr>
              <w:sz w:val="21"/>
              <w:szCs w:val="21"/>
            </w:rPr>
            <w:t>26</w:t>
          </w:r>
          <w:r>
            <w:rPr>
              <w:sz w:val="21"/>
              <w:szCs w:val="21"/>
            </w:rPr>
            <w:fldChar w:fldCharType="end"/>
          </w:r>
          <w:r>
            <w:rPr>
              <w:rFonts w:hint="default"/>
              <w:sz w:val="21"/>
              <w:szCs w:val="21"/>
            </w:rPr>
            <w:fldChar w:fldCharType="end"/>
          </w:r>
        </w:p>
        <w:p w14:paraId="5455284C">
          <w:pPr>
            <w:pStyle w:val="14"/>
            <w:tabs>
              <w:tab w:val="right" w:leader="dot" w:pos="8304"/>
            </w:tabs>
            <w:rPr>
              <w:sz w:val="21"/>
              <w:szCs w:val="21"/>
            </w:rPr>
          </w:pPr>
          <w:r>
            <w:rPr>
              <w:rFonts w:hint="default"/>
              <w:sz w:val="21"/>
              <w:szCs w:val="21"/>
            </w:rPr>
            <w:fldChar w:fldCharType="begin"/>
          </w:r>
          <w:r>
            <w:rPr>
              <w:rFonts w:hint="default"/>
              <w:sz w:val="21"/>
              <w:szCs w:val="21"/>
            </w:rPr>
            <w:instrText xml:space="preserve"> HYPERLINK \l _Toc24592 </w:instrText>
          </w:r>
          <w:r>
            <w:rPr>
              <w:rFonts w:hint="default"/>
              <w:sz w:val="21"/>
              <w:szCs w:val="21"/>
            </w:rPr>
            <w:fldChar w:fldCharType="separate"/>
          </w:r>
          <w:r>
            <w:rPr>
              <w:rFonts w:hint="default" w:ascii="Times New Roman" w:hAnsi="Times New Roman" w:eastAsia="宋体" w:cs="Times New Roman"/>
              <w:bCs/>
              <w:sz w:val="21"/>
              <w:szCs w:val="21"/>
            </w:rPr>
            <w:t>2.4.2评价因子筛选</w:t>
          </w:r>
          <w:r>
            <w:rPr>
              <w:sz w:val="21"/>
              <w:szCs w:val="21"/>
            </w:rPr>
            <w:tab/>
          </w:r>
          <w:r>
            <w:rPr>
              <w:sz w:val="21"/>
              <w:szCs w:val="21"/>
            </w:rPr>
            <w:fldChar w:fldCharType="begin"/>
          </w:r>
          <w:r>
            <w:rPr>
              <w:sz w:val="21"/>
              <w:szCs w:val="21"/>
            </w:rPr>
            <w:instrText xml:space="preserve"> PAGEREF _Toc24592 \h </w:instrText>
          </w:r>
          <w:r>
            <w:rPr>
              <w:sz w:val="21"/>
              <w:szCs w:val="21"/>
            </w:rPr>
            <w:fldChar w:fldCharType="separate"/>
          </w:r>
          <w:r>
            <w:rPr>
              <w:sz w:val="21"/>
              <w:szCs w:val="21"/>
            </w:rPr>
            <w:t>26</w:t>
          </w:r>
          <w:r>
            <w:rPr>
              <w:sz w:val="21"/>
              <w:szCs w:val="21"/>
            </w:rPr>
            <w:fldChar w:fldCharType="end"/>
          </w:r>
          <w:r>
            <w:rPr>
              <w:rFonts w:hint="default"/>
              <w:sz w:val="21"/>
              <w:szCs w:val="21"/>
            </w:rPr>
            <w:fldChar w:fldCharType="end"/>
          </w:r>
        </w:p>
        <w:p w14:paraId="3705F4AD">
          <w:pPr>
            <w:pStyle w:val="26"/>
            <w:tabs>
              <w:tab w:val="right" w:leader="dot" w:pos="8304"/>
            </w:tabs>
            <w:rPr>
              <w:sz w:val="21"/>
              <w:szCs w:val="21"/>
            </w:rPr>
          </w:pPr>
          <w:r>
            <w:rPr>
              <w:rFonts w:hint="default"/>
              <w:sz w:val="21"/>
              <w:szCs w:val="21"/>
            </w:rPr>
            <w:fldChar w:fldCharType="begin"/>
          </w:r>
          <w:r>
            <w:rPr>
              <w:rFonts w:hint="default"/>
              <w:sz w:val="21"/>
              <w:szCs w:val="21"/>
            </w:rPr>
            <w:instrText xml:space="preserve"> HYPERLINK \l _Toc10774 </w:instrText>
          </w:r>
          <w:r>
            <w:rPr>
              <w:rFonts w:hint="default"/>
              <w:sz w:val="21"/>
              <w:szCs w:val="21"/>
            </w:rPr>
            <w:fldChar w:fldCharType="separate"/>
          </w:r>
          <w:r>
            <w:rPr>
              <w:rFonts w:hint="default" w:ascii="Times New Roman" w:hAnsi="Times New Roman" w:eastAsia="宋体" w:cs="Times New Roman"/>
              <w:bCs/>
              <w:sz w:val="21"/>
              <w:szCs w:val="21"/>
            </w:rPr>
            <w:t>2.5评价标准</w:t>
          </w:r>
          <w:r>
            <w:rPr>
              <w:sz w:val="21"/>
              <w:szCs w:val="21"/>
            </w:rPr>
            <w:tab/>
          </w:r>
          <w:r>
            <w:rPr>
              <w:sz w:val="21"/>
              <w:szCs w:val="21"/>
            </w:rPr>
            <w:fldChar w:fldCharType="begin"/>
          </w:r>
          <w:r>
            <w:rPr>
              <w:sz w:val="21"/>
              <w:szCs w:val="21"/>
            </w:rPr>
            <w:instrText xml:space="preserve"> PAGEREF _Toc10774 \h </w:instrText>
          </w:r>
          <w:r>
            <w:rPr>
              <w:sz w:val="21"/>
              <w:szCs w:val="21"/>
            </w:rPr>
            <w:fldChar w:fldCharType="separate"/>
          </w:r>
          <w:r>
            <w:rPr>
              <w:sz w:val="21"/>
              <w:szCs w:val="21"/>
            </w:rPr>
            <w:t>27</w:t>
          </w:r>
          <w:r>
            <w:rPr>
              <w:sz w:val="21"/>
              <w:szCs w:val="21"/>
            </w:rPr>
            <w:fldChar w:fldCharType="end"/>
          </w:r>
          <w:r>
            <w:rPr>
              <w:rFonts w:hint="default"/>
              <w:sz w:val="21"/>
              <w:szCs w:val="21"/>
            </w:rPr>
            <w:fldChar w:fldCharType="end"/>
          </w:r>
        </w:p>
        <w:p w14:paraId="3D9D7A9C">
          <w:pPr>
            <w:pStyle w:val="14"/>
            <w:tabs>
              <w:tab w:val="right" w:leader="dot" w:pos="8304"/>
            </w:tabs>
            <w:rPr>
              <w:sz w:val="21"/>
              <w:szCs w:val="21"/>
            </w:rPr>
          </w:pPr>
          <w:r>
            <w:rPr>
              <w:rFonts w:hint="default"/>
              <w:sz w:val="21"/>
              <w:szCs w:val="21"/>
            </w:rPr>
            <w:fldChar w:fldCharType="begin"/>
          </w:r>
          <w:r>
            <w:rPr>
              <w:rFonts w:hint="default"/>
              <w:sz w:val="21"/>
              <w:szCs w:val="21"/>
            </w:rPr>
            <w:instrText xml:space="preserve"> HYPERLINK \l _Toc32293 </w:instrText>
          </w:r>
          <w:r>
            <w:rPr>
              <w:rFonts w:hint="default"/>
              <w:sz w:val="21"/>
              <w:szCs w:val="21"/>
            </w:rPr>
            <w:fldChar w:fldCharType="separate"/>
          </w:r>
          <w:r>
            <w:rPr>
              <w:rFonts w:hint="default" w:ascii="Times New Roman" w:hAnsi="Times New Roman" w:eastAsia="宋体" w:cs="Times New Roman"/>
              <w:sz w:val="21"/>
              <w:szCs w:val="21"/>
            </w:rPr>
            <w:t>2.</w:t>
          </w:r>
          <w:r>
            <w:rPr>
              <w:rFonts w:hint="default" w:ascii="Times New Roman" w:hAnsi="Times New Roman" w:eastAsia="宋体" w:cs="Times New Roman"/>
              <w:sz w:val="21"/>
              <w:szCs w:val="21"/>
              <w:lang w:eastAsia="zh-CN"/>
            </w:rPr>
            <w:t>5</w:t>
          </w:r>
          <w:r>
            <w:rPr>
              <w:rFonts w:hint="default" w:ascii="Times New Roman" w:hAnsi="Times New Roman" w:eastAsia="宋体" w:cs="Times New Roman"/>
              <w:sz w:val="21"/>
              <w:szCs w:val="21"/>
            </w:rPr>
            <w:t>.1区域环境功能区划</w:t>
          </w:r>
          <w:r>
            <w:rPr>
              <w:sz w:val="21"/>
              <w:szCs w:val="21"/>
            </w:rPr>
            <w:tab/>
          </w:r>
          <w:r>
            <w:rPr>
              <w:sz w:val="21"/>
              <w:szCs w:val="21"/>
            </w:rPr>
            <w:fldChar w:fldCharType="begin"/>
          </w:r>
          <w:r>
            <w:rPr>
              <w:sz w:val="21"/>
              <w:szCs w:val="21"/>
            </w:rPr>
            <w:instrText xml:space="preserve"> PAGEREF _Toc32293 \h </w:instrText>
          </w:r>
          <w:r>
            <w:rPr>
              <w:sz w:val="21"/>
              <w:szCs w:val="21"/>
            </w:rPr>
            <w:fldChar w:fldCharType="separate"/>
          </w:r>
          <w:r>
            <w:rPr>
              <w:sz w:val="21"/>
              <w:szCs w:val="21"/>
            </w:rPr>
            <w:t>27</w:t>
          </w:r>
          <w:r>
            <w:rPr>
              <w:sz w:val="21"/>
              <w:szCs w:val="21"/>
            </w:rPr>
            <w:fldChar w:fldCharType="end"/>
          </w:r>
          <w:r>
            <w:rPr>
              <w:rFonts w:hint="default"/>
              <w:sz w:val="21"/>
              <w:szCs w:val="21"/>
            </w:rPr>
            <w:fldChar w:fldCharType="end"/>
          </w:r>
        </w:p>
        <w:p w14:paraId="61B1D6DC">
          <w:pPr>
            <w:pStyle w:val="14"/>
            <w:tabs>
              <w:tab w:val="right" w:leader="dot" w:pos="8304"/>
            </w:tabs>
            <w:rPr>
              <w:sz w:val="21"/>
              <w:szCs w:val="21"/>
            </w:rPr>
          </w:pPr>
          <w:r>
            <w:rPr>
              <w:rFonts w:hint="default"/>
              <w:sz w:val="21"/>
              <w:szCs w:val="21"/>
            </w:rPr>
            <w:fldChar w:fldCharType="begin"/>
          </w:r>
          <w:r>
            <w:rPr>
              <w:rFonts w:hint="default"/>
              <w:sz w:val="21"/>
              <w:szCs w:val="21"/>
            </w:rPr>
            <w:instrText xml:space="preserve"> HYPERLINK \l _Toc9480 </w:instrText>
          </w:r>
          <w:r>
            <w:rPr>
              <w:rFonts w:hint="default"/>
              <w:sz w:val="21"/>
              <w:szCs w:val="21"/>
            </w:rPr>
            <w:fldChar w:fldCharType="separate"/>
          </w:r>
          <w:r>
            <w:rPr>
              <w:rFonts w:hint="default" w:ascii="Times New Roman" w:hAnsi="Times New Roman" w:eastAsia="宋体" w:cs="Times New Roman"/>
              <w:sz w:val="21"/>
              <w:szCs w:val="21"/>
              <w:lang w:eastAsia="zh-CN"/>
            </w:rPr>
            <w:t>2.5.2环境质量标准</w:t>
          </w:r>
          <w:r>
            <w:rPr>
              <w:sz w:val="21"/>
              <w:szCs w:val="21"/>
            </w:rPr>
            <w:tab/>
          </w:r>
          <w:r>
            <w:rPr>
              <w:sz w:val="21"/>
              <w:szCs w:val="21"/>
            </w:rPr>
            <w:fldChar w:fldCharType="begin"/>
          </w:r>
          <w:r>
            <w:rPr>
              <w:sz w:val="21"/>
              <w:szCs w:val="21"/>
            </w:rPr>
            <w:instrText xml:space="preserve"> PAGEREF _Toc9480 \h </w:instrText>
          </w:r>
          <w:r>
            <w:rPr>
              <w:sz w:val="21"/>
              <w:szCs w:val="21"/>
            </w:rPr>
            <w:fldChar w:fldCharType="separate"/>
          </w:r>
          <w:r>
            <w:rPr>
              <w:sz w:val="21"/>
              <w:szCs w:val="21"/>
            </w:rPr>
            <w:t>28</w:t>
          </w:r>
          <w:r>
            <w:rPr>
              <w:sz w:val="21"/>
              <w:szCs w:val="21"/>
            </w:rPr>
            <w:fldChar w:fldCharType="end"/>
          </w:r>
          <w:r>
            <w:rPr>
              <w:rFonts w:hint="default"/>
              <w:sz w:val="21"/>
              <w:szCs w:val="21"/>
            </w:rPr>
            <w:fldChar w:fldCharType="end"/>
          </w:r>
        </w:p>
        <w:p w14:paraId="0C13DA55">
          <w:pPr>
            <w:pStyle w:val="14"/>
            <w:tabs>
              <w:tab w:val="right" w:leader="dot" w:pos="8304"/>
            </w:tabs>
            <w:rPr>
              <w:sz w:val="21"/>
              <w:szCs w:val="21"/>
            </w:rPr>
          </w:pPr>
          <w:r>
            <w:rPr>
              <w:rFonts w:hint="default"/>
              <w:sz w:val="21"/>
              <w:szCs w:val="21"/>
            </w:rPr>
            <w:fldChar w:fldCharType="begin"/>
          </w:r>
          <w:r>
            <w:rPr>
              <w:rFonts w:hint="default"/>
              <w:sz w:val="21"/>
              <w:szCs w:val="21"/>
            </w:rPr>
            <w:instrText xml:space="preserve"> HYPERLINK \l _Toc23259 </w:instrText>
          </w:r>
          <w:r>
            <w:rPr>
              <w:rFonts w:hint="default"/>
              <w:sz w:val="21"/>
              <w:szCs w:val="21"/>
            </w:rPr>
            <w:fldChar w:fldCharType="separate"/>
          </w:r>
          <w:r>
            <w:rPr>
              <w:rFonts w:hint="default" w:ascii="Times New Roman" w:hAnsi="Times New Roman" w:eastAsia="宋体" w:cs="Times New Roman"/>
              <w:sz w:val="21"/>
              <w:szCs w:val="21"/>
            </w:rPr>
            <w:t>2.</w:t>
          </w:r>
          <w:r>
            <w:rPr>
              <w:rFonts w:hint="default" w:ascii="Times New Roman" w:hAnsi="Times New Roman" w:eastAsia="宋体" w:cs="Times New Roman"/>
              <w:sz w:val="21"/>
              <w:szCs w:val="21"/>
              <w:lang w:eastAsia="zh-CN"/>
            </w:rPr>
            <w:t>5</w:t>
          </w:r>
          <w:r>
            <w:rPr>
              <w:rFonts w:hint="default" w:ascii="Times New Roman" w:hAnsi="Times New Roman" w:eastAsia="宋体" w:cs="Times New Roman"/>
              <w:sz w:val="21"/>
              <w:szCs w:val="21"/>
            </w:rPr>
            <w:t>.3污染物排放标准</w:t>
          </w:r>
          <w:r>
            <w:rPr>
              <w:sz w:val="21"/>
              <w:szCs w:val="21"/>
            </w:rPr>
            <w:tab/>
          </w:r>
          <w:r>
            <w:rPr>
              <w:sz w:val="21"/>
              <w:szCs w:val="21"/>
            </w:rPr>
            <w:fldChar w:fldCharType="begin"/>
          </w:r>
          <w:r>
            <w:rPr>
              <w:sz w:val="21"/>
              <w:szCs w:val="21"/>
            </w:rPr>
            <w:instrText xml:space="preserve"> PAGEREF _Toc23259 \h </w:instrText>
          </w:r>
          <w:r>
            <w:rPr>
              <w:sz w:val="21"/>
              <w:szCs w:val="21"/>
            </w:rPr>
            <w:fldChar w:fldCharType="separate"/>
          </w:r>
          <w:r>
            <w:rPr>
              <w:sz w:val="21"/>
              <w:szCs w:val="21"/>
            </w:rPr>
            <w:t>30</w:t>
          </w:r>
          <w:r>
            <w:rPr>
              <w:sz w:val="21"/>
              <w:szCs w:val="21"/>
            </w:rPr>
            <w:fldChar w:fldCharType="end"/>
          </w:r>
          <w:r>
            <w:rPr>
              <w:rFonts w:hint="default"/>
              <w:sz w:val="21"/>
              <w:szCs w:val="21"/>
            </w:rPr>
            <w:fldChar w:fldCharType="end"/>
          </w:r>
        </w:p>
        <w:p w14:paraId="4DE6ABA9">
          <w:pPr>
            <w:pStyle w:val="26"/>
            <w:tabs>
              <w:tab w:val="right" w:leader="dot" w:pos="8304"/>
            </w:tabs>
            <w:rPr>
              <w:sz w:val="21"/>
              <w:szCs w:val="21"/>
            </w:rPr>
          </w:pPr>
          <w:r>
            <w:rPr>
              <w:rFonts w:hint="default"/>
              <w:sz w:val="21"/>
              <w:szCs w:val="21"/>
            </w:rPr>
            <w:fldChar w:fldCharType="begin"/>
          </w:r>
          <w:r>
            <w:rPr>
              <w:rFonts w:hint="default"/>
              <w:sz w:val="21"/>
              <w:szCs w:val="21"/>
            </w:rPr>
            <w:instrText xml:space="preserve"> HYPERLINK \l _Toc16092 </w:instrText>
          </w:r>
          <w:r>
            <w:rPr>
              <w:rFonts w:hint="default"/>
              <w:sz w:val="21"/>
              <w:szCs w:val="21"/>
            </w:rPr>
            <w:fldChar w:fldCharType="separate"/>
          </w:r>
          <w:r>
            <w:rPr>
              <w:rFonts w:hint="default" w:ascii="Times New Roman" w:hAnsi="Times New Roman" w:eastAsia="宋体" w:cs="Times New Roman"/>
              <w:bCs/>
              <w:sz w:val="21"/>
              <w:szCs w:val="21"/>
            </w:rPr>
            <w:t>2.6评价工作等级及评价范围</w:t>
          </w:r>
          <w:r>
            <w:rPr>
              <w:sz w:val="21"/>
              <w:szCs w:val="21"/>
            </w:rPr>
            <w:tab/>
          </w:r>
          <w:r>
            <w:rPr>
              <w:sz w:val="21"/>
              <w:szCs w:val="21"/>
            </w:rPr>
            <w:fldChar w:fldCharType="begin"/>
          </w:r>
          <w:r>
            <w:rPr>
              <w:sz w:val="21"/>
              <w:szCs w:val="21"/>
            </w:rPr>
            <w:instrText xml:space="preserve"> PAGEREF _Toc16092 \h </w:instrText>
          </w:r>
          <w:r>
            <w:rPr>
              <w:sz w:val="21"/>
              <w:szCs w:val="21"/>
            </w:rPr>
            <w:fldChar w:fldCharType="separate"/>
          </w:r>
          <w:r>
            <w:rPr>
              <w:sz w:val="21"/>
              <w:szCs w:val="21"/>
            </w:rPr>
            <w:t>32</w:t>
          </w:r>
          <w:r>
            <w:rPr>
              <w:sz w:val="21"/>
              <w:szCs w:val="21"/>
            </w:rPr>
            <w:fldChar w:fldCharType="end"/>
          </w:r>
          <w:r>
            <w:rPr>
              <w:rFonts w:hint="default"/>
              <w:sz w:val="21"/>
              <w:szCs w:val="21"/>
            </w:rPr>
            <w:fldChar w:fldCharType="end"/>
          </w:r>
        </w:p>
        <w:p w14:paraId="5AA04BFB">
          <w:pPr>
            <w:pStyle w:val="14"/>
            <w:tabs>
              <w:tab w:val="right" w:leader="dot" w:pos="8304"/>
            </w:tabs>
            <w:rPr>
              <w:sz w:val="21"/>
              <w:szCs w:val="21"/>
            </w:rPr>
          </w:pPr>
          <w:r>
            <w:rPr>
              <w:rFonts w:hint="default"/>
              <w:sz w:val="21"/>
              <w:szCs w:val="21"/>
            </w:rPr>
            <w:fldChar w:fldCharType="begin"/>
          </w:r>
          <w:r>
            <w:rPr>
              <w:rFonts w:hint="default"/>
              <w:sz w:val="21"/>
              <w:szCs w:val="21"/>
            </w:rPr>
            <w:instrText xml:space="preserve"> HYPERLINK \l _Toc13209 </w:instrText>
          </w:r>
          <w:r>
            <w:rPr>
              <w:rFonts w:hint="default"/>
              <w:sz w:val="21"/>
              <w:szCs w:val="21"/>
            </w:rPr>
            <w:fldChar w:fldCharType="separate"/>
          </w:r>
          <w:r>
            <w:rPr>
              <w:rFonts w:hint="default" w:ascii="Times New Roman" w:hAnsi="Times New Roman" w:eastAsia="宋体" w:cs="Times New Roman"/>
              <w:sz w:val="21"/>
              <w:szCs w:val="21"/>
              <w:lang w:eastAsia="zh-CN"/>
            </w:rPr>
            <w:t>2.6.1环境空气</w:t>
          </w:r>
          <w:r>
            <w:rPr>
              <w:sz w:val="21"/>
              <w:szCs w:val="21"/>
            </w:rPr>
            <w:tab/>
          </w:r>
          <w:r>
            <w:rPr>
              <w:sz w:val="21"/>
              <w:szCs w:val="21"/>
            </w:rPr>
            <w:fldChar w:fldCharType="begin"/>
          </w:r>
          <w:r>
            <w:rPr>
              <w:sz w:val="21"/>
              <w:szCs w:val="21"/>
            </w:rPr>
            <w:instrText xml:space="preserve"> PAGEREF _Toc13209 \h </w:instrText>
          </w:r>
          <w:r>
            <w:rPr>
              <w:sz w:val="21"/>
              <w:szCs w:val="21"/>
            </w:rPr>
            <w:fldChar w:fldCharType="separate"/>
          </w:r>
          <w:r>
            <w:rPr>
              <w:sz w:val="21"/>
              <w:szCs w:val="21"/>
            </w:rPr>
            <w:t>32</w:t>
          </w:r>
          <w:r>
            <w:rPr>
              <w:sz w:val="21"/>
              <w:szCs w:val="21"/>
            </w:rPr>
            <w:fldChar w:fldCharType="end"/>
          </w:r>
          <w:r>
            <w:rPr>
              <w:rFonts w:hint="default"/>
              <w:sz w:val="21"/>
              <w:szCs w:val="21"/>
            </w:rPr>
            <w:fldChar w:fldCharType="end"/>
          </w:r>
        </w:p>
        <w:p w14:paraId="6C2E2B14">
          <w:pPr>
            <w:pStyle w:val="14"/>
            <w:tabs>
              <w:tab w:val="right" w:leader="dot" w:pos="8304"/>
            </w:tabs>
            <w:rPr>
              <w:sz w:val="21"/>
              <w:szCs w:val="21"/>
            </w:rPr>
          </w:pPr>
          <w:r>
            <w:rPr>
              <w:rFonts w:hint="default"/>
              <w:sz w:val="21"/>
              <w:szCs w:val="21"/>
            </w:rPr>
            <w:fldChar w:fldCharType="begin"/>
          </w:r>
          <w:r>
            <w:rPr>
              <w:rFonts w:hint="default"/>
              <w:sz w:val="21"/>
              <w:szCs w:val="21"/>
            </w:rPr>
            <w:instrText xml:space="preserve"> HYPERLINK \l _Toc8081 </w:instrText>
          </w:r>
          <w:r>
            <w:rPr>
              <w:rFonts w:hint="default"/>
              <w:sz w:val="21"/>
              <w:szCs w:val="21"/>
            </w:rPr>
            <w:fldChar w:fldCharType="separate"/>
          </w:r>
          <w:r>
            <w:rPr>
              <w:rFonts w:hint="default" w:ascii="Times New Roman" w:hAnsi="Times New Roman" w:eastAsia="宋体" w:cs="Times New Roman"/>
              <w:sz w:val="21"/>
              <w:szCs w:val="21"/>
              <w:lang w:eastAsia="zh-CN"/>
            </w:rPr>
            <w:t>2.6.2地表水</w:t>
          </w:r>
          <w:r>
            <w:rPr>
              <w:sz w:val="21"/>
              <w:szCs w:val="21"/>
            </w:rPr>
            <w:tab/>
          </w:r>
          <w:r>
            <w:rPr>
              <w:sz w:val="21"/>
              <w:szCs w:val="21"/>
            </w:rPr>
            <w:fldChar w:fldCharType="begin"/>
          </w:r>
          <w:r>
            <w:rPr>
              <w:sz w:val="21"/>
              <w:szCs w:val="21"/>
            </w:rPr>
            <w:instrText xml:space="preserve"> PAGEREF _Toc8081 \h </w:instrText>
          </w:r>
          <w:r>
            <w:rPr>
              <w:sz w:val="21"/>
              <w:szCs w:val="21"/>
            </w:rPr>
            <w:fldChar w:fldCharType="separate"/>
          </w:r>
          <w:r>
            <w:rPr>
              <w:sz w:val="21"/>
              <w:szCs w:val="21"/>
            </w:rPr>
            <w:t>34</w:t>
          </w:r>
          <w:r>
            <w:rPr>
              <w:sz w:val="21"/>
              <w:szCs w:val="21"/>
            </w:rPr>
            <w:fldChar w:fldCharType="end"/>
          </w:r>
          <w:r>
            <w:rPr>
              <w:rFonts w:hint="default"/>
              <w:sz w:val="21"/>
              <w:szCs w:val="21"/>
            </w:rPr>
            <w:fldChar w:fldCharType="end"/>
          </w:r>
        </w:p>
        <w:p w14:paraId="04CF8EDF">
          <w:pPr>
            <w:pStyle w:val="14"/>
            <w:tabs>
              <w:tab w:val="right" w:leader="dot" w:pos="8304"/>
            </w:tabs>
            <w:rPr>
              <w:sz w:val="21"/>
              <w:szCs w:val="21"/>
            </w:rPr>
          </w:pPr>
          <w:r>
            <w:rPr>
              <w:rFonts w:hint="default"/>
              <w:sz w:val="21"/>
              <w:szCs w:val="21"/>
            </w:rPr>
            <w:fldChar w:fldCharType="begin"/>
          </w:r>
          <w:r>
            <w:rPr>
              <w:rFonts w:hint="default"/>
              <w:sz w:val="21"/>
              <w:szCs w:val="21"/>
            </w:rPr>
            <w:instrText xml:space="preserve"> HYPERLINK \l _Toc14285 </w:instrText>
          </w:r>
          <w:r>
            <w:rPr>
              <w:rFonts w:hint="default"/>
              <w:sz w:val="21"/>
              <w:szCs w:val="21"/>
            </w:rPr>
            <w:fldChar w:fldCharType="separate"/>
          </w:r>
          <w:r>
            <w:rPr>
              <w:rFonts w:hint="default" w:ascii="Times New Roman" w:hAnsi="Times New Roman" w:eastAsia="宋体" w:cs="Times New Roman"/>
              <w:sz w:val="21"/>
              <w:szCs w:val="21"/>
              <w:lang w:eastAsia="zh-CN"/>
            </w:rPr>
            <w:t>2.6.3地下水</w:t>
          </w:r>
          <w:r>
            <w:rPr>
              <w:sz w:val="21"/>
              <w:szCs w:val="21"/>
            </w:rPr>
            <w:tab/>
          </w:r>
          <w:r>
            <w:rPr>
              <w:sz w:val="21"/>
              <w:szCs w:val="21"/>
            </w:rPr>
            <w:fldChar w:fldCharType="begin"/>
          </w:r>
          <w:r>
            <w:rPr>
              <w:sz w:val="21"/>
              <w:szCs w:val="21"/>
            </w:rPr>
            <w:instrText xml:space="preserve"> PAGEREF _Toc14285 \h </w:instrText>
          </w:r>
          <w:r>
            <w:rPr>
              <w:sz w:val="21"/>
              <w:szCs w:val="21"/>
            </w:rPr>
            <w:fldChar w:fldCharType="separate"/>
          </w:r>
          <w:r>
            <w:rPr>
              <w:sz w:val="21"/>
              <w:szCs w:val="21"/>
            </w:rPr>
            <w:t>35</w:t>
          </w:r>
          <w:r>
            <w:rPr>
              <w:sz w:val="21"/>
              <w:szCs w:val="21"/>
            </w:rPr>
            <w:fldChar w:fldCharType="end"/>
          </w:r>
          <w:r>
            <w:rPr>
              <w:rFonts w:hint="default"/>
              <w:sz w:val="21"/>
              <w:szCs w:val="21"/>
            </w:rPr>
            <w:fldChar w:fldCharType="end"/>
          </w:r>
        </w:p>
        <w:p w14:paraId="2010A2CE">
          <w:pPr>
            <w:pStyle w:val="14"/>
            <w:tabs>
              <w:tab w:val="right" w:leader="dot" w:pos="8304"/>
            </w:tabs>
            <w:rPr>
              <w:sz w:val="21"/>
              <w:szCs w:val="21"/>
            </w:rPr>
          </w:pPr>
          <w:r>
            <w:rPr>
              <w:rFonts w:hint="default"/>
              <w:sz w:val="21"/>
              <w:szCs w:val="21"/>
            </w:rPr>
            <w:fldChar w:fldCharType="begin"/>
          </w:r>
          <w:r>
            <w:rPr>
              <w:rFonts w:hint="default"/>
              <w:sz w:val="21"/>
              <w:szCs w:val="21"/>
            </w:rPr>
            <w:instrText xml:space="preserve"> HYPERLINK \l _Toc27296 </w:instrText>
          </w:r>
          <w:r>
            <w:rPr>
              <w:rFonts w:hint="default"/>
              <w:sz w:val="21"/>
              <w:szCs w:val="21"/>
            </w:rPr>
            <w:fldChar w:fldCharType="separate"/>
          </w:r>
          <w:r>
            <w:rPr>
              <w:rFonts w:hint="default" w:ascii="Times New Roman" w:hAnsi="Times New Roman" w:eastAsia="宋体" w:cs="Times New Roman"/>
              <w:sz w:val="21"/>
              <w:szCs w:val="21"/>
              <w:lang w:eastAsia="zh-CN"/>
            </w:rPr>
            <w:t>2.6.4声环境</w:t>
          </w:r>
          <w:r>
            <w:rPr>
              <w:sz w:val="21"/>
              <w:szCs w:val="21"/>
            </w:rPr>
            <w:tab/>
          </w:r>
          <w:r>
            <w:rPr>
              <w:sz w:val="21"/>
              <w:szCs w:val="21"/>
            </w:rPr>
            <w:fldChar w:fldCharType="begin"/>
          </w:r>
          <w:r>
            <w:rPr>
              <w:sz w:val="21"/>
              <w:szCs w:val="21"/>
            </w:rPr>
            <w:instrText xml:space="preserve"> PAGEREF _Toc27296 \h </w:instrText>
          </w:r>
          <w:r>
            <w:rPr>
              <w:sz w:val="21"/>
              <w:szCs w:val="21"/>
            </w:rPr>
            <w:fldChar w:fldCharType="separate"/>
          </w:r>
          <w:r>
            <w:rPr>
              <w:sz w:val="21"/>
              <w:szCs w:val="21"/>
            </w:rPr>
            <w:t>36</w:t>
          </w:r>
          <w:r>
            <w:rPr>
              <w:sz w:val="21"/>
              <w:szCs w:val="21"/>
            </w:rPr>
            <w:fldChar w:fldCharType="end"/>
          </w:r>
          <w:r>
            <w:rPr>
              <w:rFonts w:hint="default"/>
              <w:sz w:val="21"/>
              <w:szCs w:val="21"/>
            </w:rPr>
            <w:fldChar w:fldCharType="end"/>
          </w:r>
        </w:p>
        <w:p w14:paraId="33B76416">
          <w:pPr>
            <w:pStyle w:val="14"/>
            <w:tabs>
              <w:tab w:val="right" w:leader="dot" w:pos="8304"/>
            </w:tabs>
            <w:rPr>
              <w:sz w:val="21"/>
              <w:szCs w:val="21"/>
            </w:rPr>
          </w:pPr>
          <w:r>
            <w:rPr>
              <w:rFonts w:hint="default"/>
              <w:sz w:val="21"/>
              <w:szCs w:val="21"/>
            </w:rPr>
            <w:fldChar w:fldCharType="begin"/>
          </w:r>
          <w:r>
            <w:rPr>
              <w:rFonts w:hint="default"/>
              <w:sz w:val="21"/>
              <w:szCs w:val="21"/>
            </w:rPr>
            <w:instrText xml:space="preserve"> HYPERLINK \l _Toc28612 </w:instrText>
          </w:r>
          <w:r>
            <w:rPr>
              <w:rFonts w:hint="default"/>
              <w:sz w:val="21"/>
              <w:szCs w:val="21"/>
            </w:rPr>
            <w:fldChar w:fldCharType="separate"/>
          </w:r>
          <w:r>
            <w:rPr>
              <w:rFonts w:hint="default" w:ascii="Times New Roman" w:hAnsi="Times New Roman" w:eastAsia="宋体" w:cs="Times New Roman"/>
              <w:sz w:val="21"/>
              <w:szCs w:val="21"/>
              <w:lang w:eastAsia="zh-CN"/>
            </w:rPr>
            <w:t>2.6.</w:t>
          </w:r>
          <w:r>
            <w:rPr>
              <w:rFonts w:hint="eastAsia" w:ascii="Times New Roman" w:hAnsi="Times New Roman" w:cs="Times New Roman"/>
              <w:sz w:val="21"/>
              <w:szCs w:val="21"/>
              <w:lang w:val="en-US" w:eastAsia="zh-CN"/>
            </w:rPr>
            <w:t>5</w:t>
          </w:r>
          <w:r>
            <w:rPr>
              <w:rFonts w:hint="default" w:ascii="Times New Roman" w:hAnsi="Times New Roman" w:eastAsia="宋体" w:cs="Times New Roman"/>
              <w:sz w:val="21"/>
              <w:szCs w:val="21"/>
              <w:lang w:eastAsia="zh-CN"/>
            </w:rPr>
            <w:t>生态环境</w:t>
          </w:r>
          <w:r>
            <w:rPr>
              <w:sz w:val="21"/>
              <w:szCs w:val="21"/>
            </w:rPr>
            <w:tab/>
          </w:r>
          <w:r>
            <w:rPr>
              <w:sz w:val="21"/>
              <w:szCs w:val="21"/>
            </w:rPr>
            <w:fldChar w:fldCharType="begin"/>
          </w:r>
          <w:r>
            <w:rPr>
              <w:sz w:val="21"/>
              <w:szCs w:val="21"/>
            </w:rPr>
            <w:instrText xml:space="preserve"> PAGEREF _Toc28612 \h </w:instrText>
          </w:r>
          <w:r>
            <w:rPr>
              <w:sz w:val="21"/>
              <w:szCs w:val="21"/>
            </w:rPr>
            <w:fldChar w:fldCharType="separate"/>
          </w:r>
          <w:r>
            <w:rPr>
              <w:sz w:val="21"/>
              <w:szCs w:val="21"/>
            </w:rPr>
            <w:t>36</w:t>
          </w:r>
          <w:r>
            <w:rPr>
              <w:sz w:val="21"/>
              <w:szCs w:val="21"/>
            </w:rPr>
            <w:fldChar w:fldCharType="end"/>
          </w:r>
          <w:r>
            <w:rPr>
              <w:rFonts w:hint="default"/>
              <w:sz w:val="21"/>
              <w:szCs w:val="21"/>
            </w:rPr>
            <w:fldChar w:fldCharType="end"/>
          </w:r>
        </w:p>
        <w:p w14:paraId="6BD944AA">
          <w:pPr>
            <w:pStyle w:val="14"/>
            <w:tabs>
              <w:tab w:val="right" w:leader="dot" w:pos="8304"/>
            </w:tabs>
            <w:rPr>
              <w:sz w:val="21"/>
              <w:szCs w:val="21"/>
            </w:rPr>
          </w:pPr>
          <w:r>
            <w:rPr>
              <w:rFonts w:hint="default"/>
              <w:sz w:val="21"/>
              <w:szCs w:val="21"/>
            </w:rPr>
            <w:fldChar w:fldCharType="begin"/>
          </w:r>
          <w:r>
            <w:rPr>
              <w:rFonts w:hint="default"/>
              <w:sz w:val="21"/>
              <w:szCs w:val="21"/>
            </w:rPr>
            <w:instrText xml:space="preserve"> HYPERLINK \l _Toc5874 </w:instrText>
          </w:r>
          <w:r>
            <w:rPr>
              <w:rFonts w:hint="default"/>
              <w:sz w:val="21"/>
              <w:szCs w:val="21"/>
            </w:rPr>
            <w:fldChar w:fldCharType="separate"/>
          </w:r>
          <w:r>
            <w:rPr>
              <w:rFonts w:hint="default" w:ascii="Times New Roman" w:hAnsi="Times New Roman" w:eastAsia="宋体" w:cs="Times New Roman"/>
              <w:sz w:val="21"/>
              <w:szCs w:val="21"/>
              <w:lang w:eastAsia="zh-CN"/>
            </w:rPr>
            <w:t>2.6.6土壤环境</w:t>
          </w:r>
          <w:r>
            <w:rPr>
              <w:sz w:val="21"/>
              <w:szCs w:val="21"/>
            </w:rPr>
            <w:tab/>
          </w:r>
          <w:r>
            <w:rPr>
              <w:sz w:val="21"/>
              <w:szCs w:val="21"/>
            </w:rPr>
            <w:fldChar w:fldCharType="begin"/>
          </w:r>
          <w:r>
            <w:rPr>
              <w:sz w:val="21"/>
              <w:szCs w:val="21"/>
            </w:rPr>
            <w:instrText xml:space="preserve"> PAGEREF _Toc5874 \h </w:instrText>
          </w:r>
          <w:r>
            <w:rPr>
              <w:sz w:val="21"/>
              <w:szCs w:val="21"/>
            </w:rPr>
            <w:fldChar w:fldCharType="separate"/>
          </w:r>
          <w:r>
            <w:rPr>
              <w:sz w:val="21"/>
              <w:szCs w:val="21"/>
            </w:rPr>
            <w:t>37</w:t>
          </w:r>
          <w:r>
            <w:rPr>
              <w:sz w:val="21"/>
              <w:szCs w:val="21"/>
            </w:rPr>
            <w:fldChar w:fldCharType="end"/>
          </w:r>
          <w:r>
            <w:rPr>
              <w:rFonts w:hint="default"/>
              <w:sz w:val="21"/>
              <w:szCs w:val="21"/>
            </w:rPr>
            <w:fldChar w:fldCharType="end"/>
          </w:r>
        </w:p>
        <w:p w14:paraId="6871B49F">
          <w:pPr>
            <w:pStyle w:val="14"/>
            <w:tabs>
              <w:tab w:val="right" w:leader="dot" w:pos="8304"/>
            </w:tabs>
            <w:rPr>
              <w:sz w:val="21"/>
              <w:szCs w:val="21"/>
            </w:rPr>
          </w:pPr>
          <w:r>
            <w:rPr>
              <w:rFonts w:hint="default"/>
              <w:sz w:val="21"/>
              <w:szCs w:val="21"/>
            </w:rPr>
            <w:fldChar w:fldCharType="begin"/>
          </w:r>
          <w:r>
            <w:rPr>
              <w:rFonts w:hint="default"/>
              <w:sz w:val="21"/>
              <w:szCs w:val="21"/>
            </w:rPr>
            <w:instrText xml:space="preserve"> HYPERLINK \l _Toc3918 </w:instrText>
          </w:r>
          <w:r>
            <w:rPr>
              <w:rFonts w:hint="default"/>
              <w:sz w:val="21"/>
              <w:szCs w:val="21"/>
            </w:rPr>
            <w:fldChar w:fldCharType="separate"/>
          </w:r>
          <w:r>
            <w:rPr>
              <w:rFonts w:hint="default" w:ascii="Times New Roman" w:hAnsi="Times New Roman" w:eastAsia="宋体" w:cs="Times New Roman"/>
              <w:sz w:val="21"/>
              <w:szCs w:val="21"/>
              <w:lang w:eastAsia="zh-CN"/>
            </w:rPr>
            <w:t>2.6.7环境风险</w:t>
          </w:r>
          <w:r>
            <w:rPr>
              <w:sz w:val="21"/>
              <w:szCs w:val="21"/>
            </w:rPr>
            <w:tab/>
          </w:r>
          <w:r>
            <w:rPr>
              <w:sz w:val="21"/>
              <w:szCs w:val="21"/>
            </w:rPr>
            <w:fldChar w:fldCharType="begin"/>
          </w:r>
          <w:r>
            <w:rPr>
              <w:sz w:val="21"/>
              <w:szCs w:val="21"/>
            </w:rPr>
            <w:instrText xml:space="preserve"> PAGEREF _Toc3918 \h </w:instrText>
          </w:r>
          <w:r>
            <w:rPr>
              <w:sz w:val="21"/>
              <w:szCs w:val="21"/>
            </w:rPr>
            <w:fldChar w:fldCharType="separate"/>
          </w:r>
          <w:r>
            <w:rPr>
              <w:sz w:val="21"/>
              <w:szCs w:val="21"/>
            </w:rPr>
            <w:t>39</w:t>
          </w:r>
          <w:r>
            <w:rPr>
              <w:sz w:val="21"/>
              <w:szCs w:val="21"/>
            </w:rPr>
            <w:fldChar w:fldCharType="end"/>
          </w:r>
          <w:r>
            <w:rPr>
              <w:rFonts w:hint="default"/>
              <w:sz w:val="21"/>
              <w:szCs w:val="21"/>
            </w:rPr>
            <w:fldChar w:fldCharType="end"/>
          </w:r>
        </w:p>
        <w:p w14:paraId="0691E402">
          <w:pPr>
            <w:pStyle w:val="14"/>
            <w:tabs>
              <w:tab w:val="right" w:leader="dot" w:pos="8304"/>
            </w:tabs>
            <w:rPr>
              <w:sz w:val="21"/>
              <w:szCs w:val="21"/>
            </w:rPr>
          </w:pPr>
          <w:r>
            <w:rPr>
              <w:rFonts w:hint="default"/>
              <w:sz w:val="21"/>
              <w:szCs w:val="21"/>
            </w:rPr>
            <w:fldChar w:fldCharType="begin"/>
          </w:r>
          <w:r>
            <w:rPr>
              <w:rFonts w:hint="default"/>
              <w:sz w:val="21"/>
              <w:szCs w:val="21"/>
            </w:rPr>
            <w:instrText xml:space="preserve"> HYPERLINK \l _Toc26487 </w:instrText>
          </w:r>
          <w:r>
            <w:rPr>
              <w:rFonts w:hint="default"/>
              <w:sz w:val="21"/>
              <w:szCs w:val="21"/>
            </w:rPr>
            <w:fldChar w:fldCharType="separate"/>
          </w:r>
          <w:r>
            <w:rPr>
              <w:rFonts w:ascii="Times New Roman" w:hAnsi="Times New Roman" w:eastAsia="宋体" w:cs="Times New Roman"/>
              <w:bCs/>
              <w:kern w:val="0"/>
              <w:sz w:val="21"/>
              <w:szCs w:val="21"/>
              <w:lang w:val="en-US" w:eastAsia="zh-CN" w:bidi="ar-SA"/>
            </w:rPr>
            <w:t>2.6.</w:t>
          </w:r>
          <w:r>
            <w:rPr>
              <w:rFonts w:hint="eastAsia" w:ascii="Times New Roman" w:hAnsi="Times New Roman" w:eastAsia="宋体" w:cs="Times New Roman"/>
              <w:bCs/>
              <w:kern w:val="0"/>
              <w:sz w:val="21"/>
              <w:szCs w:val="21"/>
              <w:lang w:val="en-US" w:eastAsia="zh-CN" w:bidi="ar-SA"/>
            </w:rPr>
            <w:t>8</w:t>
          </w:r>
          <w:r>
            <w:rPr>
              <w:rFonts w:ascii="Times New Roman" w:hAnsi="Times New Roman" w:eastAsia="宋体" w:cs="Times New Roman"/>
              <w:bCs/>
              <w:kern w:val="0"/>
              <w:sz w:val="21"/>
              <w:szCs w:val="21"/>
              <w:lang w:val="en-US" w:eastAsia="zh-CN" w:bidi="ar-SA"/>
            </w:rPr>
            <w:t>评价等级与评价范围汇总</w:t>
          </w:r>
          <w:r>
            <w:rPr>
              <w:sz w:val="21"/>
              <w:szCs w:val="21"/>
            </w:rPr>
            <w:tab/>
          </w:r>
          <w:r>
            <w:rPr>
              <w:sz w:val="21"/>
              <w:szCs w:val="21"/>
            </w:rPr>
            <w:fldChar w:fldCharType="begin"/>
          </w:r>
          <w:r>
            <w:rPr>
              <w:sz w:val="21"/>
              <w:szCs w:val="21"/>
            </w:rPr>
            <w:instrText xml:space="preserve"> PAGEREF _Toc26487 \h </w:instrText>
          </w:r>
          <w:r>
            <w:rPr>
              <w:sz w:val="21"/>
              <w:szCs w:val="21"/>
            </w:rPr>
            <w:fldChar w:fldCharType="separate"/>
          </w:r>
          <w:r>
            <w:rPr>
              <w:sz w:val="21"/>
              <w:szCs w:val="21"/>
            </w:rPr>
            <w:t>41</w:t>
          </w:r>
          <w:r>
            <w:rPr>
              <w:sz w:val="21"/>
              <w:szCs w:val="21"/>
            </w:rPr>
            <w:fldChar w:fldCharType="end"/>
          </w:r>
          <w:r>
            <w:rPr>
              <w:rFonts w:hint="default"/>
              <w:sz w:val="21"/>
              <w:szCs w:val="21"/>
            </w:rPr>
            <w:fldChar w:fldCharType="end"/>
          </w:r>
        </w:p>
        <w:p w14:paraId="0308BAB0">
          <w:pPr>
            <w:pStyle w:val="26"/>
            <w:tabs>
              <w:tab w:val="right" w:leader="dot" w:pos="8304"/>
            </w:tabs>
            <w:rPr>
              <w:sz w:val="21"/>
              <w:szCs w:val="21"/>
            </w:rPr>
          </w:pPr>
          <w:r>
            <w:rPr>
              <w:rFonts w:hint="default"/>
              <w:sz w:val="21"/>
              <w:szCs w:val="21"/>
            </w:rPr>
            <w:fldChar w:fldCharType="begin"/>
          </w:r>
          <w:r>
            <w:rPr>
              <w:rFonts w:hint="default"/>
              <w:sz w:val="21"/>
              <w:szCs w:val="21"/>
            </w:rPr>
            <w:instrText xml:space="preserve"> HYPERLINK \l _Toc14961 </w:instrText>
          </w:r>
          <w:r>
            <w:rPr>
              <w:rFonts w:hint="default"/>
              <w:sz w:val="21"/>
              <w:szCs w:val="21"/>
            </w:rPr>
            <w:fldChar w:fldCharType="separate"/>
          </w:r>
          <w:r>
            <w:rPr>
              <w:rFonts w:hint="default" w:ascii="Times New Roman" w:hAnsi="Times New Roman" w:eastAsia="宋体" w:cs="Times New Roman"/>
              <w:bCs/>
              <w:sz w:val="21"/>
              <w:szCs w:val="21"/>
            </w:rPr>
            <w:t>2.7环境保护目标</w:t>
          </w:r>
          <w:r>
            <w:rPr>
              <w:sz w:val="21"/>
              <w:szCs w:val="21"/>
            </w:rPr>
            <w:tab/>
          </w:r>
          <w:r>
            <w:rPr>
              <w:sz w:val="21"/>
              <w:szCs w:val="21"/>
            </w:rPr>
            <w:fldChar w:fldCharType="begin"/>
          </w:r>
          <w:r>
            <w:rPr>
              <w:sz w:val="21"/>
              <w:szCs w:val="21"/>
            </w:rPr>
            <w:instrText xml:space="preserve"> PAGEREF _Toc14961 \h </w:instrText>
          </w:r>
          <w:r>
            <w:rPr>
              <w:sz w:val="21"/>
              <w:szCs w:val="21"/>
            </w:rPr>
            <w:fldChar w:fldCharType="separate"/>
          </w:r>
          <w:r>
            <w:rPr>
              <w:sz w:val="21"/>
              <w:szCs w:val="21"/>
            </w:rPr>
            <w:t>41</w:t>
          </w:r>
          <w:r>
            <w:rPr>
              <w:sz w:val="21"/>
              <w:szCs w:val="21"/>
            </w:rPr>
            <w:fldChar w:fldCharType="end"/>
          </w:r>
          <w:r>
            <w:rPr>
              <w:rFonts w:hint="default"/>
              <w:sz w:val="21"/>
              <w:szCs w:val="21"/>
            </w:rPr>
            <w:fldChar w:fldCharType="end"/>
          </w:r>
        </w:p>
        <w:p w14:paraId="7A0172B2">
          <w:pPr>
            <w:pStyle w:val="21"/>
            <w:keepNext w:val="0"/>
            <w:keepLines w:val="0"/>
            <w:pageBreakBefore w:val="0"/>
            <w:widowControl w:val="0"/>
            <w:tabs>
              <w:tab w:val="right" w:leader="dot" w:pos="8304"/>
            </w:tabs>
            <w:kinsoku/>
            <w:wordWrap/>
            <w:overflowPunct/>
            <w:topLinePunct w:val="0"/>
            <w:autoSpaceDE/>
            <w:autoSpaceDN/>
            <w:bidi w:val="0"/>
            <w:adjustRightInd/>
            <w:snapToGrid/>
            <w:spacing w:before="0"/>
            <w:ind w:left="0" w:right="0"/>
            <w:textAlignment w:val="auto"/>
            <w:rPr>
              <w:sz w:val="21"/>
              <w:szCs w:val="21"/>
            </w:rPr>
          </w:pPr>
          <w:r>
            <w:rPr>
              <w:rFonts w:hint="default"/>
              <w:sz w:val="21"/>
              <w:szCs w:val="21"/>
            </w:rPr>
            <w:fldChar w:fldCharType="begin"/>
          </w:r>
          <w:r>
            <w:rPr>
              <w:rFonts w:hint="default"/>
              <w:sz w:val="21"/>
              <w:szCs w:val="21"/>
            </w:rPr>
            <w:instrText xml:space="preserve"> HYPERLINK \l _Toc4498 </w:instrText>
          </w:r>
          <w:r>
            <w:rPr>
              <w:rFonts w:hint="default"/>
              <w:sz w:val="21"/>
              <w:szCs w:val="21"/>
            </w:rPr>
            <w:fldChar w:fldCharType="separate"/>
          </w:r>
          <w:r>
            <w:rPr>
              <w:rFonts w:hint="default" w:ascii="Times New Roman" w:hAnsi="Times New Roman" w:eastAsia="宋体" w:cs="Times New Roman"/>
              <w:bCs/>
              <w:sz w:val="21"/>
              <w:szCs w:val="21"/>
            </w:rPr>
            <w:t>3建设项目工程分析</w:t>
          </w:r>
          <w:r>
            <w:rPr>
              <w:sz w:val="21"/>
              <w:szCs w:val="21"/>
            </w:rPr>
            <w:tab/>
          </w:r>
          <w:r>
            <w:rPr>
              <w:sz w:val="21"/>
              <w:szCs w:val="21"/>
            </w:rPr>
            <w:fldChar w:fldCharType="begin"/>
          </w:r>
          <w:r>
            <w:rPr>
              <w:sz w:val="21"/>
              <w:szCs w:val="21"/>
            </w:rPr>
            <w:instrText xml:space="preserve"> PAGEREF _Toc4498 \h </w:instrText>
          </w:r>
          <w:r>
            <w:rPr>
              <w:sz w:val="21"/>
              <w:szCs w:val="21"/>
            </w:rPr>
            <w:fldChar w:fldCharType="separate"/>
          </w:r>
          <w:r>
            <w:rPr>
              <w:sz w:val="21"/>
              <w:szCs w:val="21"/>
            </w:rPr>
            <w:t>43</w:t>
          </w:r>
          <w:r>
            <w:rPr>
              <w:sz w:val="21"/>
              <w:szCs w:val="21"/>
            </w:rPr>
            <w:fldChar w:fldCharType="end"/>
          </w:r>
          <w:r>
            <w:rPr>
              <w:rFonts w:hint="default"/>
              <w:sz w:val="21"/>
              <w:szCs w:val="21"/>
            </w:rPr>
            <w:fldChar w:fldCharType="end"/>
          </w:r>
        </w:p>
        <w:p w14:paraId="27BE03FB">
          <w:pPr>
            <w:pStyle w:val="26"/>
            <w:tabs>
              <w:tab w:val="right" w:leader="dot" w:pos="8304"/>
            </w:tabs>
            <w:rPr>
              <w:sz w:val="21"/>
              <w:szCs w:val="21"/>
            </w:rPr>
          </w:pPr>
          <w:r>
            <w:rPr>
              <w:rFonts w:hint="default"/>
              <w:sz w:val="21"/>
              <w:szCs w:val="21"/>
            </w:rPr>
            <w:fldChar w:fldCharType="begin"/>
          </w:r>
          <w:r>
            <w:rPr>
              <w:rFonts w:hint="default"/>
              <w:sz w:val="21"/>
              <w:szCs w:val="21"/>
            </w:rPr>
            <w:instrText xml:space="preserve"> HYPERLINK \l _Toc13493 </w:instrText>
          </w:r>
          <w:r>
            <w:rPr>
              <w:rFonts w:hint="default"/>
              <w:sz w:val="21"/>
              <w:szCs w:val="21"/>
            </w:rPr>
            <w:fldChar w:fldCharType="separate"/>
          </w:r>
          <w:r>
            <w:rPr>
              <w:rFonts w:hint="default" w:ascii="Times New Roman" w:hAnsi="Times New Roman" w:eastAsia="宋体" w:cs="Times New Roman"/>
              <w:bCs/>
              <w:sz w:val="21"/>
              <w:szCs w:val="21"/>
            </w:rPr>
            <w:t>3.1建设项目概况</w:t>
          </w:r>
          <w:r>
            <w:rPr>
              <w:sz w:val="21"/>
              <w:szCs w:val="21"/>
            </w:rPr>
            <w:tab/>
          </w:r>
          <w:r>
            <w:rPr>
              <w:sz w:val="21"/>
              <w:szCs w:val="21"/>
            </w:rPr>
            <w:fldChar w:fldCharType="begin"/>
          </w:r>
          <w:r>
            <w:rPr>
              <w:sz w:val="21"/>
              <w:szCs w:val="21"/>
            </w:rPr>
            <w:instrText xml:space="preserve"> PAGEREF _Toc13493 \h </w:instrText>
          </w:r>
          <w:r>
            <w:rPr>
              <w:sz w:val="21"/>
              <w:szCs w:val="21"/>
            </w:rPr>
            <w:fldChar w:fldCharType="separate"/>
          </w:r>
          <w:r>
            <w:rPr>
              <w:sz w:val="21"/>
              <w:szCs w:val="21"/>
            </w:rPr>
            <w:t>43</w:t>
          </w:r>
          <w:r>
            <w:rPr>
              <w:sz w:val="21"/>
              <w:szCs w:val="21"/>
            </w:rPr>
            <w:fldChar w:fldCharType="end"/>
          </w:r>
          <w:r>
            <w:rPr>
              <w:rFonts w:hint="default"/>
              <w:sz w:val="21"/>
              <w:szCs w:val="21"/>
            </w:rPr>
            <w:fldChar w:fldCharType="end"/>
          </w:r>
        </w:p>
        <w:p w14:paraId="54E8FFAA">
          <w:pPr>
            <w:pStyle w:val="14"/>
            <w:tabs>
              <w:tab w:val="right" w:leader="dot" w:pos="8304"/>
            </w:tabs>
            <w:rPr>
              <w:sz w:val="21"/>
              <w:szCs w:val="21"/>
            </w:rPr>
          </w:pPr>
          <w:r>
            <w:rPr>
              <w:rFonts w:hint="default"/>
              <w:sz w:val="21"/>
              <w:szCs w:val="21"/>
            </w:rPr>
            <w:fldChar w:fldCharType="begin"/>
          </w:r>
          <w:r>
            <w:rPr>
              <w:rFonts w:hint="default"/>
              <w:sz w:val="21"/>
              <w:szCs w:val="21"/>
            </w:rPr>
            <w:instrText xml:space="preserve"> HYPERLINK \l _Toc18349 </w:instrText>
          </w:r>
          <w:r>
            <w:rPr>
              <w:rFonts w:hint="default"/>
              <w:sz w:val="21"/>
              <w:szCs w:val="21"/>
            </w:rPr>
            <w:fldChar w:fldCharType="separate"/>
          </w:r>
          <w:r>
            <w:rPr>
              <w:rFonts w:hint="default" w:ascii="Times New Roman" w:hAnsi="Times New Roman" w:eastAsia="宋体" w:cs="Times New Roman"/>
              <w:bCs/>
              <w:sz w:val="21"/>
              <w:szCs w:val="21"/>
            </w:rPr>
            <w:t>3.1.1项目概况</w:t>
          </w:r>
          <w:r>
            <w:rPr>
              <w:sz w:val="21"/>
              <w:szCs w:val="21"/>
            </w:rPr>
            <w:tab/>
          </w:r>
          <w:r>
            <w:rPr>
              <w:sz w:val="21"/>
              <w:szCs w:val="21"/>
            </w:rPr>
            <w:fldChar w:fldCharType="begin"/>
          </w:r>
          <w:r>
            <w:rPr>
              <w:sz w:val="21"/>
              <w:szCs w:val="21"/>
            </w:rPr>
            <w:instrText xml:space="preserve"> PAGEREF _Toc18349 \h </w:instrText>
          </w:r>
          <w:r>
            <w:rPr>
              <w:sz w:val="21"/>
              <w:szCs w:val="21"/>
            </w:rPr>
            <w:fldChar w:fldCharType="separate"/>
          </w:r>
          <w:r>
            <w:rPr>
              <w:sz w:val="21"/>
              <w:szCs w:val="21"/>
            </w:rPr>
            <w:t>43</w:t>
          </w:r>
          <w:r>
            <w:rPr>
              <w:sz w:val="21"/>
              <w:szCs w:val="21"/>
            </w:rPr>
            <w:fldChar w:fldCharType="end"/>
          </w:r>
          <w:r>
            <w:rPr>
              <w:rFonts w:hint="default"/>
              <w:sz w:val="21"/>
              <w:szCs w:val="21"/>
            </w:rPr>
            <w:fldChar w:fldCharType="end"/>
          </w:r>
        </w:p>
        <w:p w14:paraId="0BB858B1">
          <w:pPr>
            <w:pStyle w:val="14"/>
            <w:tabs>
              <w:tab w:val="right" w:leader="dot" w:pos="8304"/>
            </w:tabs>
            <w:rPr>
              <w:sz w:val="21"/>
              <w:szCs w:val="21"/>
            </w:rPr>
          </w:pPr>
          <w:r>
            <w:rPr>
              <w:rFonts w:hint="default"/>
              <w:sz w:val="21"/>
              <w:szCs w:val="21"/>
            </w:rPr>
            <w:fldChar w:fldCharType="begin"/>
          </w:r>
          <w:r>
            <w:rPr>
              <w:rFonts w:hint="default"/>
              <w:sz w:val="21"/>
              <w:szCs w:val="21"/>
            </w:rPr>
            <w:instrText xml:space="preserve"> HYPERLINK \l _Toc30671 </w:instrText>
          </w:r>
          <w:r>
            <w:rPr>
              <w:rFonts w:hint="default"/>
              <w:sz w:val="21"/>
              <w:szCs w:val="21"/>
            </w:rPr>
            <w:fldChar w:fldCharType="separate"/>
          </w:r>
          <w:r>
            <w:rPr>
              <w:rFonts w:hint="default" w:ascii="Times New Roman" w:hAnsi="Times New Roman" w:eastAsia="宋体" w:cs="Times New Roman"/>
              <w:bCs/>
              <w:sz w:val="21"/>
              <w:szCs w:val="21"/>
            </w:rPr>
            <w:t>3.1.2项目建设内容</w:t>
          </w:r>
          <w:r>
            <w:rPr>
              <w:sz w:val="21"/>
              <w:szCs w:val="21"/>
            </w:rPr>
            <w:tab/>
          </w:r>
          <w:r>
            <w:rPr>
              <w:sz w:val="21"/>
              <w:szCs w:val="21"/>
            </w:rPr>
            <w:fldChar w:fldCharType="begin"/>
          </w:r>
          <w:r>
            <w:rPr>
              <w:sz w:val="21"/>
              <w:szCs w:val="21"/>
            </w:rPr>
            <w:instrText xml:space="preserve"> PAGEREF _Toc30671 \h </w:instrText>
          </w:r>
          <w:r>
            <w:rPr>
              <w:sz w:val="21"/>
              <w:szCs w:val="21"/>
            </w:rPr>
            <w:fldChar w:fldCharType="separate"/>
          </w:r>
          <w:r>
            <w:rPr>
              <w:sz w:val="21"/>
              <w:szCs w:val="21"/>
            </w:rPr>
            <w:t>43</w:t>
          </w:r>
          <w:r>
            <w:rPr>
              <w:sz w:val="21"/>
              <w:szCs w:val="21"/>
            </w:rPr>
            <w:fldChar w:fldCharType="end"/>
          </w:r>
          <w:r>
            <w:rPr>
              <w:rFonts w:hint="default"/>
              <w:sz w:val="21"/>
              <w:szCs w:val="21"/>
            </w:rPr>
            <w:fldChar w:fldCharType="end"/>
          </w:r>
        </w:p>
        <w:p w14:paraId="5161D442">
          <w:pPr>
            <w:pStyle w:val="14"/>
            <w:tabs>
              <w:tab w:val="right" w:leader="dot" w:pos="8304"/>
            </w:tabs>
            <w:rPr>
              <w:sz w:val="21"/>
              <w:szCs w:val="21"/>
            </w:rPr>
          </w:pPr>
          <w:r>
            <w:rPr>
              <w:rFonts w:hint="default"/>
              <w:sz w:val="21"/>
              <w:szCs w:val="21"/>
            </w:rPr>
            <w:fldChar w:fldCharType="begin"/>
          </w:r>
          <w:r>
            <w:rPr>
              <w:rFonts w:hint="default"/>
              <w:sz w:val="21"/>
              <w:szCs w:val="21"/>
            </w:rPr>
            <w:instrText xml:space="preserve"> HYPERLINK \l _Toc20921 </w:instrText>
          </w:r>
          <w:r>
            <w:rPr>
              <w:rFonts w:hint="default"/>
              <w:sz w:val="21"/>
              <w:szCs w:val="21"/>
            </w:rPr>
            <w:fldChar w:fldCharType="separate"/>
          </w:r>
          <w:r>
            <w:rPr>
              <w:rFonts w:hint="default" w:ascii="Times New Roman" w:hAnsi="Times New Roman" w:eastAsia="宋体" w:cs="Times New Roman"/>
              <w:sz w:val="21"/>
              <w:szCs w:val="21"/>
              <w:lang w:eastAsia="zh-CN"/>
            </w:rPr>
            <w:t>3.1.3</w:t>
          </w:r>
          <w:r>
            <w:rPr>
              <w:rFonts w:hint="default" w:ascii="Times New Roman" w:hAnsi="Times New Roman" w:eastAsia="宋体" w:cs="Times New Roman"/>
              <w:sz w:val="21"/>
              <w:szCs w:val="21"/>
            </w:rPr>
            <w:t>产品方案</w:t>
          </w:r>
          <w:r>
            <w:rPr>
              <w:sz w:val="21"/>
              <w:szCs w:val="21"/>
            </w:rPr>
            <w:tab/>
          </w:r>
          <w:r>
            <w:rPr>
              <w:sz w:val="21"/>
              <w:szCs w:val="21"/>
            </w:rPr>
            <w:fldChar w:fldCharType="begin"/>
          </w:r>
          <w:r>
            <w:rPr>
              <w:sz w:val="21"/>
              <w:szCs w:val="21"/>
            </w:rPr>
            <w:instrText xml:space="preserve"> PAGEREF _Toc20921 \h </w:instrText>
          </w:r>
          <w:r>
            <w:rPr>
              <w:sz w:val="21"/>
              <w:szCs w:val="21"/>
            </w:rPr>
            <w:fldChar w:fldCharType="separate"/>
          </w:r>
          <w:r>
            <w:rPr>
              <w:sz w:val="21"/>
              <w:szCs w:val="21"/>
            </w:rPr>
            <w:t>46</w:t>
          </w:r>
          <w:r>
            <w:rPr>
              <w:sz w:val="21"/>
              <w:szCs w:val="21"/>
            </w:rPr>
            <w:fldChar w:fldCharType="end"/>
          </w:r>
          <w:r>
            <w:rPr>
              <w:rFonts w:hint="default"/>
              <w:sz w:val="21"/>
              <w:szCs w:val="21"/>
            </w:rPr>
            <w:fldChar w:fldCharType="end"/>
          </w:r>
        </w:p>
        <w:p w14:paraId="0F3E3183">
          <w:pPr>
            <w:pStyle w:val="14"/>
            <w:tabs>
              <w:tab w:val="right" w:leader="dot" w:pos="8304"/>
            </w:tabs>
            <w:rPr>
              <w:sz w:val="21"/>
              <w:szCs w:val="21"/>
            </w:rPr>
          </w:pPr>
          <w:r>
            <w:rPr>
              <w:rFonts w:hint="default"/>
              <w:sz w:val="21"/>
              <w:szCs w:val="21"/>
            </w:rPr>
            <w:fldChar w:fldCharType="begin"/>
          </w:r>
          <w:r>
            <w:rPr>
              <w:rFonts w:hint="default"/>
              <w:sz w:val="21"/>
              <w:szCs w:val="21"/>
            </w:rPr>
            <w:instrText xml:space="preserve"> HYPERLINK \l _Toc21691 </w:instrText>
          </w:r>
          <w:r>
            <w:rPr>
              <w:rFonts w:hint="default"/>
              <w:sz w:val="21"/>
              <w:szCs w:val="21"/>
            </w:rPr>
            <w:fldChar w:fldCharType="separate"/>
          </w:r>
          <w:r>
            <w:rPr>
              <w:rFonts w:hint="default" w:ascii="Times New Roman" w:hAnsi="Times New Roman" w:eastAsia="宋体" w:cs="Times New Roman"/>
              <w:sz w:val="21"/>
              <w:szCs w:val="21"/>
            </w:rPr>
            <w:t>3.1.</w:t>
          </w:r>
          <w:r>
            <w:rPr>
              <w:rFonts w:hint="default" w:ascii="Times New Roman" w:hAnsi="Times New Roman" w:eastAsia="宋体" w:cs="Times New Roman"/>
              <w:sz w:val="21"/>
              <w:szCs w:val="21"/>
              <w:lang w:eastAsia="zh-CN"/>
            </w:rPr>
            <w:t>4</w:t>
          </w:r>
          <w:r>
            <w:rPr>
              <w:rFonts w:hint="default" w:ascii="Times New Roman" w:hAnsi="Times New Roman" w:eastAsia="宋体" w:cs="Times New Roman"/>
              <w:sz w:val="21"/>
              <w:szCs w:val="21"/>
            </w:rPr>
            <w:t>主要生产设备</w:t>
          </w:r>
          <w:r>
            <w:rPr>
              <w:sz w:val="21"/>
              <w:szCs w:val="21"/>
            </w:rPr>
            <w:tab/>
          </w:r>
          <w:r>
            <w:rPr>
              <w:sz w:val="21"/>
              <w:szCs w:val="21"/>
            </w:rPr>
            <w:fldChar w:fldCharType="begin"/>
          </w:r>
          <w:r>
            <w:rPr>
              <w:sz w:val="21"/>
              <w:szCs w:val="21"/>
            </w:rPr>
            <w:instrText xml:space="preserve"> PAGEREF _Toc21691 \h </w:instrText>
          </w:r>
          <w:r>
            <w:rPr>
              <w:sz w:val="21"/>
              <w:szCs w:val="21"/>
            </w:rPr>
            <w:fldChar w:fldCharType="separate"/>
          </w:r>
          <w:r>
            <w:rPr>
              <w:sz w:val="21"/>
              <w:szCs w:val="21"/>
            </w:rPr>
            <w:t>46</w:t>
          </w:r>
          <w:r>
            <w:rPr>
              <w:sz w:val="21"/>
              <w:szCs w:val="21"/>
            </w:rPr>
            <w:fldChar w:fldCharType="end"/>
          </w:r>
          <w:r>
            <w:rPr>
              <w:rFonts w:hint="default"/>
              <w:sz w:val="21"/>
              <w:szCs w:val="21"/>
            </w:rPr>
            <w:fldChar w:fldCharType="end"/>
          </w:r>
        </w:p>
        <w:p w14:paraId="32FFDD50">
          <w:pPr>
            <w:pStyle w:val="14"/>
            <w:tabs>
              <w:tab w:val="right" w:leader="dot" w:pos="8304"/>
            </w:tabs>
            <w:rPr>
              <w:sz w:val="21"/>
              <w:szCs w:val="21"/>
            </w:rPr>
          </w:pPr>
          <w:r>
            <w:rPr>
              <w:rFonts w:hint="default"/>
              <w:sz w:val="21"/>
              <w:szCs w:val="21"/>
            </w:rPr>
            <w:fldChar w:fldCharType="begin"/>
          </w:r>
          <w:r>
            <w:rPr>
              <w:rFonts w:hint="default"/>
              <w:sz w:val="21"/>
              <w:szCs w:val="21"/>
            </w:rPr>
            <w:instrText xml:space="preserve"> HYPERLINK \l _Toc27238 </w:instrText>
          </w:r>
          <w:r>
            <w:rPr>
              <w:rFonts w:hint="default"/>
              <w:sz w:val="21"/>
              <w:szCs w:val="21"/>
            </w:rPr>
            <w:fldChar w:fldCharType="separate"/>
          </w:r>
          <w:r>
            <w:rPr>
              <w:rFonts w:hint="default" w:ascii="Times New Roman" w:hAnsi="Times New Roman" w:eastAsia="宋体" w:cs="Times New Roman"/>
              <w:sz w:val="21"/>
              <w:szCs w:val="21"/>
              <w:lang w:eastAsia="zh-CN"/>
            </w:rPr>
            <w:t>3.1.5原辅材料</w:t>
          </w:r>
          <w:r>
            <w:rPr>
              <w:sz w:val="21"/>
              <w:szCs w:val="21"/>
            </w:rPr>
            <w:tab/>
          </w:r>
          <w:r>
            <w:rPr>
              <w:sz w:val="21"/>
              <w:szCs w:val="21"/>
            </w:rPr>
            <w:fldChar w:fldCharType="begin"/>
          </w:r>
          <w:r>
            <w:rPr>
              <w:sz w:val="21"/>
              <w:szCs w:val="21"/>
            </w:rPr>
            <w:instrText xml:space="preserve"> PAGEREF _Toc27238 \h </w:instrText>
          </w:r>
          <w:r>
            <w:rPr>
              <w:sz w:val="21"/>
              <w:szCs w:val="21"/>
            </w:rPr>
            <w:fldChar w:fldCharType="separate"/>
          </w:r>
          <w:r>
            <w:rPr>
              <w:sz w:val="21"/>
              <w:szCs w:val="21"/>
            </w:rPr>
            <w:t>47</w:t>
          </w:r>
          <w:r>
            <w:rPr>
              <w:sz w:val="21"/>
              <w:szCs w:val="21"/>
            </w:rPr>
            <w:fldChar w:fldCharType="end"/>
          </w:r>
          <w:r>
            <w:rPr>
              <w:rFonts w:hint="default"/>
              <w:sz w:val="21"/>
              <w:szCs w:val="21"/>
            </w:rPr>
            <w:fldChar w:fldCharType="end"/>
          </w:r>
        </w:p>
        <w:p w14:paraId="7F249AAF">
          <w:pPr>
            <w:pStyle w:val="14"/>
            <w:tabs>
              <w:tab w:val="right" w:leader="dot" w:pos="8304"/>
            </w:tabs>
            <w:rPr>
              <w:sz w:val="21"/>
              <w:szCs w:val="21"/>
            </w:rPr>
          </w:pPr>
          <w:r>
            <w:rPr>
              <w:rFonts w:hint="default"/>
              <w:sz w:val="21"/>
              <w:szCs w:val="21"/>
            </w:rPr>
            <w:fldChar w:fldCharType="begin"/>
          </w:r>
          <w:r>
            <w:rPr>
              <w:rFonts w:hint="default"/>
              <w:sz w:val="21"/>
              <w:szCs w:val="21"/>
            </w:rPr>
            <w:instrText xml:space="preserve"> HYPERLINK \l _Toc6783 </w:instrText>
          </w:r>
          <w:r>
            <w:rPr>
              <w:rFonts w:hint="default"/>
              <w:sz w:val="21"/>
              <w:szCs w:val="21"/>
            </w:rPr>
            <w:fldChar w:fldCharType="separate"/>
          </w:r>
          <w:r>
            <w:rPr>
              <w:rFonts w:hint="default" w:ascii="Times New Roman" w:hAnsi="Times New Roman" w:eastAsia="宋体" w:cs="Times New Roman"/>
              <w:sz w:val="21"/>
              <w:szCs w:val="21"/>
              <w:lang w:eastAsia="zh-CN"/>
            </w:rPr>
            <w:t>3.1.6公用工程</w:t>
          </w:r>
          <w:r>
            <w:rPr>
              <w:sz w:val="21"/>
              <w:szCs w:val="21"/>
            </w:rPr>
            <w:tab/>
          </w:r>
          <w:r>
            <w:rPr>
              <w:sz w:val="21"/>
              <w:szCs w:val="21"/>
            </w:rPr>
            <w:fldChar w:fldCharType="begin"/>
          </w:r>
          <w:r>
            <w:rPr>
              <w:sz w:val="21"/>
              <w:szCs w:val="21"/>
            </w:rPr>
            <w:instrText xml:space="preserve"> PAGEREF _Toc6783 \h </w:instrText>
          </w:r>
          <w:r>
            <w:rPr>
              <w:sz w:val="21"/>
              <w:szCs w:val="21"/>
            </w:rPr>
            <w:fldChar w:fldCharType="separate"/>
          </w:r>
          <w:r>
            <w:rPr>
              <w:sz w:val="21"/>
              <w:szCs w:val="21"/>
            </w:rPr>
            <w:t>48</w:t>
          </w:r>
          <w:r>
            <w:rPr>
              <w:sz w:val="21"/>
              <w:szCs w:val="21"/>
            </w:rPr>
            <w:fldChar w:fldCharType="end"/>
          </w:r>
          <w:r>
            <w:rPr>
              <w:rFonts w:hint="default"/>
              <w:sz w:val="21"/>
              <w:szCs w:val="21"/>
            </w:rPr>
            <w:fldChar w:fldCharType="end"/>
          </w:r>
        </w:p>
        <w:p w14:paraId="18BE8B8F">
          <w:pPr>
            <w:pStyle w:val="26"/>
            <w:tabs>
              <w:tab w:val="right" w:leader="dot" w:pos="8304"/>
            </w:tabs>
            <w:rPr>
              <w:sz w:val="21"/>
              <w:szCs w:val="21"/>
            </w:rPr>
          </w:pPr>
          <w:r>
            <w:rPr>
              <w:rFonts w:hint="default"/>
              <w:sz w:val="21"/>
              <w:szCs w:val="21"/>
            </w:rPr>
            <w:fldChar w:fldCharType="begin"/>
          </w:r>
          <w:r>
            <w:rPr>
              <w:rFonts w:hint="default"/>
              <w:sz w:val="21"/>
              <w:szCs w:val="21"/>
            </w:rPr>
            <w:instrText xml:space="preserve"> HYPERLINK \l _Toc3922 </w:instrText>
          </w:r>
          <w:r>
            <w:rPr>
              <w:rFonts w:hint="default"/>
              <w:sz w:val="21"/>
              <w:szCs w:val="21"/>
            </w:rPr>
            <w:fldChar w:fldCharType="separate"/>
          </w:r>
          <w:r>
            <w:rPr>
              <w:rFonts w:hint="default" w:ascii="Times New Roman" w:hAnsi="Times New Roman" w:eastAsia="宋体" w:cs="Times New Roman"/>
              <w:bCs/>
              <w:sz w:val="21"/>
              <w:szCs w:val="21"/>
            </w:rPr>
            <w:t>3.2工程分析</w:t>
          </w:r>
          <w:r>
            <w:rPr>
              <w:sz w:val="21"/>
              <w:szCs w:val="21"/>
            </w:rPr>
            <w:tab/>
          </w:r>
          <w:r>
            <w:rPr>
              <w:sz w:val="21"/>
              <w:szCs w:val="21"/>
            </w:rPr>
            <w:fldChar w:fldCharType="begin"/>
          </w:r>
          <w:r>
            <w:rPr>
              <w:sz w:val="21"/>
              <w:szCs w:val="21"/>
            </w:rPr>
            <w:instrText xml:space="preserve"> PAGEREF _Toc3922 \h </w:instrText>
          </w:r>
          <w:r>
            <w:rPr>
              <w:sz w:val="21"/>
              <w:szCs w:val="21"/>
            </w:rPr>
            <w:fldChar w:fldCharType="separate"/>
          </w:r>
          <w:r>
            <w:rPr>
              <w:sz w:val="21"/>
              <w:szCs w:val="21"/>
            </w:rPr>
            <w:t>51</w:t>
          </w:r>
          <w:r>
            <w:rPr>
              <w:sz w:val="21"/>
              <w:szCs w:val="21"/>
            </w:rPr>
            <w:fldChar w:fldCharType="end"/>
          </w:r>
          <w:r>
            <w:rPr>
              <w:rFonts w:hint="default"/>
              <w:sz w:val="21"/>
              <w:szCs w:val="21"/>
            </w:rPr>
            <w:fldChar w:fldCharType="end"/>
          </w:r>
        </w:p>
        <w:p w14:paraId="55225782">
          <w:pPr>
            <w:pStyle w:val="14"/>
            <w:tabs>
              <w:tab w:val="right" w:leader="dot" w:pos="8304"/>
            </w:tabs>
            <w:rPr>
              <w:sz w:val="21"/>
              <w:szCs w:val="21"/>
            </w:rPr>
          </w:pPr>
          <w:r>
            <w:rPr>
              <w:rFonts w:hint="default"/>
              <w:sz w:val="21"/>
              <w:szCs w:val="21"/>
            </w:rPr>
            <w:fldChar w:fldCharType="begin"/>
          </w:r>
          <w:r>
            <w:rPr>
              <w:rFonts w:hint="default"/>
              <w:sz w:val="21"/>
              <w:szCs w:val="21"/>
            </w:rPr>
            <w:instrText xml:space="preserve"> HYPERLINK \l _Toc22575 </w:instrText>
          </w:r>
          <w:r>
            <w:rPr>
              <w:rFonts w:hint="default"/>
              <w:sz w:val="21"/>
              <w:szCs w:val="21"/>
            </w:rPr>
            <w:fldChar w:fldCharType="separate"/>
          </w:r>
          <w:r>
            <w:rPr>
              <w:rFonts w:hint="default" w:ascii="Times New Roman" w:hAnsi="Times New Roman" w:eastAsia="宋体" w:cs="Times New Roman"/>
              <w:sz w:val="21"/>
              <w:szCs w:val="21"/>
              <w:lang w:eastAsia="zh-CN"/>
            </w:rPr>
            <w:t>3.2.1工艺流程及产污环节分析</w:t>
          </w:r>
          <w:r>
            <w:rPr>
              <w:sz w:val="21"/>
              <w:szCs w:val="21"/>
            </w:rPr>
            <w:tab/>
          </w:r>
          <w:r>
            <w:rPr>
              <w:sz w:val="21"/>
              <w:szCs w:val="21"/>
            </w:rPr>
            <w:fldChar w:fldCharType="begin"/>
          </w:r>
          <w:r>
            <w:rPr>
              <w:sz w:val="21"/>
              <w:szCs w:val="21"/>
            </w:rPr>
            <w:instrText xml:space="preserve"> PAGEREF _Toc22575 \h </w:instrText>
          </w:r>
          <w:r>
            <w:rPr>
              <w:sz w:val="21"/>
              <w:szCs w:val="21"/>
            </w:rPr>
            <w:fldChar w:fldCharType="separate"/>
          </w:r>
          <w:r>
            <w:rPr>
              <w:sz w:val="21"/>
              <w:szCs w:val="21"/>
            </w:rPr>
            <w:t>51</w:t>
          </w:r>
          <w:r>
            <w:rPr>
              <w:sz w:val="21"/>
              <w:szCs w:val="21"/>
            </w:rPr>
            <w:fldChar w:fldCharType="end"/>
          </w:r>
          <w:r>
            <w:rPr>
              <w:rFonts w:hint="default"/>
              <w:sz w:val="21"/>
              <w:szCs w:val="21"/>
            </w:rPr>
            <w:fldChar w:fldCharType="end"/>
          </w:r>
        </w:p>
        <w:p w14:paraId="6A9E7CC0">
          <w:pPr>
            <w:pStyle w:val="14"/>
            <w:tabs>
              <w:tab w:val="right" w:leader="dot" w:pos="8304"/>
            </w:tabs>
            <w:rPr>
              <w:sz w:val="21"/>
              <w:szCs w:val="21"/>
            </w:rPr>
          </w:pPr>
          <w:r>
            <w:rPr>
              <w:rFonts w:hint="default"/>
              <w:sz w:val="21"/>
              <w:szCs w:val="21"/>
            </w:rPr>
            <w:fldChar w:fldCharType="begin"/>
          </w:r>
          <w:r>
            <w:rPr>
              <w:rFonts w:hint="default"/>
              <w:sz w:val="21"/>
              <w:szCs w:val="21"/>
            </w:rPr>
            <w:instrText xml:space="preserve"> HYPERLINK \l _Toc9093 </w:instrText>
          </w:r>
          <w:r>
            <w:rPr>
              <w:rFonts w:hint="default"/>
              <w:sz w:val="21"/>
              <w:szCs w:val="21"/>
            </w:rPr>
            <w:fldChar w:fldCharType="separate"/>
          </w:r>
          <w:r>
            <w:rPr>
              <w:rFonts w:hint="default" w:ascii="Times New Roman" w:hAnsi="Times New Roman" w:eastAsia="宋体" w:cs="Times New Roman"/>
              <w:sz w:val="21"/>
              <w:szCs w:val="21"/>
              <w:lang w:eastAsia="zh-CN"/>
            </w:rPr>
            <w:t>3.2.2青贮饲料制作、饲料拌合工艺流程</w:t>
          </w:r>
          <w:r>
            <w:rPr>
              <w:sz w:val="21"/>
              <w:szCs w:val="21"/>
            </w:rPr>
            <w:tab/>
          </w:r>
          <w:r>
            <w:rPr>
              <w:sz w:val="21"/>
              <w:szCs w:val="21"/>
            </w:rPr>
            <w:fldChar w:fldCharType="begin"/>
          </w:r>
          <w:r>
            <w:rPr>
              <w:sz w:val="21"/>
              <w:szCs w:val="21"/>
            </w:rPr>
            <w:instrText xml:space="preserve"> PAGEREF _Toc9093 \h </w:instrText>
          </w:r>
          <w:r>
            <w:rPr>
              <w:sz w:val="21"/>
              <w:szCs w:val="21"/>
            </w:rPr>
            <w:fldChar w:fldCharType="separate"/>
          </w:r>
          <w:r>
            <w:rPr>
              <w:sz w:val="21"/>
              <w:szCs w:val="21"/>
            </w:rPr>
            <w:t>52</w:t>
          </w:r>
          <w:r>
            <w:rPr>
              <w:sz w:val="21"/>
              <w:szCs w:val="21"/>
            </w:rPr>
            <w:fldChar w:fldCharType="end"/>
          </w:r>
          <w:r>
            <w:rPr>
              <w:rFonts w:hint="default"/>
              <w:sz w:val="21"/>
              <w:szCs w:val="21"/>
            </w:rPr>
            <w:fldChar w:fldCharType="end"/>
          </w:r>
        </w:p>
        <w:p w14:paraId="168CC874">
          <w:pPr>
            <w:pStyle w:val="14"/>
            <w:tabs>
              <w:tab w:val="right" w:leader="dot" w:pos="8304"/>
            </w:tabs>
            <w:rPr>
              <w:sz w:val="21"/>
              <w:szCs w:val="21"/>
            </w:rPr>
          </w:pPr>
          <w:r>
            <w:rPr>
              <w:rFonts w:hint="default"/>
              <w:sz w:val="21"/>
              <w:szCs w:val="21"/>
            </w:rPr>
            <w:fldChar w:fldCharType="begin"/>
          </w:r>
          <w:r>
            <w:rPr>
              <w:rFonts w:hint="default"/>
              <w:sz w:val="21"/>
              <w:szCs w:val="21"/>
            </w:rPr>
            <w:instrText xml:space="preserve"> HYPERLINK \l _Toc15340 </w:instrText>
          </w:r>
          <w:r>
            <w:rPr>
              <w:rFonts w:hint="default"/>
              <w:sz w:val="21"/>
              <w:szCs w:val="21"/>
            </w:rPr>
            <w:fldChar w:fldCharType="separate"/>
          </w:r>
          <w:r>
            <w:rPr>
              <w:rFonts w:hint="default" w:ascii="Times New Roman" w:hAnsi="Times New Roman" w:eastAsia="宋体" w:cs="Times New Roman"/>
              <w:sz w:val="21"/>
              <w:szCs w:val="21"/>
              <w:lang w:eastAsia="zh-CN"/>
            </w:rPr>
            <w:t>3.2.3奶牛饲养流程</w:t>
          </w:r>
          <w:r>
            <w:rPr>
              <w:sz w:val="21"/>
              <w:szCs w:val="21"/>
            </w:rPr>
            <w:tab/>
          </w:r>
          <w:r>
            <w:rPr>
              <w:sz w:val="21"/>
              <w:szCs w:val="21"/>
            </w:rPr>
            <w:fldChar w:fldCharType="begin"/>
          </w:r>
          <w:r>
            <w:rPr>
              <w:sz w:val="21"/>
              <w:szCs w:val="21"/>
            </w:rPr>
            <w:instrText xml:space="preserve"> PAGEREF _Toc15340 \h </w:instrText>
          </w:r>
          <w:r>
            <w:rPr>
              <w:sz w:val="21"/>
              <w:szCs w:val="21"/>
            </w:rPr>
            <w:fldChar w:fldCharType="separate"/>
          </w:r>
          <w:r>
            <w:rPr>
              <w:sz w:val="21"/>
              <w:szCs w:val="21"/>
            </w:rPr>
            <w:t>53</w:t>
          </w:r>
          <w:r>
            <w:rPr>
              <w:sz w:val="21"/>
              <w:szCs w:val="21"/>
            </w:rPr>
            <w:fldChar w:fldCharType="end"/>
          </w:r>
          <w:r>
            <w:rPr>
              <w:rFonts w:hint="default"/>
              <w:sz w:val="21"/>
              <w:szCs w:val="21"/>
            </w:rPr>
            <w:fldChar w:fldCharType="end"/>
          </w:r>
        </w:p>
        <w:p w14:paraId="3E50E18D">
          <w:pPr>
            <w:pStyle w:val="14"/>
            <w:tabs>
              <w:tab w:val="right" w:leader="dot" w:pos="8304"/>
            </w:tabs>
            <w:rPr>
              <w:sz w:val="21"/>
              <w:szCs w:val="21"/>
            </w:rPr>
          </w:pPr>
          <w:r>
            <w:rPr>
              <w:rFonts w:hint="default"/>
              <w:sz w:val="21"/>
              <w:szCs w:val="21"/>
            </w:rPr>
            <w:fldChar w:fldCharType="begin"/>
          </w:r>
          <w:r>
            <w:rPr>
              <w:rFonts w:hint="default"/>
              <w:sz w:val="21"/>
              <w:szCs w:val="21"/>
            </w:rPr>
            <w:instrText xml:space="preserve"> HYPERLINK \l _Toc32496 </w:instrText>
          </w:r>
          <w:r>
            <w:rPr>
              <w:rFonts w:hint="default"/>
              <w:sz w:val="21"/>
              <w:szCs w:val="21"/>
            </w:rPr>
            <w:fldChar w:fldCharType="separate"/>
          </w:r>
          <w:r>
            <w:rPr>
              <w:rFonts w:hint="default" w:ascii="Times New Roman" w:hAnsi="Times New Roman" w:eastAsia="宋体" w:cs="Times New Roman"/>
              <w:sz w:val="21"/>
              <w:szCs w:val="21"/>
              <w:lang w:eastAsia="zh-CN"/>
            </w:rPr>
            <w:t>3.2.4挤奶工艺</w:t>
          </w:r>
          <w:r>
            <w:rPr>
              <w:sz w:val="21"/>
              <w:szCs w:val="21"/>
            </w:rPr>
            <w:tab/>
          </w:r>
          <w:r>
            <w:rPr>
              <w:sz w:val="21"/>
              <w:szCs w:val="21"/>
            </w:rPr>
            <w:fldChar w:fldCharType="begin"/>
          </w:r>
          <w:r>
            <w:rPr>
              <w:sz w:val="21"/>
              <w:szCs w:val="21"/>
            </w:rPr>
            <w:instrText xml:space="preserve"> PAGEREF _Toc32496 \h </w:instrText>
          </w:r>
          <w:r>
            <w:rPr>
              <w:sz w:val="21"/>
              <w:szCs w:val="21"/>
            </w:rPr>
            <w:fldChar w:fldCharType="separate"/>
          </w:r>
          <w:r>
            <w:rPr>
              <w:sz w:val="21"/>
              <w:szCs w:val="21"/>
            </w:rPr>
            <w:t>54</w:t>
          </w:r>
          <w:r>
            <w:rPr>
              <w:sz w:val="21"/>
              <w:szCs w:val="21"/>
            </w:rPr>
            <w:fldChar w:fldCharType="end"/>
          </w:r>
          <w:r>
            <w:rPr>
              <w:rFonts w:hint="default"/>
              <w:sz w:val="21"/>
              <w:szCs w:val="21"/>
            </w:rPr>
            <w:fldChar w:fldCharType="end"/>
          </w:r>
        </w:p>
        <w:p w14:paraId="25D48CB1">
          <w:pPr>
            <w:pStyle w:val="14"/>
            <w:tabs>
              <w:tab w:val="right" w:leader="dot" w:pos="8304"/>
            </w:tabs>
            <w:rPr>
              <w:sz w:val="21"/>
              <w:szCs w:val="21"/>
            </w:rPr>
          </w:pPr>
          <w:r>
            <w:rPr>
              <w:rFonts w:hint="default"/>
              <w:sz w:val="21"/>
              <w:szCs w:val="21"/>
            </w:rPr>
            <w:fldChar w:fldCharType="begin"/>
          </w:r>
          <w:r>
            <w:rPr>
              <w:rFonts w:hint="default"/>
              <w:sz w:val="21"/>
              <w:szCs w:val="21"/>
            </w:rPr>
            <w:instrText xml:space="preserve"> HYPERLINK \l _Toc24300 </w:instrText>
          </w:r>
          <w:r>
            <w:rPr>
              <w:rFonts w:hint="default"/>
              <w:sz w:val="21"/>
              <w:szCs w:val="21"/>
            </w:rPr>
            <w:fldChar w:fldCharType="separate"/>
          </w:r>
          <w:r>
            <w:rPr>
              <w:rFonts w:hint="default" w:ascii="Times New Roman" w:hAnsi="Times New Roman" w:eastAsia="宋体" w:cs="Times New Roman"/>
              <w:sz w:val="21"/>
              <w:szCs w:val="21"/>
              <w:lang w:eastAsia="zh-CN"/>
            </w:rPr>
            <w:t>3.2.5粪便好氧堆肥工艺</w:t>
          </w:r>
          <w:r>
            <w:rPr>
              <w:sz w:val="21"/>
              <w:szCs w:val="21"/>
            </w:rPr>
            <w:tab/>
          </w:r>
          <w:r>
            <w:rPr>
              <w:sz w:val="21"/>
              <w:szCs w:val="21"/>
            </w:rPr>
            <w:fldChar w:fldCharType="begin"/>
          </w:r>
          <w:r>
            <w:rPr>
              <w:sz w:val="21"/>
              <w:szCs w:val="21"/>
            </w:rPr>
            <w:instrText xml:space="preserve"> PAGEREF _Toc24300 \h </w:instrText>
          </w:r>
          <w:r>
            <w:rPr>
              <w:sz w:val="21"/>
              <w:szCs w:val="21"/>
            </w:rPr>
            <w:fldChar w:fldCharType="separate"/>
          </w:r>
          <w:r>
            <w:rPr>
              <w:sz w:val="21"/>
              <w:szCs w:val="21"/>
            </w:rPr>
            <w:t>55</w:t>
          </w:r>
          <w:r>
            <w:rPr>
              <w:sz w:val="21"/>
              <w:szCs w:val="21"/>
            </w:rPr>
            <w:fldChar w:fldCharType="end"/>
          </w:r>
          <w:r>
            <w:rPr>
              <w:rFonts w:hint="default"/>
              <w:sz w:val="21"/>
              <w:szCs w:val="21"/>
            </w:rPr>
            <w:fldChar w:fldCharType="end"/>
          </w:r>
        </w:p>
        <w:p w14:paraId="780B839F">
          <w:pPr>
            <w:pStyle w:val="26"/>
            <w:tabs>
              <w:tab w:val="right" w:leader="dot" w:pos="8304"/>
            </w:tabs>
            <w:rPr>
              <w:sz w:val="21"/>
              <w:szCs w:val="21"/>
            </w:rPr>
          </w:pPr>
          <w:r>
            <w:rPr>
              <w:rFonts w:hint="default"/>
              <w:sz w:val="21"/>
              <w:szCs w:val="21"/>
            </w:rPr>
            <w:fldChar w:fldCharType="begin"/>
          </w:r>
          <w:r>
            <w:rPr>
              <w:rFonts w:hint="default"/>
              <w:sz w:val="21"/>
              <w:szCs w:val="21"/>
            </w:rPr>
            <w:instrText xml:space="preserve"> HYPERLINK \l _Toc6861 </w:instrText>
          </w:r>
          <w:r>
            <w:rPr>
              <w:rFonts w:hint="default"/>
              <w:sz w:val="21"/>
              <w:szCs w:val="21"/>
            </w:rPr>
            <w:fldChar w:fldCharType="separate"/>
          </w:r>
          <w:r>
            <w:rPr>
              <w:rFonts w:hint="default" w:ascii="Times New Roman" w:hAnsi="Times New Roman" w:eastAsia="宋体" w:cs="Times New Roman"/>
              <w:bCs/>
              <w:sz w:val="21"/>
              <w:szCs w:val="21"/>
            </w:rPr>
            <w:t>3.3污染源强核算</w:t>
          </w:r>
          <w:r>
            <w:rPr>
              <w:sz w:val="21"/>
              <w:szCs w:val="21"/>
            </w:rPr>
            <w:tab/>
          </w:r>
          <w:r>
            <w:rPr>
              <w:sz w:val="21"/>
              <w:szCs w:val="21"/>
            </w:rPr>
            <w:fldChar w:fldCharType="begin"/>
          </w:r>
          <w:r>
            <w:rPr>
              <w:sz w:val="21"/>
              <w:szCs w:val="21"/>
            </w:rPr>
            <w:instrText xml:space="preserve"> PAGEREF _Toc6861 \h </w:instrText>
          </w:r>
          <w:r>
            <w:rPr>
              <w:sz w:val="21"/>
              <w:szCs w:val="21"/>
            </w:rPr>
            <w:fldChar w:fldCharType="separate"/>
          </w:r>
          <w:r>
            <w:rPr>
              <w:sz w:val="21"/>
              <w:szCs w:val="21"/>
            </w:rPr>
            <w:t>56</w:t>
          </w:r>
          <w:r>
            <w:rPr>
              <w:sz w:val="21"/>
              <w:szCs w:val="21"/>
            </w:rPr>
            <w:fldChar w:fldCharType="end"/>
          </w:r>
          <w:r>
            <w:rPr>
              <w:rFonts w:hint="default"/>
              <w:sz w:val="21"/>
              <w:szCs w:val="21"/>
            </w:rPr>
            <w:fldChar w:fldCharType="end"/>
          </w:r>
        </w:p>
        <w:p w14:paraId="46E366E6">
          <w:pPr>
            <w:pStyle w:val="14"/>
            <w:tabs>
              <w:tab w:val="right" w:leader="dot" w:pos="8304"/>
            </w:tabs>
            <w:rPr>
              <w:sz w:val="21"/>
              <w:szCs w:val="21"/>
            </w:rPr>
          </w:pPr>
          <w:r>
            <w:rPr>
              <w:rFonts w:hint="default"/>
              <w:sz w:val="21"/>
              <w:szCs w:val="21"/>
            </w:rPr>
            <w:fldChar w:fldCharType="begin"/>
          </w:r>
          <w:r>
            <w:rPr>
              <w:rFonts w:hint="default"/>
              <w:sz w:val="21"/>
              <w:szCs w:val="21"/>
            </w:rPr>
            <w:instrText xml:space="preserve"> HYPERLINK \l _Toc3803 </w:instrText>
          </w:r>
          <w:r>
            <w:rPr>
              <w:rFonts w:hint="default"/>
              <w:sz w:val="21"/>
              <w:szCs w:val="21"/>
            </w:rPr>
            <w:fldChar w:fldCharType="separate"/>
          </w:r>
          <w:r>
            <w:rPr>
              <w:rFonts w:hint="default" w:ascii="Times New Roman" w:hAnsi="Times New Roman" w:eastAsia="宋体" w:cs="Times New Roman"/>
              <w:sz w:val="21"/>
              <w:szCs w:val="21"/>
              <w:lang w:eastAsia="zh-CN"/>
            </w:rPr>
            <w:t>3.3.1施工期污染因素分析</w:t>
          </w:r>
          <w:r>
            <w:rPr>
              <w:sz w:val="21"/>
              <w:szCs w:val="21"/>
            </w:rPr>
            <w:tab/>
          </w:r>
          <w:r>
            <w:rPr>
              <w:sz w:val="21"/>
              <w:szCs w:val="21"/>
            </w:rPr>
            <w:fldChar w:fldCharType="begin"/>
          </w:r>
          <w:r>
            <w:rPr>
              <w:sz w:val="21"/>
              <w:szCs w:val="21"/>
            </w:rPr>
            <w:instrText xml:space="preserve"> PAGEREF _Toc3803 \h </w:instrText>
          </w:r>
          <w:r>
            <w:rPr>
              <w:sz w:val="21"/>
              <w:szCs w:val="21"/>
            </w:rPr>
            <w:fldChar w:fldCharType="separate"/>
          </w:r>
          <w:r>
            <w:rPr>
              <w:sz w:val="21"/>
              <w:szCs w:val="21"/>
            </w:rPr>
            <w:t>56</w:t>
          </w:r>
          <w:r>
            <w:rPr>
              <w:sz w:val="21"/>
              <w:szCs w:val="21"/>
            </w:rPr>
            <w:fldChar w:fldCharType="end"/>
          </w:r>
          <w:r>
            <w:rPr>
              <w:rFonts w:hint="default"/>
              <w:sz w:val="21"/>
              <w:szCs w:val="21"/>
            </w:rPr>
            <w:fldChar w:fldCharType="end"/>
          </w:r>
        </w:p>
        <w:p w14:paraId="40854AC4">
          <w:pPr>
            <w:pStyle w:val="14"/>
            <w:tabs>
              <w:tab w:val="right" w:leader="dot" w:pos="8304"/>
            </w:tabs>
            <w:rPr>
              <w:sz w:val="21"/>
              <w:szCs w:val="21"/>
            </w:rPr>
          </w:pPr>
          <w:r>
            <w:rPr>
              <w:rFonts w:hint="default"/>
              <w:sz w:val="21"/>
              <w:szCs w:val="21"/>
            </w:rPr>
            <w:fldChar w:fldCharType="begin"/>
          </w:r>
          <w:r>
            <w:rPr>
              <w:rFonts w:hint="default"/>
              <w:sz w:val="21"/>
              <w:szCs w:val="21"/>
            </w:rPr>
            <w:instrText xml:space="preserve"> HYPERLINK \l _Toc18960 </w:instrText>
          </w:r>
          <w:r>
            <w:rPr>
              <w:rFonts w:hint="default"/>
              <w:sz w:val="21"/>
              <w:szCs w:val="21"/>
            </w:rPr>
            <w:fldChar w:fldCharType="separate"/>
          </w:r>
          <w:r>
            <w:rPr>
              <w:rFonts w:hint="default" w:ascii="Times New Roman" w:hAnsi="Times New Roman" w:eastAsia="宋体" w:cs="Times New Roman"/>
              <w:sz w:val="21"/>
              <w:szCs w:val="21"/>
              <w:lang w:eastAsia="zh-CN"/>
            </w:rPr>
            <w:t>3.3.2运营期污染因素分析</w:t>
          </w:r>
          <w:r>
            <w:rPr>
              <w:sz w:val="21"/>
              <w:szCs w:val="21"/>
            </w:rPr>
            <w:tab/>
          </w:r>
          <w:r>
            <w:rPr>
              <w:sz w:val="21"/>
              <w:szCs w:val="21"/>
            </w:rPr>
            <w:fldChar w:fldCharType="begin"/>
          </w:r>
          <w:r>
            <w:rPr>
              <w:sz w:val="21"/>
              <w:szCs w:val="21"/>
            </w:rPr>
            <w:instrText xml:space="preserve"> PAGEREF _Toc18960 \h </w:instrText>
          </w:r>
          <w:r>
            <w:rPr>
              <w:sz w:val="21"/>
              <w:szCs w:val="21"/>
            </w:rPr>
            <w:fldChar w:fldCharType="separate"/>
          </w:r>
          <w:r>
            <w:rPr>
              <w:sz w:val="21"/>
              <w:szCs w:val="21"/>
            </w:rPr>
            <w:t>59</w:t>
          </w:r>
          <w:r>
            <w:rPr>
              <w:sz w:val="21"/>
              <w:szCs w:val="21"/>
            </w:rPr>
            <w:fldChar w:fldCharType="end"/>
          </w:r>
          <w:r>
            <w:rPr>
              <w:rFonts w:hint="default"/>
              <w:sz w:val="21"/>
              <w:szCs w:val="21"/>
            </w:rPr>
            <w:fldChar w:fldCharType="end"/>
          </w:r>
        </w:p>
        <w:p w14:paraId="1C940C74">
          <w:pPr>
            <w:pStyle w:val="26"/>
            <w:tabs>
              <w:tab w:val="right" w:leader="dot" w:pos="8304"/>
            </w:tabs>
            <w:rPr>
              <w:sz w:val="21"/>
              <w:szCs w:val="21"/>
            </w:rPr>
          </w:pPr>
          <w:r>
            <w:rPr>
              <w:rFonts w:hint="default"/>
              <w:sz w:val="21"/>
              <w:szCs w:val="21"/>
            </w:rPr>
            <w:fldChar w:fldCharType="begin"/>
          </w:r>
          <w:r>
            <w:rPr>
              <w:rFonts w:hint="default"/>
              <w:sz w:val="21"/>
              <w:szCs w:val="21"/>
            </w:rPr>
            <w:instrText xml:space="preserve"> HYPERLINK \l _Toc26377 </w:instrText>
          </w:r>
          <w:r>
            <w:rPr>
              <w:rFonts w:hint="default"/>
              <w:sz w:val="21"/>
              <w:szCs w:val="21"/>
            </w:rPr>
            <w:fldChar w:fldCharType="separate"/>
          </w:r>
          <w:r>
            <w:rPr>
              <w:rFonts w:hint="default" w:ascii="Times New Roman" w:hAnsi="Times New Roman" w:eastAsia="宋体" w:cs="Times New Roman"/>
              <w:bCs/>
              <w:sz w:val="21"/>
              <w:szCs w:val="21"/>
            </w:rPr>
            <w:t>3.4污染物排放总量控制</w:t>
          </w:r>
          <w:r>
            <w:rPr>
              <w:sz w:val="21"/>
              <w:szCs w:val="21"/>
            </w:rPr>
            <w:tab/>
          </w:r>
          <w:r>
            <w:rPr>
              <w:sz w:val="21"/>
              <w:szCs w:val="21"/>
            </w:rPr>
            <w:fldChar w:fldCharType="begin"/>
          </w:r>
          <w:r>
            <w:rPr>
              <w:sz w:val="21"/>
              <w:szCs w:val="21"/>
            </w:rPr>
            <w:instrText xml:space="preserve"> PAGEREF _Toc26377 \h </w:instrText>
          </w:r>
          <w:r>
            <w:rPr>
              <w:sz w:val="21"/>
              <w:szCs w:val="21"/>
            </w:rPr>
            <w:fldChar w:fldCharType="separate"/>
          </w:r>
          <w:r>
            <w:rPr>
              <w:sz w:val="21"/>
              <w:szCs w:val="21"/>
            </w:rPr>
            <w:t>68</w:t>
          </w:r>
          <w:r>
            <w:rPr>
              <w:sz w:val="21"/>
              <w:szCs w:val="21"/>
            </w:rPr>
            <w:fldChar w:fldCharType="end"/>
          </w:r>
          <w:r>
            <w:rPr>
              <w:rFonts w:hint="default"/>
              <w:sz w:val="21"/>
              <w:szCs w:val="21"/>
            </w:rPr>
            <w:fldChar w:fldCharType="end"/>
          </w:r>
        </w:p>
        <w:p w14:paraId="13C48466">
          <w:pPr>
            <w:pStyle w:val="21"/>
            <w:keepNext w:val="0"/>
            <w:keepLines w:val="0"/>
            <w:pageBreakBefore w:val="0"/>
            <w:widowControl w:val="0"/>
            <w:tabs>
              <w:tab w:val="right" w:leader="dot" w:pos="8304"/>
            </w:tabs>
            <w:kinsoku/>
            <w:wordWrap/>
            <w:overflowPunct/>
            <w:topLinePunct w:val="0"/>
            <w:autoSpaceDE/>
            <w:autoSpaceDN/>
            <w:bidi w:val="0"/>
            <w:adjustRightInd/>
            <w:snapToGrid/>
            <w:spacing w:before="0"/>
            <w:ind w:left="0" w:right="0"/>
            <w:textAlignment w:val="auto"/>
            <w:rPr>
              <w:sz w:val="21"/>
              <w:szCs w:val="21"/>
            </w:rPr>
          </w:pPr>
          <w:r>
            <w:rPr>
              <w:rFonts w:hint="default"/>
              <w:sz w:val="21"/>
              <w:szCs w:val="21"/>
            </w:rPr>
            <w:fldChar w:fldCharType="begin"/>
          </w:r>
          <w:r>
            <w:rPr>
              <w:rFonts w:hint="default"/>
              <w:sz w:val="21"/>
              <w:szCs w:val="21"/>
            </w:rPr>
            <w:instrText xml:space="preserve"> HYPERLINK \l _Toc9798 </w:instrText>
          </w:r>
          <w:r>
            <w:rPr>
              <w:rFonts w:hint="default"/>
              <w:sz w:val="21"/>
              <w:szCs w:val="21"/>
            </w:rPr>
            <w:fldChar w:fldCharType="separate"/>
          </w:r>
          <w:r>
            <w:rPr>
              <w:rFonts w:hint="default" w:ascii="Times New Roman" w:hAnsi="Times New Roman" w:eastAsia="宋体" w:cs="Times New Roman"/>
              <w:bCs/>
              <w:sz w:val="21"/>
              <w:szCs w:val="21"/>
            </w:rPr>
            <w:t>4区域环境概况及环境质量现状评价</w:t>
          </w:r>
          <w:r>
            <w:rPr>
              <w:sz w:val="21"/>
              <w:szCs w:val="21"/>
            </w:rPr>
            <w:tab/>
          </w:r>
          <w:r>
            <w:rPr>
              <w:sz w:val="21"/>
              <w:szCs w:val="21"/>
            </w:rPr>
            <w:fldChar w:fldCharType="begin"/>
          </w:r>
          <w:r>
            <w:rPr>
              <w:sz w:val="21"/>
              <w:szCs w:val="21"/>
            </w:rPr>
            <w:instrText xml:space="preserve"> PAGEREF _Toc9798 \h </w:instrText>
          </w:r>
          <w:r>
            <w:rPr>
              <w:sz w:val="21"/>
              <w:szCs w:val="21"/>
            </w:rPr>
            <w:fldChar w:fldCharType="separate"/>
          </w:r>
          <w:r>
            <w:rPr>
              <w:sz w:val="21"/>
              <w:szCs w:val="21"/>
            </w:rPr>
            <w:t>69</w:t>
          </w:r>
          <w:r>
            <w:rPr>
              <w:sz w:val="21"/>
              <w:szCs w:val="21"/>
            </w:rPr>
            <w:fldChar w:fldCharType="end"/>
          </w:r>
          <w:r>
            <w:rPr>
              <w:rFonts w:hint="default"/>
              <w:sz w:val="21"/>
              <w:szCs w:val="21"/>
            </w:rPr>
            <w:fldChar w:fldCharType="end"/>
          </w:r>
        </w:p>
        <w:p w14:paraId="40A3CF48">
          <w:pPr>
            <w:pStyle w:val="26"/>
            <w:tabs>
              <w:tab w:val="right" w:leader="dot" w:pos="8304"/>
            </w:tabs>
            <w:rPr>
              <w:sz w:val="21"/>
              <w:szCs w:val="21"/>
            </w:rPr>
          </w:pPr>
          <w:r>
            <w:rPr>
              <w:rFonts w:hint="default"/>
              <w:sz w:val="21"/>
              <w:szCs w:val="21"/>
            </w:rPr>
            <w:fldChar w:fldCharType="begin"/>
          </w:r>
          <w:r>
            <w:rPr>
              <w:rFonts w:hint="default"/>
              <w:sz w:val="21"/>
              <w:szCs w:val="21"/>
            </w:rPr>
            <w:instrText xml:space="preserve"> HYPERLINK \l _Toc24643 </w:instrText>
          </w:r>
          <w:r>
            <w:rPr>
              <w:rFonts w:hint="default"/>
              <w:sz w:val="21"/>
              <w:szCs w:val="21"/>
            </w:rPr>
            <w:fldChar w:fldCharType="separate"/>
          </w:r>
          <w:r>
            <w:rPr>
              <w:rFonts w:hint="default" w:ascii="Times New Roman" w:hAnsi="Times New Roman" w:eastAsia="宋体" w:cs="Times New Roman"/>
              <w:bCs/>
              <w:sz w:val="21"/>
              <w:szCs w:val="21"/>
            </w:rPr>
            <w:t>4.1自然环境概况</w:t>
          </w:r>
          <w:r>
            <w:rPr>
              <w:sz w:val="21"/>
              <w:szCs w:val="21"/>
            </w:rPr>
            <w:tab/>
          </w:r>
          <w:r>
            <w:rPr>
              <w:sz w:val="21"/>
              <w:szCs w:val="21"/>
            </w:rPr>
            <w:fldChar w:fldCharType="begin"/>
          </w:r>
          <w:r>
            <w:rPr>
              <w:sz w:val="21"/>
              <w:szCs w:val="21"/>
            </w:rPr>
            <w:instrText xml:space="preserve"> PAGEREF _Toc24643 \h </w:instrText>
          </w:r>
          <w:r>
            <w:rPr>
              <w:sz w:val="21"/>
              <w:szCs w:val="21"/>
            </w:rPr>
            <w:fldChar w:fldCharType="separate"/>
          </w:r>
          <w:r>
            <w:rPr>
              <w:sz w:val="21"/>
              <w:szCs w:val="21"/>
            </w:rPr>
            <w:t>69</w:t>
          </w:r>
          <w:r>
            <w:rPr>
              <w:sz w:val="21"/>
              <w:szCs w:val="21"/>
            </w:rPr>
            <w:fldChar w:fldCharType="end"/>
          </w:r>
          <w:r>
            <w:rPr>
              <w:rFonts w:hint="default"/>
              <w:sz w:val="21"/>
              <w:szCs w:val="21"/>
            </w:rPr>
            <w:fldChar w:fldCharType="end"/>
          </w:r>
        </w:p>
        <w:p w14:paraId="7355C84D">
          <w:pPr>
            <w:pStyle w:val="14"/>
            <w:tabs>
              <w:tab w:val="right" w:leader="dot" w:pos="8304"/>
            </w:tabs>
            <w:rPr>
              <w:sz w:val="21"/>
              <w:szCs w:val="21"/>
            </w:rPr>
          </w:pPr>
          <w:r>
            <w:rPr>
              <w:rFonts w:hint="default"/>
              <w:sz w:val="21"/>
              <w:szCs w:val="21"/>
            </w:rPr>
            <w:fldChar w:fldCharType="begin"/>
          </w:r>
          <w:r>
            <w:rPr>
              <w:rFonts w:hint="default"/>
              <w:sz w:val="21"/>
              <w:szCs w:val="21"/>
            </w:rPr>
            <w:instrText xml:space="preserve"> HYPERLINK \l _Toc23710 </w:instrText>
          </w:r>
          <w:r>
            <w:rPr>
              <w:rFonts w:hint="default"/>
              <w:sz w:val="21"/>
              <w:szCs w:val="21"/>
            </w:rPr>
            <w:fldChar w:fldCharType="separate"/>
          </w:r>
          <w:r>
            <w:rPr>
              <w:rFonts w:hint="default" w:ascii="Times New Roman" w:hAnsi="Times New Roman" w:eastAsia="宋体" w:cs="Times New Roman"/>
              <w:bCs/>
              <w:kern w:val="0"/>
              <w:sz w:val="21"/>
              <w:szCs w:val="21"/>
              <w:lang w:bidi="ar"/>
            </w:rPr>
            <w:t>4.1.1地理位置</w:t>
          </w:r>
          <w:r>
            <w:rPr>
              <w:sz w:val="21"/>
              <w:szCs w:val="21"/>
            </w:rPr>
            <w:tab/>
          </w:r>
          <w:r>
            <w:rPr>
              <w:sz w:val="21"/>
              <w:szCs w:val="21"/>
            </w:rPr>
            <w:fldChar w:fldCharType="begin"/>
          </w:r>
          <w:r>
            <w:rPr>
              <w:sz w:val="21"/>
              <w:szCs w:val="21"/>
            </w:rPr>
            <w:instrText xml:space="preserve"> PAGEREF _Toc23710 \h </w:instrText>
          </w:r>
          <w:r>
            <w:rPr>
              <w:sz w:val="21"/>
              <w:szCs w:val="21"/>
            </w:rPr>
            <w:fldChar w:fldCharType="separate"/>
          </w:r>
          <w:r>
            <w:rPr>
              <w:sz w:val="21"/>
              <w:szCs w:val="21"/>
            </w:rPr>
            <w:t>69</w:t>
          </w:r>
          <w:r>
            <w:rPr>
              <w:sz w:val="21"/>
              <w:szCs w:val="21"/>
            </w:rPr>
            <w:fldChar w:fldCharType="end"/>
          </w:r>
          <w:r>
            <w:rPr>
              <w:rFonts w:hint="default"/>
              <w:sz w:val="21"/>
              <w:szCs w:val="21"/>
            </w:rPr>
            <w:fldChar w:fldCharType="end"/>
          </w:r>
        </w:p>
        <w:p w14:paraId="7A79F066">
          <w:pPr>
            <w:pStyle w:val="14"/>
            <w:tabs>
              <w:tab w:val="right" w:leader="dot" w:pos="8304"/>
            </w:tabs>
            <w:rPr>
              <w:sz w:val="21"/>
              <w:szCs w:val="21"/>
            </w:rPr>
          </w:pPr>
          <w:r>
            <w:rPr>
              <w:rFonts w:hint="default"/>
              <w:sz w:val="21"/>
              <w:szCs w:val="21"/>
            </w:rPr>
            <w:fldChar w:fldCharType="begin"/>
          </w:r>
          <w:r>
            <w:rPr>
              <w:rFonts w:hint="default"/>
              <w:sz w:val="21"/>
              <w:szCs w:val="21"/>
            </w:rPr>
            <w:instrText xml:space="preserve"> HYPERLINK \l _Toc29775 </w:instrText>
          </w:r>
          <w:r>
            <w:rPr>
              <w:rFonts w:hint="default"/>
              <w:sz w:val="21"/>
              <w:szCs w:val="21"/>
            </w:rPr>
            <w:fldChar w:fldCharType="separate"/>
          </w:r>
          <w:r>
            <w:rPr>
              <w:rFonts w:hint="default" w:ascii="Times New Roman" w:hAnsi="Times New Roman" w:eastAsia="宋体" w:cs="Times New Roman"/>
              <w:bCs/>
              <w:kern w:val="0"/>
              <w:sz w:val="21"/>
              <w:szCs w:val="21"/>
              <w:lang w:bidi="ar"/>
            </w:rPr>
            <w:t>4.1.2地形地貌</w:t>
          </w:r>
          <w:r>
            <w:rPr>
              <w:sz w:val="21"/>
              <w:szCs w:val="21"/>
            </w:rPr>
            <w:tab/>
          </w:r>
          <w:r>
            <w:rPr>
              <w:sz w:val="21"/>
              <w:szCs w:val="21"/>
            </w:rPr>
            <w:fldChar w:fldCharType="begin"/>
          </w:r>
          <w:r>
            <w:rPr>
              <w:sz w:val="21"/>
              <w:szCs w:val="21"/>
            </w:rPr>
            <w:instrText xml:space="preserve"> PAGEREF _Toc29775 \h </w:instrText>
          </w:r>
          <w:r>
            <w:rPr>
              <w:sz w:val="21"/>
              <w:szCs w:val="21"/>
            </w:rPr>
            <w:fldChar w:fldCharType="separate"/>
          </w:r>
          <w:r>
            <w:rPr>
              <w:sz w:val="21"/>
              <w:szCs w:val="21"/>
            </w:rPr>
            <w:t>69</w:t>
          </w:r>
          <w:r>
            <w:rPr>
              <w:sz w:val="21"/>
              <w:szCs w:val="21"/>
            </w:rPr>
            <w:fldChar w:fldCharType="end"/>
          </w:r>
          <w:r>
            <w:rPr>
              <w:rFonts w:hint="default"/>
              <w:sz w:val="21"/>
              <w:szCs w:val="21"/>
            </w:rPr>
            <w:fldChar w:fldCharType="end"/>
          </w:r>
        </w:p>
        <w:p w14:paraId="744A68E4">
          <w:pPr>
            <w:pStyle w:val="14"/>
            <w:tabs>
              <w:tab w:val="right" w:leader="dot" w:pos="8304"/>
            </w:tabs>
            <w:rPr>
              <w:sz w:val="21"/>
              <w:szCs w:val="21"/>
            </w:rPr>
          </w:pPr>
          <w:r>
            <w:rPr>
              <w:rFonts w:hint="default"/>
              <w:sz w:val="21"/>
              <w:szCs w:val="21"/>
            </w:rPr>
            <w:fldChar w:fldCharType="begin"/>
          </w:r>
          <w:r>
            <w:rPr>
              <w:rFonts w:hint="default"/>
              <w:sz w:val="21"/>
              <w:szCs w:val="21"/>
            </w:rPr>
            <w:instrText xml:space="preserve"> HYPERLINK \l _Toc9187 </w:instrText>
          </w:r>
          <w:r>
            <w:rPr>
              <w:rFonts w:hint="default"/>
              <w:sz w:val="21"/>
              <w:szCs w:val="21"/>
            </w:rPr>
            <w:fldChar w:fldCharType="separate"/>
          </w:r>
          <w:r>
            <w:rPr>
              <w:rFonts w:hint="default" w:ascii="Times New Roman" w:hAnsi="Times New Roman" w:eastAsia="宋体" w:cs="Times New Roman"/>
              <w:bCs/>
              <w:kern w:val="0"/>
              <w:sz w:val="21"/>
              <w:szCs w:val="21"/>
              <w:lang w:bidi="ar"/>
            </w:rPr>
            <w:t>4.1.3气候气象</w:t>
          </w:r>
          <w:r>
            <w:rPr>
              <w:sz w:val="21"/>
              <w:szCs w:val="21"/>
            </w:rPr>
            <w:tab/>
          </w:r>
          <w:r>
            <w:rPr>
              <w:sz w:val="21"/>
              <w:szCs w:val="21"/>
            </w:rPr>
            <w:fldChar w:fldCharType="begin"/>
          </w:r>
          <w:r>
            <w:rPr>
              <w:sz w:val="21"/>
              <w:szCs w:val="21"/>
            </w:rPr>
            <w:instrText xml:space="preserve"> PAGEREF _Toc9187 \h </w:instrText>
          </w:r>
          <w:r>
            <w:rPr>
              <w:sz w:val="21"/>
              <w:szCs w:val="21"/>
            </w:rPr>
            <w:fldChar w:fldCharType="separate"/>
          </w:r>
          <w:r>
            <w:rPr>
              <w:sz w:val="21"/>
              <w:szCs w:val="21"/>
            </w:rPr>
            <w:t>69</w:t>
          </w:r>
          <w:r>
            <w:rPr>
              <w:sz w:val="21"/>
              <w:szCs w:val="21"/>
            </w:rPr>
            <w:fldChar w:fldCharType="end"/>
          </w:r>
          <w:r>
            <w:rPr>
              <w:rFonts w:hint="default"/>
              <w:sz w:val="21"/>
              <w:szCs w:val="21"/>
            </w:rPr>
            <w:fldChar w:fldCharType="end"/>
          </w:r>
        </w:p>
        <w:p w14:paraId="7953E44D">
          <w:pPr>
            <w:pStyle w:val="14"/>
            <w:tabs>
              <w:tab w:val="right" w:leader="dot" w:pos="8304"/>
            </w:tabs>
            <w:rPr>
              <w:sz w:val="21"/>
              <w:szCs w:val="21"/>
            </w:rPr>
          </w:pPr>
          <w:r>
            <w:rPr>
              <w:rFonts w:hint="default"/>
              <w:sz w:val="21"/>
              <w:szCs w:val="21"/>
            </w:rPr>
            <w:fldChar w:fldCharType="begin"/>
          </w:r>
          <w:r>
            <w:rPr>
              <w:rFonts w:hint="default"/>
              <w:sz w:val="21"/>
              <w:szCs w:val="21"/>
            </w:rPr>
            <w:instrText xml:space="preserve"> HYPERLINK \l _Toc11194 </w:instrText>
          </w:r>
          <w:r>
            <w:rPr>
              <w:rFonts w:hint="default"/>
              <w:sz w:val="21"/>
              <w:szCs w:val="21"/>
            </w:rPr>
            <w:fldChar w:fldCharType="separate"/>
          </w:r>
          <w:r>
            <w:rPr>
              <w:rFonts w:hint="default" w:ascii="Times New Roman" w:hAnsi="Times New Roman" w:eastAsia="宋体" w:cs="Times New Roman"/>
              <w:bCs/>
              <w:kern w:val="0"/>
              <w:sz w:val="21"/>
              <w:szCs w:val="21"/>
              <w:lang w:bidi="ar"/>
            </w:rPr>
            <w:t>4.1.4水文地质</w:t>
          </w:r>
          <w:r>
            <w:rPr>
              <w:sz w:val="21"/>
              <w:szCs w:val="21"/>
            </w:rPr>
            <w:tab/>
          </w:r>
          <w:r>
            <w:rPr>
              <w:sz w:val="21"/>
              <w:szCs w:val="21"/>
            </w:rPr>
            <w:fldChar w:fldCharType="begin"/>
          </w:r>
          <w:r>
            <w:rPr>
              <w:sz w:val="21"/>
              <w:szCs w:val="21"/>
            </w:rPr>
            <w:instrText xml:space="preserve"> PAGEREF _Toc11194 \h </w:instrText>
          </w:r>
          <w:r>
            <w:rPr>
              <w:sz w:val="21"/>
              <w:szCs w:val="21"/>
            </w:rPr>
            <w:fldChar w:fldCharType="separate"/>
          </w:r>
          <w:r>
            <w:rPr>
              <w:sz w:val="21"/>
              <w:szCs w:val="21"/>
            </w:rPr>
            <w:t>69</w:t>
          </w:r>
          <w:r>
            <w:rPr>
              <w:sz w:val="21"/>
              <w:szCs w:val="21"/>
            </w:rPr>
            <w:fldChar w:fldCharType="end"/>
          </w:r>
          <w:r>
            <w:rPr>
              <w:rFonts w:hint="default"/>
              <w:sz w:val="21"/>
              <w:szCs w:val="21"/>
            </w:rPr>
            <w:fldChar w:fldCharType="end"/>
          </w:r>
        </w:p>
        <w:p w14:paraId="717FA44B">
          <w:pPr>
            <w:pStyle w:val="14"/>
            <w:tabs>
              <w:tab w:val="right" w:leader="dot" w:pos="8304"/>
            </w:tabs>
            <w:rPr>
              <w:sz w:val="21"/>
              <w:szCs w:val="21"/>
            </w:rPr>
          </w:pPr>
          <w:r>
            <w:rPr>
              <w:rFonts w:hint="default"/>
              <w:sz w:val="21"/>
              <w:szCs w:val="21"/>
            </w:rPr>
            <w:fldChar w:fldCharType="begin"/>
          </w:r>
          <w:r>
            <w:rPr>
              <w:rFonts w:hint="default"/>
              <w:sz w:val="21"/>
              <w:szCs w:val="21"/>
            </w:rPr>
            <w:instrText xml:space="preserve"> HYPERLINK \l _Toc19440 </w:instrText>
          </w:r>
          <w:r>
            <w:rPr>
              <w:rFonts w:hint="default"/>
              <w:sz w:val="21"/>
              <w:szCs w:val="21"/>
            </w:rPr>
            <w:fldChar w:fldCharType="separate"/>
          </w:r>
          <w:r>
            <w:rPr>
              <w:rFonts w:hint="default" w:ascii="Times New Roman" w:hAnsi="Times New Roman" w:eastAsia="宋体" w:cs="Times New Roman"/>
              <w:bCs/>
              <w:kern w:val="0"/>
              <w:sz w:val="21"/>
              <w:szCs w:val="21"/>
              <w:lang w:bidi="ar"/>
            </w:rPr>
            <w:t>4.1.5土壤条件</w:t>
          </w:r>
          <w:r>
            <w:rPr>
              <w:sz w:val="21"/>
              <w:szCs w:val="21"/>
            </w:rPr>
            <w:tab/>
          </w:r>
          <w:r>
            <w:rPr>
              <w:sz w:val="21"/>
              <w:szCs w:val="21"/>
            </w:rPr>
            <w:fldChar w:fldCharType="begin"/>
          </w:r>
          <w:r>
            <w:rPr>
              <w:sz w:val="21"/>
              <w:szCs w:val="21"/>
            </w:rPr>
            <w:instrText xml:space="preserve"> PAGEREF _Toc19440 \h </w:instrText>
          </w:r>
          <w:r>
            <w:rPr>
              <w:sz w:val="21"/>
              <w:szCs w:val="21"/>
            </w:rPr>
            <w:fldChar w:fldCharType="separate"/>
          </w:r>
          <w:r>
            <w:rPr>
              <w:sz w:val="21"/>
              <w:szCs w:val="21"/>
            </w:rPr>
            <w:t>70</w:t>
          </w:r>
          <w:r>
            <w:rPr>
              <w:sz w:val="21"/>
              <w:szCs w:val="21"/>
            </w:rPr>
            <w:fldChar w:fldCharType="end"/>
          </w:r>
          <w:r>
            <w:rPr>
              <w:rFonts w:hint="default"/>
              <w:sz w:val="21"/>
              <w:szCs w:val="21"/>
            </w:rPr>
            <w:fldChar w:fldCharType="end"/>
          </w:r>
        </w:p>
        <w:p w14:paraId="6C832174">
          <w:pPr>
            <w:pStyle w:val="14"/>
            <w:tabs>
              <w:tab w:val="right" w:leader="dot" w:pos="8304"/>
            </w:tabs>
            <w:rPr>
              <w:sz w:val="21"/>
              <w:szCs w:val="21"/>
            </w:rPr>
          </w:pPr>
          <w:r>
            <w:rPr>
              <w:rFonts w:hint="default"/>
              <w:sz w:val="21"/>
              <w:szCs w:val="21"/>
            </w:rPr>
            <w:fldChar w:fldCharType="begin"/>
          </w:r>
          <w:r>
            <w:rPr>
              <w:rFonts w:hint="default"/>
              <w:sz w:val="21"/>
              <w:szCs w:val="21"/>
            </w:rPr>
            <w:instrText xml:space="preserve"> HYPERLINK \l _Toc5729 </w:instrText>
          </w:r>
          <w:r>
            <w:rPr>
              <w:rFonts w:hint="default"/>
              <w:sz w:val="21"/>
              <w:szCs w:val="21"/>
            </w:rPr>
            <w:fldChar w:fldCharType="separate"/>
          </w:r>
          <w:r>
            <w:rPr>
              <w:rFonts w:hint="default" w:ascii="Times New Roman" w:hAnsi="Times New Roman" w:eastAsia="宋体" w:cs="Times New Roman"/>
              <w:bCs/>
              <w:kern w:val="0"/>
              <w:sz w:val="21"/>
              <w:szCs w:val="21"/>
              <w:lang w:bidi="ar"/>
            </w:rPr>
            <w:t>4.1.6交通运输条件</w:t>
          </w:r>
          <w:r>
            <w:rPr>
              <w:sz w:val="21"/>
              <w:szCs w:val="21"/>
            </w:rPr>
            <w:tab/>
          </w:r>
          <w:r>
            <w:rPr>
              <w:sz w:val="21"/>
              <w:szCs w:val="21"/>
            </w:rPr>
            <w:fldChar w:fldCharType="begin"/>
          </w:r>
          <w:r>
            <w:rPr>
              <w:sz w:val="21"/>
              <w:szCs w:val="21"/>
            </w:rPr>
            <w:instrText xml:space="preserve"> PAGEREF _Toc5729 \h </w:instrText>
          </w:r>
          <w:r>
            <w:rPr>
              <w:sz w:val="21"/>
              <w:szCs w:val="21"/>
            </w:rPr>
            <w:fldChar w:fldCharType="separate"/>
          </w:r>
          <w:r>
            <w:rPr>
              <w:sz w:val="21"/>
              <w:szCs w:val="21"/>
            </w:rPr>
            <w:t>70</w:t>
          </w:r>
          <w:r>
            <w:rPr>
              <w:sz w:val="21"/>
              <w:szCs w:val="21"/>
            </w:rPr>
            <w:fldChar w:fldCharType="end"/>
          </w:r>
          <w:r>
            <w:rPr>
              <w:rFonts w:hint="default"/>
              <w:sz w:val="21"/>
              <w:szCs w:val="21"/>
            </w:rPr>
            <w:fldChar w:fldCharType="end"/>
          </w:r>
        </w:p>
        <w:p w14:paraId="6180AF8C">
          <w:pPr>
            <w:pStyle w:val="26"/>
            <w:tabs>
              <w:tab w:val="right" w:leader="dot" w:pos="8304"/>
            </w:tabs>
            <w:rPr>
              <w:sz w:val="21"/>
              <w:szCs w:val="21"/>
            </w:rPr>
          </w:pPr>
          <w:r>
            <w:rPr>
              <w:rFonts w:hint="default"/>
              <w:sz w:val="21"/>
              <w:szCs w:val="21"/>
            </w:rPr>
            <w:fldChar w:fldCharType="begin"/>
          </w:r>
          <w:r>
            <w:rPr>
              <w:rFonts w:hint="default"/>
              <w:sz w:val="21"/>
              <w:szCs w:val="21"/>
            </w:rPr>
            <w:instrText xml:space="preserve"> HYPERLINK \l _Toc32256 </w:instrText>
          </w:r>
          <w:r>
            <w:rPr>
              <w:rFonts w:hint="default"/>
              <w:sz w:val="21"/>
              <w:szCs w:val="21"/>
            </w:rPr>
            <w:fldChar w:fldCharType="separate"/>
          </w:r>
          <w:r>
            <w:rPr>
              <w:rFonts w:hint="default" w:ascii="Times New Roman" w:hAnsi="Times New Roman" w:eastAsia="宋体" w:cs="Times New Roman"/>
              <w:bCs/>
              <w:sz w:val="21"/>
              <w:szCs w:val="21"/>
            </w:rPr>
            <w:t>4.2环境质量现状监测与评价</w:t>
          </w:r>
          <w:r>
            <w:rPr>
              <w:sz w:val="21"/>
              <w:szCs w:val="21"/>
            </w:rPr>
            <w:tab/>
          </w:r>
          <w:r>
            <w:rPr>
              <w:sz w:val="21"/>
              <w:szCs w:val="21"/>
            </w:rPr>
            <w:fldChar w:fldCharType="begin"/>
          </w:r>
          <w:r>
            <w:rPr>
              <w:sz w:val="21"/>
              <w:szCs w:val="21"/>
            </w:rPr>
            <w:instrText xml:space="preserve"> PAGEREF _Toc32256 \h </w:instrText>
          </w:r>
          <w:r>
            <w:rPr>
              <w:sz w:val="21"/>
              <w:szCs w:val="21"/>
            </w:rPr>
            <w:fldChar w:fldCharType="separate"/>
          </w:r>
          <w:r>
            <w:rPr>
              <w:sz w:val="21"/>
              <w:szCs w:val="21"/>
            </w:rPr>
            <w:t>70</w:t>
          </w:r>
          <w:r>
            <w:rPr>
              <w:sz w:val="21"/>
              <w:szCs w:val="21"/>
            </w:rPr>
            <w:fldChar w:fldCharType="end"/>
          </w:r>
          <w:r>
            <w:rPr>
              <w:rFonts w:hint="default"/>
              <w:sz w:val="21"/>
              <w:szCs w:val="21"/>
            </w:rPr>
            <w:fldChar w:fldCharType="end"/>
          </w:r>
        </w:p>
        <w:p w14:paraId="61C39108">
          <w:pPr>
            <w:pStyle w:val="14"/>
            <w:tabs>
              <w:tab w:val="right" w:leader="dot" w:pos="8304"/>
            </w:tabs>
            <w:rPr>
              <w:sz w:val="21"/>
              <w:szCs w:val="21"/>
            </w:rPr>
          </w:pPr>
          <w:r>
            <w:rPr>
              <w:rFonts w:hint="default"/>
              <w:sz w:val="21"/>
              <w:szCs w:val="21"/>
            </w:rPr>
            <w:fldChar w:fldCharType="begin"/>
          </w:r>
          <w:r>
            <w:rPr>
              <w:rFonts w:hint="default"/>
              <w:sz w:val="21"/>
              <w:szCs w:val="21"/>
            </w:rPr>
            <w:instrText xml:space="preserve"> HYPERLINK \l _Toc22971 </w:instrText>
          </w:r>
          <w:r>
            <w:rPr>
              <w:rFonts w:hint="default"/>
              <w:sz w:val="21"/>
              <w:szCs w:val="21"/>
            </w:rPr>
            <w:fldChar w:fldCharType="separate"/>
          </w:r>
          <w:r>
            <w:rPr>
              <w:rFonts w:hint="default" w:ascii="Times New Roman" w:hAnsi="Times New Roman" w:eastAsia="宋体" w:cs="Times New Roman"/>
              <w:bCs/>
              <w:spacing w:val="-1"/>
              <w:sz w:val="21"/>
              <w:szCs w:val="21"/>
              <w:lang w:eastAsia="zh-CN"/>
            </w:rPr>
            <w:t>4.2.1生态环境现状调查与评价</w:t>
          </w:r>
          <w:r>
            <w:rPr>
              <w:sz w:val="21"/>
              <w:szCs w:val="21"/>
            </w:rPr>
            <w:tab/>
          </w:r>
          <w:r>
            <w:rPr>
              <w:sz w:val="21"/>
              <w:szCs w:val="21"/>
            </w:rPr>
            <w:fldChar w:fldCharType="begin"/>
          </w:r>
          <w:r>
            <w:rPr>
              <w:sz w:val="21"/>
              <w:szCs w:val="21"/>
            </w:rPr>
            <w:instrText xml:space="preserve"> PAGEREF _Toc22971 \h </w:instrText>
          </w:r>
          <w:r>
            <w:rPr>
              <w:sz w:val="21"/>
              <w:szCs w:val="21"/>
            </w:rPr>
            <w:fldChar w:fldCharType="separate"/>
          </w:r>
          <w:r>
            <w:rPr>
              <w:sz w:val="21"/>
              <w:szCs w:val="21"/>
            </w:rPr>
            <w:t>70</w:t>
          </w:r>
          <w:r>
            <w:rPr>
              <w:sz w:val="21"/>
              <w:szCs w:val="21"/>
            </w:rPr>
            <w:fldChar w:fldCharType="end"/>
          </w:r>
          <w:r>
            <w:rPr>
              <w:rFonts w:hint="default"/>
              <w:sz w:val="21"/>
              <w:szCs w:val="21"/>
            </w:rPr>
            <w:fldChar w:fldCharType="end"/>
          </w:r>
        </w:p>
        <w:p w14:paraId="2C7C0C77">
          <w:pPr>
            <w:pStyle w:val="14"/>
            <w:tabs>
              <w:tab w:val="right" w:leader="dot" w:pos="8304"/>
            </w:tabs>
            <w:rPr>
              <w:sz w:val="21"/>
              <w:szCs w:val="21"/>
            </w:rPr>
          </w:pPr>
          <w:r>
            <w:rPr>
              <w:rFonts w:hint="default"/>
              <w:sz w:val="21"/>
              <w:szCs w:val="21"/>
            </w:rPr>
            <w:fldChar w:fldCharType="begin"/>
          </w:r>
          <w:r>
            <w:rPr>
              <w:rFonts w:hint="default"/>
              <w:sz w:val="21"/>
              <w:szCs w:val="21"/>
            </w:rPr>
            <w:instrText xml:space="preserve"> HYPERLINK \l _Toc6261 </w:instrText>
          </w:r>
          <w:r>
            <w:rPr>
              <w:rFonts w:hint="default"/>
              <w:sz w:val="21"/>
              <w:szCs w:val="21"/>
            </w:rPr>
            <w:fldChar w:fldCharType="separate"/>
          </w:r>
          <w:r>
            <w:rPr>
              <w:rFonts w:hint="default" w:ascii="Times New Roman" w:hAnsi="Times New Roman" w:eastAsia="宋体" w:cs="Times New Roman"/>
              <w:bCs/>
              <w:spacing w:val="-1"/>
              <w:sz w:val="21"/>
              <w:szCs w:val="21"/>
              <w:lang w:eastAsia="zh-CN"/>
            </w:rPr>
            <w:t>4.2.2环境空气质量现状监测与评价</w:t>
          </w:r>
          <w:r>
            <w:rPr>
              <w:sz w:val="21"/>
              <w:szCs w:val="21"/>
            </w:rPr>
            <w:tab/>
          </w:r>
          <w:r>
            <w:rPr>
              <w:sz w:val="21"/>
              <w:szCs w:val="21"/>
            </w:rPr>
            <w:fldChar w:fldCharType="begin"/>
          </w:r>
          <w:r>
            <w:rPr>
              <w:sz w:val="21"/>
              <w:szCs w:val="21"/>
            </w:rPr>
            <w:instrText xml:space="preserve"> PAGEREF _Toc6261 \h </w:instrText>
          </w:r>
          <w:r>
            <w:rPr>
              <w:sz w:val="21"/>
              <w:szCs w:val="21"/>
            </w:rPr>
            <w:fldChar w:fldCharType="separate"/>
          </w:r>
          <w:r>
            <w:rPr>
              <w:sz w:val="21"/>
              <w:szCs w:val="21"/>
            </w:rPr>
            <w:t>82</w:t>
          </w:r>
          <w:r>
            <w:rPr>
              <w:sz w:val="21"/>
              <w:szCs w:val="21"/>
            </w:rPr>
            <w:fldChar w:fldCharType="end"/>
          </w:r>
          <w:r>
            <w:rPr>
              <w:rFonts w:hint="default"/>
              <w:sz w:val="21"/>
              <w:szCs w:val="21"/>
            </w:rPr>
            <w:fldChar w:fldCharType="end"/>
          </w:r>
        </w:p>
        <w:p w14:paraId="7AED220C">
          <w:pPr>
            <w:pStyle w:val="14"/>
            <w:tabs>
              <w:tab w:val="right" w:leader="dot" w:pos="8304"/>
            </w:tabs>
            <w:rPr>
              <w:sz w:val="21"/>
              <w:szCs w:val="21"/>
            </w:rPr>
          </w:pPr>
          <w:r>
            <w:rPr>
              <w:rFonts w:hint="default"/>
              <w:sz w:val="21"/>
              <w:szCs w:val="21"/>
            </w:rPr>
            <w:fldChar w:fldCharType="begin"/>
          </w:r>
          <w:r>
            <w:rPr>
              <w:rFonts w:hint="default"/>
              <w:sz w:val="21"/>
              <w:szCs w:val="21"/>
            </w:rPr>
            <w:instrText xml:space="preserve"> HYPERLINK \l _Toc2418 </w:instrText>
          </w:r>
          <w:r>
            <w:rPr>
              <w:rFonts w:hint="default"/>
              <w:sz w:val="21"/>
              <w:szCs w:val="21"/>
            </w:rPr>
            <w:fldChar w:fldCharType="separate"/>
          </w:r>
          <w:r>
            <w:rPr>
              <w:rFonts w:hint="default" w:ascii="Times New Roman" w:hAnsi="Times New Roman" w:eastAsia="宋体" w:cs="Times New Roman"/>
              <w:bCs/>
              <w:spacing w:val="-6"/>
              <w:sz w:val="21"/>
              <w:szCs w:val="21"/>
              <w:lang w:eastAsia="zh-CN"/>
            </w:rPr>
            <w:t>4.2.3地下水质量现状监测与评价</w:t>
          </w:r>
          <w:r>
            <w:rPr>
              <w:sz w:val="21"/>
              <w:szCs w:val="21"/>
            </w:rPr>
            <w:tab/>
          </w:r>
          <w:r>
            <w:rPr>
              <w:sz w:val="21"/>
              <w:szCs w:val="21"/>
            </w:rPr>
            <w:fldChar w:fldCharType="begin"/>
          </w:r>
          <w:r>
            <w:rPr>
              <w:sz w:val="21"/>
              <w:szCs w:val="21"/>
            </w:rPr>
            <w:instrText xml:space="preserve"> PAGEREF _Toc2418 \h </w:instrText>
          </w:r>
          <w:r>
            <w:rPr>
              <w:sz w:val="21"/>
              <w:szCs w:val="21"/>
            </w:rPr>
            <w:fldChar w:fldCharType="separate"/>
          </w:r>
          <w:r>
            <w:rPr>
              <w:sz w:val="21"/>
              <w:szCs w:val="21"/>
            </w:rPr>
            <w:t>87</w:t>
          </w:r>
          <w:r>
            <w:rPr>
              <w:sz w:val="21"/>
              <w:szCs w:val="21"/>
            </w:rPr>
            <w:fldChar w:fldCharType="end"/>
          </w:r>
          <w:r>
            <w:rPr>
              <w:rFonts w:hint="default"/>
              <w:sz w:val="21"/>
              <w:szCs w:val="21"/>
            </w:rPr>
            <w:fldChar w:fldCharType="end"/>
          </w:r>
        </w:p>
        <w:p w14:paraId="6784DC66">
          <w:pPr>
            <w:pStyle w:val="14"/>
            <w:tabs>
              <w:tab w:val="right" w:leader="dot" w:pos="8304"/>
            </w:tabs>
            <w:rPr>
              <w:sz w:val="21"/>
              <w:szCs w:val="21"/>
            </w:rPr>
          </w:pPr>
          <w:r>
            <w:rPr>
              <w:rFonts w:hint="default"/>
              <w:sz w:val="21"/>
              <w:szCs w:val="21"/>
            </w:rPr>
            <w:fldChar w:fldCharType="begin"/>
          </w:r>
          <w:r>
            <w:rPr>
              <w:rFonts w:hint="default"/>
              <w:sz w:val="21"/>
              <w:szCs w:val="21"/>
            </w:rPr>
            <w:instrText xml:space="preserve"> HYPERLINK \l _Toc1576 </w:instrText>
          </w:r>
          <w:r>
            <w:rPr>
              <w:rFonts w:hint="default"/>
              <w:sz w:val="21"/>
              <w:szCs w:val="21"/>
            </w:rPr>
            <w:fldChar w:fldCharType="separate"/>
          </w:r>
          <w:r>
            <w:rPr>
              <w:rFonts w:hint="default" w:ascii="Times New Roman" w:hAnsi="Times New Roman" w:eastAsia="宋体" w:cs="Times New Roman"/>
              <w:bCs/>
              <w:spacing w:val="-6"/>
              <w:sz w:val="21"/>
              <w:szCs w:val="21"/>
              <w:lang w:eastAsia="zh-CN"/>
            </w:rPr>
            <w:t>4.2.4声环境质量</w:t>
          </w:r>
          <w:r>
            <w:rPr>
              <w:sz w:val="21"/>
              <w:szCs w:val="21"/>
            </w:rPr>
            <w:tab/>
          </w:r>
          <w:r>
            <w:rPr>
              <w:sz w:val="21"/>
              <w:szCs w:val="21"/>
            </w:rPr>
            <w:fldChar w:fldCharType="begin"/>
          </w:r>
          <w:r>
            <w:rPr>
              <w:sz w:val="21"/>
              <w:szCs w:val="21"/>
            </w:rPr>
            <w:instrText xml:space="preserve"> PAGEREF _Toc1576 \h </w:instrText>
          </w:r>
          <w:r>
            <w:rPr>
              <w:sz w:val="21"/>
              <w:szCs w:val="21"/>
            </w:rPr>
            <w:fldChar w:fldCharType="separate"/>
          </w:r>
          <w:r>
            <w:rPr>
              <w:sz w:val="21"/>
              <w:szCs w:val="21"/>
            </w:rPr>
            <w:t>90</w:t>
          </w:r>
          <w:r>
            <w:rPr>
              <w:sz w:val="21"/>
              <w:szCs w:val="21"/>
            </w:rPr>
            <w:fldChar w:fldCharType="end"/>
          </w:r>
          <w:r>
            <w:rPr>
              <w:rFonts w:hint="default"/>
              <w:sz w:val="21"/>
              <w:szCs w:val="21"/>
            </w:rPr>
            <w:fldChar w:fldCharType="end"/>
          </w:r>
        </w:p>
        <w:p w14:paraId="1B997EFB">
          <w:pPr>
            <w:pStyle w:val="14"/>
            <w:tabs>
              <w:tab w:val="right" w:leader="dot" w:pos="8304"/>
            </w:tabs>
            <w:rPr>
              <w:sz w:val="21"/>
              <w:szCs w:val="21"/>
            </w:rPr>
          </w:pPr>
          <w:r>
            <w:rPr>
              <w:rFonts w:hint="default"/>
              <w:sz w:val="21"/>
              <w:szCs w:val="21"/>
            </w:rPr>
            <w:fldChar w:fldCharType="begin"/>
          </w:r>
          <w:r>
            <w:rPr>
              <w:rFonts w:hint="default"/>
              <w:sz w:val="21"/>
              <w:szCs w:val="21"/>
            </w:rPr>
            <w:instrText xml:space="preserve"> HYPERLINK \l _Toc23412 </w:instrText>
          </w:r>
          <w:r>
            <w:rPr>
              <w:rFonts w:hint="default"/>
              <w:sz w:val="21"/>
              <w:szCs w:val="21"/>
            </w:rPr>
            <w:fldChar w:fldCharType="separate"/>
          </w:r>
          <w:r>
            <w:rPr>
              <w:rFonts w:hint="default" w:ascii="Times New Roman" w:hAnsi="Times New Roman" w:eastAsia="宋体" w:cs="Times New Roman"/>
              <w:bCs/>
              <w:spacing w:val="-6"/>
              <w:sz w:val="21"/>
              <w:szCs w:val="21"/>
              <w:lang w:eastAsia="zh-CN"/>
            </w:rPr>
            <w:t>4.2.5土壤环境质量</w:t>
          </w:r>
          <w:r>
            <w:rPr>
              <w:sz w:val="21"/>
              <w:szCs w:val="21"/>
            </w:rPr>
            <w:tab/>
          </w:r>
          <w:r>
            <w:rPr>
              <w:sz w:val="21"/>
              <w:szCs w:val="21"/>
            </w:rPr>
            <w:fldChar w:fldCharType="begin"/>
          </w:r>
          <w:r>
            <w:rPr>
              <w:sz w:val="21"/>
              <w:szCs w:val="21"/>
            </w:rPr>
            <w:instrText xml:space="preserve"> PAGEREF _Toc23412 \h </w:instrText>
          </w:r>
          <w:r>
            <w:rPr>
              <w:sz w:val="21"/>
              <w:szCs w:val="21"/>
            </w:rPr>
            <w:fldChar w:fldCharType="separate"/>
          </w:r>
          <w:r>
            <w:rPr>
              <w:sz w:val="21"/>
              <w:szCs w:val="21"/>
            </w:rPr>
            <w:t>91</w:t>
          </w:r>
          <w:r>
            <w:rPr>
              <w:sz w:val="21"/>
              <w:szCs w:val="21"/>
            </w:rPr>
            <w:fldChar w:fldCharType="end"/>
          </w:r>
          <w:r>
            <w:rPr>
              <w:rFonts w:hint="default"/>
              <w:sz w:val="21"/>
              <w:szCs w:val="21"/>
            </w:rPr>
            <w:fldChar w:fldCharType="end"/>
          </w:r>
        </w:p>
        <w:p w14:paraId="3914F85E">
          <w:pPr>
            <w:pStyle w:val="21"/>
            <w:keepNext w:val="0"/>
            <w:keepLines w:val="0"/>
            <w:pageBreakBefore w:val="0"/>
            <w:widowControl w:val="0"/>
            <w:tabs>
              <w:tab w:val="right" w:leader="dot" w:pos="8304"/>
            </w:tabs>
            <w:kinsoku/>
            <w:wordWrap/>
            <w:overflowPunct/>
            <w:topLinePunct w:val="0"/>
            <w:autoSpaceDE/>
            <w:autoSpaceDN/>
            <w:bidi w:val="0"/>
            <w:adjustRightInd/>
            <w:snapToGrid/>
            <w:spacing w:before="0"/>
            <w:ind w:left="0" w:right="0"/>
            <w:textAlignment w:val="auto"/>
            <w:rPr>
              <w:sz w:val="21"/>
              <w:szCs w:val="21"/>
            </w:rPr>
          </w:pPr>
          <w:r>
            <w:rPr>
              <w:rFonts w:hint="default"/>
              <w:sz w:val="21"/>
              <w:szCs w:val="21"/>
            </w:rPr>
            <w:fldChar w:fldCharType="begin"/>
          </w:r>
          <w:r>
            <w:rPr>
              <w:rFonts w:hint="default"/>
              <w:sz w:val="21"/>
              <w:szCs w:val="21"/>
            </w:rPr>
            <w:instrText xml:space="preserve"> HYPERLINK \l _Toc2553 </w:instrText>
          </w:r>
          <w:r>
            <w:rPr>
              <w:rFonts w:hint="default"/>
              <w:sz w:val="21"/>
              <w:szCs w:val="21"/>
            </w:rPr>
            <w:fldChar w:fldCharType="separate"/>
          </w:r>
          <w:r>
            <w:rPr>
              <w:rFonts w:hint="default" w:ascii="Times New Roman" w:hAnsi="Times New Roman" w:eastAsia="宋体" w:cs="Times New Roman"/>
              <w:bCs/>
              <w:sz w:val="21"/>
              <w:szCs w:val="21"/>
            </w:rPr>
            <w:t>5施工期环境影响分析</w:t>
          </w:r>
          <w:r>
            <w:rPr>
              <w:sz w:val="21"/>
              <w:szCs w:val="21"/>
            </w:rPr>
            <w:tab/>
          </w:r>
          <w:r>
            <w:rPr>
              <w:sz w:val="21"/>
              <w:szCs w:val="21"/>
            </w:rPr>
            <w:fldChar w:fldCharType="begin"/>
          </w:r>
          <w:r>
            <w:rPr>
              <w:sz w:val="21"/>
              <w:szCs w:val="21"/>
            </w:rPr>
            <w:instrText xml:space="preserve"> PAGEREF _Toc2553 \h </w:instrText>
          </w:r>
          <w:r>
            <w:rPr>
              <w:sz w:val="21"/>
              <w:szCs w:val="21"/>
            </w:rPr>
            <w:fldChar w:fldCharType="separate"/>
          </w:r>
          <w:r>
            <w:rPr>
              <w:sz w:val="21"/>
              <w:szCs w:val="21"/>
            </w:rPr>
            <w:t>94</w:t>
          </w:r>
          <w:r>
            <w:rPr>
              <w:sz w:val="21"/>
              <w:szCs w:val="21"/>
            </w:rPr>
            <w:fldChar w:fldCharType="end"/>
          </w:r>
          <w:r>
            <w:rPr>
              <w:rFonts w:hint="default"/>
              <w:sz w:val="21"/>
              <w:szCs w:val="21"/>
            </w:rPr>
            <w:fldChar w:fldCharType="end"/>
          </w:r>
        </w:p>
        <w:p w14:paraId="1AAF95B2">
          <w:pPr>
            <w:pStyle w:val="26"/>
            <w:tabs>
              <w:tab w:val="right" w:leader="dot" w:pos="8304"/>
            </w:tabs>
            <w:rPr>
              <w:sz w:val="21"/>
              <w:szCs w:val="21"/>
            </w:rPr>
          </w:pPr>
          <w:r>
            <w:rPr>
              <w:rFonts w:hint="default"/>
              <w:sz w:val="21"/>
              <w:szCs w:val="21"/>
            </w:rPr>
            <w:fldChar w:fldCharType="begin"/>
          </w:r>
          <w:r>
            <w:rPr>
              <w:rFonts w:hint="default"/>
              <w:sz w:val="21"/>
              <w:szCs w:val="21"/>
            </w:rPr>
            <w:instrText xml:space="preserve"> HYPERLINK \l _Toc283 </w:instrText>
          </w:r>
          <w:r>
            <w:rPr>
              <w:rFonts w:hint="default"/>
              <w:sz w:val="21"/>
              <w:szCs w:val="21"/>
            </w:rPr>
            <w:fldChar w:fldCharType="separate"/>
          </w:r>
          <w:r>
            <w:rPr>
              <w:rFonts w:hint="default" w:ascii="Times New Roman" w:hAnsi="Times New Roman" w:eastAsia="宋体" w:cs="Times New Roman"/>
              <w:bCs/>
              <w:sz w:val="21"/>
              <w:szCs w:val="21"/>
            </w:rPr>
            <w:t>5.1施工期环境空气影响分析</w:t>
          </w:r>
          <w:r>
            <w:rPr>
              <w:sz w:val="21"/>
              <w:szCs w:val="21"/>
            </w:rPr>
            <w:tab/>
          </w:r>
          <w:r>
            <w:rPr>
              <w:sz w:val="21"/>
              <w:szCs w:val="21"/>
            </w:rPr>
            <w:fldChar w:fldCharType="begin"/>
          </w:r>
          <w:r>
            <w:rPr>
              <w:sz w:val="21"/>
              <w:szCs w:val="21"/>
            </w:rPr>
            <w:instrText xml:space="preserve"> PAGEREF _Toc283 \h </w:instrText>
          </w:r>
          <w:r>
            <w:rPr>
              <w:sz w:val="21"/>
              <w:szCs w:val="21"/>
            </w:rPr>
            <w:fldChar w:fldCharType="separate"/>
          </w:r>
          <w:r>
            <w:rPr>
              <w:sz w:val="21"/>
              <w:szCs w:val="21"/>
            </w:rPr>
            <w:t>94</w:t>
          </w:r>
          <w:r>
            <w:rPr>
              <w:sz w:val="21"/>
              <w:szCs w:val="21"/>
            </w:rPr>
            <w:fldChar w:fldCharType="end"/>
          </w:r>
          <w:r>
            <w:rPr>
              <w:rFonts w:hint="default"/>
              <w:sz w:val="21"/>
              <w:szCs w:val="21"/>
            </w:rPr>
            <w:fldChar w:fldCharType="end"/>
          </w:r>
        </w:p>
        <w:p w14:paraId="2702C9ED">
          <w:pPr>
            <w:pStyle w:val="26"/>
            <w:tabs>
              <w:tab w:val="right" w:leader="dot" w:pos="8304"/>
            </w:tabs>
            <w:rPr>
              <w:sz w:val="21"/>
              <w:szCs w:val="21"/>
            </w:rPr>
          </w:pPr>
          <w:r>
            <w:rPr>
              <w:rFonts w:hint="default"/>
              <w:sz w:val="21"/>
              <w:szCs w:val="21"/>
            </w:rPr>
            <w:fldChar w:fldCharType="begin"/>
          </w:r>
          <w:r>
            <w:rPr>
              <w:rFonts w:hint="default"/>
              <w:sz w:val="21"/>
              <w:szCs w:val="21"/>
            </w:rPr>
            <w:instrText xml:space="preserve"> HYPERLINK \l _Toc10708 </w:instrText>
          </w:r>
          <w:r>
            <w:rPr>
              <w:rFonts w:hint="default"/>
              <w:sz w:val="21"/>
              <w:szCs w:val="21"/>
            </w:rPr>
            <w:fldChar w:fldCharType="separate"/>
          </w:r>
          <w:r>
            <w:rPr>
              <w:rFonts w:hint="default" w:ascii="Times New Roman" w:hAnsi="Times New Roman" w:eastAsia="宋体" w:cs="Times New Roman"/>
              <w:bCs/>
              <w:sz w:val="21"/>
              <w:szCs w:val="21"/>
            </w:rPr>
            <w:t>5.2施工期水环境影响分析</w:t>
          </w:r>
          <w:r>
            <w:rPr>
              <w:sz w:val="21"/>
              <w:szCs w:val="21"/>
            </w:rPr>
            <w:tab/>
          </w:r>
          <w:r>
            <w:rPr>
              <w:sz w:val="21"/>
              <w:szCs w:val="21"/>
            </w:rPr>
            <w:fldChar w:fldCharType="begin"/>
          </w:r>
          <w:r>
            <w:rPr>
              <w:sz w:val="21"/>
              <w:szCs w:val="21"/>
            </w:rPr>
            <w:instrText xml:space="preserve"> PAGEREF _Toc10708 \h </w:instrText>
          </w:r>
          <w:r>
            <w:rPr>
              <w:sz w:val="21"/>
              <w:szCs w:val="21"/>
            </w:rPr>
            <w:fldChar w:fldCharType="separate"/>
          </w:r>
          <w:r>
            <w:rPr>
              <w:sz w:val="21"/>
              <w:szCs w:val="21"/>
            </w:rPr>
            <w:t>95</w:t>
          </w:r>
          <w:r>
            <w:rPr>
              <w:sz w:val="21"/>
              <w:szCs w:val="21"/>
            </w:rPr>
            <w:fldChar w:fldCharType="end"/>
          </w:r>
          <w:r>
            <w:rPr>
              <w:rFonts w:hint="default"/>
              <w:sz w:val="21"/>
              <w:szCs w:val="21"/>
            </w:rPr>
            <w:fldChar w:fldCharType="end"/>
          </w:r>
        </w:p>
        <w:p w14:paraId="2FBEACAD">
          <w:pPr>
            <w:pStyle w:val="26"/>
            <w:tabs>
              <w:tab w:val="right" w:leader="dot" w:pos="8304"/>
            </w:tabs>
            <w:rPr>
              <w:sz w:val="21"/>
              <w:szCs w:val="21"/>
            </w:rPr>
          </w:pPr>
          <w:r>
            <w:rPr>
              <w:rFonts w:hint="default"/>
              <w:sz w:val="21"/>
              <w:szCs w:val="21"/>
            </w:rPr>
            <w:fldChar w:fldCharType="begin"/>
          </w:r>
          <w:r>
            <w:rPr>
              <w:rFonts w:hint="default"/>
              <w:sz w:val="21"/>
              <w:szCs w:val="21"/>
            </w:rPr>
            <w:instrText xml:space="preserve"> HYPERLINK \l _Toc695 </w:instrText>
          </w:r>
          <w:r>
            <w:rPr>
              <w:rFonts w:hint="default"/>
              <w:sz w:val="21"/>
              <w:szCs w:val="21"/>
            </w:rPr>
            <w:fldChar w:fldCharType="separate"/>
          </w:r>
          <w:r>
            <w:rPr>
              <w:rFonts w:hint="default" w:ascii="Times New Roman" w:hAnsi="Times New Roman" w:eastAsia="宋体" w:cs="Times New Roman"/>
              <w:bCs/>
              <w:sz w:val="21"/>
              <w:szCs w:val="21"/>
            </w:rPr>
            <w:t>5.3施工期声环境影响分析</w:t>
          </w:r>
          <w:r>
            <w:rPr>
              <w:sz w:val="21"/>
              <w:szCs w:val="21"/>
            </w:rPr>
            <w:tab/>
          </w:r>
          <w:r>
            <w:rPr>
              <w:sz w:val="21"/>
              <w:szCs w:val="21"/>
            </w:rPr>
            <w:fldChar w:fldCharType="begin"/>
          </w:r>
          <w:r>
            <w:rPr>
              <w:sz w:val="21"/>
              <w:szCs w:val="21"/>
            </w:rPr>
            <w:instrText xml:space="preserve"> PAGEREF _Toc695 \h </w:instrText>
          </w:r>
          <w:r>
            <w:rPr>
              <w:sz w:val="21"/>
              <w:szCs w:val="21"/>
            </w:rPr>
            <w:fldChar w:fldCharType="separate"/>
          </w:r>
          <w:r>
            <w:rPr>
              <w:sz w:val="21"/>
              <w:szCs w:val="21"/>
            </w:rPr>
            <w:t>95</w:t>
          </w:r>
          <w:r>
            <w:rPr>
              <w:sz w:val="21"/>
              <w:szCs w:val="21"/>
            </w:rPr>
            <w:fldChar w:fldCharType="end"/>
          </w:r>
          <w:r>
            <w:rPr>
              <w:rFonts w:hint="default"/>
              <w:sz w:val="21"/>
              <w:szCs w:val="21"/>
            </w:rPr>
            <w:fldChar w:fldCharType="end"/>
          </w:r>
        </w:p>
        <w:p w14:paraId="1EEA36C6">
          <w:pPr>
            <w:pStyle w:val="26"/>
            <w:tabs>
              <w:tab w:val="right" w:leader="dot" w:pos="8304"/>
            </w:tabs>
            <w:rPr>
              <w:sz w:val="21"/>
              <w:szCs w:val="21"/>
            </w:rPr>
          </w:pPr>
          <w:r>
            <w:rPr>
              <w:rFonts w:hint="default"/>
              <w:sz w:val="21"/>
              <w:szCs w:val="21"/>
            </w:rPr>
            <w:fldChar w:fldCharType="begin"/>
          </w:r>
          <w:r>
            <w:rPr>
              <w:rFonts w:hint="default"/>
              <w:sz w:val="21"/>
              <w:szCs w:val="21"/>
            </w:rPr>
            <w:instrText xml:space="preserve"> HYPERLINK \l _Toc18069 </w:instrText>
          </w:r>
          <w:r>
            <w:rPr>
              <w:rFonts w:hint="default"/>
              <w:sz w:val="21"/>
              <w:szCs w:val="21"/>
            </w:rPr>
            <w:fldChar w:fldCharType="separate"/>
          </w:r>
          <w:r>
            <w:rPr>
              <w:rFonts w:hint="default" w:ascii="Times New Roman" w:hAnsi="Times New Roman" w:eastAsia="宋体" w:cs="Times New Roman"/>
              <w:bCs/>
              <w:sz w:val="21"/>
              <w:szCs w:val="21"/>
            </w:rPr>
            <w:t>5.4施工期固体废物影响分析</w:t>
          </w:r>
          <w:r>
            <w:rPr>
              <w:sz w:val="21"/>
              <w:szCs w:val="21"/>
            </w:rPr>
            <w:tab/>
          </w:r>
          <w:r>
            <w:rPr>
              <w:sz w:val="21"/>
              <w:szCs w:val="21"/>
            </w:rPr>
            <w:fldChar w:fldCharType="begin"/>
          </w:r>
          <w:r>
            <w:rPr>
              <w:sz w:val="21"/>
              <w:szCs w:val="21"/>
            </w:rPr>
            <w:instrText xml:space="preserve"> PAGEREF _Toc18069 \h </w:instrText>
          </w:r>
          <w:r>
            <w:rPr>
              <w:sz w:val="21"/>
              <w:szCs w:val="21"/>
            </w:rPr>
            <w:fldChar w:fldCharType="separate"/>
          </w:r>
          <w:r>
            <w:rPr>
              <w:sz w:val="21"/>
              <w:szCs w:val="21"/>
            </w:rPr>
            <w:t>96</w:t>
          </w:r>
          <w:r>
            <w:rPr>
              <w:sz w:val="21"/>
              <w:szCs w:val="21"/>
            </w:rPr>
            <w:fldChar w:fldCharType="end"/>
          </w:r>
          <w:r>
            <w:rPr>
              <w:rFonts w:hint="default"/>
              <w:sz w:val="21"/>
              <w:szCs w:val="21"/>
            </w:rPr>
            <w:fldChar w:fldCharType="end"/>
          </w:r>
        </w:p>
        <w:p w14:paraId="541801E7">
          <w:pPr>
            <w:pStyle w:val="26"/>
            <w:tabs>
              <w:tab w:val="right" w:leader="dot" w:pos="8304"/>
            </w:tabs>
            <w:rPr>
              <w:sz w:val="21"/>
              <w:szCs w:val="21"/>
            </w:rPr>
          </w:pPr>
          <w:r>
            <w:rPr>
              <w:rFonts w:hint="default"/>
              <w:sz w:val="21"/>
              <w:szCs w:val="21"/>
            </w:rPr>
            <w:fldChar w:fldCharType="begin"/>
          </w:r>
          <w:r>
            <w:rPr>
              <w:rFonts w:hint="default"/>
              <w:sz w:val="21"/>
              <w:szCs w:val="21"/>
            </w:rPr>
            <w:instrText xml:space="preserve"> HYPERLINK \l _Toc30811 </w:instrText>
          </w:r>
          <w:r>
            <w:rPr>
              <w:rFonts w:hint="default"/>
              <w:sz w:val="21"/>
              <w:szCs w:val="21"/>
            </w:rPr>
            <w:fldChar w:fldCharType="separate"/>
          </w:r>
          <w:r>
            <w:rPr>
              <w:rFonts w:hint="default" w:ascii="Times New Roman" w:hAnsi="Times New Roman" w:eastAsia="宋体" w:cs="Times New Roman"/>
              <w:bCs/>
              <w:sz w:val="21"/>
              <w:szCs w:val="21"/>
            </w:rPr>
            <w:t>5.5生态环境影响分析</w:t>
          </w:r>
          <w:r>
            <w:rPr>
              <w:sz w:val="21"/>
              <w:szCs w:val="21"/>
            </w:rPr>
            <w:tab/>
          </w:r>
          <w:r>
            <w:rPr>
              <w:sz w:val="21"/>
              <w:szCs w:val="21"/>
            </w:rPr>
            <w:fldChar w:fldCharType="begin"/>
          </w:r>
          <w:r>
            <w:rPr>
              <w:sz w:val="21"/>
              <w:szCs w:val="21"/>
            </w:rPr>
            <w:instrText xml:space="preserve"> PAGEREF _Toc30811 \h </w:instrText>
          </w:r>
          <w:r>
            <w:rPr>
              <w:sz w:val="21"/>
              <w:szCs w:val="21"/>
            </w:rPr>
            <w:fldChar w:fldCharType="separate"/>
          </w:r>
          <w:r>
            <w:rPr>
              <w:sz w:val="21"/>
              <w:szCs w:val="21"/>
            </w:rPr>
            <w:t>97</w:t>
          </w:r>
          <w:r>
            <w:rPr>
              <w:sz w:val="21"/>
              <w:szCs w:val="21"/>
            </w:rPr>
            <w:fldChar w:fldCharType="end"/>
          </w:r>
          <w:r>
            <w:rPr>
              <w:rFonts w:hint="default"/>
              <w:sz w:val="21"/>
              <w:szCs w:val="21"/>
            </w:rPr>
            <w:fldChar w:fldCharType="end"/>
          </w:r>
        </w:p>
        <w:p w14:paraId="151D7949">
          <w:pPr>
            <w:pStyle w:val="14"/>
            <w:tabs>
              <w:tab w:val="right" w:leader="dot" w:pos="8304"/>
            </w:tabs>
            <w:rPr>
              <w:sz w:val="21"/>
              <w:szCs w:val="21"/>
            </w:rPr>
          </w:pPr>
          <w:r>
            <w:rPr>
              <w:rFonts w:hint="default"/>
              <w:sz w:val="21"/>
              <w:szCs w:val="21"/>
            </w:rPr>
            <w:fldChar w:fldCharType="begin"/>
          </w:r>
          <w:r>
            <w:rPr>
              <w:rFonts w:hint="default"/>
              <w:sz w:val="21"/>
              <w:szCs w:val="21"/>
            </w:rPr>
            <w:instrText xml:space="preserve"> HYPERLINK \l _Toc28698 </w:instrText>
          </w:r>
          <w:r>
            <w:rPr>
              <w:rFonts w:hint="default"/>
              <w:sz w:val="21"/>
              <w:szCs w:val="21"/>
            </w:rPr>
            <w:fldChar w:fldCharType="separate"/>
          </w:r>
          <w:r>
            <w:rPr>
              <w:rFonts w:hint="default" w:ascii="Times New Roman" w:hAnsi="Times New Roman" w:eastAsia="宋体" w:cs="Times New Roman"/>
              <w:bCs/>
              <w:sz w:val="21"/>
              <w:szCs w:val="21"/>
            </w:rPr>
            <w:t>5.5.1土地利用影响分析</w:t>
          </w:r>
          <w:r>
            <w:rPr>
              <w:sz w:val="21"/>
              <w:szCs w:val="21"/>
            </w:rPr>
            <w:tab/>
          </w:r>
          <w:r>
            <w:rPr>
              <w:sz w:val="21"/>
              <w:szCs w:val="21"/>
            </w:rPr>
            <w:fldChar w:fldCharType="begin"/>
          </w:r>
          <w:r>
            <w:rPr>
              <w:sz w:val="21"/>
              <w:szCs w:val="21"/>
            </w:rPr>
            <w:instrText xml:space="preserve"> PAGEREF _Toc28698 \h </w:instrText>
          </w:r>
          <w:r>
            <w:rPr>
              <w:sz w:val="21"/>
              <w:szCs w:val="21"/>
            </w:rPr>
            <w:fldChar w:fldCharType="separate"/>
          </w:r>
          <w:r>
            <w:rPr>
              <w:sz w:val="21"/>
              <w:szCs w:val="21"/>
            </w:rPr>
            <w:t>97</w:t>
          </w:r>
          <w:r>
            <w:rPr>
              <w:sz w:val="21"/>
              <w:szCs w:val="21"/>
            </w:rPr>
            <w:fldChar w:fldCharType="end"/>
          </w:r>
          <w:r>
            <w:rPr>
              <w:rFonts w:hint="default"/>
              <w:sz w:val="21"/>
              <w:szCs w:val="21"/>
            </w:rPr>
            <w:fldChar w:fldCharType="end"/>
          </w:r>
        </w:p>
        <w:p w14:paraId="3B797A32">
          <w:pPr>
            <w:pStyle w:val="14"/>
            <w:tabs>
              <w:tab w:val="right" w:leader="dot" w:pos="8304"/>
            </w:tabs>
            <w:rPr>
              <w:sz w:val="21"/>
              <w:szCs w:val="21"/>
            </w:rPr>
          </w:pPr>
          <w:r>
            <w:rPr>
              <w:rFonts w:hint="default"/>
              <w:sz w:val="21"/>
              <w:szCs w:val="21"/>
            </w:rPr>
            <w:fldChar w:fldCharType="begin"/>
          </w:r>
          <w:r>
            <w:rPr>
              <w:rFonts w:hint="default"/>
              <w:sz w:val="21"/>
              <w:szCs w:val="21"/>
            </w:rPr>
            <w:instrText xml:space="preserve"> HYPERLINK \l _Toc4632 </w:instrText>
          </w:r>
          <w:r>
            <w:rPr>
              <w:rFonts w:hint="default"/>
              <w:sz w:val="21"/>
              <w:szCs w:val="21"/>
            </w:rPr>
            <w:fldChar w:fldCharType="separate"/>
          </w:r>
          <w:r>
            <w:rPr>
              <w:rFonts w:hint="default" w:ascii="Times New Roman" w:hAnsi="Times New Roman" w:eastAsia="宋体" w:cs="Times New Roman"/>
              <w:bCs/>
              <w:sz w:val="21"/>
              <w:szCs w:val="21"/>
            </w:rPr>
            <w:t>5.5.2对动植物的影响评价</w:t>
          </w:r>
          <w:r>
            <w:rPr>
              <w:sz w:val="21"/>
              <w:szCs w:val="21"/>
            </w:rPr>
            <w:tab/>
          </w:r>
          <w:r>
            <w:rPr>
              <w:sz w:val="21"/>
              <w:szCs w:val="21"/>
            </w:rPr>
            <w:fldChar w:fldCharType="begin"/>
          </w:r>
          <w:r>
            <w:rPr>
              <w:sz w:val="21"/>
              <w:szCs w:val="21"/>
            </w:rPr>
            <w:instrText xml:space="preserve"> PAGEREF _Toc4632 \h </w:instrText>
          </w:r>
          <w:r>
            <w:rPr>
              <w:sz w:val="21"/>
              <w:szCs w:val="21"/>
            </w:rPr>
            <w:fldChar w:fldCharType="separate"/>
          </w:r>
          <w:r>
            <w:rPr>
              <w:sz w:val="21"/>
              <w:szCs w:val="21"/>
            </w:rPr>
            <w:t>97</w:t>
          </w:r>
          <w:r>
            <w:rPr>
              <w:sz w:val="21"/>
              <w:szCs w:val="21"/>
            </w:rPr>
            <w:fldChar w:fldCharType="end"/>
          </w:r>
          <w:r>
            <w:rPr>
              <w:rFonts w:hint="default"/>
              <w:sz w:val="21"/>
              <w:szCs w:val="21"/>
            </w:rPr>
            <w:fldChar w:fldCharType="end"/>
          </w:r>
        </w:p>
        <w:p w14:paraId="027039CC">
          <w:pPr>
            <w:pStyle w:val="14"/>
            <w:tabs>
              <w:tab w:val="right" w:leader="dot" w:pos="8304"/>
            </w:tabs>
            <w:rPr>
              <w:sz w:val="21"/>
              <w:szCs w:val="21"/>
            </w:rPr>
          </w:pPr>
          <w:r>
            <w:rPr>
              <w:rFonts w:hint="default"/>
              <w:sz w:val="21"/>
              <w:szCs w:val="21"/>
            </w:rPr>
            <w:fldChar w:fldCharType="begin"/>
          </w:r>
          <w:r>
            <w:rPr>
              <w:rFonts w:hint="default"/>
              <w:sz w:val="21"/>
              <w:szCs w:val="21"/>
            </w:rPr>
            <w:instrText xml:space="preserve"> HYPERLINK \l _Toc16155 </w:instrText>
          </w:r>
          <w:r>
            <w:rPr>
              <w:rFonts w:hint="default"/>
              <w:sz w:val="21"/>
              <w:szCs w:val="21"/>
            </w:rPr>
            <w:fldChar w:fldCharType="separate"/>
          </w:r>
          <w:r>
            <w:rPr>
              <w:rFonts w:hint="default" w:ascii="Times New Roman" w:hAnsi="Times New Roman" w:eastAsia="宋体" w:cs="Times New Roman"/>
              <w:bCs/>
              <w:sz w:val="21"/>
              <w:szCs w:val="21"/>
            </w:rPr>
            <w:t>5.5.3水土流失</w:t>
          </w:r>
          <w:r>
            <w:rPr>
              <w:sz w:val="21"/>
              <w:szCs w:val="21"/>
            </w:rPr>
            <w:tab/>
          </w:r>
          <w:r>
            <w:rPr>
              <w:sz w:val="21"/>
              <w:szCs w:val="21"/>
            </w:rPr>
            <w:fldChar w:fldCharType="begin"/>
          </w:r>
          <w:r>
            <w:rPr>
              <w:sz w:val="21"/>
              <w:szCs w:val="21"/>
            </w:rPr>
            <w:instrText xml:space="preserve"> PAGEREF _Toc16155 \h </w:instrText>
          </w:r>
          <w:r>
            <w:rPr>
              <w:sz w:val="21"/>
              <w:szCs w:val="21"/>
            </w:rPr>
            <w:fldChar w:fldCharType="separate"/>
          </w:r>
          <w:r>
            <w:rPr>
              <w:sz w:val="21"/>
              <w:szCs w:val="21"/>
            </w:rPr>
            <w:t>98</w:t>
          </w:r>
          <w:r>
            <w:rPr>
              <w:sz w:val="21"/>
              <w:szCs w:val="21"/>
            </w:rPr>
            <w:fldChar w:fldCharType="end"/>
          </w:r>
          <w:r>
            <w:rPr>
              <w:rFonts w:hint="default"/>
              <w:sz w:val="21"/>
              <w:szCs w:val="21"/>
            </w:rPr>
            <w:fldChar w:fldCharType="end"/>
          </w:r>
        </w:p>
        <w:p w14:paraId="7D99C3BC">
          <w:pPr>
            <w:pStyle w:val="21"/>
            <w:keepNext w:val="0"/>
            <w:keepLines w:val="0"/>
            <w:pageBreakBefore w:val="0"/>
            <w:widowControl w:val="0"/>
            <w:tabs>
              <w:tab w:val="right" w:leader="dot" w:pos="8304"/>
            </w:tabs>
            <w:kinsoku/>
            <w:wordWrap/>
            <w:overflowPunct/>
            <w:topLinePunct w:val="0"/>
            <w:autoSpaceDE/>
            <w:autoSpaceDN/>
            <w:bidi w:val="0"/>
            <w:adjustRightInd/>
            <w:snapToGrid/>
            <w:spacing w:before="0"/>
            <w:ind w:left="0" w:right="0"/>
            <w:textAlignment w:val="auto"/>
            <w:rPr>
              <w:sz w:val="21"/>
              <w:szCs w:val="21"/>
            </w:rPr>
          </w:pPr>
          <w:r>
            <w:rPr>
              <w:rFonts w:hint="default"/>
              <w:sz w:val="21"/>
              <w:szCs w:val="21"/>
            </w:rPr>
            <w:fldChar w:fldCharType="begin"/>
          </w:r>
          <w:r>
            <w:rPr>
              <w:rFonts w:hint="default"/>
              <w:sz w:val="21"/>
              <w:szCs w:val="21"/>
            </w:rPr>
            <w:instrText xml:space="preserve"> HYPERLINK \l _Toc13069 </w:instrText>
          </w:r>
          <w:r>
            <w:rPr>
              <w:rFonts w:hint="default"/>
              <w:sz w:val="21"/>
              <w:szCs w:val="21"/>
            </w:rPr>
            <w:fldChar w:fldCharType="separate"/>
          </w:r>
          <w:r>
            <w:rPr>
              <w:rFonts w:hint="default" w:ascii="Times New Roman" w:hAnsi="Times New Roman" w:eastAsia="宋体" w:cs="Times New Roman"/>
              <w:bCs/>
              <w:sz w:val="21"/>
              <w:szCs w:val="21"/>
            </w:rPr>
            <w:t>6运营期环境影响预测与评价</w:t>
          </w:r>
          <w:r>
            <w:rPr>
              <w:sz w:val="21"/>
              <w:szCs w:val="21"/>
            </w:rPr>
            <w:tab/>
          </w:r>
          <w:r>
            <w:rPr>
              <w:sz w:val="21"/>
              <w:szCs w:val="21"/>
            </w:rPr>
            <w:fldChar w:fldCharType="begin"/>
          </w:r>
          <w:r>
            <w:rPr>
              <w:sz w:val="21"/>
              <w:szCs w:val="21"/>
            </w:rPr>
            <w:instrText xml:space="preserve"> PAGEREF _Toc13069 \h </w:instrText>
          </w:r>
          <w:r>
            <w:rPr>
              <w:sz w:val="21"/>
              <w:szCs w:val="21"/>
            </w:rPr>
            <w:fldChar w:fldCharType="separate"/>
          </w:r>
          <w:r>
            <w:rPr>
              <w:sz w:val="21"/>
              <w:szCs w:val="21"/>
            </w:rPr>
            <w:t>99</w:t>
          </w:r>
          <w:r>
            <w:rPr>
              <w:sz w:val="21"/>
              <w:szCs w:val="21"/>
            </w:rPr>
            <w:fldChar w:fldCharType="end"/>
          </w:r>
          <w:r>
            <w:rPr>
              <w:rFonts w:hint="default"/>
              <w:sz w:val="21"/>
              <w:szCs w:val="21"/>
            </w:rPr>
            <w:fldChar w:fldCharType="end"/>
          </w:r>
        </w:p>
        <w:p w14:paraId="2F4F3D4A">
          <w:pPr>
            <w:pStyle w:val="26"/>
            <w:tabs>
              <w:tab w:val="right" w:leader="dot" w:pos="8304"/>
            </w:tabs>
            <w:rPr>
              <w:sz w:val="21"/>
              <w:szCs w:val="21"/>
            </w:rPr>
          </w:pPr>
          <w:r>
            <w:rPr>
              <w:rFonts w:hint="default"/>
              <w:sz w:val="21"/>
              <w:szCs w:val="21"/>
            </w:rPr>
            <w:fldChar w:fldCharType="begin"/>
          </w:r>
          <w:r>
            <w:rPr>
              <w:rFonts w:hint="default"/>
              <w:sz w:val="21"/>
              <w:szCs w:val="21"/>
            </w:rPr>
            <w:instrText xml:space="preserve"> HYPERLINK \l _Toc2677 </w:instrText>
          </w:r>
          <w:r>
            <w:rPr>
              <w:rFonts w:hint="default"/>
              <w:sz w:val="21"/>
              <w:szCs w:val="21"/>
            </w:rPr>
            <w:fldChar w:fldCharType="separate"/>
          </w:r>
          <w:r>
            <w:rPr>
              <w:rFonts w:hint="default" w:ascii="Times New Roman" w:hAnsi="Times New Roman" w:eastAsia="宋体" w:cs="Times New Roman"/>
              <w:bCs/>
              <w:sz w:val="21"/>
              <w:szCs w:val="21"/>
            </w:rPr>
            <w:t>6.1环境空气影响预测与评价</w:t>
          </w:r>
          <w:r>
            <w:rPr>
              <w:sz w:val="21"/>
              <w:szCs w:val="21"/>
            </w:rPr>
            <w:tab/>
          </w:r>
          <w:r>
            <w:rPr>
              <w:sz w:val="21"/>
              <w:szCs w:val="21"/>
            </w:rPr>
            <w:fldChar w:fldCharType="begin"/>
          </w:r>
          <w:r>
            <w:rPr>
              <w:sz w:val="21"/>
              <w:szCs w:val="21"/>
            </w:rPr>
            <w:instrText xml:space="preserve"> PAGEREF _Toc2677 \h </w:instrText>
          </w:r>
          <w:r>
            <w:rPr>
              <w:sz w:val="21"/>
              <w:szCs w:val="21"/>
            </w:rPr>
            <w:fldChar w:fldCharType="separate"/>
          </w:r>
          <w:r>
            <w:rPr>
              <w:sz w:val="21"/>
              <w:szCs w:val="21"/>
            </w:rPr>
            <w:t>99</w:t>
          </w:r>
          <w:r>
            <w:rPr>
              <w:sz w:val="21"/>
              <w:szCs w:val="21"/>
            </w:rPr>
            <w:fldChar w:fldCharType="end"/>
          </w:r>
          <w:r>
            <w:rPr>
              <w:rFonts w:hint="default"/>
              <w:sz w:val="21"/>
              <w:szCs w:val="21"/>
            </w:rPr>
            <w:fldChar w:fldCharType="end"/>
          </w:r>
        </w:p>
        <w:p w14:paraId="35221A82">
          <w:pPr>
            <w:pStyle w:val="14"/>
            <w:tabs>
              <w:tab w:val="right" w:leader="dot" w:pos="8304"/>
            </w:tabs>
            <w:rPr>
              <w:sz w:val="21"/>
              <w:szCs w:val="21"/>
            </w:rPr>
          </w:pPr>
          <w:r>
            <w:rPr>
              <w:rFonts w:hint="default"/>
              <w:sz w:val="21"/>
              <w:szCs w:val="21"/>
            </w:rPr>
            <w:fldChar w:fldCharType="begin"/>
          </w:r>
          <w:r>
            <w:rPr>
              <w:rFonts w:hint="default"/>
              <w:sz w:val="21"/>
              <w:szCs w:val="21"/>
            </w:rPr>
            <w:instrText xml:space="preserve"> HYPERLINK \l _Toc15859 </w:instrText>
          </w:r>
          <w:r>
            <w:rPr>
              <w:rFonts w:hint="default"/>
              <w:sz w:val="21"/>
              <w:szCs w:val="21"/>
            </w:rPr>
            <w:fldChar w:fldCharType="separate"/>
          </w:r>
          <w:r>
            <w:rPr>
              <w:rFonts w:hint="default" w:ascii="Times New Roman" w:hAnsi="Times New Roman" w:eastAsia="宋体" w:cs="Times New Roman"/>
              <w:bCs/>
              <w:sz w:val="21"/>
              <w:szCs w:val="21"/>
            </w:rPr>
            <w:t>6.</w:t>
          </w:r>
          <w:r>
            <w:rPr>
              <w:rFonts w:hint="eastAsia" w:ascii="Times New Roman" w:hAnsi="Times New Roman" w:cs="Times New Roman"/>
              <w:bCs/>
              <w:sz w:val="21"/>
              <w:szCs w:val="21"/>
              <w:lang w:val="en-US" w:eastAsia="zh-CN"/>
            </w:rPr>
            <w:t>1</w:t>
          </w:r>
          <w:r>
            <w:rPr>
              <w:rFonts w:hint="default" w:ascii="Times New Roman" w:hAnsi="Times New Roman" w:eastAsia="宋体" w:cs="Times New Roman"/>
              <w:bCs/>
              <w:sz w:val="21"/>
              <w:szCs w:val="21"/>
            </w:rPr>
            <w:t>.1大气环境影响预测与分析</w:t>
          </w:r>
          <w:r>
            <w:rPr>
              <w:sz w:val="21"/>
              <w:szCs w:val="21"/>
            </w:rPr>
            <w:tab/>
          </w:r>
          <w:r>
            <w:rPr>
              <w:sz w:val="21"/>
              <w:szCs w:val="21"/>
            </w:rPr>
            <w:fldChar w:fldCharType="begin"/>
          </w:r>
          <w:r>
            <w:rPr>
              <w:sz w:val="21"/>
              <w:szCs w:val="21"/>
            </w:rPr>
            <w:instrText xml:space="preserve"> PAGEREF _Toc15859 \h </w:instrText>
          </w:r>
          <w:r>
            <w:rPr>
              <w:sz w:val="21"/>
              <w:szCs w:val="21"/>
            </w:rPr>
            <w:fldChar w:fldCharType="separate"/>
          </w:r>
          <w:r>
            <w:rPr>
              <w:sz w:val="21"/>
              <w:szCs w:val="21"/>
            </w:rPr>
            <w:t>99</w:t>
          </w:r>
          <w:r>
            <w:rPr>
              <w:sz w:val="21"/>
              <w:szCs w:val="21"/>
            </w:rPr>
            <w:fldChar w:fldCharType="end"/>
          </w:r>
          <w:r>
            <w:rPr>
              <w:rFonts w:hint="default"/>
              <w:sz w:val="21"/>
              <w:szCs w:val="21"/>
            </w:rPr>
            <w:fldChar w:fldCharType="end"/>
          </w:r>
        </w:p>
        <w:p w14:paraId="6D898BF3">
          <w:pPr>
            <w:pStyle w:val="14"/>
            <w:tabs>
              <w:tab w:val="right" w:leader="dot" w:pos="8304"/>
            </w:tabs>
            <w:rPr>
              <w:sz w:val="21"/>
              <w:szCs w:val="21"/>
            </w:rPr>
          </w:pPr>
          <w:r>
            <w:rPr>
              <w:rFonts w:hint="default"/>
              <w:sz w:val="21"/>
              <w:szCs w:val="21"/>
            </w:rPr>
            <w:fldChar w:fldCharType="begin"/>
          </w:r>
          <w:r>
            <w:rPr>
              <w:rFonts w:hint="default"/>
              <w:sz w:val="21"/>
              <w:szCs w:val="21"/>
            </w:rPr>
            <w:instrText xml:space="preserve"> HYPERLINK \l _Toc15367 </w:instrText>
          </w:r>
          <w:r>
            <w:rPr>
              <w:rFonts w:hint="default"/>
              <w:sz w:val="21"/>
              <w:szCs w:val="21"/>
            </w:rPr>
            <w:fldChar w:fldCharType="separate"/>
          </w:r>
          <w:r>
            <w:rPr>
              <w:rFonts w:hint="default" w:ascii="Times New Roman" w:hAnsi="Times New Roman" w:eastAsia="宋体" w:cs="Times New Roman"/>
              <w:bCs/>
              <w:sz w:val="21"/>
              <w:szCs w:val="21"/>
            </w:rPr>
            <w:t>6.1.3大气防护距离</w:t>
          </w:r>
          <w:r>
            <w:rPr>
              <w:sz w:val="21"/>
              <w:szCs w:val="21"/>
            </w:rPr>
            <w:tab/>
          </w:r>
          <w:r>
            <w:rPr>
              <w:sz w:val="21"/>
              <w:szCs w:val="21"/>
            </w:rPr>
            <w:fldChar w:fldCharType="begin"/>
          </w:r>
          <w:r>
            <w:rPr>
              <w:sz w:val="21"/>
              <w:szCs w:val="21"/>
            </w:rPr>
            <w:instrText xml:space="preserve"> PAGEREF _Toc15367 \h </w:instrText>
          </w:r>
          <w:r>
            <w:rPr>
              <w:sz w:val="21"/>
              <w:szCs w:val="21"/>
            </w:rPr>
            <w:fldChar w:fldCharType="separate"/>
          </w:r>
          <w:r>
            <w:rPr>
              <w:sz w:val="21"/>
              <w:szCs w:val="21"/>
            </w:rPr>
            <w:t>105</w:t>
          </w:r>
          <w:r>
            <w:rPr>
              <w:sz w:val="21"/>
              <w:szCs w:val="21"/>
            </w:rPr>
            <w:fldChar w:fldCharType="end"/>
          </w:r>
          <w:r>
            <w:rPr>
              <w:rFonts w:hint="default"/>
              <w:sz w:val="21"/>
              <w:szCs w:val="21"/>
            </w:rPr>
            <w:fldChar w:fldCharType="end"/>
          </w:r>
        </w:p>
        <w:p w14:paraId="6C4AE72E">
          <w:pPr>
            <w:pStyle w:val="14"/>
            <w:tabs>
              <w:tab w:val="right" w:leader="dot" w:pos="8304"/>
            </w:tabs>
            <w:rPr>
              <w:sz w:val="21"/>
              <w:szCs w:val="21"/>
            </w:rPr>
          </w:pPr>
          <w:r>
            <w:rPr>
              <w:rFonts w:hint="default"/>
              <w:sz w:val="21"/>
              <w:szCs w:val="21"/>
            </w:rPr>
            <w:fldChar w:fldCharType="begin"/>
          </w:r>
          <w:r>
            <w:rPr>
              <w:rFonts w:hint="default"/>
              <w:sz w:val="21"/>
              <w:szCs w:val="21"/>
            </w:rPr>
            <w:instrText xml:space="preserve"> HYPERLINK \l _Toc26383 </w:instrText>
          </w:r>
          <w:r>
            <w:rPr>
              <w:rFonts w:hint="default"/>
              <w:sz w:val="21"/>
              <w:szCs w:val="21"/>
            </w:rPr>
            <w:fldChar w:fldCharType="separate"/>
          </w:r>
          <w:r>
            <w:rPr>
              <w:rFonts w:hint="default" w:ascii="Times New Roman" w:hAnsi="Times New Roman" w:eastAsia="宋体" w:cs="Times New Roman"/>
              <w:bCs/>
              <w:sz w:val="21"/>
              <w:szCs w:val="21"/>
            </w:rPr>
            <w:t>6.1.</w:t>
          </w:r>
          <w:r>
            <w:rPr>
              <w:rFonts w:hint="eastAsia" w:cs="Times New Roman"/>
              <w:bCs/>
              <w:sz w:val="21"/>
              <w:szCs w:val="21"/>
              <w:lang w:val="en-US" w:eastAsia="zh-CN"/>
            </w:rPr>
            <w:t>4</w:t>
          </w:r>
          <w:r>
            <w:rPr>
              <w:rFonts w:hint="default" w:ascii="Times New Roman" w:hAnsi="Times New Roman" w:eastAsia="宋体" w:cs="Times New Roman"/>
              <w:bCs/>
              <w:sz w:val="21"/>
              <w:szCs w:val="21"/>
            </w:rPr>
            <w:t>大气环境影响评价自查表</w:t>
          </w:r>
          <w:r>
            <w:rPr>
              <w:sz w:val="21"/>
              <w:szCs w:val="21"/>
            </w:rPr>
            <w:tab/>
          </w:r>
          <w:r>
            <w:rPr>
              <w:sz w:val="21"/>
              <w:szCs w:val="21"/>
            </w:rPr>
            <w:fldChar w:fldCharType="begin"/>
          </w:r>
          <w:r>
            <w:rPr>
              <w:sz w:val="21"/>
              <w:szCs w:val="21"/>
            </w:rPr>
            <w:instrText xml:space="preserve"> PAGEREF _Toc26383 \h </w:instrText>
          </w:r>
          <w:r>
            <w:rPr>
              <w:sz w:val="21"/>
              <w:szCs w:val="21"/>
            </w:rPr>
            <w:fldChar w:fldCharType="separate"/>
          </w:r>
          <w:r>
            <w:rPr>
              <w:sz w:val="21"/>
              <w:szCs w:val="21"/>
            </w:rPr>
            <w:t>105</w:t>
          </w:r>
          <w:r>
            <w:rPr>
              <w:sz w:val="21"/>
              <w:szCs w:val="21"/>
            </w:rPr>
            <w:fldChar w:fldCharType="end"/>
          </w:r>
          <w:r>
            <w:rPr>
              <w:rFonts w:hint="default"/>
              <w:sz w:val="21"/>
              <w:szCs w:val="21"/>
            </w:rPr>
            <w:fldChar w:fldCharType="end"/>
          </w:r>
        </w:p>
        <w:p w14:paraId="0485D45B">
          <w:pPr>
            <w:pStyle w:val="26"/>
            <w:tabs>
              <w:tab w:val="right" w:leader="dot" w:pos="8304"/>
            </w:tabs>
            <w:rPr>
              <w:sz w:val="21"/>
              <w:szCs w:val="21"/>
            </w:rPr>
          </w:pPr>
          <w:r>
            <w:rPr>
              <w:rFonts w:hint="default"/>
              <w:sz w:val="21"/>
              <w:szCs w:val="21"/>
            </w:rPr>
            <w:fldChar w:fldCharType="begin"/>
          </w:r>
          <w:r>
            <w:rPr>
              <w:rFonts w:hint="default"/>
              <w:sz w:val="21"/>
              <w:szCs w:val="21"/>
            </w:rPr>
            <w:instrText xml:space="preserve"> HYPERLINK \l _Toc26973 </w:instrText>
          </w:r>
          <w:r>
            <w:rPr>
              <w:rFonts w:hint="default"/>
              <w:sz w:val="21"/>
              <w:szCs w:val="21"/>
            </w:rPr>
            <w:fldChar w:fldCharType="separate"/>
          </w:r>
          <w:r>
            <w:rPr>
              <w:rFonts w:hint="default" w:ascii="Times New Roman" w:hAnsi="Times New Roman" w:eastAsia="宋体" w:cs="Times New Roman"/>
              <w:bCs/>
              <w:sz w:val="21"/>
              <w:szCs w:val="21"/>
            </w:rPr>
            <w:t>6.2地表水环境影响评价</w:t>
          </w:r>
          <w:r>
            <w:rPr>
              <w:sz w:val="21"/>
              <w:szCs w:val="21"/>
            </w:rPr>
            <w:tab/>
          </w:r>
          <w:r>
            <w:rPr>
              <w:sz w:val="21"/>
              <w:szCs w:val="21"/>
            </w:rPr>
            <w:fldChar w:fldCharType="begin"/>
          </w:r>
          <w:r>
            <w:rPr>
              <w:sz w:val="21"/>
              <w:szCs w:val="21"/>
            </w:rPr>
            <w:instrText xml:space="preserve"> PAGEREF _Toc26973 \h </w:instrText>
          </w:r>
          <w:r>
            <w:rPr>
              <w:sz w:val="21"/>
              <w:szCs w:val="21"/>
            </w:rPr>
            <w:fldChar w:fldCharType="separate"/>
          </w:r>
          <w:r>
            <w:rPr>
              <w:sz w:val="21"/>
              <w:szCs w:val="21"/>
            </w:rPr>
            <w:t>107</w:t>
          </w:r>
          <w:r>
            <w:rPr>
              <w:sz w:val="21"/>
              <w:szCs w:val="21"/>
            </w:rPr>
            <w:fldChar w:fldCharType="end"/>
          </w:r>
          <w:r>
            <w:rPr>
              <w:rFonts w:hint="default"/>
              <w:sz w:val="21"/>
              <w:szCs w:val="21"/>
            </w:rPr>
            <w:fldChar w:fldCharType="end"/>
          </w:r>
        </w:p>
        <w:p w14:paraId="048A596B">
          <w:pPr>
            <w:pStyle w:val="14"/>
            <w:tabs>
              <w:tab w:val="right" w:leader="dot" w:pos="8304"/>
            </w:tabs>
            <w:rPr>
              <w:sz w:val="21"/>
              <w:szCs w:val="21"/>
            </w:rPr>
          </w:pPr>
          <w:r>
            <w:rPr>
              <w:rFonts w:hint="default"/>
              <w:sz w:val="21"/>
              <w:szCs w:val="21"/>
            </w:rPr>
            <w:fldChar w:fldCharType="begin"/>
          </w:r>
          <w:r>
            <w:rPr>
              <w:rFonts w:hint="default"/>
              <w:sz w:val="21"/>
              <w:szCs w:val="21"/>
            </w:rPr>
            <w:instrText xml:space="preserve"> HYPERLINK \l _Toc16049 </w:instrText>
          </w:r>
          <w:r>
            <w:rPr>
              <w:rFonts w:hint="default"/>
              <w:sz w:val="21"/>
              <w:szCs w:val="21"/>
            </w:rPr>
            <w:fldChar w:fldCharType="separate"/>
          </w:r>
          <w:r>
            <w:rPr>
              <w:rFonts w:hint="default" w:ascii="Times New Roman" w:hAnsi="Times New Roman" w:eastAsia="宋体" w:cs="Times New Roman"/>
              <w:bCs/>
              <w:sz w:val="21"/>
              <w:szCs w:val="21"/>
            </w:rPr>
            <w:t>6.2.1项目废水排放情况</w:t>
          </w:r>
          <w:r>
            <w:rPr>
              <w:sz w:val="21"/>
              <w:szCs w:val="21"/>
            </w:rPr>
            <w:tab/>
          </w:r>
          <w:r>
            <w:rPr>
              <w:sz w:val="21"/>
              <w:szCs w:val="21"/>
            </w:rPr>
            <w:fldChar w:fldCharType="begin"/>
          </w:r>
          <w:r>
            <w:rPr>
              <w:sz w:val="21"/>
              <w:szCs w:val="21"/>
            </w:rPr>
            <w:instrText xml:space="preserve"> PAGEREF _Toc16049 \h </w:instrText>
          </w:r>
          <w:r>
            <w:rPr>
              <w:sz w:val="21"/>
              <w:szCs w:val="21"/>
            </w:rPr>
            <w:fldChar w:fldCharType="separate"/>
          </w:r>
          <w:r>
            <w:rPr>
              <w:sz w:val="21"/>
              <w:szCs w:val="21"/>
            </w:rPr>
            <w:t>107</w:t>
          </w:r>
          <w:r>
            <w:rPr>
              <w:sz w:val="21"/>
              <w:szCs w:val="21"/>
            </w:rPr>
            <w:fldChar w:fldCharType="end"/>
          </w:r>
          <w:r>
            <w:rPr>
              <w:rFonts w:hint="default"/>
              <w:sz w:val="21"/>
              <w:szCs w:val="21"/>
            </w:rPr>
            <w:fldChar w:fldCharType="end"/>
          </w:r>
        </w:p>
        <w:p w14:paraId="5A7CCBF4">
          <w:pPr>
            <w:pStyle w:val="14"/>
            <w:tabs>
              <w:tab w:val="right" w:leader="dot" w:pos="8304"/>
            </w:tabs>
            <w:rPr>
              <w:sz w:val="21"/>
              <w:szCs w:val="21"/>
            </w:rPr>
          </w:pPr>
          <w:r>
            <w:rPr>
              <w:rFonts w:hint="default"/>
              <w:sz w:val="21"/>
              <w:szCs w:val="21"/>
            </w:rPr>
            <w:fldChar w:fldCharType="begin"/>
          </w:r>
          <w:r>
            <w:rPr>
              <w:rFonts w:hint="default"/>
              <w:sz w:val="21"/>
              <w:szCs w:val="21"/>
            </w:rPr>
            <w:instrText xml:space="preserve"> HYPERLINK \l _Toc14002 </w:instrText>
          </w:r>
          <w:r>
            <w:rPr>
              <w:rFonts w:hint="default"/>
              <w:sz w:val="21"/>
              <w:szCs w:val="21"/>
            </w:rPr>
            <w:fldChar w:fldCharType="separate"/>
          </w:r>
          <w:r>
            <w:rPr>
              <w:rFonts w:hint="default" w:ascii="Times New Roman" w:hAnsi="Times New Roman" w:eastAsia="宋体" w:cs="Times New Roman"/>
              <w:bCs/>
              <w:sz w:val="21"/>
              <w:szCs w:val="21"/>
            </w:rPr>
            <w:t>6.2.2污水处理系统</w:t>
          </w:r>
          <w:r>
            <w:rPr>
              <w:sz w:val="21"/>
              <w:szCs w:val="21"/>
            </w:rPr>
            <w:tab/>
          </w:r>
          <w:r>
            <w:rPr>
              <w:sz w:val="21"/>
              <w:szCs w:val="21"/>
            </w:rPr>
            <w:fldChar w:fldCharType="begin"/>
          </w:r>
          <w:r>
            <w:rPr>
              <w:sz w:val="21"/>
              <w:szCs w:val="21"/>
            </w:rPr>
            <w:instrText xml:space="preserve"> PAGEREF _Toc14002 \h </w:instrText>
          </w:r>
          <w:r>
            <w:rPr>
              <w:sz w:val="21"/>
              <w:szCs w:val="21"/>
            </w:rPr>
            <w:fldChar w:fldCharType="separate"/>
          </w:r>
          <w:r>
            <w:rPr>
              <w:sz w:val="21"/>
              <w:szCs w:val="21"/>
            </w:rPr>
            <w:t>107</w:t>
          </w:r>
          <w:r>
            <w:rPr>
              <w:sz w:val="21"/>
              <w:szCs w:val="21"/>
            </w:rPr>
            <w:fldChar w:fldCharType="end"/>
          </w:r>
          <w:r>
            <w:rPr>
              <w:rFonts w:hint="default"/>
              <w:sz w:val="21"/>
              <w:szCs w:val="21"/>
            </w:rPr>
            <w:fldChar w:fldCharType="end"/>
          </w:r>
        </w:p>
        <w:p w14:paraId="69959FD9">
          <w:pPr>
            <w:pStyle w:val="14"/>
            <w:tabs>
              <w:tab w:val="right" w:leader="dot" w:pos="8304"/>
            </w:tabs>
            <w:rPr>
              <w:sz w:val="21"/>
              <w:szCs w:val="21"/>
            </w:rPr>
          </w:pPr>
          <w:r>
            <w:rPr>
              <w:rFonts w:hint="default"/>
              <w:sz w:val="21"/>
              <w:szCs w:val="21"/>
            </w:rPr>
            <w:fldChar w:fldCharType="begin"/>
          </w:r>
          <w:r>
            <w:rPr>
              <w:rFonts w:hint="default"/>
              <w:sz w:val="21"/>
              <w:szCs w:val="21"/>
            </w:rPr>
            <w:instrText xml:space="preserve"> HYPERLINK \l _Toc164 </w:instrText>
          </w:r>
          <w:r>
            <w:rPr>
              <w:rFonts w:hint="default"/>
              <w:sz w:val="21"/>
              <w:szCs w:val="21"/>
            </w:rPr>
            <w:fldChar w:fldCharType="separate"/>
          </w:r>
          <w:r>
            <w:rPr>
              <w:rFonts w:hint="default" w:ascii="Times New Roman" w:hAnsi="Times New Roman" w:eastAsia="宋体" w:cs="Times New Roman"/>
              <w:bCs/>
              <w:sz w:val="21"/>
              <w:szCs w:val="21"/>
            </w:rPr>
            <w:t>6.2.3雨水径流排水</w:t>
          </w:r>
          <w:r>
            <w:rPr>
              <w:sz w:val="21"/>
              <w:szCs w:val="21"/>
            </w:rPr>
            <w:tab/>
          </w:r>
          <w:r>
            <w:rPr>
              <w:sz w:val="21"/>
              <w:szCs w:val="21"/>
            </w:rPr>
            <w:fldChar w:fldCharType="begin"/>
          </w:r>
          <w:r>
            <w:rPr>
              <w:sz w:val="21"/>
              <w:szCs w:val="21"/>
            </w:rPr>
            <w:instrText xml:space="preserve"> PAGEREF _Toc164 \h </w:instrText>
          </w:r>
          <w:r>
            <w:rPr>
              <w:sz w:val="21"/>
              <w:szCs w:val="21"/>
            </w:rPr>
            <w:fldChar w:fldCharType="separate"/>
          </w:r>
          <w:r>
            <w:rPr>
              <w:sz w:val="21"/>
              <w:szCs w:val="21"/>
            </w:rPr>
            <w:t>108</w:t>
          </w:r>
          <w:r>
            <w:rPr>
              <w:sz w:val="21"/>
              <w:szCs w:val="21"/>
            </w:rPr>
            <w:fldChar w:fldCharType="end"/>
          </w:r>
          <w:r>
            <w:rPr>
              <w:rFonts w:hint="default"/>
              <w:sz w:val="21"/>
              <w:szCs w:val="21"/>
            </w:rPr>
            <w:fldChar w:fldCharType="end"/>
          </w:r>
        </w:p>
        <w:p w14:paraId="2A8515CA">
          <w:pPr>
            <w:pStyle w:val="14"/>
            <w:tabs>
              <w:tab w:val="right" w:leader="dot" w:pos="8304"/>
            </w:tabs>
            <w:rPr>
              <w:sz w:val="21"/>
              <w:szCs w:val="21"/>
            </w:rPr>
          </w:pPr>
          <w:r>
            <w:rPr>
              <w:rFonts w:hint="default"/>
              <w:sz w:val="21"/>
              <w:szCs w:val="21"/>
            </w:rPr>
            <w:fldChar w:fldCharType="begin"/>
          </w:r>
          <w:r>
            <w:rPr>
              <w:rFonts w:hint="default"/>
              <w:sz w:val="21"/>
              <w:szCs w:val="21"/>
            </w:rPr>
            <w:instrText xml:space="preserve"> HYPERLINK \l _Toc32538 </w:instrText>
          </w:r>
          <w:r>
            <w:rPr>
              <w:rFonts w:hint="default"/>
              <w:sz w:val="21"/>
              <w:szCs w:val="21"/>
            </w:rPr>
            <w:fldChar w:fldCharType="separate"/>
          </w:r>
          <w:r>
            <w:rPr>
              <w:rFonts w:hint="default" w:ascii="Times New Roman" w:hAnsi="Times New Roman" w:eastAsia="宋体" w:cs="Times New Roman"/>
              <w:bCs/>
              <w:sz w:val="21"/>
              <w:szCs w:val="21"/>
            </w:rPr>
            <w:t>6.2.4结论</w:t>
          </w:r>
          <w:r>
            <w:rPr>
              <w:sz w:val="21"/>
              <w:szCs w:val="21"/>
            </w:rPr>
            <w:tab/>
          </w:r>
          <w:r>
            <w:rPr>
              <w:sz w:val="21"/>
              <w:szCs w:val="21"/>
            </w:rPr>
            <w:fldChar w:fldCharType="begin"/>
          </w:r>
          <w:r>
            <w:rPr>
              <w:sz w:val="21"/>
              <w:szCs w:val="21"/>
            </w:rPr>
            <w:instrText xml:space="preserve"> PAGEREF _Toc32538 \h </w:instrText>
          </w:r>
          <w:r>
            <w:rPr>
              <w:sz w:val="21"/>
              <w:szCs w:val="21"/>
            </w:rPr>
            <w:fldChar w:fldCharType="separate"/>
          </w:r>
          <w:r>
            <w:rPr>
              <w:sz w:val="21"/>
              <w:szCs w:val="21"/>
            </w:rPr>
            <w:t>108</w:t>
          </w:r>
          <w:r>
            <w:rPr>
              <w:sz w:val="21"/>
              <w:szCs w:val="21"/>
            </w:rPr>
            <w:fldChar w:fldCharType="end"/>
          </w:r>
          <w:r>
            <w:rPr>
              <w:rFonts w:hint="default"/>
              <w:sz w:val="21"/>
              <w:szCs w:val="21"/>
            </w:rPr>
            <w:fldChar w:fldCharType="end"/>
          </w:r>
        </w:p>
        <w:p w14:paraId="7209D162">
          <w:pPr>
            <w:pStyle w:val="26"/>
            <w:tabs>
              <w:tab w:val="right" w:leader="dot" w:pos="8304"/>
            </w:tabs>
            <w:rPr>
              <w:sz w:val="21"/>
              <w:szCs w:val="21"/>
            </w:rPr>
          </w:pPr>
          <w:r>
            <w:rPr>
              <w:rFonts w:hint="default"/>
              <w:sz w:val="21"/>
              <w:szCs w:val="21"/>
            </w:rPr>
            <w:fldChar w:fldCharType="begin"/>
          </w:r>
          <w:r>
            <w:rPr>
              <w:rFonts w:hint="default"/>
              <w:sz w:val="21"/>
              <w:szCs w:val="21"/>
            </w:rPr>
            <w:instrText xml:space="preserve"> HYPERLINK \l _Toc22598 </w:instrText>
          </w:r>
          <w:r>
            <w:rPr>
              <w:rFonts w:hint="default"/>
              <w:sz w:val="21"/>
              <w:szCs w:val="21"/>
            </w:rPr>
            <w:fldChar w:fldCharType="separate"/>
          </w:r>
          <w:r>
            <w:rPr>
              <w:rFonts w:hint="default" w:ascii="Times New Roman" w:hAnsi="Times New Roman" w:eastAsia="宋体" w:cs="Times New Roman"/>
              <w:bCs/>
              <w:sz w:val="21"/>
              <w:szCs w:val="21"/>
            </w:rPr>
            <w:t>6.3地下水环境影响评价</w:t>
          </w:r>
          <w:r>
            <w:rPr>
              <w:sz w:val="21"/>
              <w:szCs w:val="21"/>
            </w:rPr>
            <w:tab/>
          </w:r>
          <w:r>
            <w:rPr>
              <w:sz w:val="21"/>
              <w:szCs w:val="21"/>
            </w:rPr>
            <w:fldChar w:fldCharType="begin"/>
          </w:r>
          <w:r>
            <w:rPr>
              <w:sz w:val="21"/>
              <w:szCs w:val="21"/>
            </w:rPr>
            <w:instrText xml:space="preserve"> PAGEREF _Toc22598 \h </w:instrText>
          </w:r>
          <w:r>
            <w:rPr>
              <w:sz w:val="21"/>
              <w:szCs w:val="21"/>
            </w:rPr>
            <w:fldChar w:fldCharType="separate"/>
          </w:r>
          <w:r>
            <w:rPr>
              <w:sz w:val="21"/>
              <w:szCs w:val="21"/>
            </w:rPr>
            <w:t>108</w:t>
          </w:r>
          <w:r>
            <w:rPr>
              <w:sz w:val="21"/>
              <w:szCs w:val="21"/>
            </w:rPr>
            <w:fldChar w:fldCharType="end"/>
          </w:r>
          <w:r>
            <w:rPr>
              <w:rFonts w:hint="default"/>
              <w:sz w:val="21"/>
              <w:szCs w:val="21"/>
            </w:rPr>
            <w:fldChar w:fldCharType="end"/>
          </w:r>
        </w:p>
        <w:p w14:paraId="28B60EAE">
          <w:pPr>
            <w:pStyle w:val="26"/>
            <w:tabs>
              <w:tab w:val="right" w:leader="dot" w:pos="8304"/>
            </w:tabs>
            <w:rPr>
              <w:sz w:val="21"/>
              <w:szCs w:val="21"/>
            </w:rPr>
          </w:pPr>
          <w:r>
            <w:rPr>
              <w:rFonts w:hint="default"/>
              <w:sz w:val="21"/>
              <w:szCs w:val="21"/>
            </w:rPr>
            <w:fldChar w:fldCharType="begin"/>
          </w:r>
          <w:r>
            <w:rPr>
              <w:rFonts w:hint="default"/>
              <w:sz w:val="21"/>
              <w:szCs w:val="21"/>
            </w:rPr>
            <w:instrText xml:space="preserve"> HYPERLINK \l _Toc21193 </w:instrText>
          </w:r>
          <w:r>
            <w:rPr>
              <w:rFonts w:hint="default"/>
              <w:sz w:val="21"/>
              <w:szCs w:val="21"/>
            </w:rPr>
            <w:fldChar w:fldCharType="separate"/>
          </w:r>
          <w:r>
            <w:rPr>
              <w:rFonts w:hint="default" w:ascii="Times New Roman" w:hAnsi="Times New Roman" w:eastAsia="宋体" w:cs="Times New Roman"/>
              <w:bCs/>
              <w:sz w:val="21"/>
              <w:szCs w:val="21"/>
            </w:rPr>
            <w:t>6.4声环境影响评价</w:t>
          </w:r>
          <w:r>
            <w:rPr>
              <w:sz w:val="21"/>
              <w:szCs w:val="21"/>
            </w:rPr>
            <w:tab/>
          </w:r>
          <w:r>
            <w:rPr>
              <w:sz w:val="21"/>
              <w:szCs w:val="21"/>
            </w:rPr>
            <w:fldChar w:fldCharType="begin"/>
          </w:r>
          <w:r>
            <w:rPr>
              <w:sz w:val="21"/>
              <w:szCs w:val="21"/>
            </w:rPr>
            <w:instrText xml:space="preserve"> PAGEREF _Toc21193 \h </w:instrText>
          </w:r>
          <w:r>
            <w:rPr>
              <w:sz w:val="21"/>
              <w:szCs w:val="21"/>
            </w:rPr>
            <w:fldChar w:fldCharType="separate"/>
          </w:r>
          <w:r>
            <w:rPr>
              <w:sz w:val="21"/>
              <w:szCs w:val="21"/>
            </w:rPr>
            <w:t>111</w:t>
          </w:r>
          <w:r>
            <w:rPr>
              <w:sz w:val="21"/>
              <w:szCs w:val="21"/>
            </w:rPr>
            <w:fldChar w:fldCharType="end"/>
          </w:r>
          <w:r>
            <w:rPr>
              <w:rFonts w:hint="default"/>
              <w:sz w:val="21"/>
              <w:szCs w:val="21"/>
            </w:rPr>
            <w:fldChar w:fldCharType="end"/>
          </w:r>
        </w:p>
        <w:p w14:paraId="35486A67">
          <w:pPr>
            <w:pStyle w:val="14"/>
            <w:tabs>
              <w:tab w:val="right" w:leader="dot" w:pos="8304"/>
            </w:tabs>
            <w:rPr>
              <w:sz w:val="21"/>
              <w:szCs w:val="21"/>
            </w:rPr>
          </w:pPr>
          <w:r>
            <w:rPr>
              <w:rFonts w:hint="default"/>
              <w:sz w:val="21"/>
              <w:szCs w:val="21"/>
            </w:rPr>
            <w:fldChar w:fldCharType="begin"/>
          </w:r>
          <w:r>
            <w:rPr>
              <w:rFonts w:hint="default"/>
              <w:sz w:val="21"/>
              <w:szCs w:val="21"/>
            </w:rPr>
            <w:instrText xml:space="preserve"> HYPERLINK \l _Toc1559 </w:instrText>
          </w:r>
          <w:r>
            <w:rPr>
              <w:rFonts w:hint="default"/>
              <w:sz w:val="21"/>
              <w:szCs w:val="21"/>
            </w:rPr>
            <w:fldChar w:fldCharType="separate"/>
          </w:r>
          <w:r>
            <w:rPr>
              <w:rFonts w:hint="default" w:ascii="Times New Roman" w:hAnsi="Times New Roman" w:eastAsia="宋体" w:cs="Times New Roman"/>
              <w:bCs/>
              <w:sz w:val="21"/>
              <w:szCs w:val="21"/>
            </w:rPr>
            <w:t>6.4.1预测模式介绍</w:t>
          </w:r>
          <w:r>
            <w:rPr>
              <w:sz w:val="21"/>
              <w:szCs w:val="21"/>
            </w:rPr>
            <w:tab/>
          </w:r>
          <w:r>
            <w:rPr>
              <w:sz w:val="21"/>
              <w:szCs w:val="21"/>
            </w:rPr>
            <w:fldChar w:fldCharType="begin"/>
          </w:r>
          <w:r>
            <w:rPr>
              <w:sz w:val="21"/>
              <w:szCs w:val="21"/>
            </w:rPr>
            <w:instrText xml:space="preserve"> PAGEREF _Toc1559 \h </w:instrText>
          </w:r>
          <w:r>
            <w:rPr>
              <w:sz w:val="21"/>
              <w:szCs w:val="21"/>
            </w:rPr>
            <w:fldChar w:fldCharType="separate"/>
          </w:r>
          <w:r>
            <w:rPr>
              <w:sz w:val="21"/>
              <w:szCs w:val="21"/>
            </w:rPr>
            <w:t>111</w:t>
          </w:r>
          <w:r>
            <w:rPr>
              <w:sz w:val="21"/>
              <w:szCs w:val="21"/>
            </w:rPr>
            <w:fldChar w:fldCharType="end"/>
          </w:r>
          <w:r>
            <w:rPr>
              <w:rFonts w:hint="default"/>
              <w:sz w:val="21"/>
              <w:szCs w:val="21"/>
            </w:rPr>
            <w:fldChar w:fldCharType="end"/>
          </w:r>
        </w:p>
        <w:p w14:paraId="3BF024F4">
          <w:pPr>
            <w:pStyle w:val="14"/>
            <w:tabs>
              <w:tab w:val="right" w:leader="dot" w:pos="8304"/>
            </w:tabs>
            <w:rPr>
              <w:sz w:val="21"/>
              <w:szCs w:val="21"/>
            </w:rPr>
          </w:pPr>
          <w:r>
            <w:rPr>
              <w:rFonts w:hint="default"/>
              <w:sz w:val="21"/>
              <w:szCs w:val="21"/>
            </w:rPr>
            <w:fldChar w:fldCharType="begin"/>
          </w:r>
          <w:r>
            <w:rPr>
              <w:rFonts w:hint="default"/>
              <w:sz w:val="21"/>
              <w:szCs w:val="21"/>
            </w:rPr>
            <w:instrText xml:space="preserve"> HYPERLINK \l _Toc9433 </w:instrText>
          </w:r>
          <w:r>
            <w:rPr>
              <w:rFonts w:hint="default"/>
              <w:sz w:val="21"/>
              <w:szCs w:val="21"/>
            </w:rPr>
            <w:fldChar w:fldCharType="separate"/>
          </w:r>
          <w:r>
            <w:rPr>
              <w:rFonts w:hint="default" w:ascii="Times New Roman" w:hAnsi="Times New Roman" w:eastAsia="宋体" w:cs="Times New Roman"/>
              <w:bCs/>
              <w:sz w:val="21"/>
              <w:szCs w:val="21"/>
            </w:rPr>
            <w:t>6.4.2声波传播路径分析</w:t>
          </w:r>
          <w:r>
            <w:rPr>
              <w:sz w:val="21"/>
              <w:szCs w:val="21"/>
            </w:rPr>
            <w:tab/>
          </w:r>
          <w:r>
            <w:rPr>
              <w:sz w:val="21"/>
              <w:szCs w:val="21"/>
            </w:rPr>
            <w:fldChar w:fldCharType="begin"/>
          </w:r>
          <w:r>
            <w:rPr>
              <w:sz w:val="21"/>
              <w:szCs w:val="21"/>
            </w:rPr>
            <w:instrText xml:space="preserve"> PAGEREF _Toc9433 \h </w:instrText>
          </w:r>
          <w:r>
            <w:rPr>
              <w:sz w:val="21"/>
              <w:szCs w:val="21"/>
            </w:rPr>
            <w:fldChar w:fldCharType="separate"/>
          </w:r>
          <w:r>
            <w:rPr>
              <w:sz w:val="21"/>
              <w:szCs w:val="21"/>
            </w:rPr>
            <w:t>111</w:t>
          </w:r>
          <w:r>
            <w:rPr>
              <w:sz w:val="21"/>
              <w:szCs w:val="21"/>
            </w:rPr>
            <w:fldChar w:fldCharType="end"/>
          </w:r>
          <w:r>
            <w:rPr>
              <w:rFonts w:hint="default"/>
              <w:sz w:val="21"/>
              <w:szCs w:val="21"/>
            </w:rPr>
            <w:fldChar w:fldCharType="end"/>
          </w:r>
        </w:p>
        <w:p w14:paraId="3BE44240">
          <w:pPr>
            <w:pStyle w:val="14"/>
            <w:tabs>
              <w:tab w:val="right" w:leader="dot" w:pos="8304"/>
            </w:tabs>
            <w:rPr>
              <w:sz w:val="21"/>
              <w:szCs w:val="21"/>
            </w:rPr>
          </w:pPr>
          <w:r>
            <w:rPr>
              <w:rFonts w:hint="default"/>
              <w:sz w:val="21"/>
              <w:szCs w:val="21"/>
            </w:rPr>
            <w:fldChar w:fldCharType="begin"/>
          </w:r>
          <w:r>
            <w:rPr>
              <w:rFonts w:hint="default"/>
              <w:sz w:val="21"/>
              <w:szCs w:val="21"/>
            </w:rPr>
            <w:instrText xml:space="preserve"> HYPERLINK \l _Toc31486 </w:instrText>
          </w:r>
          <w:r>
            <w:rPr>
              <w:rFonts w:hint="default"/>
              <w:sz w:val="21"/>
              <w:szCs w:val="21"/>
            </w:rPr>
            <w:fldChar w:fldCharType="separate"/>
          </w:r>
          <w:r>
            <w:rPr>
              <w:rFonts w:hint="default" w:ascii="Times New Roman" w:hAnsi="Times New Roman" w:eastAsia="宋体" w:cs="Times New Roman"/>
              <w:bCs/>
              <w:sz w:val="21"/>
              <w:szCs w:val="21"/>
            </w:rPr>
            <w:t>6.4.3预测内容</w:t>
          </w:r>
          <w:r>
            <w:rPr>
              <w:sz w:val="21"/>
              <w:szCs w:val="21"/>
            </w:rPr>
            <w:tab/>
          </w:r>
          <w:r>
            <w:rPr>
              <w:sz w:val="21"/>
              <w:szCs w:val="21"/>
            </w:rPr>
            <w:fldChar w:fldCharType="begin"/>
          </w:r>
          <w:r>
            <w:rPr>
              <w:sz w:val="21"/>
              <w:szCs w:val="21"/>
            </w:rPr>
            <w:instrText xml:space="preserve"> PAGEREF _Toc31486 \h </w:instrText>
          </w:r>
          <w:r>
            <w:rPr>
              <w:sz w:val="21"/>
              <w:szCs w:val="21"/>
            </w:rPr>
            <w:fldChar w:fldCharType="separate"/>
          </w:r>
          <w:r>
            <w:rPr>
              <w:sz w:val="21"/>
              <w:szCs w:val="21"/>
            </w:rPr>
            <w:t>112</w:t>
          </w:r>
          <w:r>
            <w:rPr>
              <w:sz w:val="21"/>
              <w:szCs w:val="21"/>
            </w:rPr>
            <w:fldChar w:fldCharType="end"/>
          </w:r>
          <w:r>
            <w:rPr>
              <w:rFonts w:hint="default"/>
              <w:sz w:val="21"/>
              <w:szCs w:val="21"/>
            </w:rPr>
            <w:fldChar w:fldCharType="end"/>
          </w:r>
        </w:p>
        <w:p w14:paraId="02B0B1F6">
          <w:pPr>
            <w:pStyle w:val="14"/>
            <w:tabs>
              <w:tab w:val="right" w:leader="dot" w:pos="8304"/>
            </w:tabs>
            <w:rPr>
              <w:sz w:val="21"/>
              <w:szCs w:val="21"/>
            </w:rPr>
          </w:pPr>
          <w:r>
            <w:rPr>
              <w:rFonts w:hint="default"/>
              <w:sz w:val="21"/>
              <w:szCs w:val="21"/>
            </w:rPr>
            <w:fldChar w:fldCharType="begin"/>
          </w:r>
          <w:r>
            <w:rPr>
              <w:rFonts w:hint="default"/>
              <w:sz w:val="21"/>
              <w:szCs w:val="21"/>
            </w:rPr>
            <w:instrText xml:space="preserve"> HYPERLINK \l _Toc3070 </w:instrText>
          </w:r>
          <w:r>
            <w:rPr>
              <w:rFonts w:hint="default"/>
              <w:sz w:val="21"/>
              <w:szCs w:val="21"/>
            </w:rPr>
            <w:fldChar w:fldCharType="separate"/>
          </w:r>
          <w:r>
            <w:rPr>
              <w:rFonts w:hint="default" w:ascii="Times New Roman" w:hAnsi="Times New Roman" w:eastAsia="宋体" w:cs="Times New Roman"/>
              <w:bCs/>
              <w:sz w:val="21"/>
              <w:szCs w:val="21"/>
            </w:rPr>
            <w:t>6.4.4噪声源强</w:t>
          </w:r>
          <w:r>
            <w:rPr>
              <w:sz w:val="21"/>
              <w:szCs w:val="21"/>
            </w:rPr>
            <w:tab/>
          </w:r>
          <w:r>
            <w:rPr>
              <w:sz w:val="21"/>
              <w:szCs w:val="21"/>
            </w:rPr>
            <w:fldChar w:fldCharType="begin"/>
          </w:r>
          <w:r>
            <w:rPr>
              <w:sz w:val="21"/>
              <w:szCs w:val="21"/>
            </w:rPr>
            <w:instrText xml:space="preserve"> PAGEREF _Toc3070 \h </w:instrText>
          </w:r>
          <w:r>
            <w:rPr>
              <w:sz w:val="21"/>
              <w:szCs w:val="21"/>
            </w:rPr>
            <w:fldChar w:fldCharType="separate"/>
          </w:r>
          <w:r>
            <w:rPr>
              <w:sz w:val="21"/>
              <w:szCs w:val="21"/>
            </w:rPr>
            <w:t>112</w:t>
          </w:r>
          <w:r>
            <w:rPr>
              <w:sz w:val="21"/>
              <w:szCs w:val="21"/>
            </w:rPr>
            <w:fldChar w:fldCharType="end"/>
          </w:r>
          <w:r>
            <w:rPr>
              <w:rFonts w:hint="default"/>
              <w:sz w:val="21"/>
              <w:szCs w:val="21"/>
            </w:rPr>
            <w:fldChar w:fldCharType="end"/>
          </w:r>
        </w:p>
        <w:p w14:paraId="539B7603">
          <w:pPr>
            <w:pStyle w:val="14"/>
            <w:tabs>
              <w:tab w:val="right" w:leader="dot" w:pos="8304"/>
            </w:tabs>
            <w:rPr>
              <w:sz w:val="21"/>
              <w:szCs w:val="21"/>
            </w:rPr>
          </w:pPr>
          <w:r>
            <w:rPr>
              <w:rFonts w:hint="default"/>
              <w:sz w:val="21"/>
              <w:szCs w:val="21"/>
            </w:rPr>
            <w:fldChar w:fldCharType="begin"/>
          </w:r>
          <w:r>
            <w:rPr>
              <w:rFonts w:hint="default"/>
              <w:sz w:val="21"/>
              <w:szCs w:val="21"/>
            </w:rPr>
            <w:instrText xml:space="preserve"> HYPERLINK \l _Toc24226 </w:instrText>
          </w:r>
          <w:r>
            <w:rPr>
              <w:rFonts w:hint="default"/>
              <w:sz w:val="21"/>
              <w:szCs w:val="21"/>
            </w:rPr>
            <w:fldChar w:fldCharType="separate"/>
          </w:r>
          <w:r>
            <w:rPr>
              <w:rFonts w:hint="default" w:ascii="Times New Roman" w:hAnsi="Times New Roman" w:eastAsia="宋体" w:cs="Times New Roman"/>
              <w:bCs/>
              <w:sz w:val="21"/>
              <w:szCs w:val="21"/>
            </w:rPr>
            <w:t>6.4.5预测模型</w:t>
          </w:r>
          <w:r>
            <w:rPr>
              <w:sz w:val="21"/>
              <w:szCs w:val="21"/>
            </w:rPr>
            <w:tab/>
          </w:r>
          <w:r>
            <w:rPr>
              <w:sz w:val="21"/>
              <w:szCs w:val="21"/>
            </w:rPr>
            <w:fldChar w:fldCharType="begin"/>
          </w:r>
          <w:r>
            <w:rPr>
              <w:sz w:val="21"/>
              <w:szCs w:val="21"/>
            </w:rPr>
            <w:instrText xml:space="preserve"> PAGEREF _Toc24226 \h </w:instrText>
          </w:r>
          <w:r>
            <w:rPr>
              <w:sz w:val="21"/>
              <w:szCs w:val="21"/>
            </w:rPr>
            <w:fldChar w:fldCharType="separate"/>
          </w:r>
          <w:r>
            <w:rPr>
              <w:sz w:val="21"/>
              <w:szCs w:val="21"/>
            </w:rPr>
            <w:t>112</w:t>
          </w:r>
          <w:r>
            <w:rPr>
              <w:sz w:val="21"/>
              <w:szCs w:val="21"/>
            </w:rPr>
            <w:fldChar w:fldCharType="end"/>
          </w:r>
          <w:r>
            <w:rPr>
              <w:rFonts w:hint="default"/>
              <w:sz w:val="21"/>
              <w:szCs w:val="21"/>
            </w:rPr>
            <w:fldChar w:fldCharType="end"/>
          </w:r>
        </w:p>
        <w:p w14:paraId="5B88F9D4">
          <w:pPr>
            <w:pStyle w:val="14"/>
            <w:tabs>
              <w:tab w:val="right" w:leader="dot" w:pos="8304"/>
            </w:tabs>
            <w:rPr>
              <w:sz w:val="21"/>
              <w:szCs w:val="21"/>
            </w:rPr>
          </w:pPr>
          <w:r>
            <w:rPr>
              <w:rFonts w:hint="default"/>
              <w:sz w:val="21"/>
              <w:szCs w:val="21"/>
            </w:rPr>
            <w:fldChar w:fldCharType="begin"/>
          </w:r>
          <w:r>
            <w:rPr>
              <w:rFonts w:hint="default"/>
              <w:sz w:val="21"/>
              <w:szCs w:val="21"/>
            </w:rPr>
            <w:instrText xml:space="preserve"> HYPERLINK \l _Toc22016 </w:instrText>
          </w:r>
          <w:r>
            <w:rPr>
              <w:rFonts w:hint="default"/>
              <w:sz w:val="21"/>
              <w:szCs w:val="21"/>
            </w:rPr>
            <w:fldChar w:fldCharType="separate"/>
          </w:r>
          <w:r>
            <w:rPr>
              <w:rFonts w:hint="default" w:ascii="Times New Roman" w:hAnsi="Times New Roman" w:eastAsia="宋体" w:cs="Times New Roman"/>
              <w:bCs/>
              <w:sz w:val="21"/>
              <w:szCs w:val="21"/>
            </w:rPr>
            <w:t>6.4.6.预测结果</w:t>
          </w:r>
          <w:r>
            <w:rPr>
              <w:sz w:val="21"/>
              <w:szCs w:val="21"/>
            </w:rPr>
            <w:tab/>
          </w:r>
          <w:r>
            <w:rPr>
              <w:sz w:val="21"/>
              <w:szCs w:val="21"/>
            </w:rPr>
            <w:fldChar w:fldCharType="begin"/>
          </w:r>
          <w:r>
            <w:rPr>
              <w:sz w:val="21"/>
              <w:szCs w:val="21"/>
            </w:rPr>
            <w:instrText xml:space="preserve"> PAGEREF _Toc22016 \h </w:instrText>
          </w:r>
          <w:r>
            <w:rPr>
              <w:sz w:val="21"/>
              <w:szCs w:val="21"/>
            </w:rPr>
            <w:fldChar w:fldCharType="separate"/>
          </w:r>
          <w:r>
            <w:rPr>
              <w:sz w:val="21"/>
              <w:szCs w:val="21"/>
            </w:rPr>
            <w:t>115</w:t>
          </w:r>
          <w:r>
            <w:rPr>
              <w:sz w:val="21"/>
              <w:szCs w:val="21"/>
            </w:rPr>
            <w:fldChar w:fldCharType="end"/>
          </w:r>
          <w:r>
            <w:rPr>
              <w:rFonts w:hint="default"/>
              <w:sz w:val="21"/>
              <w:szCs w:val="21"/>
            </w:rPr>
            <w:fldChar w:fldCharType="end"/>
          </w:r>
        </w:p>
        <w:p w14:paraId="11DAB14E">
          <w:pPr>
            <w:pStyle w:val="14"/>
            <w:tabs>
              <w:tab w:val="right" w:leader="dot" w:pos="8304"/>
            </w:tabs>
            <w:rPr>
              <w:sz w:val="21"/>
              <w:szCs w:val="21"/>
            </w:rPr>
          </w:pPr>
          <w:r>
            <w:rPr>
              <w:rFonts w:hint="default"/>
              <w:sz w:val="21"/>
              <w:szCs w:val="21"/>
            </w:rPr>
            <w:fldChar w:fldCharType="begin"/>
          </w:r>
          <w:r>
            <w:rPr>
              <w:rFonts w:hint="default"/>
              <w:sz w:val="21"/>
              <w:szCs w:val="21"/>
            </w:rPr>
            <w:instrText xml:space="preserve"> HYPERLINK \l _Toc24954 </w:instrText>
          </w:r>
          <w:r>
            <w:rPr>
              <w:rFonts w:hint="default"/>
              <w:sz w:val="21"/>
              <w:szCs w:val="21"/>
            </w:rPr>
            <w:fldChar w:fldCharType="separate"/>
          </w:r>
          <w:r>
            <w:rPr>
              <w:rFonts w:hint="default" w:ascii="Times New Roman" w:hAnsi="Times New Roman" w:eastAsia="宋体" w:cs="Times New Roman"/>
              <w:bCs/>
              <w:sz w:val="21"/>
              <w:szCs w:val="21"/>
            </w:rPr>
            <w:t>6.4.7运输噪声影响分析</w:t>
          </w:r>
          <w:r>
            <w:rPr>
              <w:sz w:val="21"/>
              <w:szCs w:val="21"/>
            </w:rPr>
            <w:tab/>
          </w:r>
          <w:r>
            <w:rPr>
              <w:sz w:val="21"/>
              <w:szCs w:val="21"/>
            </w:rPr>
            <w:fldChar w:fldCharType="begin"/>
          </w:r>
          <w:r>
            <w:rPr>
              <w:sz w:val="21"/>
              <w:szCs w:val="21"/>
            </w:rPr>
            <w:instrText xml:space="preserve"> PAGEREF _Toc24954 \h </w:instrText>
          </w:r>
          <w:r>
            <w:rPr>
              <w:sz w:val="21"/>
              <w:szCs w:val="21"/>
            </w:rPr>
            <w:fldChar w:fldCharType="separate"/>
          </w:r>
          <w:r>
            <w:rPr>
              <w:sz w:val="21"/>
              <w:szCs w:val="21"/>
            </w:rPr>
            <w:t>115</w:t>
          </w:r>
          <w:r>
            <w:rPr>
              <w:sz w:val="21"/>
              <w:szCs w:val="21"/>
            </w:rPr>
            <w:fldChar w:fldCharType="end"/>
          </w:r>
          <w:r>
            <w:rPr>
              <w:rFonts w:hint="default"/>
              <w:sz w:val="21"/>
              <w:szCs w:val="21"/>
            </w:rPr>
            <w:fldChar w:fldCharType="end"/>
          </w:r>
        </w:p>
        <w:p w14:paraId="5ED05938">
          <w:pPr>
            <w:pStyle w:val="14"/>
            <w:tabs>
              <w:tab w:val="right" w:leader="dot" w:pos="8304"/>
            </w:tabs>
            <w:rPr>
              <w:sz w:val="21"/>
              <w:szCs w:val="21"/>
            </w:rPr>
          </w:pPr>
          <w:r>
            <w:rPr>
              <w:rFonts w:hint="default"/>
              <w:sz w:val="21"/>
              <w:szCs w:val="21"/>
            </w:rPr>
            <w:fldChar w:fldCharType="begin"/>
          </w:r>
          <w:r>
            <w:rPr>
              <w:rFonts w:hint="default"/>
              <w:sz w:val="21"/>
              <w:szCs w:val="21"/>
            </w:rPr>
            <w:instrText xml:space="preserve"> HYPERLINK \l _Toc27645 </w:instrText>
          </w:r>
          <w:r>
            <w:rPr>
              <w:rFonts w:hint="default"/>
              <w:sz w:val="21"/>
              <w:szCs w:val="21"/>
            </w:rPr>
            <w:fldChar w:fldCharType="separate"/>
          </w:r>
          <w:r>
            <w:rPr>
              <w:rFonts w:hint="default" w:ascii="Times New Roman" w:hAnsi="Times New Roman" w:eastAsia="宋体" w:cs="Times New Roman"/>
              <w:bCs/>
              <w:sz w:val="21"/>
              <w:szCs w:val="21"/>
            </w:rPr>
            <w:t>6.4.8.声环境影响评价自查表</w:t>
          </w:r>
          <w:r>
            <w:rPr>
              <w:sz w:val="21"/>
              <w:szCs w:val="21"/>
            </w:rPr>
            <w:tab/>
          </w:r>
          <w:r>
            <w:rPr>
              <w:sz w:val="21"/>
              <w:szCs w:val="21"/>
            </w:rPr>
            <w:fldChar w:fldCharType="begin"/>
          </w:r>
          <w:r>
            <w:rPr>
              <w:sz w:val="21"/>
              <w:szCs w:val="21"/>
            </w:rPr>
            <w:instrText xml:space="preserve"> PAGEREF _Toc27645 \h </w:instrText>
          </w:r>
          <w:r>
            <w:rPr>
              <w:sz w:val="21"/>
              <w:szCs w:val="21"/>
            </w:rPr>
            <w:fldChar w:fldCharType="separate"/>
          </w:r>
          <w:r>
            <w:rPr>
              <w:sz w:val="21"/>
              <w:szCs w:val="21"/>
            </w:rPr>
            <w:t>115</w:t>
          </w:r>
          <w:r>
            <w:rPr>
              <w:sz w:val="21"/>
              <w:szCs w:val="21"/>
            </w:rPr>
            <w:fldChar w:fldCharType="end"/>
          </w:r>
          <w:r>
            <w:rPr>
              <w:rFonts w:hint="default"/>
              <w:sz w:val="21"/>
              <w:szCs w:val="21"/>
            </w:rPr>
            <w:fldChar w:fldCharType="end"/>
          </w:r>
        </w:p>
        <w:p w14:paraId="384F4E04">
          <w:pPr>
            <w:pStyle w:val="26"/>
            <w:tabs>
              <w:tab w:val="right" w:leader="dot" w:pos="8304"/>
            </w:tabs>
            <w:rPr>
              <w:sz w:val="21"/>
              <w:szCs w:val="21"/>
            </w:rPr>
          </w:pPr>
          <w:r>
            <w:rPr>
              <w:rFonts w:hint="default"/>
              <w:sz w:val="21"/>
              <w:szCs w:val="21"/>
            </w:rPr>
            <w:fldChar w:fldCharType="begin"/>
          </w:r>
          <w:r>
            <w:rPr>
              <w:rFonts w:hint="default"/>
              <w:sz w:val="21"/>
              <w:szCs w:val="21"/>
            </w:rPr>
            <w:instrText xml:space="preserve"> HYPERLINK \l _Toc141 </w:instrText>
          </w:r>
          <w:r>
            <w:rPr>
              <w:rFonts w:hint="default"/>
              <w:sz w:val="21"/>
              <w:szCs w:val="21"/>
            </w:rPr>
            <w:fldChar w:fldCharType="separate"/>
          </w:r>
          <w:r>
            <w:rPr>
              <w:rFonts w:hint="default" w:ascii="Times New Roman" w:hAnsi="Times New Roman" w:eastAsia="宋体" w:cs="Times New Roman"/>
              <w:bCs/>
              <w:sz w:val="21"/>
              <w:szCs w:val="21"/>
            </w:rPr>
            <w:t>6.5固体废物环境影响评价</w:t>
          </w:r>
          <w:r>
            <w:rPr>
              <w:sz w:val="21"/>
              <w:szCs w:val="21"/>
            </w:rPr>
            <w:tab/>
          </w:r>
          <w:r>
            <w:rPr>
              <w:sz w:val="21"/>
              <w:szCs w:val="21"/>
            </w:rPr>
            <w:fldChar w:fldCharType="begin"/>
          </w:r>
          <w:r>
            <w:rPr>
              <w:sz w:val="21"/>
              <w:szCs w:val="21"/>
            </w:rPr>
            <w:instrText xml:space="preserve"> PAGEREF _Toc141 \h </w:instrText>
          </w:r>
          <w:r>
            <w:rPr>
              <w:sz w:val="21"/>
              <w:szCs w:val="21"/>
            </w:rPr>
            <w:fldChar w:fldCharType="separate"/>
          </w:r>
          <w:r>
            <w:rPr>
              <w:sz w:val="21"/>
              <w:szCs w:val="21"/>
            </w:rPr>
            <w:t>116</w:t>
          </w:r>
          <w:r>
            <w:rPr>
              <w:sz w:val="21"/>
              <w:szCs w:val="21"/>
            </w:rPr>
            <w:fldChar w:fldCharType="end"/>
          </w:r>
          <w:r>
            <w:rPr>
              <w:rFonts w:hint="default"/>
              <w:sz w:val="21"/>
              <w:szCs w:val="21"/>
            </w:rPr>
            <w:fldChar w:fldCharType="end"/>
          </w:r>
        </w:p>
        <w:p w14:paraId="35D80050">
          <w:pPr>
            <w:pStyle w:val="14"/>
            <w:tabs>
              <w:tab w:val="right" w:leader="dot" w:pos="8304"/>
            </w:tabs>
            <w:rPr>
              <w:sz w:val="21"/>
              <w:szCs w:val="21"/>
            </w:rPr>
          </w:pPr>
          <w:r>
            <w:rPr>
              <w:rFonts w:hint="default"/>
              <w:sz w:val="21"/>
              <w:szCs w:val="21"/>
            </w:rPr>
            <w:fldChar w:fldCharType="begin"/>
          </w:r>
          <w:r>
            <w:rPr>
              <w:rFonts w:hint="default"/>
              <w:sz w:val="21"/>
              <w:szCs w:val="21"/>
            </w:rPr>
            <w:instrText xml:space="preserve"> HYPERLINK \l _Toc13759 </w:instrText>
          </w:r>
          <w:r>
            <w:rPr>
              <w:rFonts w:hint="default"/>
              <w:sz w:val="21"/>
              <w:szCs w:val="21"/>
            </w:rPr>
            <w:fldChar w:fldCharType="separate"/>
          </w:r>
          <w:r>
            <w:rPr>
              <w:rFonts w:hint="default" w:ascii="Times New Roman" w:hAnsi="Times New Roman" w:eastAsia="宋体" w:cs="Times New Roman"/>
              <w:bCs/>
              <w:sz w:val="21"/>
              <w:szCs w:val="21"/>
            </w:rPr>
            <w:t>6.5.1处理方式及影响分析</w:t>
          </w:r>
          <w:r>
            <w:rPr>
              <w:sz w:val="21"/>
              <w:szCs w:val="21"/>
            </w:rPr>
            <w:tab/>
          </w:r>
          <w:r>
            <w:rPr>
              <w:sz w:val="21"/>
              <w:szCs w:val="21"/>
            </w:rPr>
            <w:fldChar w:fldCharType="begin"/>
          </w:r>
          <w:r>
            <w:rPr>
              <w:sz w:val="21"/>
              <w:szCs w:val="21"/>
            </w:rPr>
            <w:instrText xml:space="preserve"> PAGEREF _Toc13759 \h </w:instrText>
          </w:r>
          <w:r>
            <w:rPr>
              <w:sz w:val="21"/>
              <w:szCs w:val="21"/>
            </w:rPr>
            <w:fldChar w:fldCharType="separate"/>
          </w:r>
          <w:r>
            <w:rPr>
              <w:sz w:val="21"/>
              <w:szCs w:val="21"/>
            </w:rPr>
            <w:t>116</w:t>
          </w:r>
          <w:r>
            <w:rPr>
              <w:sz w:val="21"/>
              <w:szCs w:val="21"/>
            </w:rPr>
            <w:fldChar w:fldCharType="end"/>
          </w:r>
          <w:r>
            <w:rPr>
              <w:rFonts w:hint="default"/>
              <w:sz w:val="21"/>
              <w:szCs w:val="21"/>
            </w:rPr>
            <w:fldChar w:fldCharType="end"/>
          </w:r>
        </w:p>
        <w:p w14:paraId="4A731E21">
          <w:pPr>
            <w:pStyle w:val="14"/>
            <w:tabs>
              <w:tab w:val="right" w:leader="dot" w:pos="8304"/>
            </w:tabs>
            <w:rPr>
              <w:sz w:val="21"/>
              <w:szCs w:val="21"/>
            </w:rPr>
          </w:pPr>
          <w:r>
            <w:rPr>
              <w:rFonts w:hint="default"/>
              <w:sz w:val="21"/>
              <w:szCs w:val="21"/>
            </w:rPr>
            <w:fldChar w:fldCharType="begin"/>
          </w:r>
          <w:r>
            <w:rPr>
              <w:rFonts w:hint="default"/>
              <w:sz w:val="21"/>
              <w:szCs w:val="21"/>
            </w:rPr>
            <w:instrText xml:space="preserve"> HYPERLINK \l _Toc20469 </w:instrText>
          </w:r>
          <w:r>
            <w:rPr>
              <w:rFonts w:hint="default"/>
              <w:sz w:val="21"/>
              <w:szCs w:val="21"/>
            </w:rPr>
            <w:fldChar w:fldCharType="separate"/>
          </w:r>
          <w:r>
            <w:rPr>
              <w:rFonts w:hint="default" w:ascii="Times New Roman" w:hAnsi="Times New Roman" w:eastAsia="宋体" w:cs="Times New Roman"/>
              <w:bCs/>
              <w:sz w:val="21"/>
              <w:szCs w:val="21"/>
            </w:rPr>
            <w:t>6.5.2固废临时存放处的影响分析</w:t>
          </w:r>
          <w:r>
            <w:rPr>
              <w:sz w:val="21"/>
              <w:szCs w:val="21"/>
            </w:rPr>
            <w:tab/>
          </w:r>
          <w:r>
            <w:rPr>
              <w:sz w:val="21"/>
              <w:szCs w:val="21"/>
            </w:rPr>
            <w:fldChar w:fldCharType="begin"/>
          </w:r>
          <w:r>
            <w:rPr>
              <w:sz w:val="21"/>
              <w:szCs w:val="21"/>
            </w:rPr>
            <w:instrText xml:space="preserve"> PAGEREF _Toc20469 \h </w:instrText>
          </w:r>
          <w:r>
            <w:rPr>
              <w:sz w:val="21"/>
              <w:szCs w:val="21"/>
            </w:rPr>
            <w:fldChar w:fldCharType="separate"/>
          </w:r>
          <w:r>
            <w:rPr>
              <w:sz w:val="21"/>
              <w:szCs w:val="21"/>
            </w:rPr>
            <w:t>118</w:t>
          </w:r>
          <w:r>
            <w:rPr>
              <w:sz w:val="21"/>
              <w:szCs w:val="21"/>
            </w:rPr>
            <w:fldChar w:fldCharType="end"/>
          </w:r>
          <w:r>
            <w:rPr>
              <w:rFonts w:hint="default"/>
              <w:sz w:val="21"/>
              <w:szCs w:val="21"/>
            </w:rPr>
            <w:fldChar w:fldCharType="end"/>
          </w:r>
        </w:p>
        <w:p w14:paraId="462F5161">
          <w:pPr>
            <w:pStyle w:val="14"/>
            <w:tabs>
              <w:tab w:val="right" w:leader="dot" w:pos="8304"/>
            </w:tabs>
            <w:rPr>
              <w:sz w:val="21"/>
              <w:szCs w:val="21"/>
            </w:rPr>
          </w:pPr>
          <w:r>
            <w:rPr>
              <w:rFonts w:hint="default"/>
              <w:sz w:val="21"/>
              <w:szCs w:val="21"/>
            </w:rPr>
            <w:fldChar w:fldCharType="begin"/>
          </w:r>
          <w:r>
            <w:rPr>
              <w:rFonts w:hint="default"/>
              <w:sz w:val="21"/>
              <w:szCs w:val="21"/>
            </w:rPr>
            <w:instrText xml:space="preserve"> HYPERLINK \l _Toc23714 </w:instrText>
          </w:r>
          <w:r>
            <w:rPr>
              <w:rFonts w:hint="default"/>
              <w:sz w:val="21"/>
              <w:szCs w:val="21"/>
            </w:rPr>
            <w:fldChar w:fldCharType="separate"/>
          </w:r>
          <w:r>
            <w:rPr>
              <w:rFonts w:hint="default" w:ascii="Times New Roman" w:hAnsi="Times New Roman" w:eastAsia="宋体" w:cs="Times New Roman"/>
              <w:bCs/>
              <w:sz w:val="21"/>
              <w:szCs w:val="21"/>
            </w:rPr>
            <w:t>6.5.3临时贮存设施建设要求</w:t>
          </w:r>
          <w:r>
            <w:rPr>
              <w:sz w:val="21"/>
              <w:szCs w:val="21"/>
            </w:rPr>
            <w:tab/>
          </w:r>
          <w:r>
            <w:rPr>
              <w:sz w:val="21"/>
              <w:szCs w:val="21"/>
            </w:rPr>
            <w:fldChar w:fldCharType="begin"/>
          </w:r>
          <w:r>
            <w:rPr>
              <w:sz w:val="21"/>
              <w:szCs w:val="21"/>
            </w:rPr>
            <w:instrText xml:space="preserve"> PAGEREF _Toc23714 \h </w:instrText>
          </w:r>
          <w:r>
            <w:rPr>
              <w:sz w:val="21"/>
              <w:szCs w:val="21"/>
            </w:rPr>
            <w:fldChar w:fldCharType="separate"/>
          </w:r>
          <w:r>
            <w:rPr>
              <w:sz w:val="21"/>
              <w:szCs w:val="21"/>
            </w:rPr>
            <w:t>118</w:t>
          </w:r>
          <w:r>
            <w:rPr>
              <w:sz w:val="21"/>
              <w:szCs w:val="21"/>
            </w:rPr>
            <w:fldChar w:fldCharType="end"/>
          </w:r>
          <w:r>
            <w:rPr>
              <w:rFonts w:hint="default"/>
              <w:sz w:val="21"/>
              <w:szCs w:val="21"/>
            </w:rPr>
            <w:fldChar w:fldCharType="end"/>
          </w:r>
        </w:p>
        <w:p w14:paraId="2C9670C9">
          <w:pPr>
            <w:pStyle w:val="26"/>
            <w:tabs>
              <w:tab w:val="right" w:leader="dot" w:pos="8304"/>
            </w:tabs>
            <w:rPr>
              <w:sz w:val="21"/>
              <w:szCs w:val="21"/>
            </w:rPr>
          </w:pPr>
          <w:r>
            <w:rPr>
              <w:rFonts w:hint="default"/>
              <w:sz w:val="21"/>
              <w:szCs w:val="21"/>
            </w:rPr>
            <w:fldChar w:fldCharType="begin"/>
          </w:r>
          <w:r>
            <w:rPr>
              <w:rFonts w:hint="default"/>
              <w:sz w:val="21"/>
              <w:szCs w:val="21"/>
            </w:rPr>
            <w:instrText xml:space="preserve"> HYPERLINK \l _Toc19098 </w:instrText>
          </w:r>
          <w:r>
            <w:rPr>
              <w:rFonts w:hint="default"/>
              <w:sz w:val="21"/>
              <w:szCs w:val="21"/>
            </w:rPr>
            <w:fldChar w:fldCharType="separate"/>
          </w:r>
          <w:r>
            <w:rPr>
              <w:rFonts w:hint="default" w:ascii="Times New Roman" w:hAnsi="Times New Roman" w:eastAsia="宋体" w:cs="Times New Roman"/>
              <w:bCs/>
              <w:sz w:val="21"/>
              <w:szCs w:val="21"/>
            </w:rPr>
            <w:t>6.6生态环境影响分析及评价</w:t>
          </w:r>
          <w:r>
            <w:rPr>
              <w:sz w:val="21"/>
              <w:szCs w:val="21"/>
            </w:rPr>
            <w:tab/>
          </w:r>
          <w:r>
            <w:rPr>
              <w:sz w:val="21"/>
              <w:szCs w:val="21"/>
            </w:rPr>
            <w:fldChar w:fldCharType="begin"/>
          </w:r>
          <w:r>
            <w:rPr>
              <w:sz w:val="21"/>
              <w:szCs w:val="21"/>
            </w:rPr>
            <w:instrText xml:space="preserve"> PAGEREF _Toc19098 \h </w:instrText>
          </w:r>
          <w:r>
            <w:rPr>
              <w:sz w:val="21"/>
              <w:szCs w:val="21"/>
            </w:rPr>
            <w:fldChar w:fldCharType="separate"/>
          </w:r>
          <w:r>
            <w:rPr>
              <w:sz w:val="21"/>
              <w:szCs w:val="21"/>
            </w:rPr>
            <w:t>121</w:t>
          </w:r>
          <w:r>
            <w:rPr>
              <w:sz w:val="21"/>
              <w:szCs w:val="21"/>
            </w:rPr>
            <w:fldChar w:fldCharType="end"/>
          </w:r>
          <w:r>
            <w:rPr>
              <w:rFonts w:hint="default"/>
              <w:sz w:val="21"/>
              <w:szCs w:val="21"/>
            </w:rPr>
            <w:fldChar w:fldCharType="end"/>
          </w:r>
        </w:p>
        <w:p w14:paraId="2FE5981A">
          <w:pPr>
            <w:pStyle w:val="14"/>
            <w:tabs>
              <w:tab w:val="right" w:leader="dot" w:pos="8304"/>
            </w:tabs>
            <w:rPr>
              <w:sz w:val="21"/>
              <w:szCs w:val="21"/>
            </w:rPr>
          </w:pPr>
          <w:r>
            <w:rPr>
              <w:rFonts w:hint="default"/>
              <w:sz w:val="21"/>
              <w:szCs w:val="21"/>
            </w:rPr>
            <w:fldChar w:fldCharType="begin"/>
          </w:r>
          <w:r>
            <w:rPr>
              <w:rFonts w:hint="default"/>
              <w:sz w:val="21"/>
              <w:szCs w:val="21"/>
            </w:rPr>
            <w:instrText xml:space="preserve"> HYPERLINK \l _Toc4839 </w:instrText>
          </w:r>
          <w:r>
            <w:rPr>
              <w:rFonts w:hint="default"/>
              <w:sz w:val="21"/>
              <w:szCs w:val="21"/>
            </w:rPr>
            <w:fldChar w:fldCharType="separate"/>
          </w:r>
          <w:r>
            <w:rPr>
              <w:rFonts w:hint="default" w:ascii="Times New Roman" w:hAnsi="Times New Roman" w:eastAsia="宋体" w:cs="Times New Roman"/>
              <w:bCs/>
              <w:sz w:val="21"/>
              <w:szCs w:val="21"/>
            </w:rPr>
            <w:t>6.6.1对生态环境的影响分析</w:t>
          </w:r>
          <w:r>
            <w:rPr>
              <w:sz w:val="21"/>
              <w:szCs w:val="21"/>
            </w:rPr>
            <w:tab/>
          </w:r>
          <w:r>
            <w:rPr>
              <w:sz w:val="21"/>
              <w:szCs w:val="21"/>
            </w:rPr>
            <w:fldChar w:fldCharType="begin"/>
          </w:r>
          <w:r>
            <w:rPr>
              <w:sz w:val="21"/>
              <w:szCs w:val="21"/>
            </w:rPr>
            <w:instrText xml:space="preserve"> PAGEREF _Toc4839 \h </w:instrText>
          </w:r>
          <w:r>
            <w:rPr>
              <w:sz w:val="21"/>
              <w:szCs w:val="21"/>
            </w:rPr>
            <w:fldChar w:fldCharType="separate"/>
          </w:r>
          <w:r>
            <w:rPr>
              <w:sz w:val="21"/>
              <w:szCs w:val="21"/>
            </w:rPr>
            <w:t>121</w:t>
          </w:r>
          <w:r>
            <w:rPr>
              <w:sz w:val="21"/>
              <w:szCs w:val="21"/>
            </w:rPr>
            <w:fldChar w:fldCharType="end"/>
          </w:r>
          <w:r>
            <w:rPr>
              <w:rFonts w:hint="default"/>
              <w:sz w:val="21"/>
              <w:szCs w:val="21"/>
            </w:rPr>
            <w:fldChar w:fldCharType="end"/>
          </w:r>
        </w:p>
        <w:p w14:paraId="34138A90">
          <w:pPr>
            <w:pStyle w:val="14"/>
            <w:tabs>
              <w:tab w:val="right" w:leader="dot" w:pos="8304"/>
            </w:tabs>
            <w:rPr>
              <w:sz w:val="21"/>
              <w:szCs w:val="21"/>
            </w:rPr>
          </w:pPr>
          <w:r>
            <w:rPr>
              <w:rFonts w:hint="default"/>
              <w:sz w:val="21"/>
              <w:szCs w:val="21"/>
            </w:rPr>
            <w:fldChar w:fldCharType="begin"/>
          </w:r>
          <w:r>
            <w:rPr>
              <w:rFonts w:hint="default"/>
              <w:sz w:val="21"/>
              <w:szCs w:val="21"/>
            </w:rPr>
            <w:instrText xml:space="preserve"> HYPERLINK \l _Toc22733 </w:instrText>
          </w:r>
          <w:r>
            <w:rPr>
              <w:rFonts w:hint="default"/>
              <w:sz w:val="21"/>
              <w:szCs w:val="21"/>
            </w:rPr>
            <w:fldChar w:fldCharType="separate"/>
          </w:r>
          <w:r>
            <w:rPr>
              <w:rFonts w:hint="default" w:ascii="Times New Roman" w:hAnsi="Times New Roman" w:eastAsia="宋体" w:cs="Times New Roman"/>
              <w:bCs/>
              <w:sz w:val="21"/>
              <w:szCs w:val="21"/>
            </w:rPr>
            <w:t>6.6.2对动植物的影响评价</w:t>
          </w:r>
          <w:r>
            <w:rPr>
              <w:sz w:val="21"/>
              <w:szCs w:val="21"/>
            </w:rPr>
            <w:tab/>
          </w:r>
          <w:r>
            <w:rPr>
              <w:sz w:val="21"/>
              <w:szCs w:val="21"/>
            </w:rPr>
            <w:fldChar w:fldCharType="begin"/>
          </w:r>
          <w:r>
            <w:rPr>
              <w:sz w:val="21"/>
              <w:szCs w:val="21"/>
            </w:rPr>
            <w:instrText xml:space="preserve"> PAGEREF _Toc22733 \h </w:instrText>
          </w:r>
          <w:r>
            <w:rPr>
              <w:sz w:val="21"/>
              <w:szCs w:val="21"/>
            </w:rPr>
            <w:fldChar w:fldCharType="separate"/>
          </w:r>
          <w:r>
            <w:rPr>
              <w:sz w:val="21"/>
              <w:szCs w:val="21"/>
            </w:rPr>
            <w:t>121</w:t>
          </w:r>
          <w:r>
            <w:rPr>
              <w:sz w:val="21"/>
              <w:szCs w:val="21"/>
            </w:rPr>
            <w:fldChar w:fldCharType="end"/>
          </w:r>
          <w:r>
            <w:rPr>
              <w:rFonts w:hint="default"/>
              <w:sz w:val="21"/>
              <w:szCs w:val="21"/>
            </w:rPr>
            <w:fldChar w:fldCharType="end"/>
          </w:r>
        </w:p>
        <w:p w14:paraId="39AB9BF3">
          <w:pPr>
            <w:pStyle w:val="26"/>
            <w:tabs>
              <w:tab w:val="right" w:leader="dot" w:pos="8304"/>
            </w:tabs>
            <w:rPr>
              <w:sz w:val="21"/>
              <w:szCs w:val="21"/>
            </w:rPr>
          </w:pPr>
          <w:r>
            <w:rPr>
              <w:rFonts w:hint="default"/>
              <w:sz w:val="21"/>
              <w:szCs w:val="21"/>
            </w:rPr>
            <w:fldChar w:fldCharType="begin"/>
          </w:r>
          <w:r>
            <w:rPr>
              <w:rFonts w:hint="default"/>
              <w:sz w:val="21"/>
              <w:szCs w:val="21"/>
            </w:rPr>
            <w:instrText xml:space="preserve"> HYPERLINK \l _Toc27241 </w:instrText>
          </w:r>
          <w:r>
            <w:rPr>
              <w:rFonts w:hint="default"/>
              <w:sz w:val="21"/>
              <w:szCs w:val="21"/>
            </w:rPr>
            <w:fldChar w:fldCharType="separate"/>
          </w:r>
          <w:r>
            <w:rPr>
              <w:rFonts w:hint="default" w:ascii="Times New Roman" w:hAnsi="Times New Roman" w:eastAsia="宋体" w:cs="Times New Roman"/>
              <w:bCs/>
              <w:sz w:val="21"/>
              <w:szCs w:val="21"/>
            </w:rPr>
            <w:t>6.7土壤环境影响评价</w:t>
          </w:r>
          <w:r>
            <w:rPr>
              <w:sz w:val="21"/>
              <w:szCs w:val="21"/>
            </w:rPr>
            <w:tab/>
          </w:r>
          <w:r>
            <w:rPr>
              <w:sz w:val="21"/>
              <w:szCs w:val="21"/>
            </w:rPr>
            <w:fldChar w:fldCharType="begin"/>
          </w:r>
          <w:r>
            <w:rPr>
              <w:sz w:val="21"/>
              <w:szCs w:val="21"/>
            </w:rPr>
            <w:instrText xml:space="preserve"> PAGEREF _Toc27241 \h </w:instrText>
          </w:r>
          <w:r>
            <w:rPr>
              <w:sz w:val="21"/>
              <w:szCs w:val="21"/>
            </w:rPr>
            <w:fldChar w:fldCharType="separate"/>
          </w:r>
          <w:r>
            <w:rPr>
              <w:sz w:val="21"/>
              <w:szCs w:val="21"/>
            </w:rPr>
            <w:t>122</w:t>
          </w:r>
          <w:r>
            <w:rPr>
              <w:sz w:val="21"/>
              <w:szCs w:val="21"/>
            </w:rPr>
            <w:fldChar w:fldCharType="end"/>
          </w:r>
          <w:r>
            <w:rPr>
              <w:rFonts w:hint="default"/>
              <w:sz w:val="21"/>
              <w:szCs w:val="21"/>
            </w:rPr>
            <w:fldChar w:fldCharType="end"/>
          </w:r>
        </w:p>
        <w:p w14:paraId="75DF14B0">
          <w:pPr>
            <w:pStyle w:val="14"/>
            <w:tabs>
              <w:tab w:val="right" w:leader="dot" w:pos="8304"/>
            </w:tabs>
            <w:rPr>
              <w:sz w:val="21"/>
              <w:szCs w:val="21"/>
            </w:rPr>
          </w:pPr>
          <w:r>
            <w:rPr>
              <w:rFonts w:hint="default"/>
              <w:sz w:val="21"/>
              <w:szCs w:val="21"/>
            </w:rPr>
            <w:fldChar w:fldCharType="begin"/>
          </w:r>
          <w:r>
            <w:rPr>
              <w:rFonts w:hint="default"/>
              <w:sz w:val="21"/>
              <w:szCs w:val="21"/>
            </w:rPr>
            <w:instrText xml:space="preserve"> HYPERLINK \l _Toc3233 </w:instrText>
          </w:r>
          <w:r>
            <w:rPr>
              <w:rFonts w:hint="default"/>
              <w:sz w:val="21"/>
              <w:szCs w:val="21"/>
            </w:rPr>
            <w:fldChar w:fldCharType="separate"/>
          </w:r>
          <w:r>
            <w:rPr>
              <w:rFonts w:hint="default" w:ascii="Times New Roman" w:hAnsi="Times New Roman" w:eastAsia="宋体" w:cs="Times New Roman"/>
              <w:bCs/>
              <w:sz w:val="21"/>
              <w:szCs w:val="21"/>
            </w:rPr>
            <w:t>6.7.1影响识别</w:t>
          </w:r>
          <w:r>
            <w:rPr>
              <w:sz w:val="21"/>
              <w:szCs w:val="21"/>
            </w:rPr>
            <w:tab/>
          </w:r>
          <w:r>
            <w:rPr>
              <w:sz w:val="21"/>
              <w:szCs w:val="21"/>
            </w:rPr>
            <w:fldChar w:fldCharType="begin"/>
          </w:r>
          <w:r>
            <w:rPr>
              <w:sz w:val="21"/>
              <w:szCs w:val="21"/>
            </w:rPr>
            <w:instrText xml:space="preserve"> PAGEREF _Toc3233 \h </w:instrText>
          </w:r>
          <w:r>
            <w:rPr>
              <w:sz w:val="21"/>
              <w:szCs w:val="21"/>
            </w:rPr>
            <w:fldChar w:fldCharType="separate"/>
          </w:r>
          <w:r>
            <w:rPr>
              <w:sz w:val="21"/>
              <w:szCs w:val="21"/>
            </w:rPr>
            <w:t>122</w:t>
          </w:r>
          <w:r>
            <w:rPr>
              <w:sz w:val="21"/>
              <w:szCs w:val="21"/>
            </w:rPr>
            <w:fldChar w:fldCharType="end"/>
          </w:r>
          <w:r>
            <w:rPr>
              <w:rFonts w:hint="default"/>
              <w:sz w:val="21"/>
              <w:szCs w:val="21"/>
            </w:rPr>
            <w:fldChar w:fldCharType="end"/>
          </w:r>
        </w:p>
        <w:p w14:paraId="3E164589">
          <w:pPr>
            <w:pStyle w:val="14"/>
            <w:tabs>
              <w:tab w:val="right" w:leader="dot" w:pos="8304"/>
            </w:tabs>
            <w:rPr>
              <w:sz w:val="21"/>
              <w:szCs w:val="21"/>
            </w:rPr>
          </w:pPr>
          <w:r>
            <w:rPr>
              <w:rFonts w:hint="default"/>
              <w:sz w:val="21"/>
              <w:szCs w:val="21"/>
            </w:rPr>
            <w:fldChar w:fldCharType="begin"/>
          </w:r>
          <w:r>
            <w:rPr>
              <w:rFonts w:hint="default"/>
              <w:sz w:val="21"/>
              <w:szCs w:val="21"/>
            </w:rPr>
            <w:instrText xml:space="preserve"> HYPERLINK \l _Toc24064 </w:instrText>
          </w:r>
          <w:r>
            <w:rPr>
              <w:rFonts w:hint="default"/>
              <w:sz w:val="21"/>
              <w:szCs w:val="21"/>
            </w:rPr>
            <w:fldChar w:fldCharType="separate"/>
          </w:r>
          <w:r>
            <w:rPr>
              <w:rFonts w:hint="default" w:ascii="Times New Roman" w:hAnsi="Times New Roman" w:eastAsia="宋体" w:cs="Times New Roman"/>
              <w:bCs/>
              <w:sz w:val="21"/>
              <w:szCs w:val="21"/>
            </w:rPr>
            <w:t>6.7.2影响分析</w:t>
          </w:r>
          <w:r>
            <w:rPr>
              <w:sz w:val="21"/>
              <w:szCs w:val="21"/>
            </w:rPr>
            <w:tab/>
          </w:r>
          <w:r>
            <w:rPr>
              <w:sz w:val="21"/>
              <w:szCs w:val="21"/>
            </w:rPr>
            <w:fldChar w:fldCharType="begin"/>
          </w:r>
          <w:r>
            <w:rPr>
              <w:sz w:val="21"/>
              <w:szCs w:val="21"/>
            </w:rPr>
            <w:instrText xml:space="preserve"> PAGEREF _Toc24064 \h </w:instrText>
          </w:r>
          <w:r>
            <w:rPr>
              <w:sz w:val="21"/>
              <w:szCs w:val="21"/>
            </w:rPr>
            <w:fldChar w:fldCharType="separate"/>
          </w:r>
          <w:r>
            <w:rPr>
              <w:sz w:val="21"/>
              <w:szCs w:val="21"/>
            </w:rPr>
            <w:t>122</w:t>
          </w:r>
          <w:r>
            <w:rPr>
              <w:sz w:val="21"/>
              <w:szCs w:val="21"/>
            </w:rPr>
            <w:fldChar w:fldCharType="end"/>
          </w:r>
          <w:r>
            <w:rPr>
              <w:rFonts w:hint="default"/>
              <w:sz w:val="21"/>
              <w:szCs w:val="21"/>
            </w:rPr>
            <w:fldChar w:fldCharType="end"/>
          </w:r>
        </w:p>
        <w:p w14:paraId="58A22172">
          <w:pPr>
            <w:pStyle w:val="14"/>
            <w:tabs>
              <w:tab w:val="right" w:leader="dot" w:pos="8304"/>
            </w:tabs>
            <w:rPr>
              <w:sz w:val="21"/>
              <w:szCs w:val="21"/>
            </w:rPr>
          </w:pPr>
          <w:r>
            <w:rPr>
              <w:rFonts w:hint="default"/>
              <w:sz w:val="21"/>
              <w:szCs w:val="21"/>
            </w:rPr>
            <w:fldChar w:fldCharType="begin"/>
          </w:r>
          <w:r>
            <w:rPr>
              <w:rFonts w:hint="default"/>
              <w:sz w:val="21"/>
              <w:szCs w:val="21"/>
            </w:rPr>
            <w:instrText xml:space="preserve"> HYPERLINK \l _Toc19006 </w:instrText>
          </w:r>
          <w:r>
            <w:rPr>
              <w:rFonts w:hint="default"/>
              <w:sz w:val="21"/>
              <w:szCs w:val="21"/>
            </w:rPr>
            <w:fldChar w:fldCharType="separate"/>
          </w:r>
          <w:r>
            <w:rPr>
              <w:rFonts w:hint="eastAsia" w:ascii="Times New Roman" w:hAnsi="Times New Roman" w:eastAsia="宋体" w:cs="Times New Roman"/>
              <w:bCs/>
              <w:sz w:val="21"/>
              <w:szCs w:val="21"/>
              <w:lang w:val="en-US" w:eastAsia="zh-CN"/>
            </w:rPr>
            <w:t>6.7.3土壤环境保护措施</w:t>
          </w:r>
          <w:r>
            <w:rPr>
              <w:sz w:val="21"/>
              <w:szCs w:val="21"/>
            </w:rPr>
            <w:tab/>
          </w:r>
          <w:r>
            <w:rPr>
              <w:sz w:val="21"/>
              <w:szCs w:val="21"/>
            </w:rPr>
            <w:fldChar w:fldCharType="begin"/>
          </w:r>
          <w:r>
            <w:rPr>
              <w:sz w:val="21"/>
              <w:szCs w:val="21"/>
            </w:rPr>
            <w:instrText xml:space="preserve"> PAGEREF _Toc19006 \h </w:instrText>
          </w:r>
          <w:r>
            <w:rPr>
              <w:sz w:val="21"/>
              <w:szCs w:val="21"/>
            </w:rPr>
            <w:fldChar w:fldCharType="separate"/>
          </w:r>
          <w:r>
            <w:rPr>
              <w:sz w:val="21"/>
              <w:szCs w:val="21"/>
            </w:rPr>
            <w:t>123</w:t>
          </w:r>
          <w:r>
            <w:rPr>
              <w:sz w:val="21"/>
              <w:szCs w:val="21"/>
            </w:rPr>
            <w:fldChar w:fldCharType="end"/>
          </w:r>
          <w:r>
            <w:rPr>
              <w:rFonts w:hint="default"/>
              <w:sz w:val="21"/>
              <w:szCs w:val="21"/>
            </w:rPr>
            <w:fldChar w:fldCharType="end"/>
          </w:r>
        </w:p>
        <w:p w14:paraId="54ABB9F5">
          <w:pPr>
            <w:pStyle w:val="14"/>
            <w:tabs>
              <w:tab w:val="right" w:leader="dot" w:pos="8304"/>
            </w:tabs>
            <w:rPr>
              <w:sz w:val="21"/>
              <w:szCs w:val="21"/>
            </w:rPr>
          </w:pPr>
          <w:r>
            <w:rPr>
              <w:rFonts w:hint="default"/>
              <w:sz w:val="21"/>
              <w:szCs w:val="21"/>
            </w:rPr>
            <w:fldChar w:fldCharType="begin"/>
          </w:r>
          <w:r>
            <w:rPr>
              <w:rFonts w:hint="default"/>
              <w:sz w:val="21"/>
              <w:szCs w:val="21"/>
            </w:rPr>
            <w:instrText xml:space="preserve"> HYPERLINK \l _Toc2854 </w:instrText>
          </w:r>
          <w:r>
            <w:rPr>
              <w:rFonts w:hint="default"/>
              <w:sz w:val="21"/>
              <w:szCs w:val="21"/>
            </w:rPr>
            <w:fldChar w:fldCharType="separate"/>
          </w:r>
          <w:r>
            <w:rPr>
              <w:rFonts w:hint="default" w:ascii="Times New Roman" w:hAnsi="Times New Roman" w:eastAsia="宋体" w:cs="Times New Roman"/>
              <w:bCs/>
              <w:sz w:val="21"/>
              <w:szCs w:val="21"/>
              <w:lang w:val="en-US" w:eastAsia="zh-CN"/>
            </w:rPr>
            <w:t>6.</w:t>
          </w:r>
          <w:r>
            <w:rPr>
              <w:rFonts w:hint="eastAsia" w:ascii="Times New Roman" w:hAnsi="Times New Roman" w:eastAsia="宋体" w:cs="Times New Roman"/>
              <w:bCs/>
              <w:sz w:val="21"/>
              <w:szCs w:val="21"/>
              <w:lang w:val="en-US" w:eastAsia="zh-CN"/>
            </w:rPr>
            <w:t>7.</w:t>
          </w:r>
          <w:r>
            <w:rPr>
              <w:rFonts w:hint="default" w:ascii="Times New Roman" w:hAnsi="Times New Roman" w:eastAsia="宋体" w:cs="Times New Roman"/>
              <w:bCs/>
              <w:sz w:val="21"/>
              <w:szCs w:val="21"/>
              <w:lang w:val="en-US" w:eastAsia="zh-CN"/>
            </w:rPr>
            <w:t>4土壤环境评价结论</w:t>
          </w:r>
          <w:r>
            <w:rPr>
              <w:sz w:val="21"/>
              <w:szCs w:val="21"/>
            </w:rPr>
            <w:tab/>
          </w:r>
          <w:r>
            <w:rPr>
              <w:sz w:val="21"/>
              <w:szCs w:val="21"/>
            </w:rPr>
            <w:fldChar w:fldCharType="begin"/>
          </w:r>
          <w:r>
            <w:rPr>
              <w:sz w:val="21"/>
              <w:szCs w:val="21"/>
            </w:rPr>
            <w:instrText xml:space="preserve"> PAGEREF _Toc2854 \h </w:instrText>
          </w:r>
          <w:r>
            <w:rPr>
              <w:sz w:val="21"/>
              <w:szCs w:val="21"/>
            </w:rPr>
            <w:fldChar w:fldCharType="separate"/>
          </w:r>
          <w:r>
            <w:rPr>
              <w:sz w:val="21"/>
              <w:szCs w:val="21"/>
            </w:rPr>
            <w:t>124</w:t>
          </w:r>
          <w:r>
            <w:rPr>
              <w:sz w:val="21"/>
              <w:szCs w:val="21"/>
            </w:rPr>
            <w:fldChar w:fldCharType="end"/>
          </w:r>
          <w:r>
            <w:rPr>
              <w:rFonts w:hint="default"/>
              <w:sz w:val="21"/>
              <w:szCs w:val="21"/>
            </w:rPr>
            <w:fldChar w:fldCharType="end"/>
          </w:r>
        </w:p>
        <w:p w14:paraId="5A34B584">
          <w:pPr>
            <w:pStyle w:val="26"/>
            <w:tabs>
              <w:tab w:val="right" w:leader="dot" w:pos="8304"/>
            </w:tabs>
            <w:rPr>
              <w:sz w:val="21"/>
              <w:szCs w:val="21"/>
            </w:rPr>
          </w:pPr>
          <w:r>
            <w:rPr>
              <w:rFonts w:hint="default"/>
              <w:sz w:val="21"/>
              <w:szCs w:val="21"/>
            </w:rPr>
            <w:fldChar w:fldCharType="begin"/>
          </w:r>
          <w:r>
            <w:rPr>
              <w:rFonts w:hint="default"/>
              <w:sz w:val="21"/>
              <w:szCs w:val="21"/>
            </w:rPr>
            <w:instrText xml:space="preserve"> HYPERLINK \l _Toc888 </w:instrText>
          </w:r>
          <w:r>
            <w:rPr>
              <w:rFonts w:hint="default"/>
              <w:sz w:val="21"/>
              <w:szCs w:val="21"/>
            </w:rPr>
            <w:fldChar w:fldCharType="separate"/>
          </w:r>
          <w:r>
            <w:rPr>
              <w:rFonts w:hint="default" w:ascii="Times New Roman" w:hAnsi="Times New Roman" w:eastAsia="宋体" w:cs="Times New Roman"/>
              <w:bCs/>
              <w:sz w:val="21"/>
              <w:szCs w:val="21"/>
            </w:rPr>
            <w:t>6.8环境风险影响分析</w:t>
          </w:r>
          <w:r>
            <w:rPr>
              <w:sz w:val="21"/>
              <w:szCs w:val="21"/>
            </w:rPr>
            <w:tab/>
          </w:r>
          <w:r>
            <w:rPr>
              <w:sz w:val="21"/>
              <w:szCs w:val="21"/>
            </w:rPr>
            <w:fldChar w:fldCharType="begin"/>
          </w:r>
          <w:r>
            <w:rPr>
              <w:sz w:val="21"/>
              <w:szCs w:val="21"/>
            </w:rPr>
            <w:instrText xml:space="preserve"> PAGEREF _Toc888 \h </w:instrText>
          </w:r>
          <w:r>
            <w:rPr>
              <w:sz w:val="21"/>
              <w:szCs w:val="21"/>
            </w:rPr>
            <w:fldChar w:fldCharType="separate"/>
          </w:r>
          <w:r>
            <w:rPr>
              <w:sz w:val="21"/>
              <w:szCs w:val="21"/>
            </w:rPr>
            <w:t>125</w:t>
          </w:r>
          <w:r>
            <w:rPr>
              <w:sz w:val="21"/>
              <w:szCs w:val="21"/>
            </w:rPr>
            <w:fldChar w:fldCharType="end"/>
          </w:r>
          <w:r>
            <w:rPr>
              <w:rFonts w:hint="default"/>
              <w:sz w:val="21"/>
              <w:szCs w:val="21"/>
            </w:rPr>
            <w:fldChar w:fldCharType="end"/>
          </w:r>
        </w:p>
        <w:p w14:paraId="5FE87CF5">
          <w:pPr>
            <w:pStyle w:val="14"/>
            <w:tabs>
              <w:tab w:val="right" w:leader="dot" w:pos="8304"/>
            </w:tabs>
            <w:rPr>
              <w:sz w:val="21"/>
              <w:szCs w:val="21"/>
            </w:rPr>
          </w:pPr>
          <w:r>
            <w:rPr>
              <w:rFonts w:hint="default"/>
              <w:sz w:val="21"/>
              <w:szCs w:val="21"/>
            </w:rPr>
            <w:fldChar w:fldCharType="begin"/>
          </w:r>
          <w:r>
            <w:rPr>
              <w:rFonts w:hint="default"/>
              <w:sz w:val="21"/>
              <w:szCs w:val="21"/>
            </w:rPr>
            <w:instrText xml:space="preserve"> HYPERLINK \l _Toc17814 </w:instrText>
          </w:r>
          <w:r>
            <w:rPr>
              <w:rFonts w:hint="default"/>
              <w:sz w:val="21"/>
              <w:szCs w:val="21"/>
            </w:rPr>
            <w:fldChar w:fldCharType="separate"/>
          </w:r>
          <w:r>
            <w:rPr>
              <w:rFonts w:hint="default" w:ascii="Times New Roman" w:hAnsi="Times New Roman" w:eastAsia="宋体" w:cs="Times New Roman"/>
              <w:bCs/>
              <w:sz w:val="21"/>
              <w:szCs w:val="21"/>
            </w:rPr>
            <w:t>6.8.1环境风险评价概述</w:t>
          </w:r>
          <w:r>
            <w:rPr>
              <w:sz w:val="21"/>
              <w:szCs w:val="21"/>
            </w:rPr>
            <w:tab/>
          </w:r>
          <w:r>
            <w:rPr>
              <w:sz w:val="21"/>
              <w:szCs w:val="21"/>
            </w:rPr>
            <w:fldChar w:fldCharType="begin"/>
          </w:r>
          <w:r>
            <w:rPr>
              <w:sz w:val="21"/>
              <w:szCs w:val="21"/>
            </w:rPr>
            <w:instrText xml:space="preserve"> PAGEREF _Toc17814 \h </w:instrText>
          </w:r>
          <w:r>
            <w:rPr>
              <w:sz w:val="21"/>
              <w:szCs w:val="21"/>
            </w:rPr>
            <w:fldChar w:fldCharType="separate"/>
          </w:r>
          <w:r>
            <w:rPr>
              <w:sz w:val="21"/>
              <w:szCs w:val="21"/>
            </w:rPr>
            <w:t>125</w:t>
          </w:r>
          <w:r>
            <w:rPr>
              <w:sz w:val="21"/>
              <w:szCs w:val="21"/>
            </w:rPr>
            <w:fldChar w:fldCharType="end"/>
          </w:r>
          <w:r>
            <w:rPr>
              <w:rFonts w:hint="default"/>
              <w:sz w:val="21"/>
              <w:szCs w:val="21"/>
            </w:rPr>
            <w:fldChar w:fldCharType="end"/>
          </w:r>
        </w:p>
        <w:p w14:paraId="52B62973">
          <w:pPr>
            <w:pStyle w:val="14"/>
            <w:tabs>
              <w:tab w:val="right" w:leader="dot" w:pos="8304"/>
            </w:tabs>
            <w:rPr>
              <w:sz w:val="21"/>
              <w:szCs w:val="21"/>
            </w:rPr>
          </w:pPr>
          <w:r>
            <w:rPr>
              <w:rFonts w:hint="default"/>
              <w:sz w:val="21"/>
              <w:szCs w:val="21"/>
            </w:rPr>
            <w:fldChar w:fldCharType="begin"/>
          </w:r>
          <w:r>
            <w:rPr>
              <w:rFonts w:hint="default"/>
              <w:sz w:val="21"/>
              <w:szCs w:val="21"/>
            </w:rPr>
            <w:instrText xml:space="preserve"> HYPERLINK \l _Toc10608 </w:instrText>
          </w:r>
          <w:r>
            <w:rPr>
              <w:rFonts w:hint="default"/>
              <w:sz w:val="21"/>
              <w:szCs w:val="21"/>
            </w:rPr>
            <w:fldChar w:fldCharType="separate"/>
          </w:r>
          <w:r>
            <w:rPr>
              <w:rFonts w:hint="default" w:ascii="Times New Roman" w:hAnsi="Times New Roman" w:eastAsia="宋体" w:cs="Times New Roman"/>
              <w:bCs/>
              <w:sz w:val="21"/>
              <w:szCs w:val="21"/>
            </w:rPr>
            <w:t>6.8.2评价工作程序</w:t>
          </w:r>
          <w:r>
            <w:rPr>
              <w:sz w:val="21"/>
              <w:szCs w:val="21"/>
            </w:rPr>
            <w:tab/>
          </w:r>
          <w:r>
            <w:rPr>
              <w:sz w:val="21"/>
              <w:szCs w:val="21"/>
            </w:rPr>
            <w:fldChar w:fldCharType="begin"/>
          </w:r>
          <w:r>
            <w:rPr>
              <w:sz w:val="21"/>
              <w:szCs w:val="21"/>
            </w:rPr>
            <w:instrText xml:space="preserve"> PAGEREF _Toc10608 \h </w:instrText>
          </w:r>
          <w:r>
            <w:rPr>
              <w:sz w:val="21"/>
              <w:szCs w:val="21"/>
            </w:rPr>
            <w:fldChar w:fldCharType="separate"/>
          </w:r>
          <w:r>
            <w:rPr>
              <w:sz w:val="21"/>
              <w:szCs w:val="21"/>
            </w:rPr>
            <w:t>126</w:t>
          </w:r>
          <w:r>
            <w:rPr>
              <w:sz w:val="21"/>
              <w:szCs w:val="21"/>
            </w:rPr>
            <w:fldChar w:fldCharType="end"/>
          </w:r>
          <w:r>
            <w:rPr>
              <w:rFonts w:hint="default"/>
              <w:sz w:val="21"/>
              <w:szCs w:val="21"/>
            </w:rPr>
            <w:fldChar w:fldCharType="end"/>
          </w:r>
        </w:p>
        <w:p w14:paraId="40BA1E70">
          <w:pPr>
            <w:pStyle w:val="14"/>
            <w:tabs>
              <w:tab w:val="right" w:leader="dot" w:pos="8304"/>
            </w:tabs>
            <w:rPr>
              <w:sz w:val="21"/>
              <w:szCs w:val="21"/>
            </w:rPr>
          </w:pPr>
          <w:r>
            <w:rPr>
              <w:rFonts w:hint="default"/>
              <w:sz w:val="21"/>
              <w:szCs w:val="21"/>
            </w:rPr>
            <w:fldChar w:fldCharType="begin"/>
          </w:r>
          <w:r>
            <w:rPr>
              <w:rFonts w:hint="default"/>
              <w:sz w:val="21"/>
              <w:szCs w:val="21"/>
            </w:rPr>
            <w:instrText xml:space="preserve"> HYPERLINK \l _Toc15606 </w:instrText>
          </w:r>
          <w:r>
            <w:rPr>
              <w:rFonts w:hint="default"/>
              <w:sz w:val="21"/>
              <w:szCs w:val="21"/>
            </w:rPr>
            <w:fldChar w:fldCharType="separate"/>
          </w:r>
          <w:r>
            <w:rPr>
              <w:rFonts w:hint="default" w:ascii="Times New Roman" w:hAnsi="Times New Roman" w:eastAsia="宋体" w:cs="Times New Roman"/>
              <w:bCs/>
              <w:sz w:val="21"/>
              <w:szCs w:val="21"/>
            </w:rPr>
            <w:t>6.8.3风险调查</w:t>
          </w:r>
          <w:r>
            <w:rPr>
              <w:sz w:val="21"/>
              <w:szCs w:val="21"/>
            </w:rPr>
            <w:tab/>
          </w:r>
          <w:r>
            <w:rPr>
              <w:sz w:val="21"/>
              <w:szCs w:val="21"/>
            </w:rPr>
            <w:fldChar w:fldCharType="begin"/>
          </w:r>
          <w:r>
            <w:rPr>
              <w:sz w:val="21"/>
              <w:szCs w:val="21"/>
            </w:rPr>
            <w:instrText xml:space="preserve"> PAGEREF _Toc15606 \h </w:instrText>
          </w:r>
          <w:r>
            <w:rPr>
              <w:sz w:val="21"/>
              <w:szCs w:val="21"/>
            </w:rPr>
            <w:fldChar w:fldCharType="separate"/>
          </w:r>
          <w:r>
            <w:rPr>
              <w:sz w:val="21"/>
              <w:szCs w:val="21"/>
            </w:rPr>
            <w:t>126</w:t>
          </w:r>
          <w:r>
            <w:rPr>
              <w:sz w:val="21"/>
              <w:szCs w:val="21"/>
            </w:rPr>
            <w:fldChar w:fldCharType="end"/>
          </w:r>
          <w:r>
            <w:rPr>
              <w:rFonts w:hint="default"/>
              <w:sz w:val="21"/>
              <w:szCs w:val="21"/>
            </w:rPr>
            <w:fldChar w:fldCharType="end"/>
          </w:r>
        </w:p>
        <w:p w14:paraId="6396C25E">
          <w:pPr>
            <w:pStyle w:val="14"/>
            <w:tabs>
              <w:tab w:val="right" w:leader="dot" w:pos="8304"/>
            </w:tabs>
            <w:rPr>
              <w:sz w:val="21"/>
              <w:szCs w:val="21"/>
            </w:rPr>
          </w:pPr>
          <w:r>
            <w:rPr>
              <w:rFonts w:hint="default"/>
              <w:sz w:val="21"/>
              <w:szCs w:val="21"/>
            </w:rPr>
            <w:fldChar w:fldCharType="begin"/>
          </w:r>
          <w:r>
            <w:rPr>
              <w:rFonts w:hint="default"/>
              <w:sz w:val="21"/>
              <w:szCs w:val="21"/>
            </w:rPr>
            <w:instrText xml:space="preserve"> HYPERLINK \l _Toc19477 </w:instrText>
          </w:r>
          <w:r>
            <w:rPr>
              <w:rFonts w:hint="default"/>
              <w:sz w:val="21"/>
              <w:szCs w:val="21"/>
            </w:rPr>
            <w:fldChar w:fldCharType="separate"/>
          </w:r>
          <w:r>
            <w:rPr>
              <w:rFonts w:hint="default" w:ascii="Times New Roman" w:hAnsi="Times New Roman" w:eastAsia="宋体" w:cs="Times New Roman"/>
              <w:bCs/>
              <w:sz w:val="21"/>
              <w:szCs w:val="21"/>
            </w:rPr>
            <w:t>6.8.4环境风险识别</w:t>
          </w:r>
          <w:r>
            <w:rPr>
              <w:sz w:val="21"/>
              <w:szCs w:val="21"/>
            </w:rPr>
            <w:tab/>
          </w:r>
          <w:r>
            <w:rPr>
              <w:sz w:val="21"/>
              <w:szCs w:val="21"/>
            </w:rPr>
            <w:fldChar w:fldCharType="begin"/>
          </w:r>
          <w:r>
            <w:rPr>
              <w:sz w:val="21"/>
              <w:szCs w:val="21"/>
            </w:rPr>
            <w:instrText xml:space="preserve"> PAGEREF _Toc19477 \h </w:instrText>
          </w:r>
          <w:r>
            <w:rPr>
              <w:sz w:val="21"/>
              <w:szCs w:val="21"/>
            </w:rPr>
            <w:fldChar w:fldCharType="separate"/>
          </w:r>
          <w:r>
            <w:rPr>
              <w:sz w:val="21"/>
              <w:szCs w:val="21"/>
            </w:rPr>
            <w:t>127</w:t>
          </w:r>
          <w:r>
            <w:rPr>
              <w:sz w:val="21"/>
              <w:szCs w:val="21"/>
            </w:rPr>
            <w:fldChar w:fldCharType="end"/>
          </w:r>
          <w:r>
            <w:rPr>
              <w:rFonts w:hint="default"/>
              <w:sz w:val="21"/>
              <w:szCs w:val="21"/>
            </w:rPr>
            <w:fldChar w:fldCharType="end"/>
          </w:r>
        </w:p>
        <w:p w14:paraId="07974F15">
          <w:pPr>
            <w:pStyle w:val="14"/>
            <w:tabs>
              <w:tab w:val="right" w:leader="dot" w:pos="8304"/>
            </w:tabs>
            <w:rPr>
              <w:sz w:val="21"/>
              <w:szCs w:val="21"/>
            </w:rPr>
          </w:pPr>
          <w:r>
            <w:rPr>
              <w:rFonts w:hint="default"/>
              <w:sz w:val="21"/>
              <w:szCs w:val="21"/>
            </w:rPr>
            <w:fldChar w:fldCharType="begin"/>
          </w:r>
          <w:r>
            <w:rPr>
              <w:rFonts w:hint="default"/>
              <w:sz w:val="21"/>
              <w:szCs w:val="21"/>
            </w:rPr>
            <w:instrText xml:space="preserve"> HYPERLINK \l _Toc27859 </w:instrText>
          </w:r>
          <w:r>
            <w:rPr>
              <w:rFonts w:hint="default"/>
              <w:sz w:val="21"/>
              <w:szCs w:val="21"/>
            </w:rPr>
            <w:fldChar w:fldCharType="separate"/>
          </w:r>
          <w:r>
            <w:rPr>
              <w:rFonts w:hint="default" w:ascii="Times New Roman" w:hAnsi="Times New Roman" w:eastAsia="宋体" w:cs="Times New Roman"/>
              <w:bCs/>
              <w:sz w:val="21"/>
              <w:szCs w:val="21"/>
            </w:rPr>
            <w:t>6.8.5建设项目风险源调查</w:t>
          </w:r>
          <w:r>
            <w:rPr>
              <w:sz w:val="21"/>
              <w:szCs w:val="21"/>
            </w:rPr>
            <w:tab/>
          </w:r>
          <w:r>
            <w:rPr>
              <w:sz w:val="21"/>
              <w:szCs w:val="21"/>
            </w:rPr>
            <w:fldChar w:fldCharType="begin"/>
          </w:r>
          <w:r>
            <w:rPr>
              <w:sz w:val="21"/>
              <w:szCs w:val="21"/>
            </w:rPr>
            <w:instrText xml:space="preserve"> PAGEREF _Toc27859 \h </w:instrText>
          </w:r>
          <w:r>
            <w:rPr>
              <w:sz w:val="21"/>
              <w:szCs w:val="21"/>
            </w:rPr>
            <w:fldChar w:fldCharType="separate"/>
          </w:r>
          <w:r>
            <w:rPr>
              <w:sz w:val="21"/>
              <w:szCs w:val="21"/>
            </w:rPr>
            <w:t>128</w:t>
          </w:r>
          <w:r>
            <w:rPr>
              <w:sz w:val="21"/>
              <w:szCs w:val="21"/>
            </w:rPr>
            <w:fldChar w:fldCharType="end"/>
          </w:r>
          <w:r>
            <w:rPr>
              <w:rFonts w:hint="default"/>
              <w:sz w:val="21"/>
              <w:szCs w:val="21"/>
            </w:rPr>
            <w:fldChar w:fldCharType="end"/>
          </w:r>
        </w:p>
        <w:p w14:paraId="1A49DB49">
          <w:pPr>
            <w:pStyle w:val="14"/>
            <w:tabs>
              <w:tab w:val="right" w:leader="dot" w:pos="8304"/>
            </w:tabs>
            <w:rPr>
              <w:sz w:val="21"/>
              <w:szCs w:val="21"/>
            </w:rPr>
          </w:pPr>
          <w:r>
            <w:rPr>
              <w:rFonts w:hint="default"/>
              <w:sz w:val="21"/>
              <w:szCs w:val="21"/>
            </w:rPr>
            <w:fldChar w:fldCharType="begin"/>
          </w:r>
          <w:r>
            <w:rPr>
              <w:rFonts w:hint="default"/>
              <w:sz w:val="21"/>
              <w:szCs w:val="21"/>
            </w:rPr>
            <w:instrText xml:space="preserve"> HYPERLINK \l _Toc24244 </w:instrText>
          </w:r>
          <w:r>
            <w:rPr>
              <w:rFonts w:hint="default"/>
              <w:sz w:val="21"/>
              <w:szCs w:val="21"/>
            </w:rPr>
            <w:fldChar w:fldCharType="separate"/>
          </w:r>
          <w:r>
            <w:rPr>
              <w:rFonts w:hint="default" w:ascii="Times New Roman" w:hAnsi="Times New Roman" w:eastAsia="宋体" w:cs="Times New Roman"/>
              <w:bCs/>
              <w:sz w:val="21"/>
              <w:szCs w:val="21"/>
            </w:rPr>
            <w:t>6.8.6环境风险潜势初判及评价等级判定</w:t>
          </w:r>
          <w:r>
            <w:rPr>
              <w:sz w:val="21"/>
              <w:szCs w:val="21"/>
            </w:rPr>
            <w:tab/>
          </w:r>
          <w:r>
            <w:rPr>
              <w:sz w:val="21"/>
              <w:szCs w:val="21"/>
            </w:rPr>
            <w:fldChar w:fldCharType="begin"/>
          </w:r>
          <w:r>
            <w:rPr>
              <w:sz w:val="21"/>
              <w:szCs w:val="21"/>
            </w:rPr>
            <w:instrText xml:space="preserve"> PAGEREF _Toc24244 \h </w:instrText>
          </w:r>
          <w:r>
            <w:rPr>
              <w:sz w:val="21"/>
              <w:szCs w:val="21"/>
            </w:rPr>
            <w:fldChar w:fldCharType="separate"/>
          </w:r>
          <w:r>
            <w:rPr>
              <w:sz w:val="21"/>
              <w:szCs w:val="21"/>
            </w:rPr>
            <w:t>129</w:t>
          </w:r>
          <w:r>
            <w:rPr>
              <w:sz w:val="21"/>
              <w:szCs w:val="21"/>
            </w:rPr>
            <w:fldChar w:fldCharType="end"/>
          </w:r>
          <w:r>
            <w:rPr>
              <w:rFonts w:hint="default"/>
              <w:sz w:val="21"/>
              <w:szCs w:val="21"/>
            </w:rPr>
            <w:fldChar w:fldCharType="end"/>
          </w:r>
        </w:p>
        <w:p w14:paraId="24CF62C2">
          <w:pPr>
            <w:pStyle w:val="14"/>
            <w:tabs>
              <w:tab w:val="right" w:leader="dot" w:pos="8304"/>
            </w:tabs>
            <w:rPr>
              <w:sz w:val="21"/>
              <w:szCs w:val="21"/>
            </w:rPr>
          </w:pPr>
          <w:r>
            <w:rPr>
              <w:rFonts w:hint="default"/>
              <w:sz w:val="21"/>
              <w:szCs w:val="21"/>
            </w:rPr>
            <w:fldChar w:fldCharType="begin"/>
          </w:r>
          <w:r>
            <w:rPr>
              <w:rFonts w:hint="default"/>
              <w:sz w:val="21"/>
              <w:szCs w:val="21"/>
            </w:rPr>
            <w:instrText xml:space="preserve"> HYPERLINK \l _Toc4469 </w:instrText>
          </w:r>
          <w:r>
            <w:rPr>
              <w:rFonts w:hint="default"/>
              <w:sz w:val="21"/>
              <w:szCs w:val="21"/>
            </w:rPr>
            <w:fldChar w:fldCharType="separate"/>
          </w:r>
          <w:r>
            <w:rPr>
              <w:rFonts w:hint="default" w:ascii="Times New Roman" w:hAnsi="Times New Roman" w:eastAsia="宋体" w:cs="Times New Roman"/>
              <w:bCs/>
              <w:sz w:val="21"/>
              <w:szCs w:val="21"/>
            </w:rPr>
            <w:t>6.8.7环境风险分析</w:t>
          </w:r>
          <w:r>
            <w:rPr>
              <w:sz w:val="21"/>
              <w:szCs w:val="21"/>
            </w:rPr>
            <w:tab/>
          </w:r>
          <w:r>
            <w:rPr>
              <w:sz w:val="21"/>
              <w:szCs w:val="21"/>
            </w:rPr>
            <w:fldChar w:fldCharType="begin"/>
          </w:r>
          <w:r>
            <w:rPr>
              <w:sz w:val="21"/>
              <w:szCs w:val="21"/>
            </w:rPr>
            <w:instrText xml:space="preserve"> PAGEREF _Toc4469 \h </w:instrText>
          </w:r>
          <w:r>
            <w:rPr>
              <w:sz w:val="21"/>
              <w:szCs w:val="21"/>
            </w:rPr>
            <w:fldChar w:fldCharType="separate"/>
          </w:r>
          <w:r>
            <w:rPr>
              <w:sz w:val="21"/>
              <w:szCs w:val="21"/>
            </w:rPr>
            <w:t>130</w:t>
          </w:r>
          <w:r>
            <w:rPr>
              <w:sz w:val="21"/>
              <w:szCs w:val="21"/>
            </w:rPr>
            <w:fldChar w:fldCharType="end"/>
          </w:r>
          <w:r>
            <w:rPr>
              <w:rFonts w:hint="default"/>
              <w:sz w:val="21"/>
              <w:szCs w:val="21"/>
            </w:rPr>
            <w:fldChar w:fldCharType="end"/>
          </w:r>
        </w:p>
        <w:p w14:paraId="50F18121">
          <w:pPr>
            <w:pStyle w:val="14"/>
            <w:tabs>
              <w:tab w:val="right" w:leader="dot" w:pos="8304"/>
            </w:tabs>
            <w:rPr>
              <w:sz w:val="21"/>
              <w:szCs w:val="21"/>
            </w:rPr>
          </w:pPr>
          <w:r>
            <w:rPr>
              <w:rFonts w:hint="default"/>
              <w:sz w:val="21"/>
              <w:szCs w:val="21"/>
            </w:rPr>
            <w:fldChar w:fldCharType="begin"/>
          </w:r>
          <w:r>
            <w:rPr>
              <w:rFonts w:hint="default"/>
              <w:sz w:val="21"/>
              <w:szCs w:val="21"/>
            </w:rPr>
            <w:instrText xml:space="preserve"> HYPERLINK \l _Toc4599 </w:instrText>
          </w:r>
          <w:r>
            <w:rPr>
              <w:rFonts w:hint="default"/>
              <w:sz w:val="21"/>
              <w:szCs w:val="21"/>
            </w:rPr>
            <w:fldChar w:fldCharType="separate"/>
          </w:r>
          <w:r>
            <w:rPr>
              <w:rFonts w:hint="default" w:ascii="Times New Roman" w:hAnsi="Times New Roman" w:eastAsia="宋体" w:cs="Times New Roman"/>
              <w:bCs/>
              <w:sz w:val="21"/>
              <w:szCs w:val="21"/>
            </w:rPr>
            <w:t>6.8.8环境风险防范措施及应急要求</w:t>
          </w:r>
          <w:r>
            <w:rPr>
              <w:sz w:val="21"/>
              <w:szCs w:val="21"/>
            </w:rPr>
            <w:tab/>
          </w:r>
          <w:r>
            <w:rPr>
              <w:sz w:val="21"/>
              <w:szCs w:val="21"/>
            </w:rPr>
            <w:fldChar w:fldCharType="begin"/>
          </w:r>
          <w:r>
            <w:rPr>
              <w:sz w:val="21"/>
              <w:szCs w:val="21"/>
            </w:rPr>
            <w:instrText xml:space="preserve"> PAGEREF _Toc4599 \h </w:instrText>
          </w:r>
          <w:r>
            <w:rPr>
              <w:sz w:val="21"/>
              <w:szCs w:val="21"/>
            </w:rPr>
            <w:fldChar w:fldCharType="separate"/>
          </w:r>
          <w:r>
            <w:rPr>
              <w:sz w:val="21"/>
              <w:szCs w:val="21"/>
            </w:rPr>
            <w:t>131</w:t>
          </w:r>
          <w:r>
            <w:rPr>
              <w:sz w:val="21"/>
              <w:szCs w:val="21"/>
            </w:rPr>
            <w:fldChar w:fldCharType="end"/>
          </w:r>
          <w:r>
            <w:rPr>
              <w:rFonts w:hint="default"/>
              <w:sz w:val="21"/>
              <w:szCs w:val="21"/>
            </w:rPr>
            <w:fldChar w:fldCharType="end"/>
          </w:r>
        </w:p>
        <w:p w14:paraId="62E28ACB">
          <w:pPr>
            <w:pStyle w:val="14"/>
            <w:tabs>
              <w:tab w:val="right" w:leader="dot" w:pos="8304"/>
            </w:tabs>
            <w:rPr>
              <w:sz w:val="21"/>
              <w:szCs w:val="21"/>
            </w:rPr>
          </w:pPr>
          <w:r>
            <w:rPr>
              <w:rFonts w:hint="default"/>
              <w:sz w:val="21"/>
              <w:szCs w:val="21"/>
            </w:rPr>
            <w:fldChar w:fldCharType="begin"/>
          </w:r>
          <w:r>
            <w:rPr>
              <w:rFonts w:hint="default"/>
              <w:sz w:val="21"/>
              <w:szCs w:val="21"/>
            </w:rPr>
            <w:instrText xml:space="preserve"> HYPERLINK \l _Toc28755 </w:instrText>
          </w:r>
          <w:r>
            <w:rPr>
              <w:rFonts w:hint="default"/>
              <w:sz w:val="21"/>
              <w:szCs w:val="21"/>
            </w:rPr>
            <w:fldChar w:fldCharType="separate"/>
          </w:r>
          <w:r>
            <w:rPr>
              <w:rFonts w:hint="default" w:ascii="Times New Roman" w:hAnsi="Times New Roman" w:eastAsia="宋体" w:cs="Times New Roman"/>
              <w:bCs/>
              <w:sz w:val="21"/>
              <w:szCs w:val="21"/>
            </w:rPr>
            <w:t>6.8.9风险事故应急预案</w:t>
          </w:r>
          <w:r>
            <w:rPr>
              <w:sz w:val="21"/>
              <w:szCs w:val="21"/>
            </w:rPr>
            <w:tab/>
          </w:r>
          <w:r>
            <w:rPr>
              <w:sz w:val="21"/>
              <w:szCs w:val="21"/>
            </w:rPr>
            <w:fldChar w:fldCharType="begin"/>
          </w:r>
          <w:r>
            <w:rPr>
              <w:sz w:val="21"/>
              <w:szCs w:val="21"/>
            </w:rPr>
            <w:instrText xml:space="preserve"> PAGEREF _Toc28755 \h </w:instrText>
          </w:r>
          <w:r>
            <w:rPr>
              <w:sz w:val="21"/>
              <w:szCs w:val="21"/>
            </w:rPr>
            <w:fldChar w:fldCharType="separate"/>
          </w:r>
          <w:r>
            <w:rPr>
              <w:sz w:val="21"/>
              <w:szCs w:val="21"/>
            </w:rPr>
            <w:t>137</w:t>
          </w:r>
          <w:r>
            <w:rPr>
              <w:sz w:val="21"/>
              <w:szCs w:val="21"/>
            </w:rPr>
            <w:fldChar w:fldCharType="end"/>
          </w:r>
          <w:r>
            <w:rPr>
              <w:rFonts w:hint="default"/>
              <w:sz w:val="21"/>
              <w:szCs w:val="21"/>
            </w:rPr>
            <w:fldChar w:fldCharType="end"/>
          </w:r>
        </w:p>
        <w:p w14:paraId="4434D0DD">
          <w:pPr>
            <w:pStyle w:val="14"/>
            <w:tabs>
              <w:tab w:val="right" w:leader="dot" w:pos="8304"/>
            </w:tabs>
            <w:rPr>
              <w:sz w:val="21"/>
              <w:szCs w:val="21"/>
            </w:rPr>
          </w:pPr>
          <w:r>
            <w:rPr>
              <w:rFonts w:hint="default"/>
              <w:sz w:val="21"/>
              <w:szCs w:val="21"/>
            </w:rPr>
            <w:fldChar w:fldCharType="begin"/>
          </w:r>
          <w:r>
            <w:rPr>
              <w:rFonts w:hint="default"/>
              <w:sz w:val="21"/>
              <w:szCs w:val="21"/>
            </w:rPr>
            <w:instrText xml:space="preserve"> HYPERLINK \l _Toc30474 </w:instrText>
          </w:r>
          <w:r>
            <w:rPr>
              <w:rFonts w:hint="default"/>
              <w:sz w:val="21"/>
              <w:szCs w:val="21"/>
            </w:rPr>
            <w:fldChar w:fldCharType="separate"/>
          </w:r>
          <w:r>
            <w:rPr>
              <w:rFonts w:hint="default" w:ascii="Times New Roman" w:hAnsi="Times New Roman" w:eastAsia="宋体" w:cs="Times New Roman"/>
              <w:bCs/>
              <w:sz w:val="21"/>
              <w:szCs w:val="21"/>
            </w:rPr>
            <w:t>6.8.10风险评价结论</w:t>
          </w:r>
          <w:r>
            <w:rPr>
              <w:sz w:val="21"/>
              <w:szCs w:val="21"/>
            </w:rPr>
            <w:tab/>
          </w:r>
          <w:r>
            <w:rPr>
              <w:sz w:val="21"/>
              <w:szCs w:val="21"/>
            </w:rPr>
            <w:fldChar w:fldCharType="begin"/>
          </w:r>
          <w:r>
            <w:rPr>
              <w:sz w:val="21"/>
              <w:szCs w:val="21"/>
            </w:rPr>
            <w:instrText xml:space="preserve"> PAGEREF _Toc30474 \h </w:instrText>
          </w:r>
          <w:r>
            <w:rPr>
              <w:sz w:val="21"/>
              <w:szCs w:val="21"/>
            </w:rPr>
            <w:fldChar w:fldCharType="separate"/>
          </w:r>
          <w:r>
            <w:rPr>
              <w:sz w:val="21"/>
              <w:szCs w:val="21"/>
            </w:rPr>
            <w:t>139</w:t>
          </w:r>
          <w:r>
            <w:rPr>
              <w:sz w:val="21"/>
              <w:szCs w:val="21"/>
            </w:rPr>
            <w:fldChar w:fldCharType="end"/>
          </w:r>
          <w:r>
            <w:rPr>
              <w:rFonts w:hint="default"/>
              <w:sz w:val="21"/>
              <w:szCs w:val="21"/>
            </w:rPr>
            <w:fldChar w:fldCharType="end"/>
          </w:r>
        </w:p>
        <w:p w14:paraId="642EB6AD">
          <w:pPr>
            <w:pStyle w:val="21"/>
            <w:tabs>
              <w:tab w:val="right" w:leader="dot" w:pos="8304"/>
            </w:tabs>
            <w:ind w:left="0" w:leftChars="0" w:firstLine="420" w:firstLineChars="200"/>
            <w:jc w:val="both"/>
            <w:rPr>
              <w:sz w:val="21"/>
              <w:szCs w:val="21"/>
            </w:rPr>
          </w:pPr>
          <w:r>
            <w:rPr>
              <w:rFonts w:hint="default"/>
              <w:sz w:val="21"/>
              <w:szCs w:val="21"/>
            </w:rPr>
            <w:fldChar w:fldCharType="begin"/>
          </w:r>
          <w:r>
            <w:rPr>
              <w:rFonts w:hint="default"/>
              <w:sz w:val="21"/>
              <w:szCs w:val="21"/>
            </w:rPr>
            <w:instrText xml:space="preserve"> HYPERLINK \l _Toc31025 </w:instrText>
          </w:r>
          <w:r>
            <w:rPr>
              <w:rFonts w:hint="default"/>
              <w:sz w:val="21"/>
              <w:szCs w:val="21"/>
            </w:rPr>
            <w:fldChar w:fldCharType="separate"/>
          </w:r>
          <w:r>
            <w:rPr>
              <w:rFonts w:hint="default" w:ascii="Times New Roman" w:hAnsi="Times New Roman" w:eastAsia="宋体" w:cs="Times New Roman"/>
              <w:bCs/>
              <w:sz w:val="21"/>
              <w:szCs w:val="21"/>
            </w:rPr>
            <w:t>7运营期环境保护措施及其可行性论证</w:t>
          </w:r>
          <w:r>
            <w:rPr>
              <w:sz w:val="21"/>
              <w:szCs w:val="21"/>
            </w:rPr>
            <w:tab/>
          </w:r>
          <w:r>
            <w:rPr>
              <w:sz w:val="21"/>
              <w:szCs w:val="21"/>
            </w:rPr>
            <w:fldChar w:fldCharType="begin"/>
          </w:r>
          <w:r>
            <w:rPr>
              <w:sz w:val="21"/>
              <w:szCs w:val="21"/>
            </w:rPr>
            <w:instrText xml:space="preserve"> PAGEREF _Toc31025 \h </w:instrText>
          </w:r>
          <w:r>
            <w:rPr>
              <w:sz w:val="21"/>
              <w:szCs w:val="21"/>
            </w:rPr>
            <w:fldChar w:fldCharType="separate"/>
          </w:r>
          <w:r>
            <w:rPr>
              <w:sz w:val="21"/>
              <w:szCs w:val="21"/>
            </w:rPr>
            <w:t>141</w:t>
          </w:r>
          <w:r>
            <w:rPr>
              <w:sz w:val="21"/>
              <w:szCs w:val="21"/>
            </w:rPr>
            <w:fldChar w:fldCharType="end"/>
          </w:r>
          <w:r>
            <w:rPr>
              <w:rFonts w:hint="default"/>
              <w:sz w:val="21"/>
              <w:szCs w:val="21"/>
            </w:rPr>
            <w:fldChar w:fldCharType="end"/>
          </w:r>
        </w:p>
        <w:p w14:paraId="6CEC0E7C">
          <w:pPr>
            <w:pStyle w:val="26"/>
            <w:tabs>
              <w:tab w:val="right" w:leader="dot" w:pos="8304"/>
            </w:tabs>
            <w:rPr>
              <w:sz w:val="21"/>
              <w:szCs w:val="21"/>
            </w:rPr>
          </w:pPr>
          <w:r>
            <w:rPr>
              <w:rFonts w:hint="default"/>
              <w:sz w:val="21"/>
              <w:szCs w:val="21"/>
            </w:rPr>
            <w:fldChar w:fldCharType="begin"/>
          </w:r>
          <w:r>
            <w:rPr>
              <w:rFonts w:hint="default"/>
              <w:sz w:val="21"/>
              <w:szCs w:val="21"/>
            </w:rPr>
            <w:instrText xml:space="preserve"> HYPERLINK \l _Toc31938 </w:instrText>
          </w:r>
          <w:r>
            <w:rPr>
              <w:rFonts w:hint="default"/>
              <w:sz w:val="21"/>
              <w:szCs w:val="21"/>
            </w:rPr>
            <w:fldChar w:fldCharType="separate"/>
          </w:r>
          <w:r>
            <w:rPr>
              <w:rFonts w:hint="default" w:ascii="Times New Roman" w:hAnsi="Times New Roman" w:eastAsia="宋体" w:cs="Times New Roman"/>
              <w:bCs/>
              <w:sz w:val="21"/>
              <w:szCs w:val="21"/>
            </w:rPr>
            <w:t>7.1施工期环保措施可行性分析</w:t>
          </w:r>
          <w:r>
            <w:rPr>
              <w:sz w:val="21"/>
              <w:szCs w:val="21"/>
            </w:rPr>
            <w:tab/>
          </w:r>
          <w:r>
            <w:rPr>
              <w:sz w:val="21"/>
              <w:szCs w:val="21"/>
            </w:rPr>
            <w:fldChar w:fldCharType="begin"/>
          </w:r>
          <w:r>
            <w:rPr>
              <w:sz w:val="21"/>
              <w:szCs w:val="21"/>
            </w:rPr>
            <w:instrText xml:space="preserve"> PAGEREF _Toc31938 \h </w:instrText>
          </w:r>
          <w:r>
            <w:rPr>
              <w:sz w:val="21"/>
              <w:szCs w:val="21"/>
            </w:rPr>
            <w:fldChar w:fldCharType="separate"/>
          </w:r>
          <w:r>
            <w:rPr>
              <w:sz w:val="21"/>
              <w:szCs w:val="21"/>
            </w:rPr>
            <w:t>141</w:t>
          </w:r>
          <w:r>
            <w:rPr>
              <w:sz w:val="21"/>
              <w:szCs w:val="21"/>
            </w:rPr>
            <w:fldChar w:fldCharType="end"/>
          </w:r>
          <w:r>
            <w:rPr>
              <w:rFonts w:hint="default"/>
              <w:sz w:val="21"/>
              <w:szCs w:val="21"/>
            </w:rPr>
            <w:fldChar w:fldCharType="end"/>
          </w:r>
        </w:p>
        <w:p w14:paraId="30C35565">
          <w:pPr>
            <w:pStyle w:val="14"/>
            <w:tabs>
              <w:tab w:val="right" w:leader="dot" w:pos="8304"/>
            </w:tabs>
            <w:rPr>
              <w:sz w:val="21"/>
              <w:szCs w:val="21"/>
            </w:rPr>
          </w:pPr>
          <w:r>
            <w:rPr>
              <w:rFonts w:hint="default"/>
              <w:sz w:val="21"/>
              <w:szCs w:val="21"/>
            </w:rPr>
            <w:fldChar w:fldCharType="begin"/>
          </w:r>
          <w:r>
            <w:rPr>
              <w:rFonts w:hint="default"/>
              <w:sz w:val="21"/>
              <w:szCs w:val="21"/>
            </w:rPr>
            <w:instrText xml:space="preserve"> HYPERLINK \l _Toc11571 </w:instrText>
          </w:r>
          <w:r>
            <w:rPr>
              <w:rFonts w:hint="default"/>
              <w:sz w:val="21"/>
              <w:szCs w:val="21"/>
            </w:rPr>
            <w:fldChar w:fldCharType="separate"/>
          </w:r>
          <w:r>
            <w:rPr>
              <w:rFonts w:hint="default" w:ascii="Times New Roman" w:hAnsi="Times New Roman" w:eastAsia="宋体" w:cs="Times New Roman"/>
              <w:bCs/>
              <w:sz w:val="21"/>
              <w:szCs w:val="21"/>
            </w:rPr>
            <w:t>7.1.1废气污染的控制措施</w:t>
          </w:r>
          <w:r>
            <w:rPr>
              <w:sz w:val="21"/>
              <w:szCs w:val="21"/>
            </w:rPr>
            <w:tab/>
          </w:r>
          <w:r>
            <w:rPr>
              <w:sz w:val="21"/>
              <w:szCs w:val="21"/>
            </w:rPr>
            <w:fldChar w:fldCharType="begin"/>
          </w:r>
          <w:r>
            <w:rPr>
              <w:sz w:val="21"/>
              <w:szCs w:val="21"/>
            </w:rPr>
            <w:instrText xml:space="preserve"> PAGEREF _Toc11571 \h </w:instrText>
          </w:r>
          <w:r>
            <w:rPr>
              <w:sz w:val="21"/>
              <w:szCs w:val="21"/>
            </w:rPr>
            <w:fldChar w:fldCharType="separate"/>
          </w:r>
          <w:r>
            <w:rPr>
              <w:sz w:val="21"/>
              <w:szCs w:val="21"/>
            </w:rPr>
            <w:t>141</w:t>
          </w:r>
          <w:r>
            <w:rPr>
              <w:sz w:val="21"/>
              <w:szCs w:val="21"/>
            </w:rPr>
            <w:fldChar w:fldCharType="end"/>
          </w:r>
          <w:r>
            <w:rPr>
              <w:rFonts w:hint="default"/>
              <w:sz w:val="21"/>
              <w:szCs w:val="21"/>
            </w:rPr>
            <w:fldChar w:fldCharType="end"/>
          </w:r>
        </w:p>
        <w:p w14:paraId="65507739">
          <w:pPr>
            <w:pStyle w:val="14"/>
            <w:tabs>
              <w:tab w:val="right" w:leader="dot" w:pos="8304"/>
            </w:tabs>
            <w:rPr>
              <w:sz w:val="21"/>
              <w:szCs w:val="21"/>
            </w:rPr>
          </w:pPr>
          <w:r>
            <w:rPr>
              <w:rFonts w:hint="default"/>
              <w:sz w:val="21"/>
              <w:szCs w:val="21"/>
            </w:rPr>
            <w:fldChar w:fldCharType="begin"/>
          </w:r>
          <w:r>
            <w:rPr>
              <w:rFonts w:hint="default"/>
              <w:sz w:val="21"/>
              <w:szCs w:val="21"/>
            </w:rPr>
            <w:instrText xml:space="preserve"> HYPERLINK \l _Toc7912 </w:instrText>
          </w:r>
          <w:r>
            <w:rPr>
              <w:rFonts w:hint="default"/>
              <w:sz w:val="21"/>
              <w:szCs w:val="21"/>
            </w:rPr>
            <w:fldChar w:fldCharType="separate"/>
          </w:r>
          <w:r>
            <w:rPr>
              <w:rFonts w:hint="default" w:ascii="Times New Roman" w:hAnsi="Times New Roman" w:eastAsia="宋体" w:cs="Times New Roman"/>
              <w:bCs/>
              <w:sz w:val="21"/>
              <w:szCs w:val="21"/>
            </w:rPr>
            <w:t>7.1.2废水污染的治理措施</w:t>
          </w:r>
          <w:r>
            <w:rPr>
              <w:sz w:val="21"/>
              <w:szCs w:val="21"/>
            </w:rPr>
            <w:tab/>
          </w:r>
          <w:r>
            <w:rPr>
              <w:sz w:val="21"/>
              <w:szCs w:val="21"/>
            </w:rPr>
            <w:fldChar w:fldCharType="begin"/>
          </w:r>
          <w:r>
            <w:rPr>
              <w:sz w:val="21"/>
              <w:szCs w:val="21"/>
            </w:rPr>
            <w:instrText xml:space="preserve"> PAGEREF _Toc7912 \h </w:instrText>
          </w:r>
          <w:r>
            <w:rPr>
              <w:sz w:val="21"/>
              <w:szCs w:val="21"/>
            </w:rPr>
            <w:fldChar w:fldCharType="separate"/>
          </w:r>
          <w:r>
            <w:rPr>
              <w:sz w:val="21"/>
              <w:szCs w:val="21"/>
            </w:rPr>
            <w:t>142</w:t>
          </w:r>
          <w:r>
            <w:rPr>
              <w:sz w:val="21"/>
              <w:szCs w:val="21"/>
            </w:rPr>
            <w:fldChar w:fldCharType="end"/>
          </w:r>
          <w:r>
            <w:rPr>
              <w:rFonts w:hint="default"/>
              <w:sz w:val="21"/>
              <w:szCs w:val="21"/>
            </w:rPr>
            <w:fldChar w:fldCharType="end"/>
          </w:r>
        </w:p>
        <w:p w14:paraId="1E58C7BF">
          <w:pPr>
            <w:pStyle w:val="14"/>
            <w:tabs>
              <w:tab w:val="right" w:leader="dot" w:pos="8304"/>
            </w:tabs>
            <w:rPr>
              <w:sz w:val="21"/>
              <w:szCs w:val="21"/>
            </w:rPr>
          </w:pPr>
          <w:r>
            <w:rPr>
              <w:rFonts w:hint="default"/>
              <w:sz w:val="21"/>
              <w:szCs w:val="21"/>
            </w:rPr>
            <w:fldChar w:fldCharType="begin"/>
          </w:r>
          <w:r>
            <w:rPr>
              <w:rFonts w:hint="default"/>
              <w:sz w:val="21"/>
              <w:szCs w:val="21"/>
            </w:rPr>
            <w:instrText xml:space="preserve"> HYPERLINK \l _Toc25439 </w:instrText>
          </w:r>
          <w:r>
            <w:rPr>
              <w:rFonts w:hint="default"/>
              <w:sz w:val="21"/>
              <w:szCs w:val="21"/>
            </w:rPr>
            <w:fldChar w:fldCharType="separate"/>
          </w:r>
          <w:r>
            <w:rPr>
              <w:rFonts w:hint="default" w:ascii="Times New Roman" w:hAnsi="Times New Roman" w:eastAsia="宋体" w:cs="Times New Roman"/>
              <w:bCs/>
              <w:sz w:val="21"/>
              <w:szCs w:val="21"/>
            </w:rPr>
            <w:t>7.1.3噪声控制措施</w:t>
          </w:r>
          <w:r>
            <w:rPr>
              <w:sz w:val="21"/>
              <w:szCs w:val="21"/>
            </w:rPr>
            <w:tab/>
          </w:r>
          <w:r>
            <w:rPr>
              <w:sz w:val="21"/>
              <w:szCs w:val="21"/>
            </w:rPr>
            <w:fldChar w:fldCharType="begin"/>
          </w:r>
          <w:r>
            <w:rPr>
              <w:sz w:val="21"/>
              <w:szCs w:val="21"/>
            </w:rPr>
            <w:instrText xml:space="preserve"> PAGEREF _Toc25439 \h </w:instrText>
          </w:r>
          <w:r>
            <w:rPr>
              <w:sz w:val="21"/>
              <w:szCs w:val="21"/>
            </w:rPr>
            <w:fldChar w:fldCharType="separate"/>
          </w:r>
          <w:r>
            <w:rPr>
              <w:sz w:val="21"/>
              <w:szCs w:val="21"/>
            </w:rPr>
            <w:t>142</w:t>
          </w:r>
          <w:r>
            <w:rPr>
              <w:sz w:val="21"/>
              <w:szCs w:val="21"/>
            </w:rPr>
            <w:fldChar w:fldCharType="end"/>
          </w:r>
          <w:r>
            <w:rPr>
              <w:rFonts w:hint="default"/>
              <w:sz w:val="21"/>
              <w:szCs w:val="21"/>
            </w:rPr>
            <w:fldChar w:fldCharType="end"/>
          </w:r>
        </w:p>
        <w:p w14:paraId="1B7D85F2">
          <w:pPr>
            <w:pStyle w:val="14"/>
            <w:tabs>
              <w:tab w:val="right" w:leader="dot" w:pos="8304"/>
            </w:tabs>
            <w:rPr>
              <w:sz w:val="21"/>
              <w:szCs w:val="21"/>
            </w:rPr>
          </w:pPr>
          <w:r>
            <w:rPr>
              <w:rFonts w:hint="default"/>
              <w:sz w:val="21"/>
              <w:szCs w:val="21"/>
            </w:rPr>
            <w:fldChar w:fldCharType="begin"/>
          </w:r>
          <w:r>
            <w:rPr>
              <w:rFonts w:hint="default"/>
              <w:sz w:val="21"/>
              <w:szCs w:val="21"/>
            </w:rPr>
            <w:instrText xml:space="preserve"> HYPERLINK \l _Toc8489 </w:instrText>
          </w:r>
          <w:r>
            <w:rPr>
              <w:rFonts w:hint="default"/>
              <w:sz w:val="21"/>
              <w:szCs w:val="21"/>
            </w:rPr>
            <w:fldChar w:fldCharType="separate"/>
          </w:r>
          <w:r>
            <w:rPr>
              <w:rFonts w:hint="default" w:ascii="Times New Roman" w:hAnsi="Times New Roman" w:eastAsia="宋体" w:cs="Times New Roman"/>
              <w:bCs/>
              <w:sz w:val="21"/>
              <w:szCs w:val="21"/>
            </w:rPr>
            <w:t>7.1.4固体废物的处置措施</w:t>
          </w:r>
          <w:r>
            <w:rPr>
              <w:sz w:val="21"/>
              <w:szCs w:val="21"/>
            </w:rPr>
            <w:tab/>
          </w:r>
          <w:r>
            <w:rPr>
              <w:sz w:val="21"/>
              <w:szCs w:val="21"/>
            </w:rPr>
            <w:fldChar w:fldCharType="begin"/>
          </w:r>
          <w:r>
            <w:rPr>
              <w:sz w:val="21"/>
              <w:szCs w:val="21"/>
            </w:rPr>
            <w:instrText xml:space="preserve"> PAGEREF _Toc8489 \h </w:instrText>
          </w:r>
          <w:r>
            <w:rPr>
              <w:sz w:val="21"/>
              <w:szCs w:val="21"/>
            </w:rPr>
            <w:fldChar w:fldCharType="separate"/>
          </w:r>
          <w:r>
            <w:rPr>
              <w:sz w:val="21"/>
              <w:szCs w:val="21"/>
            </w:rPr>
            <w:t>143</w:t>
          </w:r>
          <w:r>
            <w:rPr>
              <w:sz w:val="21"/>
              <w:szCs w:val="21"/>
            </w:rPr>
            <w:fldChar w:fldCharType="end"/>
          </w:r>
          <w:r>
            <w:rPr>
              <w:rFonts w:hint="default"/>
              <w:sz w:val="21"/>
              <w:szCs w:val="21"/>
            </w:rPr>
            <w:fldChar w:fldCharType="end"/>
          </w:r>
        </w:p>
        <w:p w14:paraId="234FE89B">
          <w:pPr>
            <w:pStyle w:val="14"/>
            <w:tabs>
              <w:tab w:val="right" w:leader="dot" w:pos="8304"/>
            </w:tabs>
            <w:rPr>
              <w:sz w:val="21"/>
              <w:szCs w:val="21"/>
            </w:rPr>
          </w:pPr>
          <w:r>
            <w:rPr>
              <w:rFonts w:hint="default"/>
              <w:sz w:val="21"/>
              <w:szCs w:val="21"/>
            </w:rPr>
            <w:fldChar w:fldCharType="begin"/>
          </w:r>
          <w:r>
            <w:rPr>
              <w:rFonts w:hint="default"/>
              <w:sz w:val="21"/>
              <w:szCs w:val="21"/>
            </w:rPr>
            <w:instrText xml:space="preserve"> HYPERLINK \l _Toc32363 </w:instrText>
          </w:r>
          <w:r>
            <w:rPr>
              <w:rFonts w:hint="default"/>
              <w:sz w:val="21"/>
              <w:szCs w:val="21"/>
            </w:rPr>
            <w:fldChar w:fldCharType="separate"/>
          </w:r>
          <w:r>
            <w:rPr>
              <w:rFonts w:hint="default" w:ascii="Times New Roman" w:hAnsi="Times New Roman" w:eastAsia="宋体" w:cs="Times New Roman"/>
              <w:bCs/>
              <w:sz w:val="21"/>
              <w:szCs w:val="21"/>
            </w:rPr>
            <w:t>7.1.5生态影响及控制措施</w:t>
          </w:r>
          <w:r>
            <w:rPr>
              <w:sz w:val="21"/>
              <w:szCs w:val="21"/>
            </w:rPr>
            <w:tab/>
          </w:r>
          <w:r>
            <w:rPr>
              <w:sz w:val="21"/>
              <w:szCs w:val="21"/>
            </w:rPr>
            <w:fldChar w:fldCharType="begin"/>
          </w:r>
          <w:r>
            <w:rPr>
              <w:sz w:val="21"/>
              <w:szCs w:val="21"/>
            </w:rPr>
            <w:instrText xml:space="preserve"> PAGEREF _Toc32363 \h </w:instrText>
          </w:r>
          <w:r>
            <w:rPr>
              <w:sz w:val="21"/>
              <w:szCs w:val="21"/>
            </w:rPr>
            <w:fldChar w:fldCharType="separate"/>
          </w:r>
          <w:r>
            <w:rPr>
              <w:sz w:val="21"/>
              <w:szCs w:val="21"/>
            </w:rPr>
            <w:t>143</w:t>
          </w:r>
          <w:r>
            <w:rPr>
              <w:sz w:val="21"/>
              <w:szCs w:val="21"/>
            </w:rPr>
            <w:fldChar w:fldCharType="end"/>
          </w:r>
          <w:r>
            <w:rPr>
              <w:rFonts w:hint="default"/>
              <w:sz w:val="21"/>
              <w:szCs w:val="21"/>
            </w:rPr>
            <w:fldChar w:fldCharType="end"/>
          </w:r>
        </w:p>
        <w:p w14:paraId="2D038B92">
          <w:pPr>
            <w:pStyle w:val="26"/>
            <w:tabs>
              <w:tab w:val="right" w:leader="dot" w:pos="8304"/>
            </w:tabs>
            <w:rPr>
              <w:sz w:val="21"/>
              <w:szCs w:val="21"/>
            </w:rPr>
          </w:pPr>
          <w:r>
            <w:rPr>
              <w:rFonts w:hint="default"/>
              <w:sz w:val="21"/>
              <w:szCs w:val="21"/>
            </w:rPr>
            <w:fldChar w:fldCharType="begin"/>
          </w:r>
          <w:r>
            <w:rPr>
              <w:rFonts w:hint="default"/>
              <w:sz w:val="21"/>
              <w:szCs w:val="21"/>
            </w:rPr>
            <w:instrText xml:space="preserve"> HYPERLINK \l _Toc14902 </w:instrText>
          </w:r>
          <w:r>
            <w:rPr>
              <w:rFonts w:hint="default"/>
              <w:sz w:val="21"/>
              <w:szCs w:val="21"/>
            </w:rPr>
            <w:fldChar w:fldCharType="separate"/>
          </w:r>
          <w:r>
            <w:rPr>
              <w:rFonts w:hint="default" w:ascii="Times New Roman" w:hAnsi="Times New Roman" w:eastAsia="宋体" w:cs="Times New Roman"/>
              <w:bCs/>
              <w:sz w:val="21"/>
              <w:szCs w:val="21"/>
            </w:rPr>
            <w:t>7.2运营期环保措施可行性分析</w:t>
          </w:r>
          <w:r>
            <w:rPr>
              <w:sz w:val="21"/>
              <w:szCs w:val="21"/>
            </w:rPr>
            <w:tab/>
          </w:r>
          <w:r>
            <w:rPr>
              <w:sz w:val="21"/>
              <w:szCs w:val="21"/>
            </w:rPr>
            <w:fldChar w:fldCharType="begin"/>
          </w:r>
          <w:r>
            <w:rPr>
              <w:sz w:val="21"/>
              <w:szCs w:val="21"/>
            </w:rPr>
            <w:instrText xml:space="preserve"> PAGEREF _Toc14902 \h </w:instrText>
          </w:r>
          <w:r>
            <w:rPr>
              <w:sz w:val="21"/>
              <w:szCs w:val="21"/>
            </w:rPr>
            <w:fldChar w:fldCharType="separate"/>
          </w:r>
          <w:r>
            <w:rPr>
              <w:sz w:val="21"/>
              <w:szCs w:val="21"/>
            </w:rPr>
            <w:t>143</w:t>
          </w:r>
          <w:r>
            <w:rPr>
              <w:sz w:val="21"/>
              <w:szCs w:val="21"/>
            </w:rPr>
            <w:fldChar w:fldCharType="end"/>
          </w:r>
          <w:r>
            <w:rPr>
              <w:rFonts w:hint="default"/>
              <w:sz w:val="21"/>
              <w:szCs w:val="21"/>
            </w:rPr>
            <w:fldChar w:fldCharType="end"/>
          </w:r>
        </w:p>
        <w:p w14:paraId="63F96F69">
          <w:pPr>
            <w:pStyle w:val="14"/>
            <w:tabs>
              <w:tab w:val="right" w:leader="dot" w:pos="8304"/>
            </w:tabs>
            <w:rPr>
              <w:sz w:val="21"/>
              <w:szCs w:val="21"/>
            </w:rPr>
          </w:pPr>
          <w:r>
            <w:rPr>
              <w:rFonts w:hint="default"/>
              <w:sz w:val="21"/>
              <w:szCs w:val="21"/>
            </w:rPr>
            <w:fldChar w:fldCharType="begin"/>
          </w:r>
          <w:r>
            <w:rPr>
              <w:rFonts w:hint="default"/>
              <w:sz w:val="21"/>
              <w:szCs w:val="21"/>
            </w:rPr>
            <w:instrText xml:space="preserve"> HYPERLINK \l _Toc1485 </w:instrText>
          </w:r>
          <w:r>
            <w:rPr>
              <w:rFonts w:hint="default"/>
              <w:sz w:val="21"/>
              <w:szCs w:val="21"/>
            </w:rPr>
            <w:fldChar w:fldCharType="separate"/>
          </w:r>
          <w:r>
            <w:rPr>
              <w:rFonts w:hint="default" w:ascii="Times New Roman" w:hAnsi="Times New Roman" w:eastAsia="宋体" w:cs="Times New Roman"/>
              <w:bCs/>
              <w:sz w:val="21"/>
              <w:szCs w:val="21"/>
            </w:rPr>
            <w:t>7.2.1废气污染防治措施可行性分析</w:t>
          </w:r>
          <w:r>
            <w:rPr>
              <w:sz w:val="21"/>
              <w:szCs w:val="21"/>
            </w:rPr>
            <w:tab/>
          </w:r>
          <w:r>
            <w:rPr>
              <w:sz w:val="21"/>
              <w:szCs w:val="21"/>
            </w:rPr>
            <w:fldChar w:fldCharType="begin"/>
          </w:r>
          <w:r>
            <w:rPr>
              <w:sz w:val="21"/>
              <w:szCs w:val="21"/>
            </w:rPr>
            <w:instrText xml:space="preserve"> PAGEREF _Toc1485 \h </w:instrText>
          </w:r>
          <w:r>
            <w:rPr>
              <w:sz w:val="21"/>
              <w:szCs w:val="21"/>
            </w:rPr>
            <w:fldChar w:fldCharType="separate"/>
          </w:r>
          <w:r>
            <w:rPr>
              <w:sz w:val="21"/>
              <w:szCs w:val="21"/>
            </w:rPr>
            <w:t>143</w:t>
          </w:r>
          <w:r>
            <w:rPr>
              <w:sz w:val="21"/>
              <w:szCs w:val="21"/>
            </w:rPr>
            <w:fldChar w:fldCharType="end"/>
          </w:r>
          <w:r>
            <w:rPr>
              <w:rFonts w:hint="default"/>
              <w:sz w:val="21"/>
              <w:szCs w:val="21"/>
            </w:rPr>
            <w:fldChar w:fldCharType="end"/>
          </w:r>
        </w:p>
        <w:p w14:paraId="3D0A53E2">
          <w:pPr>
            <w:pStyle w:val="14"/>
            <w:tabs>
              <w:tab w:val="right" w:leader="dot" w:pos="8304"/>
            </w:tabs>
            <w:rPr>
              <w:sz w:val="21"/>
              <w:szCs w:val="21"/>
            </w:rPr>
          </w:pPr>
          <w:r>
            <w:rPr>
              <w:rFonts w:hint="default"/>
              <w:sz w:val="21"/>
              <w:szCs w:val="21"/>
            </w:rPr>
            <w:fldChar w:fldCharType="begin"/>
          </w:r>
          <w:r>
            <w:rPr>
              <w:rFonts w:hint="default"/>
              <w:sz w:val="21"/>
              <w:szCs w:val="21"/>
            </w:rPr>
            <w:instrText xml:space="preserve"> HYPERLINK \l _Toc30992 </w:instrText>
          </w:r>
          <w:r>
            <w:rPr>
              <w:rFonts w:hint="default"/>
              <w:sz w:val="21"/>
              <w:szCs w:val="21"/>
            </w:rPr>
            <w:fldChar w:fldCharType="separate"/>
          </w:r>
          <w:r>
            <w:rPr>
              <w:rFonts w:hint="default" w:ascii="Times New Roman" w:hAnsi="Times New Roman" w:eastAsia="宋体" w:cs="Times New Roman"/>
              <w:bCs/>
              <w:sz w:val="21"/>
              <w:szCs w:val="21"/>
            </w:rPr>
            <w:t>7.2.2废水污染的治理措施可行性分析</w:t>
          </w:r>
          <w:r>
            <w:rPr>
              <w:sz w:val="21"/>
              <w:szCs w:val="21"/>
            </w:rPr>
            <w:tab/>
          </w:r>
          <w:r>
            <w:rPr>
              <w:sz w:val="21"/>
              <w:szCs w:val="21"/>
            </w:rPr>
            <w:fldChar w:fldCharType="begin"/>
          </w:r>
          <w:r>
            <w:rPr>
              <w:sz w:val="21"/>
              <w:szCs w:val="21"/>
            </w:rPr>
            <w:instrText xml:space="preserve"> PAGEREF _Toc30992 \h </w:instrText>
          </w:r>
          <w:r>
            <w:rPr>
              <w:sz w:val="21"/>
              <w:szCs w:val="21"/>
            </w:rPr>
            <w:fldChar w:fldCharType="separate"/>
          </w:r>
          <w:r>
            <w:rPr>
              <w:sz w:val="21"/>
              <w:szCs w:val="21"/>
            </w:rPr>
            <w:t>147</w:t>
          </w:r>
          <w:r>
            <w:rPr>
              <w:sz w:val="21"/>
              <w:szCs w:val="21"/>
            </w:rPr>
            <w:fldChar w:fldCharType="end"/>
          </w:r>
          <w:r>
            <w:rPr>
              <w:rFonts w:hint="default"/>
              <w:sz w:val="21"/>
              <w:szCs w:val="21"/>
            </w:rPr>
            <w:fldChar w:fldCharType="end"/>
          </w:r>
        </w:p>
        <w:p w14:paraId="20E90175">
          <w:pPr>
            <w:pStyle w:val="14"/>
            <w:tabs>
              <w:tab w:val="right" w:leader="dot" w:pos="8304"/>
            </w:tabs>
            <w:rPr>
              <w:sz w:val="21"/>
              <w:szCs w:val="21"/>
            </w:rPr>
          </w:pPr>
          <w:r>
            <w:rPr>
              <w:rFonts w:hint="default"/>
              <w:sz w:val="21"/>
              <w:szCs w:val="21"/>
            </w:rPr>
            <w:fldChar w:fldCharType="begin"/>
          </w:r>
          <w:r>
            <w:rPr>
              <w:rFonts w:hint="default"/>
              <w:sz w:val="21"/>
              <w:szCs w:val="21"/>
            </w:rPr>
            <w:instrText xml:space="preserve"> HYPERLINK \l _Toc25694 </w:instrText>
          </w:r>
          <w:r>
            <w:rPr>
              <w:rFonts w:hint="default"/>
              <w:sz w:val="21"/>
              <w:szCs w:val="21"/>
            </w:rPr>
            <w:fldChar w:fldCharType="separate"/>
          </w:r>
          <w:r>
            <w:rPr>
              <w:rFonts w:hint="default" w:ascii="Times New Roman" w:hAnsi="Times New Roman" w:eastAsia="宋体" w:cs="Times New Roman"/>
              <w:bCs/>
              <w:sz w:val="21"/>
              <w:szCs w:val="21"/>
            </w:rPr>
            <w:t>7.2.3地下水防治措施</w:t>
          </w:r>
          <w:r>
            <w:rPr>
              <w:sz w:val="21"/>
              <w:szCs w:val="21"/>
            </w:rPr>
            <w:tab/>
          </w:r>
          <w:r>
            <w:rPr>
              <w:sz w:val="21"/>
              <w:szCs w:val="21"/>
            </w:rPr>
            <w:fldChar w:fldCharType="begin"/>
          </w:r>
          <w:r>
            <w:rPr>
              <w:sz w:val="21"/>
              <w:szCs w:val="21"/>
            </w:rPr>
            <w:instrText xml:space="preserve"> PAGEREF _Toc25694 \h </w:instrText>
          </w:r>
          <w:r>
            <w:rPr>
              <w:sz w:val="21"/>
              <w:szCs w:val="21"/>
            </w:rPr>
            <w:fldChar w:fldCharType="separate"/>
          </w:r>
          <w:r>
            <w:rPr>
              <w:sz w:val="21"/>
              <w:szCs w:val="21"/>
            </w:rPr>
            <w:t>154</w:t>
          </w:r>
          <w:r>
            <w:rPr>
              <w:sz w:val="21"/>
              <w:szCs w:val="21"/>
            </w:rPr>
            <w:fldChar w:fldCharType="end"/>
          </w:r>
          <w:r>
            <w:rPr>
              <w:rFonts w:hint="default"/>
              <w:sz w:val="21"/>
              <w:szCs w:val="21"/>
            </w:rPr>
            <w:fldChar w:fldCharType="end"/>
          </w:r>
        </w:p>
        <w:p w14:paraId="71338FA1">
          <w:pPr>
            <w:pStyle w:val="14"/>
            <w:tabs>
              <w:tab w:val="right" w:leader="dot" w:pos="8304"/>
            </w:tabs>
            <w:rPr>
              <w:sz w:val="21"/>
              <w:szCs w:val="21"/>
            </w:rPr>
          </w:pPr>
          <w:r>
            <w:rPr>
              <w:rFonts w:hint="default"/>
              <w:sz w:val="21"/>
              <w:szCs w:val="21"/>
            </w:rPr>
            <w:fldChar w:fldCharType="begin"/>
          </w:r>
          <w:r>
            <w:rPr>
              <w:rFonts w:hint="default"/>
              <w:sz w:val="21"/>
              <w:szCs w:val="21"/>
            </w:rPr>
            <w:instrText xml:space="preserve"> HYPERLINK \l _Toc15773 </w:instrText>
          </w:r>
          <w:r>
            <w:rPr>
              <w:rFonts w:hint="default"/>
              <w:sz w:val="21"/>
              <w:szCs w:val="21"/>
            </w:rPr>
            <w:fldChar w:fldCharType="separate"/>
          </w:r>
          <w:r>
            <w:rPr>
              <w:rFonts w:hint="default" w:ascii="Times New Roman" w:hAnsi="Times New Roman" w:eastAsia="宋体" w:cs="Times New Roman"/>
              <w:bCs/>
              <w:sz w:val="21"/>
              <w:szCs w:val="21"/>
            </w:rPr>
            <w:t>7.2.4噪声控制措施</w:t>
          </w:r>
          <w:r>
            <w:rPr>
              <w:sz w:val="21"/>
              <w:szCs w:val="21"/>
            </w:rPr>
            <w:tab/>
          </w:r>
          <w:r>
            <w:rPr>
              <w:sz w:val="21"/>
              <w:szCs w:val="21"/>
            </w:rPr>
            <w:fldChar w:fldCharType="begin"/>
          </w:r>
          <w:r>
            <w:rPr>
              <w:sz w:val="21"/>
              <w:szCs w:val="21"/>
            </w:rPr>
            <w:instrText xml:space="preserve"> PAGEREF _Toc15773 \h </w:instrText>
          </w:r>
          <w:r>
            <w:rPr>
              <w:sz w:val="21"/>
              <w:szCs w:val="21"/>
            </w:rPr>
            <w:fldChar w:fldCharType="separate"/>
          </w:r>
          <w:r>
            <w:rPr>
              <w:sz w:val="21"/>
              <w:szCs w:val="21"/>
            </w:rPr>
            <w:t>158</w:t>
          </w:r>
          <w:r>
            <w:rPr>
              <w:sz w:val="21"/>
              <w:szCs w:val="21"/>
            </w:rPr>
            <w:fldChar w:fldCharType="end"/>
          </w:r>
          <w:r>
            <w:rPr>
              <w:rFonts w:hint="default"/>
              <w:sz w:val="21"/>
              <w:szCs w:val="21"/>
            </w:rPr>
            <w:fldChar w:fldCharType="end"/>
          </w:r>
        </w:p>
        <w:p w14:paraId="689D6AC0">
          <w:pPr>
            <w:pStyle w:val="14"/>
            <w:tabs>
              <w:tab w:val="right" w:leader="dot" w:pos="8304"/>
            </w:tabs>
            <w:rPr>
              <w:sz w:val="21"/>
              <w:szCs w:val="21"/>
            </w:rPr>
          </w:pPr>
          <w:r>
            <w:rPr>
              <w:rFonts w:hint="default"/>
              <w:sz w:val="21"/>
              <w:szCs w:val="21"/>
            </w:rPr>
            <w:fldChar w:fldCharType="begin"/>
          </w:r>
          <w:r>
            <w:rPr>
              <w:rFonts w:hint="default"/>
              <w:sz w:val="21"/>
              <w:szCs w:val="21"/>
            </w:rPr>
            <w:instrText xml:space="preserve"> HYPERLINK \l _Toc9970 </w:instrText>
          </w:r>
          <w:r>
            <w:rPr>
              <w:rFonts w:hint="default"/>
              <w:sz w:val="21"/>
              <w:szCs w:val="21"/>
            </w:rPr>
            <w:fldChar w:fldCharType="separate"/>
          </w:r>
          <w:r>
            <w:rPr>
              <w:rFonts w:hint="default" w:ascii="Times New Roman" w:hAnsi="Times New Roman" w:eastAsia="宋体" w:cs="Times New Roman"/>
              <w:bCs/>
              <w:sz w:val="21"/>
              <w:szCs w:val="21"/>
            </w:rPr>
            <w:t>7.2.5土壤环境污染防治措施</w:t>
          </w:r>
          <w:r>
            <w:rPr>
              <w:sz w:val="21"/>
              <w:szCs w:val="21"/>
            </w:rPr>
            <w:tab/>
          </w:r>
          <w:r>
            <w:rPr>
              <w:sz w:val="21"/>
              <w:szCs w:val="21"/>
            </w:rPr>
            <w:fldChar w:fldCharType="begin"/>
          </w:r>
          <w:r>
            <w:rPr>
              <w:sz w:val="21"/>
              <w:szCs w:val="21"/>
            </w:rPr>
            <w:instrText xml:space="preserve"> PAGEREF _Toc9970 \h </w:instrText>
          </w:r>
          <w:r>
            <w:rPr>
              <w:sz w:val="21"/>
              <w:szCs w:val="21"/>
            </w:rPr>
            <w:fldChar w:fldCharType="separate"/>
          </w:r>
          <w:r>
            <w:rPr>
              <w:sz w:val="21"/>
              <w:szCs w:val="21"/>
            </w:rPr>
            <w:t>159</w:t>
          </w:r>
          <w:r>
            <w:rPr>
              <w:sz w:val="21"/>
              <w:szCs w:val="21"/>
            </w:rPr>
            <w:fldChar w:fldCharType="end"/>
          </w:r>
          <w:r>
            <w:rPr>
              <w:rFonts w:hint="default"/>
              <w:sz w:val="21"/>
              <w:szCs w:val="21"/>
            </w:rPr>
            <w:fldChar w:fldCharType="end"/>
          </w:r>
        </w:p>
        <w:p w14:paraId="6DBA028C">
          <w:pPr>
            <w:pStyle w:val="21"/>
            <w:tabs>
              <w:tab w:val="right" w:leader="dot" w:pos="8304"/>
            </w:tabs>
            <w:ind w:left="0" w:leftChars="0" w:firstLine="420" w:firstLineChars="200"/>
            <w:jc w:val="both"/>
            <w:rPr>
              <w:sz w:val="21"/>
              <w:szCs w:val="21"/>
            </w:rPr>
          </w:pPr>
          <w:r>
            <w:rPr>
              <w:rFonts w:hint="default"/>
              <w:sz w:val="21"/>
              <w:szCs w:val="21"/>
            </w:rPr>
            <w:fldChar w:fldCharType="begin"/>
          </w:r>
          <w:r>
            <w:rPr>
              <w:rFonts w:hint="default"/>
              <w:sz w:val="21"/>
              <w:szCs w:val="21"/>
            </w:rPr>
            <w:instrText xml:space="preserve"> HYPERLINK \l _Toc19120 </w:instrText>
          </w:r>
          <w:r>
            <w:rPr>
              <w:rFonts w:hint="default"/>
              <w:sz w:val="21"/>
              <w:szCs w:val="21"/>
            </w:rPr>
            <w:fldChar w:fldCharType="separate"/>
          </w:r>
          <w:r>
            <w:rPr>
              <w:rFonts w:hint="default" w:ascii="Times New Roman" w:hAnsi="Times New Roman" w:eastAsia="宋体" w:cs="Times New Roman"/>
              <w:bCs/>
              <w:sz w:val="21"/>
              <w:szCs w:val="21"/>
              <w:lang w:eastAsia="zh-CN"/>
            </w:rPr>
            <w:t>8环境影响经济损益分析</w:t>
          </w:r>
          <w:r>
            <w:rPr>
              <w:sz w:val="21"/>
              <w:szCs w:val="21"/>
            </w:rPr>
            <w:tab/>
          </w:r>
          <w:r>
            <w:rPr>
              <w:sz w:val="21"/>
              <w:szCs w:val="21"/>
            </w:rPr>
            <w:fldChar w:fldCharType="begin"/>
          </w:r>
          <w:r>
            <w:rPr>
              <w:sz w:val="21"/>
              <w:szCs w:val="21"/>
            </w:rPr>
            <w:instrText xml:space="preserve"> PAGEREF _Toc19120 \h </w:instrText>
          </w:r>
          <w:r>
            <w:rPr>
              <w:sz w:val="21"/>
              <w:szCs w:val="21"/>
            </w:rPr>
            <w:fldChar w:fldCharType="separate"/>
          </w:r>
          <w:r>
            <w:rPr>
              <w:sz w:val="21"/>
              <w:szCs w:val="21"/>
            </w:rPr>
            <w:t>165</w:t>
          </w:r>
          <w:r>
            <w:rPr>
              <w:sz w:val="21"/>
              <w:szCs w:val="21"/>
            </w:rPr>
            <w:fldChar w:fldCharType="end"/>
          </w:r>
          <w:r>
            <w:rPr>
              <w:rFonts w:hint="default"/>
              <w:sz w:val="21"/>
              <w:szCs w:val="21"/>
            </w:rPr>
            <w:fldChar w:fldCharType="end"/>
          </w:r>
        </w:p>
        <w:p w14:paraId="0EC66EC0">
          <w:pPr>
            <w:pStyle w:val="26"/>
            <w:tabs>
              <w:tab w:val="right" w:leader="dot" w:pos="8304"/>
            </w:tabs>
            <w:rPr>
              <w:sz w:val="21"/>
              <w:szCs w:val="21"/>
            </w:rPr>
          </w:pPr>
          <w:r>
            <w:rPr>
              <w:rFonts w:hint="default"/>
              <w:sz w:val="21"/>
              <w:szCs w:val="21"/>
            </w:rPr>
            <w:fldChar w:fldCharType="begin"/>
          </w:r>
          <w:r>
            <w:rPr>
              <w:rFonts w:hint="default"/>
              <w:sz w:val="21"/>
              <w:szCs w:val="21"/>
            </w:rPr>
            <w:instrText xml:space="preserve"> HYPERLINK \l _Toc11521 </w:instrText>
          </w:r>
          <w:r>
            <w:rPr>
              <w:rFonts w:hint="default"/>
              <w:sz w:val="21"/>
              <w:szCs w:val="21"/>
            </w:rPr>
            <w:fldChar w:fldCharType="separate"/>
          </w:r>
          <w:r>
            <w:rPr>
              <w:rFonts w:hint="default" w:ascii="Times New Roman" w:hAnsi="Times New Roman" w:eastAsia="宋体" w:cs="Times New Roman"/>
              <w:bCs/>
              <w:sz w:val="21"/>
              <w:szCs w:val="21"/>
            </w:rPr>
            <w:t>8.1经济效益分析</w:t>
          </w:r>
          <w:r>
            <w:rPr>
              <w:sz w:val="21"/>
              <w:szCs w:val="21"/>
            </w:rPr>
            <w:tab/>
          </w:r>
          <w:r>
            <w:rPr>
              <w:sz w:val="21"/>
              <w:szCs w:val="21"/>
            </w:rPr>
            <w:fldChar w:fldCharType="begin"/>
          </w:r>
          <w:r>
            <w:rPr>
              <w:sz w:val="21"/>
              <w:szCs w:val="21"/>
            </w:rPr>
            <w:instrText xml:space="preserve"> PAGEREF _Toc11521 \h </w:instrText>
          </w:r>
          <w:r>
            <w:rPr>
              <w:sz w:val="21"/>
              <w:szCs w:val="21"/>
            </w:rPr>
            <w:fldChar w:fldCharType="separate"/>
          </w:r>
          <w:r>
            <w:rPr>
              <w:sz w:val="21"/>
              <w:szCs w:val="21"/>
            </w:rPr>
            <w:t>165</w:t>
          </w:r>
          <w:r>
            <w:rPr>
              <w:sz w:val="21"/>
              <w:szCs w:val="21"/>
            </w:rPr>
            <w:fldChar w:fldCharType="end"/>
          </w:r>
          <w:r>
            <w:rPr>
              <w:rFonts w:hint="default"/>
              <w:sz w:val="21"/>
              <w:szCs w:val="21"/>
            </w:rPr>
            <w:fldChar w:fldCharType="end"/>
          </w:r>
        </w:p>
        <w:p w14:paraId="29E6C904">
          <w:pPr>
            <w:pStyle w:val="26"/>
            <w:tabs>
              <w:tab w:val="right" w:leader="dot" w:pos="8304"/>
            </w:tabs>
            <w:rPr>
              <w:sz w:val="21"/>
              <w:szCs w:val="21"/>
            </w:rPr>
          </w:pPr>
          <w:r>
            <w:rPr>
              <w:rFonts w:hint="default"/>
              <w:sz w:val="21"/>
              <w:szCs w:val="21"/>
            </w:rPr>
            <w:fldChar w:fldCharType="begin"/>
          </w:r>
          <w:r>
            <w:rPr>
              <w:rFonts w:hint="default"/>
              <w:sz w:val="21"/>
              <w:szCs w:val="21"/>
            </w:rPr>
            <w:instrText xml:space="preserve"> HYPERLINK \l _Toc21791 </w:instrText>
          </w:r>
          <w:r>
            <w:rPr>
              <w:rFonts w:hint="default"/>
              <w:sz w:val="21"/>
              <w:szCs w:val="21"/>
            </w:rPr>
            <w:fldChar w:fldCharType="separate"/>
          </w:r>
          <w:r>
            <w:rPr>
              <w:rFonts w:hint="default" w:ascii="Times New Roman" w:hAnsi="Times New Roman" w:eastAsia="宋体" w:cs="Times New Roman"/>
              <w:bCs/>
              <w:sz w:val="21"/>
              <w:szCs w:val="21"/>
            </w:rPr>
            <w:t>8.2社会效益分析</w:t>
          </w:r>
          <w:r>
            <w:rPr>
              <w:sz w:val="21"/>
              <w:szCs w:val="21"/>
            </w:rPr>
            <w:tab/>
          </w:r>
          <w:r>
            <w:rPr>
              <w:sz w:val="21"/>
              <w:szCs w:val="21"/>
            </w:rPr>
            <w:fldChar w:fldCharType="begin"/>
          </w:r>
          <w:r>
            <w:rPr>
              <w:sz w:val="21"/>
              <w:szCs w:val="21"/>
            </w:rPr>
            <w:instrText xml:space="preserve"> PAGEREF _Toc21791 \h </w:instrText>
          </w:r>
          <w:r>
            <w:rPr>
              <w:sz w:val="21"/>
              <w:szCs w:val="21"/>
            </w:rPr>
            <w:fldChar w:fldCharType="separate"/>
          </w:r>
          <w:r>
            <w:rPr>
              <w:sz w:val="21"/>
              <w:szCs w:val="21"/>
            </w:rPr>
            <w:t>165</w:t>
          </w:r>
          <w:r>
            <w:rPr>
              <w:sz w:val="21"/>
              <w:szCs w:val="21"/>
            </w:rPr>
            <w:fldChar w:fldCharType="end"/>
          </w:r>
          <w:r>
            <w:rPr>
              <w:rFonts w:hint="default"/>
              <w:sz w:val="21"/>
              <w:szCs w:val="21"/>
            </w:rPr>
            <w:fldChar w:fldCharType="end"/>
          </w:r>
        </w:p>
        <w:p w14:paraId="570638DD">
          <w:pPr>
            <w:pStyle w:val="26"/>
            <w:tabs>
              <w:tab w:val="right" w:leader="dot" w:pos="8304"/>
            </w:tabs>
            <w:rPr>
              <w:sz w:val="21"/>
              <w:szCs w:val="21"/>
            </w:rPr>
          </w:pPr>
          <w:r>
            <w:rPr>
              <w:rFonts w:hint="default"/>
              <w:sz w:val="21"/>
              <w:szCs w:val="21"/>
            </w:rPr>
            <w:fldChar w:fldCharType="begin"/>
          </w:r>
          <w:r>
            <w:rPr>
              <w:rFonts w:hint="default"/>
              <w:sz w:val="21"/>
              <w:szCs w:val="21"/>
            </w:rPr>
            <w:instrText xml:space="preserve"> HYPERLINK \l _Toc2177 </w:instrText>
          </w:r>
          <w:r>
            <w:rPr>
              <w:rFonts w:hint="default"/>
              <w:sz w:val="21"/>
              <w:szCs w:val="21"/>
            </w:rPr>
            <w:fldChar w:fldCharType="separate"/>
          </w:r>
          <w:r>
            <w:rPr>
              <w:rFonts w:hint="default" w:ascii="Times New Roman" w:hAnsi="Times New Roman" w:eastAsia="宋体" w:cs="Times New Roman"/>
              <w:bCs/>
              <w:sz w:val="21"/>
              <w:szCs w:val="21"/>
            </w:rPr>
            <w:t>8.3环境效益分析</w:t>
          </w:r>
          <w:r>
            <w:rPr>
              <w:sz w:val="21"/>
              <w:szCs w:val="21"/>
            </w:rPr>
            <w:tab/>
          </w:r>
          <w:r>
            <w:rPr>
              <w:sz w:val="21"/>
              <w:szCs w:val="21"/>
            </w:rPr>
            <w:fldChar w:fldCharType="begin"/>
          </w:r>
          <w:r>
            <w:rPr>
              <w:sz w:val="21"/>
              <w:szCs w:val="21"/>
            </w:rPr>
            <w:instrText xml:space="preserve"> PAGEREF _Toc2177 \h </w:instrText>
          </w:r>
          <w:r>
            <w:rPr>
              <w:sz w:val="21"/>
              <w:szCs w:val="21"/>
            </w:rPr>
            <w:fldChar w:fldCharType="separate"/>
          </w:r>
          <w:r>
            <w:rPr>
              <w:sz w:val="21"/>
              <w:szCs w:val="21"/>
            </w:rPr>
            <w:t>166</w:t>
          </w:r>
          <w:r>
            <w:rPr>
              <w:sz w:val="21"/>
              <w:szCs w:val="21"/>
            </w:rPr>
            <w:fldChar w:fldCharType="end"/>
          </w:r>
          <w:r>
            <w:rPr>
              <w:rFonts w:hint="default"/>
              <w:sz w:val="21"/>
              <w:szCs w:val="21"/>
            </w:rPr>
            <w:fldChar w:fldCharType="end"/>
          </w:r>
        </w:p>
        <w:p w14:paraId="51AFE7FF">
          <w:pPr>
            <w:pStyle w:val="26"/>
            <w:tabs>
              <w:tab w:val="right" w:leader="dot" w:pos="8304"/>
            </w:tabs>
            <w:rPr>
              <w:sz w:val="21"/>
              <w:szCs w:val="21"/>
            </w:rPr>
          </w:pPr>
          <w:r>
            <w:rPr>
              <w:rFonts w:hint="default"/>
              <w:sz w:val="21"/>
              <w:szCs w:val="21"/>
            </w:rPr>
            <w:fldChar w:fldCharType="begin"/>
          </w:r>
          <w:r>
            <w:rPr>
              <w:rFonts w:hint="default"/>
              <w:sz w:val="21"/>
              <w:szCs w:val="21"/>
            </w:rPr>
            <w:instrText xml:space="preserve"> HYPERLINK \l _Toc24664 </w:instrText>
          </w:r>
          <w:r>
            <w:rPr>
              <w:rFonts w:hint="default"/>
              <w:sz w:val="21"/>
              <w:szCs w:val="21"/>
            </w:rPr>
            <w:fldChar w:fldCharType="separate"/>
          </w:r>
          <w:r>
            <w:rPr>
              <w:rFonts w:hint="default" w:ascii="Times New Roman" w:hAnsi="Times New Roman" w:eastAsia="宋体" w:cs="Times New Roman"/>
              <w:bCs/>
              <w:sz w:val="21"/>
              <w:szCs w:val="21"/>
            </w:rPr>
            <w:t>8.4环境经济效益综合评述</w:t>
          </w:r>
          <w:r>
            <w:rPr>
              <w:sz w:val="21"/>
              <w:szCs w:val="21"/>
            </w:rPr>
            <w:tab/>
          </w:r>
          <w:r>
            <w:rPr>
              <w:sz w:val="21"/>
              <w:szCs w:val="21"/>
            </w:rPr>
            <w:fldChar w:fldCharType="begin"/>
          </w:r>
          <w:r>
            <w:rPr>
              <w:sz w:val="21"/>
              <w:szCs w:val="21"/>
            </w:rPr>
            <w:instrText xml:space="preserve"> PAGEREF _Toc24664 \h </w:instrText>
          </w:r>
          <w:r>
            <w:rPr>
              <w:sz w:val="21"/>
              <w:szCs w:val="21"/>
            </w:rPr>
            <w:fldChar w:fldCharType="separate"/>
          </w:r>
          <w:r>
            <w:rPr>
              <w:sz w:val="21"/>
              <w:szCs w:val="21"/>
            </w:rPr>
            <w:t>167</w:t>
          </w:r>
          <w:r>
            <w:rPr>
              <w:sz w:val="21"/>
              <w:szCs w:val="21"/>
            </w:rPr>
            <w:fldChar w:fldCharType="end"/>
          </w:r>
          <w:r>
            <w:rPr>
              <w:rFonts w:hint="default"/>
              <w:sz w:val="21"/>
              <w:szCs w:val="21"/>
            </w:rPr>
            <w:fldChar w:fldCharType="end"/>
          </w:r>
        </w:p>
        <w:p w14:paraId="60DF2517">
          <w:pPr>
            <w:pStyle w:val="21"/>
            <w:tabs>
              <w:tab w:val="right" w:leader="dot" w:pos="8304"/>
            </w:tabs>
            <w:ind w:left="0" w:leftChars="0" w:firstLine="420" w:firstLineChars="200"/>
            <w:jc w:val="both"/>
            <w:rPr>
              <w:sz w:val="21"/>
              <w:szCs w:val="21"/>
            </w:rPr>
          </w:pPr>
          <w:r>
            <w:rPr>
              <w:rFonts w:hint="default"/>
              <w:sz w:val="21"/>
              <w:szCs w:val="21"/>
            </w:rPr>
            <w:fldChar w:fldCharType="begin"/>
          </w:r>
          <w:r>
            <w:rPr>
              <w:rFonts w:hint="default"/>
              <w:sz w:val="21"/>
              <w:szCs w:val="21"/>
            </w:rPr>
            <w:instrText xml:space="preserve"> HYPERLINK \l _Toc25420 </w:instrText>
          </w:r>
          <w:r>
            <w:rPr>
              <w:rFonts w:hint="default"/>
              <w:sz w:val="21"/>
              <w:szCs w:val="21"/>
            </w:rPr>
            <w:fldChar w:fldCharType="separate"/>
          </w:r>
          <w:r>
            <w:rPr>
              <w:rFonts w:hint="default" w:ascii="Times New Roman" w:hAnsi="Times New Roman" w:eastAsia="宋体" w:cs="Times New Roman"/>
              <w:bCs/>
              <w:sz w:val="21"/>
              <w:szCs w:val="21"/>
              <w:lang w:eastAsia="zh-CN"/>
            </w:rPr>
            <w:t>9环境管理与监测计划</w:t>
          </w:r>
          <w:r>
            <w:rPr>
              <w:sz w:val="21"/>
              <w:szCs w:val="21"/>
            </w:rPr>
            <w:tab/>
          </w:r>
          <w:r>
            <w:rPr>
              <w:sz w:val="21"/>
              <w:szCs w:val="21"/>
            </w:rPr>
            <w:fldChar w:fldCharType="begin"/>
          </w:r>
          <w:r>
            <w:rPr>
              <w:sz w:val="21"/>
              <w:szCs w:val="21"/>
            </w:rPr>
            <w:instrText xml:space="preserve"> PAGEREF _Toc25420 \h </w:instrText>
          </w:r>
          <w:r>
            <w:rPr>
              <w:sz w:val="21"/>
              <w:szCs w:val="21"/>
            </w:rPr>
            <w:fldChar w:fldCharType="separate"/>
          </w:r>
          <w:r>
            <w:rPr>
              <w:sz w:val="21"/>
              <w:szCs w:val="21"/>
            </w:rPr>
            <w:t>169</w:t>
          </w:r>
          <w:r>
            <w:rPr>
              <w:sz w:val="21"/>
              <w:szCs w:val="21"/>
            </w:rPr>
            <w:fldChar w:fldCharType="end"/>
          </w:r>
          <w:r>
            <w:rPr>
              <w:rFonts w:hint="default"/>
              <w:sz w:val="21"/>
              <w:szCs w:val="21"/>
            </w:rPr>
            <w:fldChar w:fldCharType="end"/>
          </w:r>
        </w:p>
        <w:p w14:paraId="70AC4627">
          <w:pPr>
            <w:pStyle w:val="26"/>
            <w:tabs>
              <w:tab w:val="right" w:leader="dot" w:pos="8304"/>
            </w:tabs>
            <w:rPr>
              <w:sz w:val="21"/>
              <w:szCs w:val="21"/>
            </w:rPr>
          </w:pPr>
          <w:r>
            <w:rPr>
              <w:rFonts w:hint="default"/>
              <w:sz w:val="21"/>
              <w:szCs w:val="21"/>
            </w:rPr>
            <w:fldChar w:fldCharType="begin"/>
          </w:r>
          <w:r>
            <w:rPr>
              <w:rFonts w:hint="default"/>
              <w:sz w:val="21"/>
              <w:szCs w:val="21"/>
            </w:rPr>
            <w:instrText xml:space="preserve"> HYPERLINK \l _Toc22967 </w:instrText>
          </w:r>
          <w:r>
            <w:rPr>
              <w:rFonts w:hint="default"/>
              <w:sz w:val="21"/>
              <w:szCs w:val="21"/>
            </w:rPr>
            <w:fldChar w:fldCharType="separate"/>
          </w:r>
          <w:r>
            <w:rPr>
              <w:rFonts w:hint="default" w:ascii="Times New Roman" w:hAnsi="Times New Roman" w:eastAsia="宋体" w:cs="Times New Roman"/>
              <w:bCs/>
              <w:sz w:val="21"/>
              <w:szCs w:val="21"/>
            </w:rPr>
            <w:t>9.1环境管理</w:t>
          </w:r>
          <w:r>
            <w:rPr>
              <w:sz w:val="21"/>
              <w:szCs w:val="21"/>
            </w:rPr>
            <w:tab/>
          </w:r>
          <w:r>
            <w:rPr>
              <w:sz w:val="21"/>
              <w:szCs w:val="21"/>
            </w:rPr>
            <w:fldChar w:fldCharType="begin"/>
          </w:r>
          <w:r>
            <w:rPr>
              <w:sz w:val="21"/>
              <w:szCs w:val="21"/>
            </w:rPr>
            <w:instrText xml:space="preserve"> PAGEREF _Toc22967 \h </w:instrText>
          </w:r>
          <w:r>
            <w:rPr>
              <w:sz w:val="21"/>
              <w:szCs w:val="21"/>
            </w:rPr>
            <w:fldChar w:fldCharType="separate"/>
          </w:r>
          <w:r>
            <w:rPr>
              <w:sz w:val="21"/>
              <w:szCs w:val="21"/>
            </w:rPr>
            <w:t>169</w:t>
          </w:r>
          <w:r>
            <w:rPr>
              <w:sz w:val="21"/>
              <w:szCs w:val="21"/>
            </w:rPr>
            <w:fldChar w:fldCharType="end"/>
          </w:r>
          <w:r>
            <w:rPr>
              <w:rFonts w:hint="default"/>
              <w:sz w:val="21"/>
              <w:szCs w:val="21"/>
            </w:rPr>
            <w:fldChar w:fldCharType="end"/>
          </w:r>
        </w:p>
        <w:p w14:paraId="58CDEC57">
          <w:pPr>
            <w:pStyle w:val="14"/>
            <w:tabs>
              <w:tab w:val="right" w:leader="dot" w:pos="8304"/>
            </w:tabs>
            <w:rPr>
              <w:sz w:val="21"/>
              <w:szCs w:val="21"/>
            </w:rPr>
          </w:pPr>
          <w:r>
            <w:rPr>
              <w:rFonts w:hint="default"/>
              <w:sz w:val="21"/>
              <w:szCs w:val="21"/>
            </w:rPr>
            <w:fldChar w:fldCharType="begin"/>
          </w:r>
          <w:r>
            <w:rPr>
              <w:rFonts w:hint="default"/>
              <w:sz w:val="21"/>
              <w:szCs w:val="21"/>
            </w:rPr>
            <w:instrText xml:space="preserve"> HYPERLINK \l _Toc23693 </w:instrText>
          </w:r>
          <w:r>
            <w:rPr>
              <w:rFonts w:hint="default"/>
              <w:sz w:val="21"/>
              <w:szCs w:val="21"/>
            </w:rPr>
            <w:fldChar w:fldCharType="separate"/>
          </w:r>
          <w:r>
            <w:rPr>
              <w:rFonts w:hint="default" w:ascii="Times New Roman" w:hAnsi="Times New Roman" w:eastAsia="宋体" w:cs="Times New Roman"/>
              <w:sz w:val="21"/>
              <w:szCs w:val="21"/>
            </w:rPr>
            <w:t>9.1.1环境管理职责</w:t>
          </w:r>
          <w:r>
            <w:rPr>
              <w:sz w:val="21"/>
              <w:szCs w:val="21"/>
            </w:rPr>
            <w:tab/>
          </w:r>
          <w:r>
            <w:rPr>
              <w:sz w:val="21"/>
              <w:szCs w:val="21"/>
            </w:rPr>
            <w:fldChar w:fldCharType="begin"/>
          </w:r>
          <w:r>
            <w:rPr>
              <w:sz w:val="21"/>
              <w:szCs w:val="21"/>
            </w:rPr>
            <w:instrText xml:space="preserve"> PAGEREF _Toc23693 \h </w:instrText>
          </w:r>
          <w:r>
            <w:rPr>
              <w:sz w:val="21"/>
              <w:szCs w:val="21"/>
            </w:rPr>
            <w:fldChar w:fldCharType="separate"/>
          </w:r>
          <w:r>
            <w:rPr>
              <w:sz w:val="21"/>
              <w:szCs w:val="21"/>
            </w:rPr>
            <w:t>169</w:t>
          </w:r>
          <w:r>
            <w:rPr>
              <w:sz w:val="21"/>
              <w:szCs w:val="21"/>
            </w:rPr>
            <w:fldChar w:fldCharType="end"/>
          </w:r>
          <w:r>
            <w:rPr>
              <w:rFonts w:hint="default"/>
              <w:sz w:val="21"/>
              <w:szCs w:val="21"/>
            </w:rPr>
            <w:fldChar w:fldCharType="end"/>
          </w:r>
        </w:p>
        <w:p w14:paraId="6E7D947D">
          <w:pPr>
            <w:pStyle w:val="14"/>
            <w:tabs>
              <w:tab w:val="right" w:leader="dot" w:pos="8304"/>
            </w:tabs>
            <w:rPr>
              <w:sz w:val="21"/>
              <w:szCs w:val="21"/>
            </w:rPr>
          </w:pPr>
          <w:r>
            <w:rPr>
              <w:rFonts w:hint="default"/>
              <w:sz w:val="21"/>
              <w:szCs w:val="21"/>
            </w:rPr>
            <w:fldChar w:fldCharType="begin"/>
          </w:r>
          <w:r>
            <w:rPr>
              <w:rFonts w:hint="default"/>
              <w:sz w:val="21"/>
              <w:szCs w:val="21"/>
            </w:rPr>
            <w:instrText xml:space="preserve"> HYPERLINK \l _Toc13814 </w:instrText>
          </w:r>
          <w:r>
            <w:rPr>
              <w:rFonts w:hint="default"/>
              <w:sz w:val="21"/>
              <w:szCs w:val="21"/>
            </w:rPr>
            <w:fldChar w:fldCharType="separate"/>
          </w:r>
          <w:r>
            <w:rPr>
              <w:rFonts w:hint="default" w:ascii="Times New Roman" w:hAnsi="Times New Roman" w:eastAsia="宋体" w:cs="Times New Roman"/>
              <w:sz w:val="21"/>
              <w:szCs w:val="21"/>
            </w:rPr>
            <w:t>9.1.2环境管理制度</w:t>
          </w:r>
          <w:r>
            <w:rPr>
              <w:sz w:val="21"/>
              <w:szCs w:val="21"/>
            </w:rPr>
            <w:tab/>
          </w:r>
          <w:r>
            <w:rPr>
              <w:sz w:val="21"/>
              <w:szCs w:val="21"/>
            </w:rPr>
            <w:fldChar w:fldCharType="begin"/>
          </w:r>
          <w:r>
            <w:rPr>
              <w:sz w:val="21"/>
              <w:szCs w:val="21"/>
            </w:rPr>
            <w:instrText xml:space="preserve"> PAGEREF _Toc13814 \h </w:instrText>
          </w:r>
          <w:r>
            <w:rPr>
              <w:sz w:val="21"/>
              <w:szCs w:val="21"/>
            </w:rPr>
            <w:fldChar w:fldCharType="separate"/>
          </w:r>
          <w:r>
            <w:rPr>
              <w:sz w:val="21"/>
              <w:szCs w:val="21"/>
            </w:rPr>
            <w:t>169</w:t>
          </w:r>
          <w:r>
            <w:rPr>
              <w:sz w:val="21"/>
              <w:szCs w:val="21"/>
            </w:rPr>
            <w:fldChar w:fldCharType="end"/>
          </w:r>
          <w:r>
            <w:rPr>
              <w:rFonts w:hint="default"/>
              <w:sz w:val="21"/>
              <w:szCs w:val="21"/>
            </w:rPr>
            <w:fldChar w:fldCharType="end"/>
          </w:r>
        </w:p>
        <w:p w14:paraId="69BF3EB8">
          <w:pPr>
            <w:pStyle w:val="14"/>
            <w:tabs>
              <w:tab w:val="right" w:leader="dot" w:pos="8304"/>
            </w:tabs>
            <w:rPr>
              <w:sz w:val="21"/>
              <w:szCs w:val="21"/>
            </w:rPr>
          </w:pPr>
          <w:r>
            <w:rPr>
              <w:rFonts w:hint="default"/>
              <w:sz w:val="21"/>
              <w:szCs w:val="21"/>
            </w:rPr>
            <w:fldChar w:fldCharType="begin"/>
          </w:r>
          <w:r>
            <w:rPr>
              <w:rFonts w:hint="default"/>
              <w:sz w:val="21"/>
              <w:szCs w:val="21"/>
            </w:rPr>
            <w:instrText xml:space="preserve"> HYPERLINK \l _Toc1902 </w:instrText>
          </w:r>
          <w:r>
            <w:rPr>
              <w:rFonts w:hint="default"/>
              <w:sz w:val="21"/>
              <w:szCs w:val="21"/>
            </w:rPr>
            <w:fldChar w:fldCharType="separate"/>
          </w:r>
          <w:r>
            <w:rPr>
              <w:rFonts w:hint="default" w:ascii="Times New Roman" w:hAnsi="Times New Roman" w:eastAsia="宋体" w:cs="Times New Roman"/>
              <w:sz w:val="21"/>
              <w:szCs w:val="21"/>
            </w:rPr>
            <w:t>9.1.3环境管理手段和措施</w:t>
          </w:r>
          <w:r>
            <w:rPr>
              <w:sz w:val="21"/>
              <w:szCs w:val="21"/>
            </w:rPr>
            <w:tab/>
          </w:r>
          <w:r>
            <w:rPr>
              <w:sz w:val="21"/>
              <w:szCs w:val="21"/>
            </w:rPr>
            <w:fldChar w:fldCharType="begin"/>
          </w:r>
          <w:r>
            <w:rPr>
              <w:sz w:val="21"/>
              <w:szCs w:val="21"/>
            </w:rPr>
            <w:instrText xml:space="preserve"> PAGEREF _Toc1902 \h </w:instrText>
          </w:r>
          <w:r>
            <w:rPr>
              <w:sz w:val="21"/>
              <w:szCs w:val="21"/>
            </w:rPr>
            <w:fldChar w:fldCharType="separate"/>
          </w:r>
          <w:r>
            <w:rPr>
              <w:sz w:val="21"/>
              <w:szCs w:val="21"/>
            </w:rPr>
            <w:t>170</w:t>
          </w:r>
          <w:r>
            <w:rPr>
              <w:sz w:val="21"/>
              <w:szCs w:val="21"/>
            </w:rPr>
            <w:fldChar w:fldCharType="end"/>
          </w:r>
          <w:r>
            <w:rPr>
              <w:rFonts w:hint="default"/>
              <w:sz w:val="21"/>
              <w:szCs w:val="21"/>
            </w:rPr>
            <w:fldChar w:fldCharType="end"/>
          </w:r>
        </w:p>
        <w:p w14:paraId="272CFA97">
          <w:pPr>
            <w:pStyle w:val="14"/>
            <w:tabs>
              <w:tab w:val="right" w:leader="dot" w:pos="8304"/>
            </w:tabs>
            <w:rPr>
              <w:sz w:val="21"/>
              <w:szCs w:val="21"/>
            </w:rPr>
          </w:pPr>
          <w:r>
            <w:rPr>
              <w:rFonts w:hint="default"/>
              <w:sz w:val="21"/>
              <w:szCs w:val="21"/>
            </w:rPr>
            <w:fldChar w:fldCharType="begin"/>
          </w:r>
          <w:r>
            <w:rPr>
              <w:rFonts w:hint="default"/>
              <w:sz w:val="21"/>
              <w:szCs w:val="21"/>
            </w:rPr>
            <w:instrText xml:space="preserve"> HYPERLINK \l _Toc12193 </w:instrText>
          </w:r>
          <w:r>
            <w:rPr>
              <w:rFonts w:hint="default"/>
              <w:sz w:val="21"/>
              <w:szCs w:val="21"/>
            </w:rPr>
            <w:fldChar w:fldCharType="separate"/>
          </w:r>
          <w:r>
            <w:rPr>
              <w:rFonts w:hint="default" w:ascii="Times New Roman" w:hAnsi="Times New Roman" w:eastAsia="宋体" w:cs="Times New Roman"/>
              <w:sz w:val="21"/>
              <w:szCs w:val="21"/>
            </w:rPr>
            <w:t>9.1.4环境管理计划</w:t>
          </w:r>
          <w:r>
            <w:rPr>
              <w:sz w:val="21"/>
              <w:szCs w:val="21"/>
            </w:rPr>
            <w:tab/>
          </w:r>
          <w:r>
            <w:rPr>
              <w:sz w:val="21"/>
              <w:szCs w:val="21"/>
            </w:rPr>
            <w:fldChar w:fldCharType="begin"/>
          </w:r>
          <w:r>
            <w:rPr>
              <w:sz w:val="21"/>
              <w:szCs w:val="21"/>
            </w:rPr>
            <w:instrText xml:space="preserve"> PAGEREF _Toc12193 \h </w:instrText>
          </w:r>
          <w:r>
            <w:rPr>
              <w:sz w:val="21"/>
              <w:szCs w:val="21"/>
            </w:rPr>
            <w:fldChar w:fldCharType="separate"/>
          </w:r>
          <w:r>
            <w:rPr>
              <w:sz w:val="21"/>
              <w:szCs w:val="21"/>
            </w:rPr>
            <w:t>171</w:t>
          </w:r>
          <w:r>
            <w:rPr>
              <w:sz w:val="21"/>
              <w:szCs w:val="21"/>
            </w:rPr>
            <w:fldChar w:fldCharType="end"/>
          </w:r>
          <w:r>
            <w:rPr>
              <w:rFonts w:hint="default"/>
              <w:sz w:val="21"/>
              <w:szCs w:val="21"/>
            </w:rPr>
            <w:fldChar w:fldCharType="end"/>
          </w:r>
        </w:p>
        <w:p w14:paraId="1DEDC49C">
          <w:pPr>
            <w:pStyle w:val="26"/>
            <w:tabs>
              <w:tab w:val="right" w:leader="dot" w:pos="8304"/>
            </w:tabs>
            <w:rPr>
              <w:sz w:val="21"/>
              <w:szCs w:val="21"/>
            </w:rPr>
          </w:pPr>
          <w:r>
            <w:rPr>
              <w:rFonts w:hint="default"/>
              <w:sz w:val="21"/>
              <w:szCs w:val="21"/>
            </w:rPr>
            <w:fldChar w:fldCharType="begin"/>
          </w:r>
          <w:r>
            <w:rPr>
              <w:rFonts w:hint="default"/>
              <w:sz w:val="21"/>
              <w:szCs w:val="21"/>
            </w:rPr>
            <w:instrText xml:space="preserve"> HYPERLINK \l _Toc39 </w:instrText>
          </w:r>
          <w:r>
            <w:rPr>
              <w:rFonts w:hint="default"/>
              <w:sz w:val="21"/>
              <w:szCs w:val="21"/>
            </w:rPr>
            <w:fldChar w:fldCharType="separate"/>
          </w:r>
          <w:r>
            <w:rPr>
              <w:rFonts w:hint="default" w:ascii="Times New Roman" w:hAnsi="Times New Roman" w:eastAsia="宋体" w:cs="Times New Roman"/>
              <w:bCs/>
              <w:sz w:val="21"/>
              <w:szCs w:val="21"/>
            </w:rPr>
            <w:t>9.2环境监测计划</w:t>
          </w:r>
          <w:r>
            <w:rPr>
              <w:sz w:val="21"/>
              <w:szCs w:val="21"/>
            </w:rPr>
            <w:tab/>
          </w:r>
          <w:r>
            <w:rPr>
              <w:sz w:val="21"/>
              <w:szCs w:val="21"/>
            </w:rPr>
            <w:fldChar w:fldCharType="begin"/>
          </w:r>
          <w:r>
            <w:rPr>
              <w:sz w:val="21"/>
              <w:szCs w:val="21"/>
            </w:rPr>
            <w:instrText xml:space="preserve"> PAGEREF _Toc39 \h </w:instrText>
          </w:r>
          <w:r>
            <w:rPr>
              <w:sz w:val="21"/>
              <w:szCs w:val="21"/>
            </w:rPr>
            <w:fldChar w:fldCharType="separate"/>
          </w:r>
          <w:r>
            <w:rPr>
              <w:sz w:val="21"/>
              <w:szCs w:val="21"/>
            </w:rPr>
            <w:t>173</w:t>
          </w:r>
          <w:r>
            <w:rPr>
              <w:sz w:val="21"/>
              <w:szCs w:val="21"/>
            </w:rPr>
            <w:fldChar w:fldCharType="end"/>
          </w:r>
          <w:r>
            <w:rPr>
              <w:rFonts w:hint="default"/>
              <w:sz w:val="21"/>
              <w:szCs w:val="21"/>
            </w:rPr>
            <w:fldChar w:fldCharType="end"/>
          </w:r>
        </w:p>
        <w:p w14:paraId="77CF1C8F">
          <w:pPr>
            <w:pStyle w:val="26"/>
            <w:tabs>
              <w:tab w:val="right" w:leader="dot" w:pos="8304"/>
            </w:tabs>
            <w:rPr>
              <w:sz w:val="21"/>
              <w:szCs w:val="21"/>
            </w:rPr>
          </w:pPr>
          <w:r>
            <w:rPr>
              <w:rFonts w:hint="default"/>
              <w:sz w:val="21"/>
              <w:szCs w:val="21"/>
            </w:rPr>
            <w:fldChar w:fldCharType="begin"/>
          </w:r>
          <w:r>
            <w:rPr>
              <w:rFonts w:hint="default"/>
              <w:sz w:val="21"/>
              <w:szCs w:val="21"/>
            </w:rPr>
            <w:instrText xml:space="preserve"> HYPERLINK \l _Toc5734 </w:instrText>
          </w:r>
          <w:r>
            <w:rPr>
              <w:rFonts w:hint="default"/>
              <w:sz w:val="21"/>
              <w:szCs w:val="21"/>
            </w:rPr>
            <w:fldChar w:fldCharType="separate"/>
          </w:r>
          <w:r>
            <w:rPr>
              <w:rFonts w:hint="default" w:ascii="Times New Roman" w:hAnsi="Times New Roman" w:eastAsia="宋体" w:cs="Times New Roman"/>
              <w:bCs/>
              <w:sz w:val="21"/>
              <w:szCs w:val="21"/>
            </w:rPr>
            <w:t>9.3“三同时”竣工验收一览表</w:t>
          </w:r>
          <w:r>
            <w:rPr>
              <w:sz w:val="21"/>
              <w:szCs w:val="21"/>
            </w:rPr>
            <w:tab/>
          </w:r>
          <w:r>
            <w:rPr>
              <w:sz w:val="21"/>
              <w:szCs w:val="21"/>
            </w:rPr>
            <w:fldChar w:fldCharType="begin"/>
          </w:r>
          <w:r>
            <w:rPr>
              <w:sz w:val="21"/>
              <w:szCs w:val="21"/>
            </w:rPr>
            <w:instrText xml:space="preserve"> PAGEREF _Toc5734 \h </w:instrText>
          </w:r>
          <w:r>
            <w:rPr>
              <w:sz w:val="21"/>
              <w:szCs w:val="21"/>
            </w:rPr>
            <w:fldChar w:fldCharType="separate"/>
          </w:r>
          <w:r>
            <w:rPr>
              <w:sz w:val="21"/>
              <w:szCs w:val="21"/>
            </w:rPr>
            <w:t>175</w:t>
          </w:r>
          <w:r>
            <w:rPr>
              <w:sz w:val="21"/>
              <w:szCs w:val="21"/>
            </w:rPr>
            <w:fldChar w:fldCharType="end"/>
          </w:r>
          <w:r>
            <w:rPr>
              <w:rFonts w:hint="default"/>
              <w:sz w:val="21"/>
              <w:szCs w:val="21"/>
            </w:rPr>
            <w:fldChar w:fldCharType="end"/>
          </w:r>
        </w:p>
        <w:p w14:paraId="4BD013DC">
          <w:pPr>
            <w:pStyle w:val="21"/>
            <w:tabs>
              <w:tab w:val="right" w:leader="dot" w:pos="8304"/>
            </w:tabs>
            <w:ind w:left="0" w:leftChars="0" w:firstLine="420" w:firstLineChars="200"/>
            <w:jc w:val="both"/>
            <w:rPr>
              <w:sz w:val="21"/>
              <w:szCs w:val="21"/>
            </w:rPr>
          </w:pPr>
          <w:r>
            <w:rPr>
              <w:rFonts w:hint="default"/>
              <w:sz w:val="21"/>
              <w:szCs w:val="21"/>
            </w:rPr>
            <w:fldChar w:fldCharType="begin"/>
          </w:r>
          <w:r>
            <w:rPr>
              <w:rFonts w:hint="default"/>
              <w:sz w:val="21"/>
              <w:szCs w:val="21"/>
            </w:rPr>
            <w:instrText xml:space="preserve"> HYPERLINK \l _Toc21154 </w:instrText>
          </w:r>
          <w:r>
            <w:rPr>
              <w:rFonts w:hint="default"/>
              <w:sz w:val="21"/>
              <w:szCs w:val="21"/>
            </w:rPr>
            <w:fldChar w:fldCharType="separate"/>
          </w:r>
          <w:r>
            <w:rPr>
              <w:rFonts w:hint="default" w:ascii="Times New Roman" w:hAnsi="Times New Roman" w:eastAsia="宋体" w:cs="Times New Roman"/>
              <w:bCs/>
              <w:sz w:val="21"/>
              <w:szCs w:val="21"/>
            </w:rPr>
            <w:t>10结论与建议</w:t>
          </w:r>
          <w:r>
            <w:rPr>
              <w:sz w:val="21"/>
              <w:szCs w:val="21"/>
            </w:rPr>
            <w:tab/>
          </w:r>
          <w:r>
            <w:rPr>
              <w:sz w:val="21"/>
              <w:szCs w:val="21"/>
            </w:rPr>
            <w:fldChar w:fldCharType="begin"/>
          </w:r>
          <w:r>
            <w:rPr>
              <w:sz w:val="21"/>
              <w:szCs w:val="21"/>
            </w:rPr>
            <w:instrText xml:space="preserve"> PAGEREF _Toc21154 \h </w:instrText>
          </w:r>
          <w:r>
            <w:rPr>
              <w:sz w:val="21"/>
              <w:szCs w:val="21"/>
            </w:rPr>
            <w:fldChar w:fldCharType="separate"/>
          </w:r>
          <w:r>
            <w:rPr>
              <w:sz w:val="21"/>
              <w:szCs w:val="21"/>
            </w:rPr>
            <w:t>177</w:t>
          </w:r>
          <w:r>
            <w:rPr>
              <w:sz w:val="21"/>
              <w:szCs w:val="21"/>
            </w:rPr>
            <w:fldChar w:fldCharType="end"/>
          </w:r>
          <w:r>
            <w:rPr>
              <w:rFonts w:hint="default"/>
              <w:sz w:val="21"/>
              <w:szCs w:val="21"/>
            </w:rPr>
            <w:fldChar w:fldCharType="end"/>
          </w:r>
        </w:p>
        <w:p w14:paraId="58EA9BA7">
          <w:pPr>
            <w:pStyle w:val="26"/>
            <w:tabs>
              <w:tab w:val="right" w:leader="dot" w:pos="8304"/>
            </w:tabs>
            <w:rPr>
              <w:sz w:val="21"/>
              <w:szCs w:val="21"/>
            </w:rPr>
          </w:pPr>
          <w:r>
            <w:rPr>
              <w:rFonts w:hint="default"/>
              <w:sz w:val="21"/>
              <w:szCs w:val="21"/>
            </w:rPr>
            <w:fldChar w:fldCharType="begin"/>
          </w:r>
          <w:r>
            <w:rPr>
              <w:rFonts w:hint="default"/>
              <w:sz w:val="21"/>
              <w:szCs w:val="21"/>
            </w:rPr>
            <w:instrText xml:space="preserve"> HYPERLINK \l _Toc7609 </w:instrText>
          </w:r>
          <w:r>
            <w:rPr>
              <w:rFonts w:hint="default"/>
              <w:sz w:val="21"/>
              <w:szCs w:val="21"/>
            </w:rPr>
            <w:fldChar w:fldCharType="separate"/>
          </w:r>
          <w:r>
            <w:rPr>
              <w:rFonts w:hint="default" w:ascii="Times New Roman" w:hAnsi="Times New Roman" w:eastAsia="宋体" w:cs="Times New Roman"/>
              <w:bCs/>
              <w:sz w:val="21"/>
              <w:szCs w:val="21"/>
            </w:rPr>
            <w:t>10.1项目基本情况</w:t>
          </w:r>
          <w:r>
            <w:rPr>
              <w:sz w:val="21"/>
              <w:szCs w:val="21"/>
            </w:rPr>
            <w:tab/>
          </w:r>
          <w:r>
            <w:rPr>
              <w:sz w:val="21"/>
              <w:szCs w:val="21"/>
            </w:rPr>
            <w:fldChar w:fldCharType="begin"/>
          </w:r>
          <w:r>
            <w:rPr>
              <w:sz w:val="21"/>
              <w:szCs w:val="21"/>
            </w:rPr>
            <w:instrText xml:space="preserve"> PAGEREF _Toc7609 \h </w:instrText>
          </w:r>
          <w:r>
            <w:rPr>
              <w:sz w:val="21"/>
              <w:szCs w:val="21"/>
            </w:rPr>
            <w:fldChar w:fldCharType="separate"/>
          </w:r>
          <w:r>
            <w:rPr>
              <w:sz w:val="21"/>
              <w:szCs w:val="21"/>
            </w:rPr>
            <w:t>177</w:t>
          </w:r>
          <w:r>
            <w:rPr>
              <w:sz w:val="21"/>
              <w:szCs w:val="21"/>
            </w:rPr>
            <w:fldChar w:fldCharType="end"/>
          </w:r>
          <w:r>
            <w:rPr>
              <w:rFonts w:hint="default"/>
              <w:sz w:val="21"/>
              <w:szCs w:val="21"/>
            </w:rPr>
            <w:fldChar w:fldCharType="end"/>
          </w:r>
        </w:p>
        <w:p w14:paraId="60AD360B">
          <w:pPr>
            <w:pStyle w:val="26"/>
            <w:tabs>
              <w:tab w:val="right" w:leader="dot" w:pos="8304"/>
            </w:tabs>
            <w:rPr>
              <w:sz w:val="21"/>
              <w:szCs w:val="21"/>
            </w:rPr>
          </w:pPr>
          <w:r>
            <w:rPr>
              <w:rFonts w:hint="default"/>
              <w:sz w:val="21"/>
              <w:szCs w:val="21"/>
            </w:rPr>
            <w:fldChar w:fldCharType="begin"/>
          </w:r>
          <w:r>
            <w:rPr>
              <w:rFonts w:hint="default"/>
              <w:sz w:val="21"/>
              <w:szCs w:val="21"/>
            </w:rPr>
            <w:instrText xml:space="preserve"> HYPERLINK \l _Toc1798 </w:instrText>
          </w:r>
          <w:r>
            <w:rPr>
              <w:rFonts w:hint="default"/>
              <w:sz w:val="21"/>
              <w:szCs w:val="21"/>
            </w:rPr>
            <w:fldChar w:fldCharType="separate"/>
          </w:r>
          <w:r>
            <w:rPr>
              <w:rFonts w:hint="default" w:ascii="Times New Roman" w:hAnsi="Times New Roman" w:eastAsia="宋体" w:cs="Times New Roman"/>
              <w:bCs/>
              <w:sz w:val="21"/>
              <w:szCs w:val="21"/>
            </w:rPr>
            <w:t>10.2产业政策符合性分析</w:t>
          </w:r>
          <w:r>
            <w:rPr>
              <w:sz w:val="21"/>
              <w:szCs w:val="21"/>
            </w:rPr>
            <w:tab/>
          </w:r>
          <w:r>
            <w:rPr>
              <w:sz w:val="21"/>
              <w:szCs w:val="21"/>
            </w:rPr>
            <w:fldChar w:fldCharType="begin"/>
          </w:r>
          <w:r>
            <w:rPr>
              <w:sz w:val="21"/>
              <w:szCs w:val="21"/>
            </w:rPr>
            <w:instrText xml:space="preserve"> PAGEREF _Toc1798 \h </w:instrText>
          </w:r>
          <w:r>
            <w:rPr>
              <w:sz w:val="21"/>
              <w:szCs w:val="21"/>
            </w:rPr>
            <w:fldChar w:fldCharType="separate"/>
          </w:r>
          <w:r>
            <w:rPr>
              <w:sz w:val="21"/>
              <w:szCs w:val="21"/>
            </w:rPr>
            <w:t>177</w:t>
          </w:r>
          <w:r>
            <w:rPr>
              <w:sz w:val="21"/>
              <w:szCs w:val="21"/>
            </w:rPr>
            <w:fldChar w:fldCharType="end"/>
          </w:r>
          <w:r>
            <w:rPr>
              <w:rFonts w:hint="default"/>
              <w:sz w:val="21"/>
              <w:szCs w:val="21"/>
            </w:rPr>
            <w:fldChar w:fldCharType="end"/>
          </w:r>
        </w:p>
        <w:p w14:paraId="58AC7A06">
          <w:pPr>
            <w:pStyle w:val="26"/>
            <w:tabs>
              <w:tab w:val="right" w:leader="dot" w:pos="8304"/>
            </w:tabs>
            <w:rPr>
              <w:sz w:val="21"/>
              <w:szCs w:val="21"/>
            </w:rPr>
          </w:pPr>
          <w:r>
            <w:rPr>
              <w:rFonts w:hint="default"/>
              <w:sz w:val="21"/>
              <w:szCs w:val="21"/>
            </w:rPr>
            <w:fldChar w:fldCharType="begin"/>
          </w:r>
          <w:r>
            <w:rPr>
              <w:rFonts w:hint="default"/>
              <w:sz w:val="21"/>
              <w:szCs w:val="21"/>
            </w:rPr>
            <w:instrText xml:space="preserve"> HYPERLINK \l _Toc19861 </w:instrText>
          </w:r>
          <w:r>
            <w:rPr>
              <w:rFonts w:hint="default"/>
              <w:sz w:val="21"/>
              <w:szCs w:val="21"/>
            </w:rPr>
            <w:fldChar w:fldCharType="separate"/>
          </w:r>
          <w:r>
            <w:rPr>
              <w:rFonts w:hint="default" w:ascii="Times New Roman" w:hAnsi="Times New Roman" w:eastAsia="宋体" w:cs="Times New Roman"/>
              <w:bCs/>
              <w:sz w:val="21"/>
              <w:szCs w:val="21"/>
            </w:rPr>
            <w:t>10.3选址合理性分析</w:t>
          </w:r>
          <w:r>
            <w:rPr>
              <w:sz w:val="21"/>
              <w:szCs w:val="21"/>
            </w:rPr>
            <w:tab/>
          </w:r>
          <w:r>
            <w:rPr>
              <w:sz w:val="21"/>
              <w:szCs w:val="21"/>
            </w:rPr>
            <w:fldChar w:fldCharType="begin"/>
          </w:r>
          <w:r>
            <w:rPr>
              <w:sz w:val="21"/>
              <w:szCs w:val="21"/>
            </w:rPr>
            <w:instrText xml:space="preserve"> PAGEREF _Toc19861 \h </w:instrText>
          </w:r>
          <w:r>
            <w:rPr>
              <w:sz w:val="21"/>
              <w:szCs w:val="21"/>
            </w:rPr>
            <w:fldChar w:fldCharType="separate"/>
          </w:r>
          <w:r>
            <w:rPr>
              <w:sz w:val="21"/>
              <w:szCs w:val="21"/>
            </w:rPr>
            <w:t>177</w:t>
          </w:r>
          <w:r>
            <w:rPr>
              <w:sz w:val="21"/>
              <w:szCs w:val="21"/>
            </w:rPr>
            <w:fldChar w:fldCharType="end"/>
          </w:r>
          <w:r>
            <w:rPr>
              <w:rFonts w:hint="default"/>
              <w:sz w:val="21"/>
              <w:szCs w:val="21"/>
            </w:rPr>
            <w:fldChar w:fldCharType="end"/>
          </w:r>
        </w:p>
        <w:p w14:paraId="3BA39F76">
          <w:pPr>
            <w:pStyle w:val="26"/>
            <w:tabs>
              <w:tab w:val="right" w:leader="dot" w:pos="8304"/>
            </w:tabs>
            <w:rPr>
              <w:sz w:val="21"/>
              <w:szCs w:val="21"/>
            </w:rPr>
          </w:pPr>
          <w:r>
            <w:rPr>
              <w:rFonts w:hint="default"/>
              <w:sz w:val="21"/>
              <w:szCs w:val="21"/>
            </w:rPr>
            <w:fldChar w:fldCharType="begin"/>
          </w:r>
          <w:r>
            <w:rPr>
              <w:rFonts w:hint="default"/>
              <w:sz w:val="21"/>
              <w:szCs w:val="21"/>
            </w:rPr>
            <w:instrText xml:space="preserve"> HYPERLINK \l _Toc3058 </w:instrText>
          </w:r>
          <w:r>
            <w:rPr>
              <w:rFonts w:hint="default"/>
              <w:sz w:val="21"/>
              <w:szCs w:val="21"/>
            </w:rPr>
            <w:fldChar w:fldCharType="separate"/>
          </w:r>
          <w:r>
            <w:rPr>
              <w:rFonts w:hint="default" w:ascii="Times New Roman" w:hAnsi="Times New Roman" w:eastAsia="宋体" w:cs="Times New Roman"/>
              <w:bCs/>
              <w:sz w:val="21"/>
              <w:szCs w:val="21"/>
            </w:rPr>
            <w:t>10.4环境质量现状评价结论</w:t>
          </w:r>
          <w:r>
            <w:rPr>
              <w:sz w:val="21"/>
              <w:szCs w:val="21"/>
            </w:rPr>
            <w:tab/>
          </w:r>
          <w:r>
            <w:rPr>
              <w:sz w:val="21"/>
              <w:szCs w:val="21"/>
            </w:rPr>
            <w:fldChar w:fldCharType="begin"/>
          </w:r>
          <w:r>
            <w:rPr>
              <w:sz w:val="21"/>
              <w:szCs w:val="21"/>
            </w:rPr>
            <w:instrText xml:space="preserve"> PAGEREF _Toc3058 \h </w:instrText>
          </w:r>
          <w:r>
            <w:rPr>
              <w:sz w:val="21"/>
              <w:szCs w:val="21"/>
            </w:rPr>
            <w:fldChar w:fldCharType="separate"/>
          </w:r>
          <w:r>
            <w:rPr>
              <w:sz w:val="21"/>
              <w:szCs w:val="21"/>
            </w:rPr>
            <w:t>178</w:t>
          </w:r>
          <w:r>
            <w:rPr>
              <w:sz w:val="21"/>
              <w:szCs w:val="21"/>
            </w:rPr>
            <w:fldChar w:fldCharType="end"/>
          </w:r>
          <w:r>
            <w:rPr>
              <w:rFonts w:hint="default"/>
              <w:sz w:val="21"/>
              <w:szCs w:val="21"/>
            </w:rPr>
            <w:fldChar w:fldCharType="end"/>
          </w:r>
        </w:p>
        <w:p w14:paraId="1445FB83">
          <w:pPr>
            <w:pStyle w:val="26"/>
            <w:tabs>
              <w:tab w:val="right" w:leader="dot" w:pos="8304"/>
            </w:tabs>
            <w:rPr>
              <w:sz w:val="21"/>
              <w:szCs w:val="21"/>
            </w:rPr>
          </w:pPr>
          <w:r>
            <w:rPr>
              <w:rFonts w:hint="default"/>
              <w:sz w:val="21"/>
              <w:szCs w:val="21"/>
            </w:rPr>
            <w:fldChar w:fldCharType="begin"/>
          </w:r>
          <w:r>
            <w:rPr>
              <w:rFonts w:hint="default"/>
              <w:sz w:val="21"/>
              <w:szCs w:val="21"/>
            </w:rPr>
            <w:instrText xml:space="preserve"> HYPERLINK \l _Toc3695 </w:instrText>
          </w:r>
          <w:r>
            <w:rPr>
              <w:rFonts w:hint="default"/>
              <w:sz w:val="21"/>
              <w:szCs w:val="21"/>
            </w:rPr>
            <w:fldChar w:fldCharType="separate"/>
          </w:r>
          <w:r>
            <w:rPr>
              <w:rFonts w:hint="default" w:ascii="Times New Roman" w:hAnsi="Times New Roman" w:eastAsia="宋体" w:cs="Times New Roman"/>
              <w:bCs/>
              <w:sz w:val="21"/>
              <w:szCs w:val="21"/>
            </w:rPr>
            <w:t>10.5污染防治措施与影响分析结论</w:t>
          </w:r>
          <w:r>
            <w:rPr>
              <w:sz w:val="21"/>
              <w:szCs w:val="21"/>
            </w:rPr>
            <w:tab/>
          </w:r>
          <w:r>
            <w:rPr>
              <w:sz w:val="21"/>
              <w:szCs w:val="21"/>
            </w:rPr>
            <w:fldChar w:fldCharType="begin"/>
          </w:r>
          <w:r>
            <w:rPr>
              <w:sz w:val="21"/>
              <w:szCs w:val="21"/>
            </w:rPr>
            <w:instrText xml:space="preserve"> PAGEREF _Toc3695 \h </w:instrText>
          </w:r>
          <w:r>
            <w:rPr>
              <w:sz w:val="21"/>
              <w:szCs w:val="21"/>
            </w:rPr>
            <w:fldChar w:fldCharType="separate"/>
          </w:r>
          <w:r>
            <w:rPr>
              <w:sz w:val="21"/>
              <w:szCs w:val="21"/>
            </w:rPr>
            <w:t>178</w:t>
          </w:r>
          <w:r>
            <w:rPr>
              <w:sz w:val="21"/>
              <w:szCs w:val="21"/>
            </w:rPr>
            <w:fldChar w:fldCharType="end"/>
          </w:r>
          <w:r>
            <w:rPr>
              <w:rFonts w:hint="default"/>
              <w:sz w:val="21"/>
              <w:szCs w:val="21"/>
            </w:rPr>
            <w:fldChar w:fldCharType="end"/>
          </w:r>
        </w:p>
        <w:p w14:paraId="5733A53F">
          <w:pPr>
            <w:pStyle w:val="14"/>
            <w:tabs>
              <w:tab w:val="right" w:leader="dot" w:pos="8304"/>
            </w:tabs>
            <w:rPr>
              <w:sz w:val="21"/>
              <w:szCs w:val="21"/>
            </w:rPr>
          </w:pPr>
          <w:r>
            <w:rPr>
              <w:rFonts w:hint="default"/>
              <w:sz w:val="21"/>
              <w:szCs w:val="21"/>
            </w:rPr>
            <w:fldChar w:fldCharType="begin"/>
          </w:r>
          <w:r>
            <w:rPr>
              <w:rFonts w:hint="default"/>
              <w:sz w:val="21"/>
              <w:szCs w:val="21"/>
            </w:rPr>
            <w:instrText xml:space="preserve"> HYPERLINK \l _Toc13098 </w:instrText>
          </w:r>
          <w:r>
            <w:rPr>
              <w:rFonts w:hint="default"/>
              <w:sz w:val="21"/>
              <w:szCs w:val="21"/>
            </w:rPr>
            <w:fldChar w:fldCharType="separate"/>
          </w:r>
          <w:r>
            <w:rPr>
              <w:rFonts w:hint="default" w:ascii="Times New Roman" w:hAnsi="Times New Roman" w:eastAsia="宋体" w:cs="Times New Roman"/>
              <w:sz w:val="21"/>
              <w:szCs w:val="21"/>
            </w:rPr>
            <w:t>10.5.1环境空气影响</w:t>
          </w:r>
          <w:r>
            <w:rPr>
              <w:sz w:val="21"/>
              <w:szCs w:val="21"/>
            </w:rPr>
            <w:tab/>
          </w:r>
          <w:r>
            <w:rPr>
              <w:sz w:val="21"/>
              <w:szCs w:val="21"/>
            </w:rPr>
            <w:fldChar w:fldCharType="begin"/>
          </w:r>
          <w:r>
            <w:rPr>
              <w:sz w:val="21"/>
              <w:szCs w:val="21"/>
            </w:rPr>
            <w:instrText xml:space="preserve"> PAGEREF _Toc13098 \h </w:instrText>
          </w:r>
          <w:r>
            <w:rPr>
              <w:sz w:val="21"/>
              <w:szCs w:val="21"/>
            </w:rPr>
            <w:fldChar w:fldCharType="separate"/>
          </w:r>
          <w:r>
            <w:rPr>
              <w:sz w:val="21"/>
              <w:szCs w:val="21"/>
            </w:rPr>
            <w:t>178</w:t>
          </w:r>
          <w:r>
            <w:rPr>
              <w:sz w:val="21"/>
              <w:szCs w:val="21"/>
            </w:rPr>
            <w:fldChar w:fldCharType="end"/>
          </w:r>
          <w:r>
            <w:rPr>
              <w:rFonts w:hint="default"/>
              <w:sz w:val="21"/>
              <w:szCs w:val="21"/>
            </w:rPr>
            <w:fldChar w:fldCharType="end"/>
          </w:r>
        </w:p>
        <w:p w14:paraId="4C83E89F">
          <w:pPr>
            <w:pStyle w:val="14"/>
            <w:tabs>
              <w:tab w:val="right" w:leader="dot" w:pos="8304"/>
            </w:tabs>
            <w:rPr>
              <w:sz w:val="21"/>
              <w:szCs w:val="21"/>
            </w:rPr>
          </w:pPr>
          <w:r>
            <w:rPr>
              <w:rFonts w:hint="default"/>
              <w:sz w:val="21"/>
              <w:szCs w:val="21"/>
            </w:rPr>
            <w:fldChar w:fldCharType="begin"/>
          </w:r>
          <w:r>
            <w:rPr>
              <w:rFonts w:hint="default"/>
              <w:sz w:val="21"/>
              <w:szCs w:val="21"/>
            </w:rPr>
            <w:instrText xml:space="preserve"> HYPERLINK \l _Toc20883 </w:instrText>
          </w:r>
          <w:r>
            <w:rPr>
              <w:rFonts w:hint="default"/>
              <w:sz w:val="21"/>
              <w:szCs w:val="21"/>
            </w:rPr>
            <w:fldChar w:fldCharType="separate"/>
          </w:r>
          <w:r>
            <w:rPr>
              <w:rFonts w:hint="default" w:ascii="Times New Roman" w:hAnsi="Times New Roman" w:eastAsia="宋体" w:cs="Times New Roman"/>
              <w:sz w:val="21"/>
              <w:szCs w:val="21"/>
            </w:rPr>
            <w:t>10.5.2地表水环境影响</w:t>
          </w:r>
          <w:r>
            <w:rPr>
              <w:sz w:val="21"/>
              <w:szCs w:val="21"/>
            </w:rPr>
            <w:tab/>
          </w:r>
          <w:r>
            <w:rPr>
              <w:sz w:val="21"/>
              <w:szCs w:val="21"/>
            </w:rPr>
            <w:fldChar w:fldCharType="begin"/>
          </w:r>
          <w:r>
            <w:rPr>
              <w:sz w:val="21"/>
              <w:szCs w:val="21"/>
            </w:rPr>
            <w:instrText xml:space="preserve"> PAGEREF _Toc20883 \h </w:instrText>
          </w:r>
          <w:r>
            <w:rPr>
              <w:sz w:val="21"/>
              <w:szCs w:val="21"/>
            </w:rPr>
            <w:fldChar w:fldCharType="separate"/>
          </w:r>
          <w:r>
            <w:rPr>
              <w:sz w:val="21"/>
              <w:szCs w:val="21"/>
            </w:rPr>
            <w:t>179</w:t>
          </w:r>
          <w:r>
            <w:rPr>
              <w:sz w:val="21"/>
              <w:szCs w:val="21"/>
            </w:rPr>
            <w:fldChar w:fldCharType="end"/>
          </w:r>
          <w:r>
            <w:rPr>
              <w:rFonts w:hint="default"/>
              <w:sz w:val="21"/>
              <w:szCs w:val="21"/>
            </w:rPr>
            <w:fldChar w:fldCharType="end"/>
          </w:r>
        </w:p>
        <w:p w14:paraId="16E16C68">
          <w:pPr>
            <w:pStyle w:val="14"/>
            <w:tabs>
              <w:tab w:val="right" w:leader="dot" w:pos="8304"/>
            </w:tabs>
            <w:rPr>
              <w:sz w:val="21"/>
              <w:szCs w:val="21"/>
            </w:rPr>
          </w:pPr>
          <w:r>
            <w:rPr>
              <w:rFonts w:hint="default"/>
              <w:sz w:val="21"/>
              <w:szCs w:val="21"/>
            </w:rPr>
            <w:fldChar w:fldCharType="begin"/>
          </w:r>
          <w:r>
            <w:rPr>
              <w:rFonts w:hint="default"/>
              <w:sz w:val="21"/>
              <w:szCs w:val="21"/>
            </w:rPr>
            <w:instrText xml:space="preserve"> HYPERLINK \l _Toc23805 </w:instrText>
          </w:r>
          <w:r>
            <w:rPr>
              <w:rFonts w:hint="default"/>
              <w:sz w:val="21"/>
              <w:szCs w:val="21"/>
            </w:rPr>
            <w:fldChar w:fldCharType="separate"/>
          </w:r>
          <w:r>
            <w:rPr>
              <w:rFonts w:hint="default" w:ascii="Times New Roman" w:hAnsi="Times New Roman" w:eastAsia="宋体" w:cs="Times New Roman"/>
              <w:sz w:val="21"/>
              <w:szCs w:val="21"/>
            </w:rPr>
            <w:t>10.5.3声环境影响</w:t>
          </w:r>
          <w:r>
            <w:rPr>
              <w:sz w:val="21"/>
              <w:szCs w:val="21"/>
            </w:rPr>
            <w:tab/>
          </w:r>
          <w:r>
            <w:rPr>
              <w:sz w:val="21"/>
              <w:szCs w:val="21"/>
            </w:rPr>
            <w:fldChar w:fldCharType="begin"/>
          </w:r>
          <w:r>
            <w:rPr>
              <w:sz w:val="21"/>
              <w:szCs w:val="21"/>
            </w:rPr>
            <w:instrText xml:space="preserve"> PAGEREF _Toc23805 \h </w:instrText>
          </w:r>
          <w:r>
            <w:rPr>
              <w:sz w:val="21"/>
              <w:szCs w:val="21"/>
            </w:rPr>
            <w:fldChar w:fldCharType="separate"/>
          </w:r>
          <w:r>
            <w:rPr>
              <w:sz w:val="21"/>
              <w:szCs w:val="21"/>
            </w:rPr>
            <w:t>179</w:t>
          </w:r>
          <w:r>
            <w:rPr>
              <w:sz w:val="21"/>
              <w:szCs w:val="21"/>
            </w:rPr>
            <w:fldChar w:fldCharType="end"/>
          </w:r>
          <w:r>
            <w:rPr>
              <w:rFonts w:hint="default"/>
              <w:sz w:val="21"/>
              <w:szCs w:val="21"/>
            </w:rPr>
            <w:fldChar w:fldCharType="end"/>
          </w:r>
        </w:p>
        <w:p w14:paraId="10EF4B5D">
          <w:pPr>
            <w:pStyle w:val="14"/>
            <w:tabs>
              <w:tab w:val="right" w:leader="dot" w:pos="8304"/>
            </w:tabs>
            <w:rPr>
              <w:sz w:val="21"/>
              <w:szCs w:val="21"/>
            </w:rPr>
          </w:pPr>
          <w:r>
            <w:rPr>
              <w:rFonts w:hint="default"/>
              <w:sz w:val="21"/>
              <w:szCs w:val="21"/>
            </w:rPr>
            <w:fldChar w:fldCharType="begin"/>
          </w:r>
          <w:r>
            <w:rPr>
              <w:rFonts w:hint="default"/>
              <w:sz w:val="21"/>
              <w:szCs w:val="21"/>
            </w:rPr>
            <w:instrText xml:space="preserve"> HYPERLINK \l _Toc8571 </w:instrText>
          </w:r>
          <w:r>
            <w:rPr>
              <w:rFonts w:hint="default"/>
              <w:sz w:val="21"/>
              <w:szCs w:val="21"/>
            </w:rPr>
            <w:fldChar w:fldCharType="separate"/>
          </w:r>
          <w:r>
            <w:rPr>
              <w:rFonts w:hint="default" w:ascii="Times New Roman" w:hAnsi="Times New Roman" w:eastAsia="宋体" w:cs="Times New Roman"/>
              <w:sz w:val="21"/>
              <w:szCs w:val="21"/>
            </w:rPr>
            <w:t>10.5.4地下水环境影响</w:t>
          </w:r>
          <w:r>
            <w:rPr>
              <w:sz w:val="21"/>
              <w:szCs w:val="21"/>
            </w:rPr>
            <w:tab/>
          </w:r>
          <w:r>
            <w:rPr>
              <w:sz w:val="21"/>
              <w:szCs w:val="21"/>
            </w:rPr>
            <w:fldChar w:fldCharType="begin"/>
          </w:r>
          <w:r>
            <w:rPr>
              <w:sz w:val="21"/>
              <w:szCs w:val="21"/>
            </w:rPr>
            <w:instrText xml:space="preserve"> PAGEREF _Toc8571 \h </w:instrText>
          </w:r>
          <w:r>
            <w:rPr>
              <w:sz w:val="21"/>
              <w:szCs w:val="21"/>
            </w:rPr>
            <w:fldChar w:fldCharType="separate"/>
          </w:r>
          <w:r>
            <w:rPr>
              <w:sz w:val="21"/>
              <w:szCs w:val="21"/>
            </w:rPr>
            <w:t>179</w:t>
          </w:r>
          <w:r>
            <w:rPr>
              <w:sz w:val="21"/>
              <w:szCs w:val="21"/>
            </w:rPr>
            <w:fldChar w:fldCharType="end"/>
          </w:r>
          <w:r>
            <w:rPr>
              <w:rFonts w:hint="default"/>
              <w:sz w:val="21"/>
              <w:szCs w:val="21"/>
            </w:rPr>
            <w:fldChar w:fldCharType="end"/>
          </w:r>
        </w:p>
        <w:p w14:paraId="0F32E8D1">
          <w:pPr>
            <w:pStyle w:val="14"/>
            <w:tabs>
              <w:tab w:val="right" w:leader="dot" w:pos="8304"/>
            </w:tabs>
            <w:rPr>
              <w:sz w:val="21"/>
              <w:szCs w:val="21"/>
            </w:rPr>
          </w:pPr>
          <w:r>
            <w:rPr>
              <w:rFonts w:hint="default"/>
              <w:sz w:val="21"/>
              <w:szCs w:val="21"/>
            </w:rPr>
            <w:fldChar w:fldCharType="begin"/>
          </w:r>
          <w:r>
            <w:rPr>
              <w:rFonts w:hint="default"/>
              <w:sz w:val="21"/>
              <w:szCs w:val="21"/>
            </w:rPr>
            <w:instrText xml:space="preserve"> HYPERLINK \l _Toc4030 </w:instrText>
          </w:r>
          <w:r>
            <w:rPr>
              <w:rFonts w:hint="default"/>
              <w:sz w:val="21"/>
              <w:szCs w:val="21"/>
            </w:rPr>
            <w:fldChar w:fldCharType="separate"/>
          </w:r>
          <w:r>
            <w:rPr>
              <w:rFonts w:hint="default" w:ascii="Times New Roman" w:hAnsi="Times New Roman" w:eastAsia="宋体" w:cs="Times New Roman"/>
              <w:sz w:val="21"/>
              <w:szCs w:val="21"/>
            </w:rPr>
            <w:t>10.5.5固体废物环境影响分析</w:t>
          </w:r>
          <w:r>
            <w:rPr>
              <w:sz w:val="21"/>
              <w:szCs w:val="21"/>
            </w:rPr>
            <w:tab/>
          </w:r>
          <w:r>
            <w:rPr>
              <w:sz w:val="21"/>
              <w:szCs w:val="21"/>
            </w:rPr>
            <w:fldChar w:fldCharType="begin"/>
          </w:r>
          <w:r>
            <w:rPr>
              <w:sz w:val="21"/>
              <w:szCs w:val="21"/>
            </w:rPr>
            <w:instrText xml:space="preserve"> PAGEREF _Toc4030 \h </w:instrText>
          </w:r>
          <w:r>
            <w:rPr>
              <w:sz w:val="21"/>
              <w:szCs w:val="21"/>
            </w:rPr>
            <w:fldChar w:fldCharType="separate"/>
          </w:r>
          <w:r>
            <w:rPr>
              <w:sz w:val="21"/>
              <w:szCs w:val="21"/>
            </w:rPr>
            <w:t>180</w:t>
          </w:r>
          <w:r>
            <w:rPr>
              <w:sz w:val="21"/>
              <w:szCs w:val="21"/>
            </w:rPr>
            <w:fldChar w:fldCharType="end"/>
          </w:r>
          <w:r>
            <w:rPr>
              <w:rFonts w:hint="default"/>
              <w:sz w:val="21"/>
              <w:szCs w:val="21"/>
            </w:rPr>
            <w:fldChar w:fldCharType="end"/>
          </w:r>
        </w:p>
        <w:p w14:paraId="74213D8C">
          <w:pPr>
            <w:pStyle w:val="26"/>
            <w:tabs>
              <w:tab w:val="right" w:leader="dot" w:pos="8304"/>
            </w:tabs>
            <w:rPr>
              <w:sz w:val="21"/>
              <w:szCs w:val="21"/>
            </w:rPr>
          </w:pPr>
          <w:r>
            <w:rPr>
              <w:rFonts w:hint="default"/>
              <w:sz w:val="21"/>
              <w:szCs w:val="21"/>
            </w:rPr>
            <w:fldChar w:fldCharType="begin"/>
          </w:r>
          <w:r>
            <w:rPr>
              <w:rFonts w:hint="default"/>
              <w:sz w:val="21"/>
              <w:szCs w:val="21"/>
            </w:rPr>
            <w:instrText xml:space="preserve"> HYPERLINK \l _Toc490 </w:instrText>
          </w:r>
          <w:r>
            <w:rPr>
              <w:rFonts w:hint="default"/>
              <w:sz w:val="21"/>
              <w:szCs w:val="21"/>
            </w:rPr>
            <w:fldChar w:fldCharType="separate"/>
          </w:r>
          <w:r>
            <w:rPr>
              <w:rFonts w:hint="default" w:ascii="Times New Roman" w:hAnsi="Times New Roman" w:eastAsia="宋体" w:cs="Times New Roman"/>
              <w:bCs/>
              <w:sz w:val="21"/>
              <w:szCs w:val="21"/>
            </w:rPr>
            <w:t>10.6环境风险分析结论</w:t>
          </w:r>
          <w:r>
            <w:rPr>
              <w:sz w:val="21"/>
              <w:szCs w:val="21"/>
            </w:rPr>
            <w:tab/>
          </w:r>
          <w:r>
            <w:rPr>
              <w:sz w:val="21"/>
              <w:szCs w:val="21"/>
            </w:rPr>
            <w:fldChar w:fldCharType="begin"/>
          </w:r>
          <w:r>
            <w:rPr>
              <w:sz w:val="21"/>
              <w:szCs w:val="21"/>
            </w:rPr>
            <w:instrText xml:space="preserve"> PAGEREF _Toc490 \h </w:instrText>
          </w:r>
          <w:r>
            <w:rPr>
              <w:sz w:val="21"/>
              <w:szCs w:val="21"/>
            </w:rPr>
            <w:fldChar w:fldCharType="separate"/>
          </w:r>
          <w:r>
            <w:rPr>
              <w:sz w:val="21"/>
              <w:szCs w:val="21"/>
            </w:rPr>
            <w:t>180</w:t>
          </w:r>
          <w:r>
            <w:rPr>
              <w:sz w:val="21"/>
              <w:szCs w:val="21"/>
            </w:rPr>
            <w:fldChar w:fldCharType="end"/>
          </w:r>
          <w:r>
            <w:rPr>
              <w:rFonts w:hint="default"/>
              <w:sz w:val="21"/>
              <w:szCs w:val="21"/>
            </w:rPr>
            <w:fldChar w:fldCharType="end"/>
          </w:r>
        </w:p>
        <w:p w14:paraId="2349B0E3">
          <w:pPr>
            <w:pStyle w:val="26"/>
            <w:tabs>
              <w:tab w:val="right" w:leader="dot" w:pos="8304"/>
            </w:tabs>
            <w:rPr>
              <w:sz w:val="21"/>
              <w:szCs w:val="21"/>
            </w:rPr>
          </w:pPr>
          <w:r>
            <w:rPr>
              <w:rFonts w:hint="default"/>
              <w:sz w:val="21"/>
              <w:szCs w:val="21"/>
            </w:rPr>
            <w:fldChar w:fldCharType="begin"/>
          </w:r>
          <w:r>
            <w:rPr>
              <w:rFonts w:hint="default"/>
              <w:sz w:val="21"/>
              <w:szCs w:val="21"/>
            </w:rPr>
            <w:instrText xml:space="preserve"> HYPERLINK \l _Toc25592 </w:instrText>
          </w:r>
          <w:r>
            <w:rPr>
              <w:rFonts w:hint="default"/>
              <w:sz w:val="21"/>
              <w:szCs w:val="21"/>
            </w:rPr>
            <w:fldChar w:fldCharType="separate"/>
          </w:r>
          <w:r>
            <w:rPr>
              <w:rFonts w:hint="default" w:ascii="Times New Roman" w:hAnsi="Times New Roman" w:eastAsia="宋体" w:cs="Times New Roman"/>
              <w:bCs/>
              <w:sz w:val="21"/>
              <w:szCs w:val="21"/>
            </w:rPr>
            <w:t>10.7总量控制</w:t>
          </w:r>
          <w:r>
            <w:rPr>
              <w:sz w:val="21"/>
              <w:szCs w:val="21"/>
            </w:rPr>
            <w:tab/>
          </w:r>
          <w:r>
            <w:rPr>
              <w:sz w:val="21"/>
              <w:szCs w:val="21"/>
            </w:rPr>
            <w:fldChar w:fldCharType="begin"/>
          </w:r>
          <w:r>
            <w:rPr>
              <w:sz w:val="21"/>
              <w:szCs w:val="21"/>
            </w:rPr>
            <w:instrText xml:space="preserve"> PAGEREF _Toc25592 \h </w:instrText>
          </w:r>
          <w:r>
            <w:rPr>
              <w:sz w:val="21"/>
              <w:szCs w:val="21"/>
            </w:rPr>
            <w:fldChar w:fldCharType="separate"/>
          </w:r>
          <w:r>
            <w:rPr>
              <w:sz w:val="21"/>
              <w:szCs w:val="21"/>
            </w:rPr>
            <w:t>180</w:t>
          </w:r>
          <w:r>
            <w:rPr>
              <w:sz w:val="21"/>
              <w:szCs w:val="21"/>
            </w:rPr>
            <w:fldChar w:fldCharType="end"/>
          </w:r>
          <w:r>
            <w:rPr>
              <w:rFonts w:hint="default"/>
              <w:sz w:val="21"/>
              <w:szCs w:val="21"/>
            </w:rPr>
            <w:fldChar w:fldCharType="end"/>
          </w:r>
        </w:p>
        <w:p w14:paraId="4E0CAB34">
          <w:pPr>
            <w:pStyle w:val="26"/>
            <w:tabs>
              <w:tab w:val="right" w:leader="dot" w:pos="8304"/>
            </w:tabs>
            <w:rPr>
              <w:sz w:val="21"/>
              <w:szCs w:val="21"/>
            </w:rPr>
          </w:pPr>
          <w:r>
            <w:rPr>
              <w:rFonts w:hint="default"/>
              <w:sz w:val="21"/>
              <w:szCs w:val="21"/>
            </w:rPr>
            <w:fldChar w:fldCharType="begin"/>
          </w:r>
          <w:r>
            <w:rPr>
              <w:rFonts w:hint="default"/>
              <w:sz w:val="21"/>
              <w:szCs w:val="21"/>
            </w:rPr>
            <w:instrText xml:space="preserve"> HYPERLINK \l _Toc13123 </w:instrText>
          </w:r>
          <w:r>
            <w:rPr>
              <w:rFonts w:hint="default"/>
              <w:sz w:val="21"/>
              <w:szCs w:val="21"/>
            </w:rPr>
            <w:fldChar w:fldCharType="separate"/>
          </w:r>
          <w:r>
            <w:rPr>
              <w:rFonts w:hint="default" w:ascii="Times New Roman" w:hAnsi="Times New Roman" w:eastAsia="宋体" w:cs="Times New Roman"/>
              <w:bCs/>
              <w:sz w:val="21"/>
              <w:szCs w:val="21"/>
            </w:rPr>
            <w:t>10.8公众参与</w:t>
          </w:r>
          <w:r>
            <w:rPr>
              <w:sz w:val="21"/>
              <w:szCs w:val="21"/>
            </w:rPr>
            <w:tab/>
          </w:r>
          <w:r>
            <w:rPr>
              <w:sz w:val="21"/>
              <w:szCs w:val="21"/>
            </w:rPr>
            <w:fldChar w:fldCharType="begin"/>
          </w:r>
          <w:r>
            <w:rPr>
              <w:sz w:val="21"/>
              <w:szCs w:val="21"/>
            </w:rPr>
            <w:instrText xml:space="preserve"> PAGEREF _Toc13123 \h </w:instrText>
          </w:r>
          <w:r>
            <w:rPr>
              <w:sz w:val="21"/>
              <w:szCs w:val="21"/>
            </w:rPr>
            <w:fldChar w:fldCharType="separate"/>
          </w:r>
          <w:r>
            <w:rPr>
              <w:sz w:val="21"/>
              <w:szCs w:val="21"/>
            </w:rPr>
            <w:t>180</w:t>
          </w:r>
          <w:r>
            <w:rPr>
              <w:sz w:val="21"/>
              <w:szCs w:val="21"/>
            </w:rPr>
            <w:fldChar w:fldCharType="end"/>
          </w:r>
          <w:r>
            <w:rPr>
              <w:rFonts w:hint="default"/>
              <w:sz w:val="21"/>
              <w:szCs w:val="21"/>
            </w:rPr>
            <w:fldChar w:fldCharType="end"/>
          </w:r>
        </w:p>
        <w:p w14:paraId="05AEBAE0">
          <w:pPr>
            <w:pStyle w:val="26"/>
            <w:tabs>
              <w:tab w:val="right" w:leader="dot" w:pos="8304"/>
            </w:tabs>
            <w:rPr>
              <w:rFonts w:hint="default" w:ascii="宋体" w:hAnsi="Courier New" w:eastAsia="宋体" w:cs="Times New Roman"/>
              <w:kern w:val="2"/>
              <w:sz w:val="24"/>
              <w:szCs w:val="24"/>
              <w:lang w:val="en-US" w:eastAsia="zh-CN" w:bidi="ar-SA"/>
            </w:rPr>
          </w:pPr>
          <w:r>
            <w:rPr>
              <w:rFonts w:hint="default"/>
              <w:sz w:val="21"/>
              <w:szCs w:val="21"/>
            </w:rPr>
            <w:fldChar w:fldCharType="begin"/>
          </w:r>
          <w:r>
            <w:rPr>
              <w:rFonts w:hint="default"/>
              <w:sz w:val="21"/>
              <w:szCs w:val="21"/>
            </w:rPr>
            <w:instrText xml:space="preserve"> HYPERLINK \l _Toc28975 </w:instrText>
          </w:r>
          <w:r>
            <w:rPr>
              <w:rFonts w:hint="default"/>
              <w:sz w:val="21"/>
              <w:szCs w:val="21"/>
            </w:rPr>
            <w:fldChar w:fldCharType="separate"/>
          </w:r>
          <w:r>
            <w:rPr>
              <w:rFonts w:hint="default" w:ascii="Times New Roman" w:hAnsi="Times New Roman" w:eastAsia="宋体" w:cs="Times New Roman"/>
              <w:bCs/>
              <w:sz w:val="21"/>
              <w:szCs w:val="21"/>
            </w:rPr>
            <w:t>10.9结论</w:t>
          </w:r>
          <w:r>
            <w:rPr>
              <w:sz w:val="21"/>
              <w:szCs w:val="21"/>
            </w:rPr>
            <w:tab/>
          </w:r>
          <w:r>
            <w:rPr>
              <w:sz w:val="21"/>
              <w:szCs w:val="21"/>
            </w:rPr>
            <w:fldChar w:fldCharType="begin"/>
          </w:r>
          <w:r>
            <w:rPr>
              <w:sz w:val="21"/>
              <w:szCs w:val="21"/>
            </w:rPr>
            <w:instrText xml:space="preserve"> PAGEREF _Toc28975 \h </w:instrText>
          </w:r>
          <w:r>
            <w:rPr>
              <w:sz w:val="21"/>
              <w:szCs w:val="21"/>
            </w:rPr>
            <w:fldChar w:fldCharType="separate"/>
          </w:r>
          <w:r>
            <w:rPr>
              <w:sz w:val="21"/>
              <w:szCs w:val="21"/>
            </w:rPr>
            <w:t>181</w:t>
          </w:r>
          <w:r>
            <w:rPr>
              <w:sz w:val="21"/>
              <w:szCs w:val="21"/>
            </w:rPr>
            <w:fldChar w:fldCharType="end"/>
          </w:r>
          <w:r>
            <w:rPr>
              <w:rFonts w:hint="default"/>
              <w:sz w:val="21"/>
              <w:szCs w:val="21"/>
            </w:rPr>
            <w:fldChar w:fldCharType="end"/>
          </w:r>
          <w:r>
            <w:rPr>
              <w:rFonts w:hint="default"/>
              <w:sz w:val="21"/>
              <w:szCs w:val="21"/>
            </w:rPr>
            <w:fldChar w:fldCharType="end"/>
          </w:r>
        </w:p>
      </w:sdtContent>
    </w:sdt>
    <w:p w14:paraId="338D3DB6">
      <w:pPr>
        <w:pStyle w:val="2"/>
        <w:rPr>
          <w:rFonts w:hint="default" w:ascii="宋体" w:hAnsi="Courier New" w:eastAsia="宋体" w:cs="Times New Roman"/>
          <w:kern w:val="2"/>
          <w:sz w:val="24"/>
          <w:szCs w:val="24"/>
          <w:lang w:val="en-US" w:eastAsia="zh-CN" w:bidi="ar-SA"/>
        </w:rPr>
        <w:sectPr>
          <w:headerReference r:id="rId10" w:type="first"/>
          <w:footerReference r:id="rId12" w:type="first"/>
          <w:headerReference r:id="rId9" w:type="default"/>
          <w:footerReference r:id="rId11" w:type="default"/>
          <w:pgSz w:w="11910" w:h="16840"/>
          <w:pgMar w:top="1440" w:right="1803" w:bottom="1440" w:left="1803" w:header="898" w:footer="998" w:gutter="0"/>
          <w:pgNumType w:fmt="decimal" w:start="1"/>
          <w:cols w:space="0" w:num="1"/>
          <w:titlePg/>
        </w:sectPr>
      </w:pPr>
    </w:p>
    <w:p w14:paraId="1D562A5E">
      <w:pPr>
        <w:keepNext w:val="0"/>
        <w:keepLines w:val="0"/>
        <w:pageBreakBefore w:val="0"/>
        <w:widowControl w:val="0"/>
        <w:kinsoku/>
        <w:wordWrap/>
        <w:overflowPunct/>
        <w:topLinePunct w:val="0"/>
        <w:autoSpaceDE/>
        <w:autoSpaceDN/>
        <w:bidi w:val="0"/>
        <w:adjustRightInd/>
        <w:snapToGrid/>
        <w:ind w:firstLine="0" w:firstLineChars="0"/>
        <w:textAlignment w:val="auto"/>
        <w:outlineLvl w:val="0"/>
        <w:rPr>
          <w:rFonts w:hint="default" w:ascii="Times New Roman" w:hAnsi="Times New Roman" w:eastAsia="宋体" w:cs="Times New Roman"/>
          <w:b/>
          <w:bCs/>
          <w:color w:val="000000" w:themeColor="text1"/>
          <w:sz w:val="30"/>
          <w:szCs w:val="30"/>
          <w14:textFill>
            <w14:solidFill>
              <w14:schemeClr w14:val="tx1"/>
            </w14:solidFill>
          </w14:textFill>
        </w:rPr>
      </w:pPr>
      <w:bookmarkStart w:id="33" w:name="_Toc20885"/>
      <w:r>
        <w:rPr>
          <w:rFonts w:hint="default" w:ascii="Times New Roman" w:hAnsi="Times New Roman" w:eastAsia="宋体" w:cs="Times New Roman"/>
          <w:b/>
          <w:bCs/>
          <w:color w:val="000000" w:themeColor="text1"/>
          <w:sz w:val="30"/>
          <w:szCs w:val="30"/>
          <w14:textFill>
            <w14:solidFill>
              <w14:schemeClr w14:val="tx1"/>
            </w14:solidFill>
          </w14:textFill>
        </w:rPr>
        <w:t>1概述</w:t>
      </w:r>
      <w:bookmarkEnd w:id="33"/>
    </w:p>
    <w:p w14:paraId="119C8C54">
      <w:pPr>
        <w:ind w:firstLine="0" w:firstLineChars="0"/>
        <w:outlineLvl w:val="1"/>
        <w:rPr>
          <w:rFonts w:hint="default" w:ascii="Times New Roman" w:hAnsi="Times New Roman" w:eastAsia="宋体" w:cs="Times New Roman"/>
          <w:b/>
          <w:bCs/>
          <w:color w:val="000000" w:themeColor="text1"/>
          <w:sz w:val="28"/>
          <w:szCs w:val="28"/>
          <w14:textFill>
            <w14:solidFill>
              <w14:schemeClr w14:val="tx1"/>
            </w14:solidFill>
          </w14:textFill>
        </w:rPr>
      </w:pPr>
      <w:bookmarkStart w:id="34" w:name="_Toc10403"/>
      <w:r>
        <w:rPr>
          <w:rFonts w:hint="default" w:ascii="Times New Roman" w:hAnsi="Times New Roman" w:eastAsia="宋体" w:cs="Times New Roman"/>
          <w:b/>
          <w:bCs/>
          <w:color w:val="000000" w:themeColor="text1"/>
          <w:sz w:val="28"/>
          <w:szCs w:val="28"/>
          <w14:textFill>
            <w14:solidFill>
              <w14:schemeClr w14:val="tx1"/>
            </w14:solidFill>
          </w14:textFill>
        </w:rPr>
        <w:t>1.1项目特点及由来</w:t>
      </w:r>
      <w:bookmarkEnd w:id="34"/>
    </w:p>
    <w:p w14:paraId="306C7F58">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畜牧业是我国农村经济的重要支柱型产业，发展畜牧业生产，是调整农村经济结构，优化农村经济结构要素的重要环节。长期以来，重视发展畜牧业生产，一直是国家的重要产业政策，并纳入国民经济长远和近期规划。</w:t>
      </w:r>
    </w:p>
    <w:p w14:paraId="456E3E29">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目前，我国规模化、集约化开展进程不断的加快，然而散户的数量还是占了大部分，主要是因为技术支持、配套设备的缺乏，造成畜牧业开展受到较大的局限，难以实现预期的效果。另一方面，大多数的养殖户，在家庭收入中把畜牧养殖作为关键的补充形式，同时一部分养殖户的文化水平不高，无法有效及时地接受现代化专业养殖技能以及相关的知识，尤其是在农村开展中，畜牧业受到的一定的局限。</w:t>
      </w:r>
    </w:p>
    <w:p w14:paraId="536A6FF4">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开展现代畜牧业是与实际需求相适应，强化畜产品质量的前提就是需要大幅度地开展建设标准化示范养殖区以及相关的养殖基地，通过源头来进一步强化畜禽养殖能力，确保所生产的动物产品有着较高的市场竞争力。接着通过生产设备、产品加工以及检测等各个环节出发，构建有关合理科学的食品平安保障体系，这也被作为到达畜牧业稳定、快速、健康开展的一个关键条件。按照大量的研究实践说明，畜产品需要在强化质量的根底上，才可以真正的增强市场竞争力。</w:t>
      </w:r>
    </w:p>
    <w:p w14:paraId="3BE15248">
      <w:pPr>
        <w:keepNext w:val="0"/>
        <w:keepLines w:val="0"/>
        <w:widowControl/>
        <w:suppressLineNumbers w:val="0"/>
        <w:jc w:val="left"/>
        <w:rPr>
          <w:rFonts w:hint="default" w:ascii="Times New Roman" w:hAnsi="Times New Roman" w:eastAsia="宋体" w:cs="Times New Roman"/>
          <w:b/>
          <w:bCs/>
          <w:color w:val="000000" w:themeColor="text1"/>
          <w:sz w:val="28"/>
          <w:szCs w:val="28"/>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在此背景下，科尔沁右翼前旗现代农牧业园区管理委员会在科尔沁右翼前旗政府的指导下，以国家、自治区、兴安盟支持乡村振兴政策为背景，根据科右前旗的养殖基础，特提出科右前旗现代农牧业园区核心育种场养殖项目。通过项目实施，以增加农牧民收入、增强区域经济的竞争优势，完全符合国家产业政策。项目建成后，具有很好的社会效益和经济效益，对促进农业结构优化升级、推进农业现代化和社会主义新农村建设，具有极为重要的意义</w:t>
      </w:r>
      <w:r>
        <w:rPr>
          <w:rFonts w:hint="default" w:ascii="Times New Roman" w:hAnsi="Times New Roman" w:eastAsia="宋体" w:cs="Times New Roman"/>
          <w:b/>
          <w:bCs/>
          <w:color w:val="000000" w:themeColor="text1"/>
          <w:sz w:val="28"/>
          <w:szCs w:val="28"/>
          <w14:textFill>
            <w14:solidFill>
              <w14:schemeClr w14:val="tx1"/>
            </w14:solidFill>
          </w14:textFill>
        </w:rPr>
        <w:t>。</w:t>
      </w:r>
    </w:p>
    <w:p w14:paraId="7C34C6A2">
      <w:pPr>
        <w:ind w:firstLine="0" w:firstLineChars="0"/>
        <w:outlineLvl w:val="1"/>
        <w:rPr>
          <w:rFonts w:hint="default" w:ascii="Times New Roman" w:hAnsi="Times New Roman" w:eastAsia="宋体" w:cs="Times New Roman"/>
          <w:b/>
          <w:bCs/>
          <w:color w:val="000000" w:themeColor="text1"/>
          <w:sz w:val="28"/>
          <w:szCs w:val="28"/>
          <w14:textFill>
            <w14:solidFill>
              <w14:schemeClr w14:val="tx1"/>
            </w14:solidFill>
          </w14:textFill>
        </w:rPr>
      </w:pPr>
      <w:bookmarkStart w:id="35" w:name="_Toc277"/>
      <w:r>
        <w:rPr>
          <w:rFonts w:hint="default" w:ascii="Times New Roman" w:hAnsi="Times New Roman" w:eastAsia="宋体" w:cs="Times New Roman"/>
          <w:b/>
          <w:bCs/>
          <w:color w:val="000000" w:themeColor="text1"/>
          <w:sz w:val="28"/>
          <w:szCs w:val="28"/>
          <w14:textFill>
            <w14:solidFill>
              <w14:schemeClr w14:val="tx1"/>
            </w14:solidFill>
          </w14:textFill>
        </w:rPr>
        <w:t>1.2环境影响评价工作过程</w:t>
      </w:r>
      <w:bookmarkEnd w:id="35"/>
    </w:p>
    <w:p w14:paraId="349C8583">
      <w:pPr>
        <w:keepNext w:val="0"/>
        <w:keepLines w:val="0"/>
        <w:widowControl/>
        <w:suppressLineNumbers w:val="0"/>
        <w:jc w:val="left"/>
      </w:pPr>
      <w:r>
        <w:rPr>
          <w:rFonts w:hint="eastAsia" w:ascii="宋体" w:hAnsi="宋体" w:eastAsia="宋体" w:cs="宋体"/>
          <w:color w:val="000000"/>
          <w:kern w:val="0"/>
          <w:sz w:val="24"/>
          <w:szCs w:val="24"/>
          <w:lang w:val="en-US" w:eastAsia="zh-CN" w:bidi="ar"/>
        </w:rPr>
        <w:t>根据《中华人民共和国环境保护法》《中华人民共和国环境影响评价法》《建设项目环境保护管理条例》（国务院第</w:t>
      </w:r>
      <w:r>
        <w:rPr>
          <w:rFonts w:hint="default" w:ascii="Times New Roman" w:hAnsi="Times New Roman" w:eastAsia="宋体" w:cs="Times New Roman"/>
          <w:color w:val="000000"/>
          <w:kern w:val="0"/>
          <w:sz w:val="24"/>
          <w:szCs w:val="24"/>
          <w:lang w:val="en-US" w:eastAsia="zh-CN" w:bidi="ar"/>
        </w:rPr>
        <w:t>682</w:t>
      </w:r>
      <w:r>
        <w:rPr>
          <w:rFonts w:hint="eastAsia" w:ascii="宋体" w:hAnsi="宋体" w:eastAsia="宋体" w:cs="宋体"/>
          <w:color w:val="000000"/>
          <w:kern w:val="0"/>
          <w:sz w:val="24"/>
          <w:szCs w:val="24"/>
          <w:lang w:val="en-US" w:eastAsia="zh-CN" w:bidi="ar"/>
        </w:rPr>
        <w:t>号令）等文件的有关规定，应当在工程项目可行性研究阶段对该项目进行环境影响评价。</w:t>
      </w:r>
    </w:p>
    <w:p w14:paraId="2DCED5B3">
      <w:pPr>
        <w:keepNext w:val="0"/>
        <w:keepLines w:val="0"/>
        <w:widowControl/>
        <w:suppressLineNumbers w:val="0"/>
        <w:jc w:val="left"/>
        <w:rPr>
          <w:color w:val="0000FF"/>
        </w:rPr>
      </w:pPr>
      <w:r>
        <w:rPr>
          <w:rFonts w:hint="eastAsia" w:ascii="宋体" w:hAnsi="宋体" w:eastAsia="宋体" w:cs="宋体"/>
          <w:color w:val="0000FF"/>
          <w:kern w:val="0"/>
          <w:sz w:val="24"/>
          <w:szCs w:val="24"/>
          <w:lang w:val="en-US" w:eastAsia="zh-CN" w:bidi="ar"/>
        </w:rPr>
        <w:t>根据《中华人民共和国环境影响评价法》、《建设项目环境保护管理条例》和《建设项目环境影响评价分类管理名录（2021年版）》等有关环保政策、法规的要求，“二、畜牧业03—3.牲畜饲养031；家禽饲养032；其他畜牧业039—年出栏生猪5000头（其他畜禽种类折合猪的养殖量）及以上的规模化牲畜饲养；存栏生猪2500头（其他畜禽种类折合猪的养殖规模）及以上无出栏量的规模化牲畜饲养；涉及环境敏感区的规模化牲畜饲养”应编制环境影响报告书。本项目属于牲畜饲养行业，根据《畜禽养殖业污染物排放标准》（</w:t>
      </w:r>
      <w:r>
        <w:rPr>
          <w:rFonts w:hint="default" w:ascii="Times New Roman" w:hAnsi="Times New Roman" w:eastAsia="宋体" w:cs="Times New Roman"/>
          <w:color w:val="0000FF"/>
          <w:kern w:val="0"/>
          <w:sz w:val="24"/>
          <w:szCs w:val="24"/>
          <w:lang w:val="en-US" w:eastAsia="zh-CN" w:bidi="ar"/>
        </w:rPr>
        <w:t>GB18596-2001</w:t>
      </w:r>
      <w:r>
        <w:rPr>
          <w:rFonts w:hint="eastAsia" w:ascii="宋体" w:hAnsi="宋体" w:eastAsia="宋体" w:cs="宋体"/>
          <w:color w:val="0000FF"/>
          <w:kern w:val="0"/>
          <w:sz w:val="24"/>
          <w:szCs w:val="24"/>
          <w:lang w:val="en-US" w:eastAsia="zh-CN" w:bidi="ar"/>
        </w:rPr>
        <w:t>），</w:t>
      </w:r>
      <w:r>
        <w:rPr>
          <w:rFonts w:hint="default" w:ascii="Times New Roman" w:hAnsi="Times New Roman" w:eastAsia="宋体" w:cs="Times New Roman"/>
          <w:color w:val="0000FF"/>
          <w:kern w:val="0"/>
          <w:sz w:val="24"/>
          <w:szCs w:val="24"/>
          <w:lang w:val="en-US" w:eastAsia="zh-CN" w:bidi="ar"/>
        </w:rPr>
        <w:t>1</w:t>
      </w:r>
      <w:r>
        <w:rPr>
          <w:rFonts w:hint="eastAsia" w:ascii="宋体" w:hAnsi="宋体" w:eastAsia="宋体" w:cs="宋体"/>
          <w:color w:val="0000FF"/>
          <w:kern w:val="0"/>
          <w:sz w:val="24"/>
          <w:szCs w:val="24"/>
          <w:lang w:val="en-US" w:eastAsia="zh-CN" w:bidi="ar"/>
        </w:rPr>
        <w:t>头奶牛折算成</w:t>
      </w:r>
      <w:r>
        <w:rPr>
          <w:rFonts w:hint="default" w:ascii="Times New Roman" w:hAnsi="Times New Roman" w:eastAsia="宋体" w:cs="Times New Roman"/>
          <w:color w:val="0000FF"/>
          <w:kern w:val="0"/>
          <w:sz w:val="24"/>
          <w:szCs w:val="24"/>
          <w:lang w:val="en-US" w:eastAsia="zh-CN" w:bidi="ar"/>
        </w:rPr>
        <w:t>10</w:t>
      </w:r>
      <w:r>
        <w:rPr>
          <w:rFonts w:hint="eastAsia" w:ascii="宋体" w:hAnsi="宋体" w:eastAsia="宋体" w:cs="宋体"/>
          <w:color w:val="0000FF"/>
          <w:kern w:val="0"/>
          <w:sz w:val="24"/>
          <w:szCs w:val="24"/>
          <w:lang w:val="en-US" w:eastAsia="zh-CN" w:bidi="ar"/>
        </w:rPr>
        <w:t>头猪，本项目年存栏</w:t>
      </w:r>
      <w:r>
        <w:rPr>
          <w:rFonts w:hint="eastAsia" w:ascii="Times New Roman" w:hAnsi="Times New Roman" w:eastAsia="宋体" w:cs="Times New Roman"/>
          <w:color w:val="0000FF"/>
          <w:kern w:val="0"/>
          <w:sz w:val="24"/>
          <w:szCs w:val="24"/>
          <w:lang w:val="en-US" w:eastAsia="zh-CN" w:bidi="ar"/>
        </w:rPr>
        <w:t>700</w:t>
      </w:r>
      <w:r>
        <w:rPr>
          <w:rFonts w:hint="eastAsia" w:ascii="宋体" w:hAnsi="宋体" w:eastAsia="宋体" w:cs="宋体"/>
          <w:color w:val="0000FF"/>
          <w:kern w:val="0"/>
          <w:sz w:val="24"/>
          <w:szCs w:val="24"/>
          <w:lang w:val="en-US" w:eastAsia="zh-CN" w:bidi="ar"/>
        </w:rPr>
        <w:t>头</w:t>
      </w:r>
      <w:r>
        <w:rPr>
          <w:rFonts w:hint="eastAsia" w:ascii="Times New Roman" w:hAnsi="Times New Roman" w:eastAsia="宋体" w:cs="Times New Roman"/>
          <w:color w:val="0000FF"/>
          <w:kern w:val="0"/>
          <w:sz w:val="24"/>
          <w:szCs w:val="24"/>
          <w:lang w:val="en-US" w:eastAsia="zh-CN" w:bidi="ar"/>
        </w:rPr>
        <w:t>奶牛</w:t>
      </w:r>
      <w:r>
        <w:rPr>
          <w:rFonts w:hint="eastAsia" w:ascii="宋体" w:hAnsi="宋体" w:eastAsia="宋体" w:cs="宋体"/>
          <w:color w:val="0000FF"/>
          <w:kern w:val="0"/>
          <w:sz w:val="24"/>
          <w:szCs w:val="24"/>
          <w:lang w:val="en-US" w:eastAsia="zh-CN" w:bidi="ar"/>
        </w:rPr>
        <w:t>，折算后存栏生猪为</w:t>
      </w:r>
      <w:r>
        <w:rPr>
          <w:rFonts w:hint="eastAsia" w:ascii="Times New Roman" w:hAnsi="Times New Roman" w:eastAsia="宋体" w:cs="Times New Roman"/>
          <w:color w:val="0000FF"/>
          <w:kern w:val="0"/>
          <w:sz w:val="24"/>
          <w:szCs w:val="24"/>
          <w:lang w:val="en-US" w:eastAsia="zh-CN" w:bidi="ar"/>
        </w:rPr>
        <w:t>7000</w:t>
      </w:r>
      <w:r>
        <w:rPr>
          <w:rFonts w:hint="eastAsia" w:ascii="宋体" w:hAnsi="宋体" w:eastAsia="宋体" w:cs="宋体"/>
          <w:color w:val="0000FF"/>
          <w:kern w:val="0"/>
          <w:sz w:val="24"/>
          <w:szCs w:val="24"/>
          <w:lang w:val="en-US" w:eastAsia="zh-CN" w:bidi="ar"/>
        </w:rPr>
        <w:t>头，所以本项目应编制环境影响报告书。</w:t>
      </w:r>
    </w:p>
    <w:p w14:paraId="78D9A867">
      <w:pPr>
        <w:keepNext w:val="0"/>
        <w:keepLines w:val="0"/>
        <w:widowControl/>
        <w:suppressLineNumbers w:val="0"/>
        <w:jc w:val="left"/>
      </w:pPr>
      <w:r>
        <w:rPr>
          <w:rFonts w:hint="eastAsia" w:ascii="宋体" w:hAnsi="宋体" w:eastAsia="宋体" w:cs="宋体"/>
          <w:color w:val="000000"/>
          <w:kern w:val="0"/>
          <w:sz w:val="24"/>
          <w:szCs w:val="24"/>
          <w:lang w:val="en-US" w:eastAsia="zh-CN" w:bidi="ar"/>
        </w:rPr>
        <w:t>受</w:t>
      </w:r>
      <w:r>
        <w:rPr>
          <w:rFonts w:hint="default" w:ascii="Times New Roman" w:hAnsi="Times New Roman" w:eastAsia="宋体" w:cs="Times New Roman"/>
          <w:color w:val="000000" w:themeColor="text1"/>
          <w14:textFill>
            <w14:solidFill>
              <w14:schemeClr w14:val="tx1"/>
            </w14:solidFill>
          </w14:textFill>
        </w:rPr>
        <w:t>科尔沁右翼前旗现代农牧业园区管理委员会</w:t>
      </w:r>
      <w:r>
        <w:rPr>
          <w:rFonts w:hint="eastAsia" w:ascii="宋体" w:hAnsi="宋体" w:eastAsia="宋体" w:cs="宋体"/>
          <w:color w:val="000000"/>
          <w:kern w:val="0"/>
          <w:sz w:val="24"/>
          <w:szCs w:val="24"/>
          <w:lang w:val="en-US" w:eastAsia="zh-CN" w:bidi="ar"/>
        </w:rPr>
        <w:t>委托，我公司承担了</w:t>
      </w:r>
      <w:r>
        <w:rPr>
          <w:rFonts w:hint="default" w:ascii="Times New Roman" w:hAnsi="Times New Roman" w:eastAsia="宋体" w:cs="Times New Roman"/>
          <w:color w:val="000000" w:themeColor="text1"/>
          <w14:textFill>
            <w14:solidFill>
              <w14:schemeClr w14:val="tx1"/>
            </w14:solidFill>
          </w14:textFill>
        </w:rPr>
        <w:t>科右前旗现代农牧业园区核心育种场养殖项目</w:t>
      </w:r>
      <w:r>
        <w:rPr>
          <w:rFonts w:hint="eastAsia" w:ascii="宋体" w:hAnsi="宋体" w:eastAsia="宋体" w:cs="宋体"/>
          <w:color w:val="000000"/>
          <w:kern w:val="0"/>
          <w:sz w:val="24"/>
          <w:szCs w:val="24"/>
          <w:lang w:val="en-US" w:eastAsia="zh-CN" w:bidi="ar"/>
        </w:rPr>
        <w:t>环境影响评价工作。本单位接受委托后，进行了现场踏勘和资料收集，结合有关资料和当地环境特征，按国家、地方环境保护政策以及环评技术导则、规范的要求，开展该项目的环境影响评价工作。</w:t>
      </w:r>
    </w:p>
    <w:p w14:paraId="3998A89F">
      <w:pPr>
        <w:keepNext w:val="0"/>
        <w:keepLines w:val="0"/>
        <w:pageBreakBefore w:val="0"/>
        <w:widowControl/>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lang w:bidi="ar"/>
          <w14:textFill>
            <w14:solidFill>
              <w14:schemeClr w14:val="tx1"/>
            </w14:solidFill>
          </w14:textFill>
        </w:rPr>
        <w:t>具体流程图见下图。</w:t>
      </w:r>
    </w:p>
    <w:p w14:paraId="6E04D5F0">
      <w:pPr>
        <w:ind w:firstLine="0" w:firstLineChars="0"/>
        <w:jc w:val="center"/>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drawing>
          <wp:inline distT="0" distB="0" distL="114300" distR="114300">
            <wp:extent cx="4710430" cy="4605020"/>
            <wp:effectExtent l="0" t="0" r="4445" b="508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32"/>
                    <a:stretch>
                      <a:fillRect/>
                    </a:stretch>
                  </pic:blipFill>
                  <pic:spPr>
                    <a:xfrm>
                      <a:off x="0" y="0"/>
                      <a:ext cx="4710430" cy="4605020"/>
                    </a:xfrm>
                    <a:prstGeom prst="rect">
                      <a:avLst/>
                    </a:prstGeom>
                    <a:noFill/>
                    <a:ln>
                      <a:noFill/>
                    </a:ln>
                  </pic:spPr>
                </pic:pic>
              </a:graphicData>
            </a:graphic>
          </wp:inline>
        </w:drawing>
      </w:r>
    </w:p>
    <w:p w14:paraId="2549B6ED">
      <w:pPr>
        <w:ind w:firstLine="0" w:firstLineChars="0"/>
        <w:jc w:val="center"/>
        <w:rPr>
          <w:rFonts w:hint="default" w:ascii="Times New Roman" w:hAnsi="Times New Roman" w:eastAsia="宋体" w:cs="Times New Roman"/>
          <w:b/>
          <w:bCs/>
          <w:color w:val="000000" w:themeColor="text1"/>
          <w:kern w:val="0"/>
          <w:lang w:bidi="ar"/>
          <w14:textFill>
            <w14:solidFill>
              <w14:schemeClr w14:val="tx1"/>
            </w14:solidFill>
          </w14:textFill>
        </w:rPr>
      </w:pPr>
      <w:r>
        <w:rPr>
          <w:rFonts w:hint="default" w:ascii="Times New Roman" w:hAnsi="Times New Roman" w:eastAsia="宋体" w:cs="Times New Roman"/>
          <w:b/>
          <w:bCs/>
          <w:color w:val="000000" w:themeColor="text1"/>
          <w:kern w:val="0"/>
          <w:lang w:bidi="ar"/>
          <w14:textFill>
            <w14:solidFill>
              <w14:schemeClr w14:val="tx1"/>
            </w14:solidFill>
          </w14:textFill>
        </w:rPr>
        <w:t>图1.2-1环境影响评价工作程序图</w:t>
      </w:r>
    </w:p>
    <w:p w14:paraId="611B9A01">
      <w:pPr>
        <w:ind w:firstLine="0" w:firstLineChars="0"/>
        <w:jc w:val="center"/>
        <w:rPr>
          <w:rFonts w:hint="default" w:ascii="Times New Roman" w:hAnsi="Times New Roman" w:eastAsia="宋体" w:cs="Times New Roman"/>
          <w:b/>
          <w:bCs/>
          <w:color w:val="000000" w:themeColor="text1"/>
          <w:kern w:val="0"/>
          <w:lang w:bidi="ar"/>
          <w14:textFill>
            <w14:solidFill>
              <w14:schemeClr w14:val="tx1"/>
            </w14:solidFill>
          </w14:textFill>
        </w:rPr>
      </w:pPr>
    </w:p>
    <w:p w14:paraId="2CCDA859">
      <w:pPr>
        <w:ind w:firstLine="0" w:firstLineChars="0"/>
        <w:outlineLvl w:val="1"/>
        <w:rPr>
          <w:rFonts w:hint="default" w:ascii="Times New Roman" w:hAnsi="Times New Roman" w:eastAsia="宋体" w:cs="Times New Roman"/>
          <w:b/>
          <w:bCs/>
          <w:color w:val="000000" w:themeColor="text1"/>
          <w:sz w:val="28"/>
          <w:szCs w:val="28"/>
          <w14:textFill>
            <w14:solidFill>
              <w14:schemeClr w14:val="tx1"/>
            </w14:solidFill>
          </w14:textFill>
        </w:rPr>
      </w:pPr>
      <w:bookmarkStart w:id="36" w:name="_Toc30878"/>
      <w:r>
        <w:rPr>
          <w:rFonts w:hint="default" w:ascii="Times New Roman" w:hAnsi="Times New Roman" w:eastAsia="宋体" w:cs="Times New Roman"/>
          <w:b/>
          <w:bCs/>
          <w:color w:val="000000" w:themeColor="text1"/>
          <w:sz w:val="28"/>
          <w:szCs w:val="28"/>
          <w14:textFill>
            <w14:solidFill>
              <w14:schemeClr w14:val="tx1"/>
            </w14:solidFill>
          </w14:textFill>
        </w:rPr>
        <w:t>1.3分析判定相关情况</w:t>
      </w:r>
      <w:bookmarkEnd w:id="36"/>
    </w:p>
    <w:p w14:paraId="2ACF86D5">
      <w:pPr>
        <w:widowControl/>
        <w:ind w:firstLine="482"/>
        <w:outlineLvl w:val="2"/>
        <w:rPr>
          <w:rFonts w:hint="default" w:ascii="Times New Roman" w:hAnsi="Times New Roman" w:eastAsia="宋体" w:cs="Times New Roman"/>
          <w:color w:val="000000" w:themeColor="text1"/>
          <w14:textFill>
            <w14:solidFill>
              <w14:schemeClr w14:val="tx1"/>
            </w14:solidFill>
          </w14:textFill>
        </w:rPr>
      </w:pPr>
      <w:bookmarkStart w:id="37" w:name="_Toc596"/>
      <w:r>
        <w:rPr>
          <w:rFonts w:hint="default" w:ascii="Times New Roman" w:hAnsi="Times New Roman" w:eastAsia="宋体" w:cs="Times New Roman"/>
          <w:b/>
          <w:bCs/>
          <w:color w:val="000000" w:themeColor="text1"/>
          <w:kern w:val="0"/>
          <w:lang w:bidi="ar"/>
          <w14:textFill>
            <w14:solidFill>
              <w14:schemeClr w14:val="tx1"/>
            </w14:solidFill>
          </w14:textFill>
        </w:rPr>
        <w:t>1.3.1产业政策符合性分析</w:t>
      </w:r>
      <w:bookmarkEnd w:id="37"/>
    </w:p>
    <w:p w14:paraId="4A1C8BD8">
      <w:pPr>
        <w:widowControl/>
        <w:ind w:firstLine="482"/>
        <w:jc w:val="left"/>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kern w:val="0"/>
          <w:lang w:bidi="ar"/>
          <w14:textFill>
            <w14:solidFill>
              <w14:schemeClr w14:val="tx1"/>
            </w14:solidFill>
          </w14:textFill>
        </w:rPr>
        <w:t>（1）与国家产业政策符合性分析</w:t>
      </w:r>
    </w:p>
    <w:p w14:paraId="1A748684">
      <w:pPr>
        <w:widowControl/>
        <w:ind w:firstLine="480"/>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lang w:bidi="ar"/>
          <w14:textFill>
            <w14:solidFill>
              <w14:schemeClr w14:val="tx1"/>
            </w14:solidFill>
          </w14:textFill>
        </w:rPr>
        <w:t>本项目为奶牛养殖项目，根据《产业结构调整指导目录（2024年本）》，本项目属于其中“鼓励类；一、农林类；14．现代畜牧业及水产生态健康养殖”，符合国家现行产业政策。</w:t>
      </w:r>
    </w:p>
    <w:p w14:paraId="0536A075">
      <w:pPr>
        <w:widowControl/>
        <w:ind w:firstLine="482"/>
        <w:jc w:val="left"/>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kern w:val="0"/>
          <w:lang w:bidi="ar"/>
          <w14:textFill>
            <w14:solidFill>
              <w14:schemeClr w14:val="tx1"/>
            </w14:solidFill>
          </w14:textFill>
        </w:rPr>
        <w:t>（2）与当地产业政策符合性分析</w:t>
      </w:r>
    </w:p>
    <w:p w14:paraId="1CAD4942">
      <w:pPr>
        <w:widowControl/>
        <w:ind w:firstLine="480"/>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lang w:bidi="ar"/>
          <w14:textFill>
            <w14:solidFill>
              <w14:schemeClr w14:val="tx1"/>
            </w14:solidFill>
          </w14:textFill>
        </w:rPr>
        <w:t>本项目于2023年6月8日取得了科右前旗发展和改革委员会关于《</w:t>
      </w:r>
      <w:r>
        <w:rPr>
          <w:rFonts w:hint="default" w:ascii="Times New Roman" w:hAnsi="Times New Roman" w:eastAsia="宋体" w:cs="Times New Roman"/>
          <w:color w:val="000000" w:themeColor="text1"/>
          <w14:textFill>
            <w14:solidFill>
              <w14:schemeClr w14:val="tx1"/>
            </w14:solidFill>
          </w14:textFill>
        </w:rPr>
        <w:t>科右前旗现代农牧业园区核心育种场养殖项目</w:t>
      </w:r>
      <w:r>
        <w:rPr>
          <w:rFonts w:hint="default" w:ascii="Times New Roman" w:hAnsi="Times New Roman" w:eastAsia="宋体" w:cs="Times New Roman"/>
          <w:color w:val="000000" w:themeColor="text1"/>
          <w:kern w:val="0"/>
          <w:lang w:bidi="ar"/>
          <w14:textFill>
            <w14:solidFill>
              <w14:schemeClr w14:val="tx1"/>
            </w14:solidFill>
          </w14:textFill>
        </w:rPr>
        <w:t>可行性研究报告的批复》（旗发改〔2023〕207号），项目代码为：2306-152221-04-01-674327，准予备案．故项目符合兴安盟产业政策。</w:t>
      </w:r>
    </w:p>
    <w:p w14:paraId="67B74359">
      <w:pPr>
        <w:widowControl/>
        <w:ind w:firstLine="480"/>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lang w:bidi="ar"/>
          <w14:textFill>
            <w14:solidFill>
              <w14:schemeClr w14:val="tx1"/>
            </w14:solidFill>
          </w14:textFill>
        </w:rPr>
        <w:t>因此本项目建设符合国家和地方相关产业政策。</w:t>
      </w:r>
    </w:p>
    <w:p w14:paraId="250BEE60">
      <w:pPr>
        <w:widowControl/>
        <w:ind w:firstLine="482"/>
        <w:outlineLvl w:val="2"/>
        <w:rPr>
          <w:rFonts w:hint="default" w:ascii="Times New Roman" w:hAnsi="Times New Roman" w:eastAsia="宋体" w:cs="Times New Roman"/>
          <w:color w:val="000000" w:themeColor="text1"/>
          <w14:textFill>
            <w14:solidFill>
              <w14:schemeClr w14:val="tx1"/>
            </w14:solidFill>
          </w14:textFill>
        </w:rPr>
      </w:pPr>
      <w:bookmarkStart w:id="38" w:name="_Toc31603"/>
      <w:r>
        <w:rPr>
          <w:rFonts w:hint="default" w:ascii="Times New Roman" w:hAnsi="Times New Roman" w:eastAsia="宋体" w:cs="Times New Roman"/>
          <w:b/>
          <w:bCs/>
          <w:color w:val="000000" w:themeColor="text1"/>
          <w:kern w:val="0"/>
          <w:lang w:bidi="ar"/>
          <w14:textFill>
            <w14:solidFill>
              <w14:schemeClr w14:val="tx1"/>
            </w14:solidFill>
          </w14:textFill>
        </w:rPr>
        <w:t>1.3.2与相关政策符合性</w:t>
      </w:r>
      <w:bookmarkEnd w:id="38"/>
    </w:p>
    <w:p w14:paraId="7ACC2B29">
      <w:pPr>
        <w:widowControl/>
        <w:ind w:firstLine="482"/>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b/>
          <w:bCs/>
          <w:color w:val="000000" w:themeColor="text1"/>
          <w:kern w:val="0"/>
          <w:lang w:bidi="ar"/>
          <w14:textFill>
            <w14:solidFill>
              <w14:schemeClr w14:val="tx1"/>
            </w14:solidFill>
          </w14:textFill>
        </w:rPr>
        <w:t>（1）与《内蒙古自治区国民经济和社会发展第十四个五年规划和2035年远景目标纲要》符合性分析</w:t>
      </w:r>
    </w:p>
    <w:p w14:paraId="2B9B2EB3">
      <w:pPr>
        <w:widowControl/>
        <w:ind w:firstLine="480"/>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lang w:bidi="ar"/>
          <w14:textFill>
            <w14:solidFill>
              <w14:schemeClr w14:val="tx1"/>
            </w14:solidFill>
          </w14:textFill>
        </w:rPr>
        <w:t>《内蒙古自治区国民经济和社会发展第十四个五年规划和2035年远景目标纲要》提出：“实施国家绿色肉奶安全保障基地建设工程，通过“农牧结合、为养而种”“种养结合、以种促养”，推动农牧业生产向优势产区集中，构建优势区域布局和专业化生产格局，形成优势农畜产品产业带，既能增强区域农畜产品应急保障能力，也能推动我区更多优质农畜产品走向全国、走向世界。”</w:t>
      </w:r>
    </w:p>
    <w:p w14:paraId="032FDF34">
      <w:pPr>
        <w:widowControl/>
        <w:ind w:firstLine="480"/>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lang w:bidi="ar"/>
          <w14:textFill>
            <w14:solidFill>
              <w14:schemeClr w14:val="tx1"/>
            </w14:solidFill>
          </w14:textFill>
        </w:rPr>
        <w:t>本项目为奶牛养殖建设项目，通过不断发展壮大奶牛养殖场的建设，增强牵动能力，使之成为规模化最大、品种优良、养殖技术先进的奶牛养殖场，继而带动周边旗、市、区奶牛、养殖产业发展。本项目建设700头高产奶牛养殖场，符合《内蒙古自治区国民经济和社会发展第十四个五年规划和2035年远景目标纲要》精神。因此，项目的建设符合《内蒙古自治区国民经济和社会发展第十四个五年规划和2035年远景目标纲要》中的相关要求。</w:t>
      </w:r>
    </w:p>
    <w:p w14:paraId="132C220A">
      <w:pPr>
        <w:widowControl/>
        <w:ind w:firstLine="482"/>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b/>
          <w:bCs/>
          <w:color w:val="000000" w:themeColor="text1"/>
          <w:kern w:val="0"/>
          <w:lang w:bidi="ar"/>
          <w14:textFill>
            <w14:solidFill>
              <w14:schemeClr w14:val="tx1"/>
            </w14:solidFill>
          </w14:textFill>
        </w:rPr>
        <w:t>（2）与《畜禽规模养殖污染防治条例》（国务院第26次常务会议，2014年1月1日实施）符合性分析</w:t>
      </w:r>
    </w:p>
    <w:p w14:paraId="70D37606">
      <w:pPr>
        <w:widowControl/>
        <w:ind w:firstLine="480"/>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lang w:bidi="ar"/>
          <w14:textFill>
            <w14:solidFill>
              <w14:schemeClr w14:val="tx1"/>
            </w14:solidFill>
          </w14:textFill>
        </w:rPr>
        <w:t>根据《畜禽规模养殖污染防治条例》（国务院第26次常务会议，2014年1月1日实施）中的“第十六条国家鼓励和支持采取种植和养殖相结合的方式消纳利用畜禽养殖废弃物，促进畜禽粪便、污水等废弃物就地就近利用”。</w:t>
      </w:r>
    </w:p>
    <w:p w14:paraId="248230DA">
      <w:pPr>
        <w:widowControl/>
        <w:ind w:firstLine="480"/>
        <w:jc w:val="left"/>
        <w:rPr>
          <w:rFonts w:hint="default" w:ascii="Times New Roman" w:hAnsi="Times New Roman" w:eastAsia="宋体" w:cs="Times New Roman"/>
          <w:color w:val="000000" w:themeColor="text1"/>
          <w:kern w:val="0"/>
          <w:lang w:bidi="ar"/>
          <w14:textFill>
            <w14:solidFill>
              <w14:schemeClr w14:val="tx1"/>
            </w14:solidFill>
          </w14:textFill>
        </w:rPr>
      </w:pPr>
      <w:r>
        <w:rPr>
          <w:rFonts w:hint="default" w:ascii="Times New Roman" w:hAnsi="Times New Roman" w:eastAsia="宋体" w:cs="Times New Roman"/>
          <w:color w:val="000000" w:themeColor="text1"/>
          <w:kern w:val="0"/>
          <w:lang w:bidi="ar"/>
          <w14:textFill>
            <w14:solidFill>
              <w14:schemeClr w14:val="tx1"/>
            </w14:solidFill>
          </w14:textFill>
        </w:rPr>
        <w:t>本项目养殖牛粪运送至厂区</w:t>
      </w:r>
      <w:r>
        <w:rPr>
          <w:rFonts w:hint="eastAsia" w:cs="Times New Roman"/>
          <w:color w:val="000000" w:themeColor="text1"/>
          <w:kern w:val="0"/>
          <w:lang w:val="en-US" w:eastAsia="zh-CN" w:bidi="ar"/>
          <w14:textFill>
            <w14:solidFill>
              <w14:schemeClr w14:val="tx1"/>
            </w14:solidFill>
          </w14:textFill>
        </w:rPr>
        <w:t>固液分离</w:t>
      </w:r>
      <w:r>
        <w:rPr>
          <w:rFonts w:hint="default" w:ascii="Times New Roman" w:hAnsi="Times New Roman" w:eastAsia="宋体" w:cs="Times New Roman"/>
          <w:color w:val="000000" w:themeColor="text1"/>
          <w:kern w:val="0"/>
          <w:lang w:bidi="ar"/>
          <w14:textFill>
            <w14:solidFill>
              <w14:schemeClr w14:val="tx1"/>
            </w14:solidFill>
          </w14:textFill>
        </w:rPr>
        <w:t>车间内进行发酵</w:t>
      </w:r>
      <w:r>
        <w:rPr>
          <w:rFonts w:hint="default" w:ascii="Times New Roman" w:hAnsi="Times New Roman" w:eastAsia="宋体" w:cs="Times New Roman"/>
          <w:color w:val="000000" w:themeColor="text1"/>
          <w:kern w:val="0"/>
          <w:lang w:eastAsia="zh-CN" w:bidi="ar"/>
          <w14:textFill>
            <w14:solidFill>
              <w14:schemeClr w14:val="tx1"/>
            </w14:solidFill>
          </w14:textFill>
        </w:rPr>
        <w:t>完成后</w:t>
      </w:r>
      <w:r>
        <w:rPr>
          <w:rFonts w:hint="default" w:ascii="Times New Roman" w:hAnsi="Times New Roman" w:eastAsia="宋体" w:cs="Times New Roman"/>
          <w:color w:val="000000" w:themeColor="text1"/>
          <w:kern w:val="0"/>
          <w:lang w:bidi="ar"/>
          <w14:textFill>
            <w14:solidFill>
              <w14:schemeClr w14:val="tx1"/>
            </w14:solidFill>
          </w14:textFill>
        </w:rPr>
        <w:t>，用于就近农田施肥。因此，本项目建设符合《畜禽规模养殖污染防治条例》的要求。</w:t>
      </w:r>
    </w:p>
    <w:p w14:paraId="73B3A9A1">
      <w:pPr>
        <w:keepNext w:val="0"/>
        <w:keepLines w:val="0"/>
        <w:pageBreakBefore w:val="0"/>
        <w:widowControl w:val="0"/>
        <w:kinsoku/>
        <w:wordWrap/>
        <w:overflowPunct/>
        <w:topLinePunct w:val="0"/>
        <w:autoSpaceDE/>
        <w:autoSpaceDN/>
        <w:bidi w:val="0"/>
        <w:adjustRightInd/>
        <w:snapToGrid/>
        <w:ind w:firstLine="482" w:firstLineChars="200"/>
        <w:jc w:val="both"/>
        <w:textAlignment w:val="auto"/>
        <w:rPr>
          <w:rFonts w:hint="default" w:ascii="Times New Roman" w:hAnsi="Times New Roman" w:eastAsia="宋体" w:cs="Times New Roman"/>
          <w:b/>
          <w:bCs/>
          <w:color w:val="000000" w:themeColor="text1"/>
          <w:lang w:val="en-US" w:eastAsia="zh-CN"/>
          <w14:textFill>
            <w14:solidFill>
              <w14:schemeClr w14:val="tx1"/>
            </w14:solidFill>
          </w14:textFill>
        </w:rPr>
      </w:pPr>
      <w:r>
        <w:rPr>
          <w:rFonts w:hint="default" w:ascii="Times New Roman" w:hAnsi="Times New Roman" w:eastAsia="宋体" w:cs="Times New Roman"/>
          <w:b/>
          <w:bCs/>
          <w:color w:val="000000" w:themeColor="text1"/>
          <w:kern w:val="0"/>
          <w:lang w:bidi="ar"/>
          <w14:textFill>
            <w14:solidFill>
              <w14:schemeClr w14:val="tx1"/>
            </w14:solidFill>
          </w14:textFill>
        </w:rPr>
        <w:t>（3）</w:t>
      </w:r>
      <w:r>
        <w:rPr>
          <w:rFonts w:hint="default" w:ascii="Times New Roman" w:hAnsi="Times New Roman" w:eastAsia="宋体" w:cs="Times New Roman"/>
          <w:b/>
          <w:bCs/>
          <w:color w:val="000000" w:themeColor="text1"/>
          <w:lang w:val="en-US" w:eastAsia="zh-CN"/>
          <w14:textFill>
            <w14:solidFill>
              <w14:schemeClr w14:val="tx1"/>
            </w14:solidFill>
          </w14:textFill>
        </w:rPr>
        <w:t>与《</w:t>
      </w:r>
      <w:bookmarkStart w:id="39" w:name="_Toc3900"/>
      <w:bookmarkStart w:id="40" w:name="_Toc12171"/>
      <w:r>
        <w:rPr>
          <w:rFonts w:hint="default" w:ascii="Times New Roman" w:hAnsi="Times New Roman" w:eastAsia="宋体" w:cs="Times New Roman"/>
          <w:b/>
          <w:bCs/>
          <w:color w:val="000000" w:themeColor="text1"/>
          <w:lang w:val="en-US" w:eastAsia="zh-CN"/>
          <w14:textFill>
            <w14:solidFill>
              <w14:schemeClr w14:val="tx1"/>
            </w14:solidFill>
          </w14:textFill>
        </w:rPr>
        <w:t>科尔沁右翼前期畜禽养殖污染防治规划</w:t>
      </w:r>
      <w:bookmarkEnd w:id="39"/>
      <w:bookmarkEnd w:id="40"/>
      <w:r>
        <w:rPr>
          <w:rFonts w:hint="default" w:ascii="Times New Roman" w:hAnsi="Times New Roman" w:eastAsia="宋体" w:cs="Times New Roman"/>
          <w:b/>
          <w:bCs/>
          <w:color w:val="000000" w:themeColor="text1"/>
          <w:lang w:val="en-US" w:eastAsia="zh-CN"/>
          <w14:textFill>
            <w14:solidFill>
              <w14:schemeClr w14:val="tx1"/>
            </w14:solidFill>
          </w14:textFill>
        </w:rPr>
        <w:t>（2021-2025年）》的符合性分析</w:t>
      </w:r>
    </w:p>
    <w:tbl>
      <w:tblPr>
        <w:tblStyle w:val="35"/>
        <w:tblW w:w="901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576"/>
        <w:gridCol w:w="3652"/>
        <w:gridCol w:w="786"/>
      </w:tblGrid>
      <w:tr w14:paraId="1C6E91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576" w:type="dxa"/>
            <w:vAlign w:val="center"/>
          </w:tcPr>
          <w:p w14:paraId="6AD67C86">
            <w:pPr>
              <w:pStyle w:val="11"/>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《科尔沁右翼前期畜禽养殖污染防治规划（2021-2025年）》</w:t>
            </w:r>
          </w:p>
        </w:tc>
        <w:tc>
          <w:tcPr>
            <w:tcW w:w="3652" w:type="dxa"/>
            <w:vAlign w:val="center"/>
          </w:tcPr>
          <w:p w14:paraId="50F781C8">
            <w:pPr>
              <w:pStyle w:val="11"/>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000000" w:themeColor="text1"/>
                <w:sz w:val="21"/>
                <w:szCs w:val="21"/>
                <w:lang w:eastAsia="en-US"/>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本项目</w:t>
            </w:r>
          </w:p>
        </w:tc>
        <w:tc>
          <w:tcPr>
            <w:tcW w:w="786" w:type="dxa"/>
            <w:vAlign w:val="center"/>
          </w:tcPr>
          <w:p w14:paraId="40CE6EBF">
            <w:pPr>
              <w:pStyle w:val="11"/>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000000" w:themeColor="text1"/>
                <w:sz w:val="21"/>
                <w:szCs w:val="21"/>
                <w:lang w:eastAsia="en-US"/>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符合性</w:t>
            </w:r>
          </w:p>
        </w:tc>
      </w:tr>
      <w:tr w14:paraId="7B025E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576" w:type="dxa"/>
            <w:vAlign w:val="center"/>
          </w:tcPr>
          <w:p w14:paraId="23D8D4A7">
            <w:pPr>
              <w:pStyle w:val="11"/>
              <w:keepNext w:val="0"/>
              <w:keepLines w:val="0"/>
              <w:pageBreakBefore w:val="0"/>
              <w:widowControl w:val="0"/>
              <w:kinsoku/>
              <w:wordWrap/>
              <w:overflowPunct/>
              <w:topLinePunct w:val="0"/>
              <w:autoSpaceDE/>
              <w:autoSpaceDN/>
              <w:bidi w:val="0"/>
              <w:adjustRightInd/>
              <w:snapToGrid/>
              <w:spacing w:after="0" w:line="240" w:lineRule="auto"/>
              <w:ind w:firstLine="0" w:firstLineChars="0"/>
              <w:jc w:val="both"/>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加快推进畜牧业转型升级。大力发展标准化规模养殖，充分利用市场的力量，加快畜牧业由传统的数量规模驱动型向质量效益型转变，促进小散养殖户向专业合作社或现代家庭牧场转型，鼓励发展智慧牧场生态养殖模式，提升集约化、自动化、现代化养殖水平，推广节水、节料等清洁养殖工艺和干清粪、微生物发酵等使用技术。实施科学规范的饲养管理规程，推广智能化精准饲喂，提高饲料转化效率，严格规范兽药、饲料添加剂的生产和使用，加强养殖环境自动化控制。</w:t>
            </w:r>
          </w:p>
        </w:tc>
        <w:tc>
          <w:tcPr>
            <w:tcW w:w="3652" w:type="dxa"/>
            <w:vAlign w:val="center"/>
          </w:tcPr>
          <w:p w14:paraId="72CA5091">
            <w:pPr>
              <w:pStyle w:val="11"/>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本项目</w:t>
            </w:r>
            <w:r>
              <w:rPr>
                <w:rFonts w:hint="eastAsia" w:cs="Times New Roman"/>
                <w:color w:val="000000" w:themeColor="text1"/>
                <w:sz w:val="21"/>
                <w:szCs w:val="21"/>
                <w:highlight w:val="none"/>
                <w:lang w:val="en-US" w:eastAsia="zh-CN"/>
                <w14:textFill>
                  <w14:solidFill>
                    <w14:schemeClr w14:val="tx1"/>
                  </w14:solidFill>
                </w14:textFill>
              </w:rPr>
              <w:t>为规模化养殖场，采用干清粪工艺</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w:t>
            </w:r>
          </w:p>
        </w:tc>
        <w:tc>
          <w:tcPr>
            <w:tcW w:w="786" w:type="dxa"/>
            <w:vAlign w:val="center"/>
          </w:tcPr>
          <w:p w14:paraId="5295FA2D">
            <w:pPr>
              <w:pStyle w:val="11"/>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符合</w:t>
            </w:r>
          </w:p>
        </w:tc>
      </w:tr>
      <w:tr w14:paraId="790292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576" w:type="dxa"/>
            <w:vAlign w:val="center"/>
          </w:tcPr>
          <w:p w14:paraId="0814BA12">
            <w:pPr>
              <w:pStyle w:val="11"/>
              <w:keepNext w:val="0"/>
              <w:keepLines w:val="0"/>
              <w:pageBreakBefore w:val="0"/>
              <w:widowControl w:val="0"/>
              <w:kinsoku/>
              <w:wordWrap/>
              <w:overflowPunct/>
              <w:topLinePunct w:val="0"/>
              <w:autoSpaceDE/>
              <w:autoSpaceDN/>
              <w:bidi w:val="0"/>
              <w:adjustRightInd/>
              <w:snapToGrid/>
              <w:spacing w:after="0" w:line="240" w:lineRule="auto"/>
              <w:ind w:firstLine="0" w:firstLineChars="0"/>
              <w:jc w:val="both"/>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促进种养结合循环发展。支持第三方处理机构和社会化服务组织发挥专业、技术优势，建立有效的市场运行机制，引导企业提供可持续的商业模式和盈利模式，构建种养循环发展机制。以发展生态循环农业、促进土壤地力改善，提高农产品质量效益，支持引导养殖场、家庭农场与种植大户、农民合作社在合理半径内衔接，就近就地消纳和施用有机肥，实现节本增效、提质增效。</w:t>
            </w:r>
          </w:p>
        </w:tc>
        <w:tc>
          <w:tcPr>
            <w:tcW w:w="3652" w:type="dxa"/>
            <w:vMerge w:val="restart"/>
            <w:vAlign w:val="center"/>
          </w:tcPr>
          <w:p w14:paraId="5D9F0F41">
            <w:pPr>
              <w:pStyle w:val="11"/>
              <w:keepNext w:val="0"/>
              <w:keepLines w:val="0"/>
              <w:pageBreakBefore w:val="0"/>
              <w:widowControl w:val="0"/>
              <w:kinsoku/>
              <w:wordWrap/>
              <w:overflowPunct/>
              <w:topLinePunct w:val="0"/>
              <w:autoSpaceDE/>
              <w:autoSpaceDN/>
              <w:bidi w:val="0"/>
              <w:adjustRightInd/>
              <w:snapToGrid/>
              <w:spacing w:after="0" w:line="240" w:lineRule="auto"/>
              <w:ind w:firstLine="0" w:firstLineChars="0"/>
              <w:jc w:val="both"/>
              <w:textAlignment w:val="auto"/>
              <w:rPr>
                <w:rFonts w:hint="default" w:cs="Times New Roman"/>
                <w:color w:val="FF0000"/>
                <w:sz w:val="21"/>
                <w:szCs w:val="21"/>
                <w:lang w:val="en-US" w:eastAsia="zh-CN"/>
              </w:rPr>
            </w:pPr>
            <w:r>
              <w:rPr>
                <w:rFonts w:hint="eastAsia" w:cs="Times New Roman"/>
                <w:color w:val="FF0000"/>
                <w:sz w:val="21"/>
                <w:szCs w:val="21"/>
                <w:lang w:val="en-US" w:eastAsia="zh-CN"/>
              </w:rPr>
              <w:t>本项目采用干清粪工艺，废水经三级氧化塘处理后用于农田灌溉，粪污收集、储存池满足“三防”要求，固体粪污经堆肥后还田；根据《内蒙古自治区畜禽养殖主要污染物减排项目建设技术指南（试行）》（内环发【2014】83号），粪便和污水（尿液）土地消纳面积要求每存栏1头奶牛（0.5后备牛）不少于1.25亩土地，本项目年存栏为700头牛，需要土地消纳面积875亩，配套有1000亩土地，满足需求。</w:t>
            </w:r>
          </w:p>
          <w:p w14:paraId="3BB40258">
            <w:pPr>
              <w:pStyle w:val="11"/>
              <w:keepNext w:val="0"/>
              <w:keepLines w:val="0"/>
              <w:pageBreakBefore w:val="0"/>
              <w:widowControl w:val="0"/>
              <w:kinsoku/>
              <w:wordWrap/>
              <w:overflowPunct/>
              <w:topLinePunct w:val="0"/>
              <w:autoSpaceDE/>
              <w:autoSpaceDN/>
              <w:bidi w:val="0"/>
              <w:adjustRightInd/>
              <w:snapToGrid/>
              <w:spacing w:after="0" w:line="240" w:lineRule="auto"/>
              <w:ind w:firstLine="0" w:firstLineChars="0"/>
              <w:jc w:val="both"/>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786" w:type="dxa"/>
            <w:vAlign w:val="center"/>
          </w:tcPr>
          <w:p w14:paraId="46ECD8B4">
            <w:pPr>
              <w:pStyle w:val="11"/>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符合</w:t>
            </w:r>
          </w:p>
        </w:tc>
      </w:tr>
      <w:tr w14:paraId="2F3608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576" w:type="dxa"/>
            <w:vAlign w:val="center"/>
          </w:tcPr>
          <w:p w14:paraId="0C2EE8C5">
            <w:pPr>
              <w:pStyle w:val="11"/>
              <w:keepNext w:val="0"/>
              <w:keepLines w:val="0"/>
              <w:pageBreakBefore w:val="0"/>
              <w:widowControl w:val="0"/>
              <w:kinsoku/>
              <w:wordWrap/>
              <w:overflowPunct/>
              <w:topLinePunct w:val="0"/>
              <w:autoSpaceDE/>
              <w:autoSpaceDN/>
              <w:bidi w:val="0"/>
              <w:adjustRightInd/>
              <w:snapToGrid/>
              <w:spacing w:after="0" w:line="240" w:lineRule="auto"/>
              <w:ind w:firstLine="0" w:firstLineChars="0"/>
              <w:jc w:val="both"/>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加强粪污资源化利用。开展有机肥替代化肥行动。加快培育社会化施肥组织，推进集中积造、统配统施，开展有机肥施用的全过程、托管式、专业化服务。鼓励出台畜禽粪肥就地就近利用补助政策，培育一批专业化服务主体。支持大型粪污能源化利用企业建立粪污收集利用体系，配套与粪污处理规模相匹配的消纳土地。</w:t>
            </w:r>
          </w:p>
        </w:tc>
        <w:tc>
          <w:tcPr>
            <w:tcW w:w="3652" w:type="dxa"/>
            <w:vMerge w:val="continue"/>
            <w:vAlign w:val="center"/>
          </w:tcPr>
          <w:p w14:paraId="3414D175">
            <w:pPr>
              <w:pStyle w:val="11"/>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p>
        </w:tc>
        <w:tc>
          <w:tcPr>
            <w:tcW w:w="786" w:type="dxa"/>
            <w:vAlign w:val="center"/>
          </w:tcPr>
          <w:p w14:paraId="5D9EA1F0">
            <w:pPr>
              <w:pStyle w:val="11"/>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符合</w:t>
            </w:r>
          </w:p>
        </w:tc>
      </w:tr>
      <w:tr w14:paraId="36515A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576" w:type="dxa"/>
            <w:vAlign w:val="center"/>
          </w:tcPr>
          <w:p w14:paraId="3C6FD296">
            <w:pPr>
              <w:pStyle w:val="11"/>
              <w:keepNext w:val="0"/>
              <w:keepLines w:val="0"/>
              <w:pageBreakBefore w:val="0"/>
              <w:widowControl w:val="0"/>
              <w:kinsoku/>
              <w:wordWrap/>
              <w:overflowPunct/>
              <w:topLinePunct w:val="0"/>
              <w:autoSpaceDE/>
              <w:autoSpaceDN/>
              <w:bidi w:val="0"/>
              <w:adjustRightInd/>
              <w:snapToGrid/>
              <w:spacing w:after="0" w:line="240" w:lineRule="auto"/>
              <w:ind w:firstLine="0" w:firstLineChars="0"/>
              <w:jc w:val="both"/>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实施粪污处理基础设施标准化改造，改进节水设备，控制用水量，压减污水产生量，控制畜禽养殖污水产生排放量。实行雨污分流，粪污采用暗沟或管网输送。畜禽养殖场（户）宜采用干清粪、水泡粪、地面垫料、床（网）下垫料等清粪工艺，逐步淘汰水冲粪工艺，合理控制清粪环节用水量。新建养殖场采用干清粪工艺的，鼓励进行机械干清粪。粪污收集、储存、暂存场（池）建设应符合相关国家标准，满足“防渗、防雨、防溢流”要求，并与养殖量相匹配。对现有畜禽养殖区内还没有完全实现畜禽栏舍干湿分离、雨污分流及畜禽粪便收集储存处理设施不完善的畜禽规模养殖企业，到2025年底规模畜禽养殖场全部配套粪污处理设施。</w:t>
            </w:r>
          </w:p>
        </w:tc>
        <w:tc>
          <w:tcPr>
            <w:tcW w:w="3652" w:type="dxa"/>
            <w:vMerge w:val="continue"/>
            <w:vAlign w:val="center"/>
          </w:tcPr>
          <w:p w14:paraId="657E1622">
            <w:pPr>
              <w:pStyle w:val="11"/>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p>
        </w:tc>
        <w:tc>
          <w:tcPr>
            <w:tcW w:w="786" w:type="dxa"/>
            <w:vAlign w:val="center"/>
          </w:tcPr>
          <w:p w14:paraId="77D84BC6">
            <w:pPr>
              <w:pStyle w:val="11"/>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符合</w:t>
            </w:r>
          </w:p>
        </w:tc>
      </w:tr>
      <w:tr w14:paraId="45158D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576" w:type="dxa"/>
            <w:vAlign w:val="center"/>
          </w:tcPr>
          <w:p w14:paraId="783F13A3">
            <w:pPr>
              <w:pStyle w:val="11"/>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推行源头减量，推广使用微生物制剂、酶制剂等饲料添加剂和低氮低磷低矿物质饲料配方，引导节水生产，推广干清粪工艺，鼓励畜禽养殖场采用碗式或液位控制等防溢漏饮水器，减少饮水漏水，实行雨污分离、回收污水循环清粪等有效措施，从源头上控制养殖污水产生量。狠抓过程控制，推广使用堆肥发酵菌剂、粪水处理菌剂和臭气控制菌剂等，加速粪污资源化利用过程。加快末端利用，鼓励肉牛、羊和家禽等以固体粪便为主的规模化养殖场进行固体粪便堆肥或建立集中处理中心生产商品有机肥；生猪、肉牛、奶牛、肉羊等规模化养殖场鼓励采用粪污全量收集还田利用和“固体粪便堆肥+污水肥料化利用”等技术模式，促进畜禽粪污就近就地还田利用。深入实施畜禽粪污资源化利用整区推进项目，加快构建规模养殖场企业内小循环、企业间中循环、区域间大循环建设，逐步构建畜禽粪污资源综合利用的新型畜牧业产业化体系</w:t>
            </w:r>
          </w:p>
        </w:tc>
        <w:tc>
          <w:tcPr>
            <w:tcW w:w="3652" w:type="dxa"/>
            <w:vAlign w:val="center"/>
          </w:tcPr>
          <w:p w14:paraId="2DAC5F8B">
            <w:pPr>
              <w:pStyle w:val="11"/>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本项目饲养过程中采用精料、粗料混合饲喂方式。圈舍采用刮板清粪，项目粪污由固液分离车间分离后液肥经氧化塘发酵处理后还田，固肥经</w:t>
            </w:r>
            <w:r>
              <w:rPr>
                <w:rFonts w:hint="eastAsia" w:cs="Times New Roman"/>
                <w:color w:val="000000" w:themeColor="text1"/>
                <w:sz w:val="21"/>
                <w:szCs w:val="21"/>
                <w:lang w:eastAsia="zh-CN"/>
                <w14:textFill>
                  <w14:solidFill>
                    <w14:schemeClr w14:val="tx1"/>
                  </w14:solidFill>
                </w14:textFill>
              </w:rPr>
              <w:t>堆肥场</w:t>
            </w:r>
            <w:r>
              <w:rPr>
                <w:rFonts w:hint="eastAsia" w:cs="Times New Roman"/>
                <w:color w:val="000000" w:themeColor="text1"/>
                <w:sz w:val="21"/>
                <w:szCs w:val="21"/>
                <w:lang w:val="en-US" w:eastAsia="zh-CN"/>
                <w14:textFill>
                  <w14:solidFill>
                    <w14:schemeClr w14:val="tx1"/>
                  </w14:solidFill>
                </w14:textFill>
              </w:rPr>
              <w:t>暂存、</w:t>
            </w:r>
            <w:r>
              <w:rPr>
                <w:rFonts w:hint="default" w:ascii="Times New Roman" w:hAnsi="Times New Roman" w:eastAsia="宋体" w:cs="Times New Roman"/>
                <w:color w:val="000000" w:themeColor="text1"/>
                <w:sz w:val="21"/>
                <w:szCs w:val="21"/>
                <w:lang w:eastAsia="zh-CN"/>
                <w14:textFill>
                  <w14:solidFill>
                    <w14:schemeClr w14:val="tx1"/>
                  </w14:solidFill>
                </w14:textFill>
              </w:rPr>
              <w:t>发酵后，</w:t>
            </w:r>
            <w:r>
              <w:rPr>
                <w:rFonts w:hint="eastAsia" w:cs="Times New Roman"/>
                <w:color w:val="000000" w:themeColor="text1"/>
                <w:sz w:val="21"/>
                <w:szCs w:val="21"/>
                <w:lang w:val="en-US" w:eastAsia="zh-CN"/>
                <w14:textFill>
                  <w14:solidFill>
                    <w14:schemeClr w14:val="tx1"/>
                  </w14:solidFill>
                </w14:textFill>
              </w:rPr>
              <w:t>由第三方公司拉运</w:t>
            </w:r>
            <w:r>
              <w:rPr>
                <w:rFonts w:hint="default" w:ascii="Times New Roman" w:hAnsi="Times New Roman" w:eastAsia="宋体" w:cs="Times New Roman"/>
                <w:color w:val="000000" w:themeColor="text1"/>
                <w:sz w:val="21"/>
                <w:szCs w:val="21"/>
                <w:lang w:eastAsia="zh-CN"/>
                <w14:textFill>
                  <w14:solidFill>
                    <w14:schemeClr w14:val="tx1"/>
                  </w14:solidFill>
                </w14:textFill>
              </w:rPr>
              <w:t>还田处理。养殖产生的污染物全部得到综合利用和项目配套消纳土地</w:t>
            </w:r>
            <w:r>
              <w:rPr>
                <w:rFonts w:hint="eastAsia" w:cs="Times New Roman"/>
                <w:color w:val="000000" w:themeColor="text1"/>
                <w:sz w:val="21"/>
                <w:szCs w:val="21"/>
                <w:lang w:val="en-US" w:eastAsia="zh-CN"/>
                <w14:textFill>
                  <w14:solidFill>
                    <w14:schemeClr w14:val="tx1"/>
                  </w14:solidFill>
                </w14:textFill>
              </w:rPr>
              <w:t>1000</w:t>
            </w:r>
            <w:r>
              <w:rPr>
                <w:rFonts w:hint="default" w:ascii="Times New Roman" w:hAnsi="Times New Roman" w:eastAsia="宋体" w:cs="Times New Roman"/>
                <w:color w:val="000000" w:themeColor="text1"/>
                <w:sz w:val="21"/>
                <w:szCs w:val="21"/>
                <w:lang w:eastAsia="zh-CN"/>
                <w14:textFill>
                  <w14:solidFill>
                    <w14:schemeClr w14:val="tx1"/>
                  </w14:solidFill>
                </w14:textFill>
              </w:rPr>
              <w:t>亩，满足土地消纳要求。因此，本项目运营期产生</w:t>
            </w:r>
            <w:r>
              <w:rPr>
                <w:rFonts w:hint="eastAsia" w:cs="Times New Roman"/>
                <w:color w:val="000000" w:themeColor="text1"/>
                <w:sz w:val="21"/>
                <w:szCs w:val="21"/>
                <w:lang w:val="en-US" w:eastAsia="zh-CN"/>
                <w14:textFill>
                  <w14:solidFill>
                    <w14:schemeClr w14:val="tx1"/>
                  </w14:solidFill>
                </w14:textFill>
              </w:rPr>
              <w:t>粪</w:t>
            </w:r>
            <w:r>
              <w:rPr>
                <w:rFonts w:hint="default" w:ascii="Times New Roman" w:hAnsi="Times New Roman" w:eastAsia="宋体" w:cs="Times New Roman"/>
                <w:color w:val="000000" w:themeColor="text1"/>
                <w:sz w:val="21"/>
                <w:szCs w:val="21"/>
                <w:lang w:eastAsia="zh-CN"/>
                <w14:textFill>
                  <w14:solidFill>
                    <w14:schemeClr w14:val="tx1"/>
                  </w14:solidFill>
                </w14:textFill>
              </w:rPr>
              <w:t>肥可完全消纳。</w:t>
            </w:r>
          </w:p>
        </w:tc>
        <w:tc>
          <w:tcPr>
            <w:tcW w:w="786" w:type="dxa"/>
            <w:vAlign w:val="center"/>
          </w:tcPr>
          <w:p w14:paraId="248830F5">
            <w:pPr>
              <w:pStyle w:val="11"/>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eastAsia" w:cs="Times New Roman"/>
                <w:color w:val="000000" w:themeColor="text1"/>
                <w:sz w:val="21"/>
                <w:szCs w:val="21"/>
                <w:lang w:val="en-US" w:eastAsia="zh-CN"/>
                <w14:textFill>
                  <w14:solidFill>
                    <w14:schemeClr w14:val="tx1"/>
                  </w14:solidFill>
                </w14:textFill>
              </w:rPr>
            </w:pPr>
          </w:p>
        </w:tc>
      </w:tr>
    </w:tbl>
    <w:p w14:paraId="2620A934">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根据上表分析，本项目符合《规划》要求。</w:t>
      </w:r>
    </w:p>
    <w:p w14:paraId="523BE019">
      <w:pPr>
        <w:widowControl/>
        <w:ind w:firstLine="482"/>
        <w:jc w:val="left"/>
        <w:rPr>
          <w:rFonts w:hint="default" w:ascii="Times New Roman" w:hAnsi="Times New Roman" w:eastAsia="宋体" w:cs="Times New Roman"/>
          <w:b/>
          <w:bCs/>
          <w:color w:val="000000" w:themeColor="text1"/>
          <w:kern w:val="0"/>
          <w:lang w:bidi="ar"/>
          <w14:textFill>
            <w14:solidFill>
              <w14:schemeClr w14:val="tx1"/>
            </w14:solidFill>
          </w14:textFill>
        </w:rPr>
      </w:pPr>
      <w:r>
        <w:rPr>
          <w:rFonts w:hint="eastAsia" w:cs="Times New Roman"/>
          <w:b/>
          <w:bCs/>
          <w:color w:val="000000" w:themeColor="text1"/>
          <w:kern w:val="0"/>
          <w:lang w:eastAsia="zh-CN" w:bidi="ar"/>
          <w14:textFill>
            <w14:solidFill>
              <w14:schemeClr w14:val="tx1"/>
            </w14:solidFill>
          </w14:textFill>
        </w:rPr>
        <w:t>（</w:t>
      </w:r>
      <w:r>
        <w:rPr>
          <w:rFonts w:hint="eastAsia" w:cs="Times New Roman"/>
          <w:b/>
          <w:bCs/>
          <w:color w:val="000000" w:themeColor="text1"/>
          <w:kern w:val="0"/>
          <w:lang w:val="en-US" w:eastAsia="zh-CN" w:bidi="ar"/>
          <w14:textFill>
            <w14:solidFill>
              <w14:schemeClr w14:val="tx1"/>
            </w14:solidFill>
          </w14:textFill>
        </w:rPr>
        <w:t>4</w:t>
      </w:r>
      <w:r>
        <w:rPr>
          <w:rFonts w:hint="eastAsia" w:cs="Times New Roman"/>
          <w:b/>
          <w:bCs/>
          <w:color w:val="000000" w:themeColor="text1"/>
          <w:kern w:val="0"/>
          <w:lang w:eastAsia="zh-CN" w:bidi="ar"/>
          <w14:textFill>
            <w14:solidFill>
              <w14:schemeClr w14:val="tx1"/>
            </w14:solidFill>
          </w14:textFill>
        </w:rPr>
        <w:t>）</w:t>
      </w:r>
      <w:r>
        <w:rPr>
          <w:rFonts w:hint="default" w:ascii="Times New Roman" w:hAnsi="Times New Roman" w:eastAsia="宋体" w:cs="Times New Roman"/>
          <w:b/>
          <w:bCs/>
          <w:color w:val="000000" w:themeColor="text1"/>
          <w:kern w:val="0"/>
          <w:lang w:bidi="ar"/>
          <w14:textFill>
            <w14:solidFill>
              <w14:schemeClr w14:val="tx1"/>
            </w14:solidFill>
          </w14:textFill>
        </w:rPr>
        <w:t>与其它相关法律、法规的符合性</w:t>
      </w:r>
    </w:p>
    <w:p w14:paraId="3A938284">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项目与目前国家及地方有关畜禽养殖污染物防治的法律法规符合性分析如下表所示。</w:t>
      </w:r>
    </w:p>
    <w:p w14:paraId="530CA8DD">
      <w:pPr>
        <w:widowControl/>
        <w:ind w:firstLine="0" w:firstLineChars="0"/>
        <w:jc w:val="center"/>
        <w:rPr>
          <w:rFonts w:hint="default" w:ascii="Times New Roman" w:hAnsi="Times New Roman" w:eastAsia="宋体" w:cs="Times New Roman"/>
          <w:b/>
          <w:bCs/>
          <w:color w:val="000000" w:themeColor="text1"/>
          <w:kern w:val="0"/>
          <w:lang w:bidi="ar"/>
          <w14:textFill>
            <w14:solidFill>
              <w14:schemeClr w14:val="tx1"/>
            </w14:solidFill>
          </w14:textFill>
        </w:rPr>
      </w:pPr>
      <w:r>
        <w:rPr>
          <w:rFonts w:hint="default" w:ascii="Times New Roman" w:hAnsi="Times New Roman" w:eastAsia="宋体" w:cs="Times New Roman"/>
          <w:b/>
          <w:bCs/>
          <w:color w:val="000000" w:themeColor="text1"/>
          <w:kern w:val="0"/>
          <w:lang w:bidi="ar"/>
          <w14:textFill>
            <w14:solidFill>
              <w14:schemeClr w14:val="tx1"/>
            </w14:solidFill>
          </w14:textFill>
        </w:rPr>
        <w:t>表1.3-1项目与畜禽养殖污染防治的法律法规符合性分析</w:t>
      </w:r>
    </w:p>
    <w:tbl>
      <w:tblPr>
        <w:tblStyle w:val="35"/>
        <w:tblW w:w="901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512"/>
        <w:gridCol w:w="3747"/>
        <w:gridCol w:w="3061"/>
        <w:gridCol w:w="694"/>
      </w:tblGrid>
      <w:tr w14:paraId="25B078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512" w:type="dxa"/>
            <w:vAlign w:val="center"/>
          </w:tcPr>
          <w:p w14:paraId="7A835C8D">
            <w:pPr>
              <w:widowControl/>
              <w:ind w:firstLine="0" w:firstLineChars="0"/>
              <w:jc w:val="center"/>
              <w:rPr>
                <w:rFonts w:hint="default" w:ascii="Times New Roman" w:hAnsi="Times New Roman" w:eastAsia="宋体" w:cs="Times New Roman"/>
                <w:b/>
                <w:bCs/>
                <w:color w:val="000000" w:themeColor="text1"/>
                <w:kern w:val="0"/>
                <w:sz w:val="21"/>
                <w:szCs w:val="21"/>
                <w:lang w:bidi="ar"/>
                <w14:textFill>
                  <w14:solidFill>
                    <w14:schemeClr w14:val="tx1"/>
                  </w14:solidFill>
                </w14:textFill>
              </w:rPr>
            </w:pPr>
            <w:r>
              <w:rPr>
                <w:rFonts w:hint="default" w:ascii="Times New Roman" w:hAnsi="Times New Roman" w:eastAsia="宋体" w:cs="Times New Roman"/>
                <w:b/>
                <w:bCs/>
                <w:color w:val="000000" w:themeColor="text1"/>
                <w:kern w:val="0"/>
                <w:sz w:val="21"/>
                <w:szCs w:val="21"/>
                <w:lang w:bidi="ar"/>
                <w14:textFill>
                  <w14:solidFill>
                    <w14:schemeClr w14:val="tx1"/>
                  </w14:solidFill>
                </w14:textFill>
              </w:rPr>
              <w:t>政策法规</w:t>
            </w:r>
          </w:p>
        </w:tc>
        <w:tc>
          <w:tcPr>
            <w:tcW w:w="3747" w:type="dxa"/>
            <w:vAlign w:val="center"/>
          </w:tcPr>
          <w:p w14:paraId="36E8029D">
            <w:pPr>
              <w:widowControl/>
              <w:ind w:firstLine="0" w:firstLineChars="0"/>
              <w:jc w:val="center"/>
              <w:rPr>
                <w:rFonts w:hint="default" w:ascii="Times New Roman" w:hAnsi="Times New Roman" w:eastAsia="宋体" w:cs="Times New Roman"/>
                <w:b/>
                <w:bCs/>
                <w:color w:val="000000" w:themeColor="text1"/>
                <w:kern w:val="0"/>
                <w:sz w:val="21"/>
                <w:szCs w:val="21"/>
                <w:lang w:bidi="ar"/>
                <w14:textFill>
                  <w14:solidFill>
                    <w14:schemeClr w14:val="tx1"/>
                  </w14:solidFill>
                </w14:textFill>
              </w:rPr>
            </w:pPr>
            <w:r>
              <w:rPr>
                <w:rFonts w:hint="default" w:ascii="Times New Roman" w:hAnsi="Times New Roman" w:eastAsia="宋体" w:cs="Times New Roman"/>
                <w:b/>
                <w:bCs/>
                <w:color w:val="000000" w:themeColor="text1"/>
                <w:kern w:val="0"/>
                <w:sz w:val="21"/>
                <w:szCs w:val="21"/>
                <w:lang w:bidi="ar"/>
                <w14:textFill>
                  <w14:solidFill>
                    <w14:schemeClr w14:val="tx1"/>
                  </w14:solidFill>
                </w14:textFill>
              </w:rPr>
              <w:t>相关条款及规定</w:t>
            </w:r>
          </w:p>
        </w:tc>
        <w:tc>
          <w:tcPr>
            <w:tcW w:w="3061" w:type="dxa"/>
            <w:vAlign w:val="center"/>
          </w:tcPr>
          <w:p w14:paraId="74912175">
            <w:pPr>
              <w:widowControl/>
              <w:ind w:firstLine="0" w:firstLineChars="0"/>
              <w:jc w:val="center"/>
              <w:rPr>
                <w:rFonts w:hint="default" w:ascii="Times New Roman" w:hAnsi="Times New Roman" w:eastAsia="宋体" w:cs="Times New Roman"/>
                <w:b/>
                <w:bCs/>
                <w:color w:val="000000" w:themeColor="text1"/>
                <w:kern w:val="0"/>
                <w:sz w:val="21"/>
                <w:szCs w:val="21"/>
                <w:lang w:bidi="ar"/>
                <w14:textFill>
                  <w14:solidFill>
                    <w14:schemeClr w14:val="tx1"/>
                  </w14:solidFill>
                </w14:textFill>
              </w:rPr>
            </w:pPr>
            <w:r>
              <w:rPr>
                <w:rFonts w:hint="default" w:ascii="Times New Roman" w:hAnsi="Times New Roman" w:eastAsia="宋体" w:cs="Times New Roman"/>
                <w:b/>
                <w:bCs/>
                <w:color w:val="000000" w:themeColor="text1"/>
                <w:kern w:val="0"/>
                <w:sz w:val="21"/>
                <w:szCs w:val="21"/>
                <w:lang w:bidi="ar"/>
                <w14:textFill>
                  <w14:solidFill>
                    <w14:schemeClr w14:val="tx1"/>
                  </w14:solidFill>
                </w14:textFill>
              </w:rPr>
              <w:t>符合性分析</w:t>
            </w:r>
          </w:p>
        </w:tc>
        <w:tc>
          <w:tcPr>
            <w:tcW w:w="694" w:type="dxa"/>
            <w:vAlign w:val="center"/>
          </w:tcPr>
          <w:p w14:paraId="50F16E5B">
            <w:pPr>
              <w:widowControl/>
              <w:ind w:firstLine="0" w:firstLineChars="0"/>
              <w:jc w:val="center"/>
              <w:rPr>
                <w:rFonts w:hint="default" w:ascii="Times New Roman" w:hAnsi="Times New Roman" w:eastAsia="宋体" w:cs="Times New Roman"/>
                <w:b/>
                <w:bCs/>
                <w:color w:val="000000" w:themeColor="text1"/>
                <w:kern w:val="0"/>
                <w:sz w:val="21"/>
                <w:szCs w:val="21"/>
                <w:lang w:bidi="ar"/>
                <w14:textFill>
                  <w14:solidFill>
                    <w14:schemeClr w14:val="tx1"/>
                  </w14:solidFill>
                </w14:textFill>
              </w:rPr>
            </w:pPr>
            <w:r>
              <w:rPr>
                <w:rFonts w:hint="default" w:ascii="Times New Roman" w:hAnsi="Times New Roman" w:eastAsia="宋体" w:cs="Times New Roman"/>
                <w:b/>
                <w:bCs/>
                <w:color w:val="000000" w:themeColor="text1"/>
                <w:kern w:val="0"/>
                <w:sz w:val="21"/>
                <w:szCs w:val="21"/>
                <w:lang w:bidi="ar"/>
                <w14:textFill>
                  <w14:solidFill>
                    <w14:schemeClr w14:val="tx1"/>
                  </w14:solidFill>
                </w14:textFill>
              </w:rPr>
              <w:t>是否</w:t>
            </w:r>
          </w:p>
          <w:p w14:paraId="77A9DDB5">
            <w:pPr>
              <w:widowControl/>
              <w:ind w:firstLine="0" w:firstLineChars="0"/>
              <w:jc w:val="center"/>
              <w:rPr>
                <w:rFonts w:hint="default" w:ascii="Times New Roman" w:hAnsi="Times New Roman" w:eastAsia="宋体" w:cs="Times New Roman"/>
                <w:b/>
                <w:bCs/>
                <w:color w:val="000000" w:themeColor="text1"/>
                <w:kern w:val="0"/>
                <w:sz w:val="21"/>
                <w:szCs w:val="21"/>
                <w:lang w:bidi="ar"/>
                <w14:textFill>
                  <w14:solidFill>
                    <w14:schemeClr w14:val="tx1"/>
                  </w14:solidFill>
                </w14:textFill>
              </w:rPr>
            </w:pPr>
            <w:r>
              <w:rPr>
                <w:rFonts w:hint="default" w:ascii="Times New Roman" w:hAnsi="Times New Roman" w:eastAsia="宋体" w:cs="Times New Roman"/>
                <w:b/>
                <w:bCs/>
                <w:color w:val="000000" w:themeColor="text1"/>
                <w:kern w:val="0"/>
                <w:sz w:val="21"/>
                <w:szCs w:val="21"/>
                <w:lang w:bidi="ar"/>
                <w14:textFill>
                  <w14:solidFill>
                    <w14:schemeClr w14:val="tx1"/>
                  </w14:solidFill>
                </w14:textFill>
              </w:rPr>
              <w:t>符合</w:t>
            </w:r>
          </w:p>
        </w:tc>
      </w:tr>
      <w:tr w14:paraId="366FE0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512" w:type="dxa"/>
            <w:vAlign w:val="center"/>
          </w:tcPr>
          <w:p w14:paraId="76C67775">
            <w:pPr>
              <w:widowControl/>
              <w:ind w:firstLine="0" w:firstLineChars="0"/>
              <w:jc w:val="center"/>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《中华人民共和国水污染防治法》（2018）</w:t>
            </w:r>
          </w:p>
        </w:tc>
        <w:tc>
          <w:tcPr>
            <w:tcW w:w="3747" w:type="dxa"/>
            <w:vAlign w:val="center"/>
          </w:tcPr>
          <w:p w14:paraId="6EB39DEA">
            <w:pPr>
              <w:widowControl/>
              <w:ind w:firstLine="0" w:firstLineChars="0"/>
              <w:jc w:val="center"/>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第五十六条国家支持畜禽养殖场、养殖小区建设畜禽粪便、废水的综合利用或者无害化处理设施。畜禽养殖场、养殖小区应当保证其畜禽粪便、废水的综合利用或者无害化处理设施正常运转，保证污水达标排放，防止污染水环境。</w:t>
            </w:r>
          </w:p>
        </w:tc>
        <w:tc>
          <w:tcPr>
            <w:tcW w:w="3061" w:type="dxa"/>
            <w:vAlign w:val="center"/>
          </w:tcPr>
          <w:p w14:paraId="32602DE4">
            <w:pPr>
              <w:widowControl/>
              <w:ind w:firstLine="0" w:firstLineChars="0"/>
              <w:jc w:val="center"/>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本项目废垫料和固粪等在固液分离车间堆肥区发酵完成</w:t>
            </w:r>
            <w:r>
              <w:rPr>
                <w:rFonts w:hint="default" w:ascii="Times New Roman" w:hAnsi="Times New Roman" w:eastAsia="宋体" w:cs="Times New Roman"/>
                <w:color w:val="000000" w:themeColor="text1"/>
                <w:kern w:val="0"/>
                <w:sz w:val="21"/>
                <w:szCs w:val="21"/>
                <w:lang w:eastAsia="zh-CN" w:bidi="ar"/>
                <w14:textFill>
                  <w14:solidFill>
                    <w14:schemeClr w14:val="tx1"/>
                  </w14:solidFill>
                </w14:textFill>
              </w:rPr>
              <w:t>后用于农田施肥</w:t>
            </w:r>
            <w:r>
              <w:rPr>
                <w:rFonts w:hint="default" w:ascii="Times New Roman" w:hAnsi="Times New Roman" w:eastAsia="宋体" w:cs="Times New Roman"/>
                <w:color w:val="000000" w:themeColor="text1"/>
                <w:kern w:val="0"/>
                <w:sz w:val="21"/>
                <w:szCs w:val="21"/>
                <w:lang w:bidi="ar"/>
                <w14:textFill>
                  <w14:solidFill>
                    <w14:schemeClr w14:val="tx1"/>
                  </w14:solidFill>
                </w14:textFill>
              </w:rPr>
              <w:t>；综合废水经氧化塘处理系统处理后作为液肥</w:t>
            </w:r>
            <w:r>
              <w:rPr>
                <w:rFonts w:hint="eastAsia" w:cs="Times New Roman"/>
                <w:color w:val="000000" w:themeColor="text1"/>
                <w:kern w:val="0"/>
                <w:sz w:val="21"/>
                <w:szCs w:val="21"/>
                <w:lang w:val="en-US" w:eastAsia="zh-CN" w:bidi="ar"/>
                <w14:textFill>
                  <w14:solidFill>
                    <w14:schemeClr w14:val="tx1"/>
                  </w14:solidFill>
                </w14:textFill>
              </w:rPr>
              <w:t>还田</w:t>
            </w:r>
            <w:r>
              <w:rPr>
                <w:rFonts w:hint="default" w:ascii="Times New Roman" w:hAnsi="Times New Roman" w:eastAsia="宋体" w:cs="Times New Roman"/>
                <w:color w:val="000000" w:themeColor="text1"/>
                <w:kern w:val="0"/>
                <w:sz w:val="21"/>
                <w:szCs w:val="21"/>
                <w:lang w:bidi="ar"/>
                <w14:textFill>
                  <w14:solidFill>
                    <w14:schemeClr w14:val="tx1"/>
                  </w14:solidFill>
                </w14:textFill>
              </w:rPr>
              <w:t>利用；病死牲畜和胎盘等与有资质的单位签订处理协议。能够保证污水不直接排放，防止污染水环境。</w:t>
            </w:r>
          </w:p>
        </w:tc>
        <w:tc>
          <w:tcPr>
            <w:tcW w:w="694" w:type="dxa"/>
            <w:vAlign w:val="center"/>
          </w:tcPr>
          <w:p w14:paraId="14A782A7">
            <w:pPr>
              <w:widowControl/>
              <w:ind w:firstLine="0" w:firstLineChars="0"/>
              <w:jc w:val="center"/>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符合</w:t>
            </w:r>
          </w:p>
        </w:tc>
      </w:tr>
      <w:tr w14:paraId="50BF1F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512" w:type="dxa"/>
            <w:vAlign w:val="center"/>
          </w:tcPr>
          <w:p w14:paraId="2BAF5D80">
            <w:pPr>
              <w:widowControl/>
              <w:ind w:firstLine="0" w:firstLineChars="0"/>
              <w:jc w:val="center"/>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《固体废物污染环境防治法》（2020年修订）</w:t>
            </w:r>
          </w:p>
        </w:tc>
        <w:tc>
          <w:tcPr>
            <w:tcW w:w="3747" w:type="dxa"/>
            <w:vAlign w:val="center"/>
          </w:tcPr>
          <w:p w14:paraId="68295E6E">
            <w:pPr>
              <w:widowControl/>
              <w:ind w:firstLine="0" w:firstLineChars="0"/>
              <w:jc w:val="center"/>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第二十条从事畜禽规模养殖应按照国家有关规定收集、贮存、利用或者处理养殖过程中产生的粪便，防止污染环境。</w:t>
            </w:r>
          </w:p>
        </w:tc>
        <w:tc>
          <w:tcPr>
            <w:tcW w:w="3061" w:type="dxa"/>
            <w:vAlign w:val="center"/>
          </w:tcPr>
          <w:p w14:paraId="27E55E5C">
            <w:pPr>
              <w:widowControl/>
              <w:ind w:firstLine="0" w:firstLineChars="0"/>
              <w:jc w:val="center"/>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本项目采用干清粪工艺，产生的粪便和废垫料等在固液分离车间堆肥区发酵完后作为</w:t>
            </w:r>
            <w:r>
              <w:rPr>
                <w:rFonts w:hint="default" w:ascii="Times New Roman" w:hAnsi="Times New Roman" w:eastAsia="宋体" w:cs="Times New Roman"/>
                <w:color w:val="000000" w:themeColor="text1"/>
                <w:kern w:val="0"/>
                <w:sz w:val="21"/>
                <w:szCs w:val="21"/>
                <w:lang w:eastAsia="zh-CN" w:bidi="ar"/>
                <w14:textFill>
                  <w14:solidFill>
                    <w14:schemeClr w14:val="tx1"/>
                  </w14:solidFill>
                </w14:textFill>
              </w:rPr>
              <w:t>农田施肥</w:t>
            </w:r>
            <w:r>
              <w:rPr>
                <w:rFonts w:hint="default" w:ascii="Times New Roman" w:hAnsi="Times New Roman" w:eastAsia="宋体" w:cs="Times New Roman"/>
                <w:color w:val="000000" w:themeColor="text1"/>
                <w:kern w:val="0"/>
                <w:sz w:val="21"/>
                <w:szCs w:val="21"/>
                <w:lang w:bidi="ar"/>
                <w14:textFill>
                  <w14:solidFill>
                    <w14:schemeClr w14:val="tx1"/>
                  </w14:solidFill>
                </w14:textFill>
              </w:rPr>
              <w:t>，固液分离车间堆肥区进行防渗和防雨处理。</w:t>
            </w:r>
          </w:p>
        </w:tc>
        <w:tc>
          <w:tcPr>
            <w:tcW w:w="694" w:type="dxa"/>
            <w:vAlign w:val="center"/>
          </w:tcPr>
          <w:p w14:paraId="02CC3836">
            <w:pPr>
              <w:widowControl/>
              <w:ind w:firstLine="0" w:firstLineChars="0"/>
              <w:jc w:val="center"/>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符合</w:t>
            </w:r>
          </w:p>
        </w:tc>
      </w:tr>
      <w:tr w14:paraId="1BD089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512" w:type="dxa"/>
            <w:vAlign w:val="center"/>
          </w:tcPr>
          <w:p w14:paraId="7D6FEE25">
            <w:pPr>
              <w:pStyle w:val="34"/>
              <w:ind w:firstLine="0" w:firstLineChars="0"/>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7"/>
                <w:sz w:val="21"/>
                <w:szCs w:val="21"/>
                <w:lang w:eastAsia="zh-CN"/>
                <w14:textFill>
                  <w14:solidFill>
                    <w14:schemeClr w14:val="tx1"/>
                  </w14:solidFill>
                </w14:textFill>
              </w:rPr>
              <w:t>《中华人民</w:t>
            </w:r>
            <w:r>
              <w:rPr>
                <w:rFonts w:hint="default" w:ascii="Times New Roman" w:hAnsi="Times New Roman" w:eastAsia="宋体" w:cs="Times New Roman"/>
                <w:color w:val="000000" w:themeColor="text1"/>
                <w:spacing w:val="25"/>
                <w:sz w:val="21"/>
                <w:szCs w:val="21"/>
                <w:lang w:eastAsia="zh-CN"/>
                <w14:textFill>
                  <w14:solidFill>
                    <w14:schemeClr w14:val="tx1"/>
                  </w14:solidFill>
                </w14:textFill>
              </w:rPr>
              <w:t>共和国畜牧</w:t>
            </w:r>
            <w:r>
              <w:rPr>
                <w:rFonts w:hint="default" w:ascii="Times New Roman" w:hAnsi="Times New Roman" w:eastAsia="宋体" w:cs="Times New Roman"/>
                <w:color w:val="000000" w:themeColor="text1"/>
                <w:spacing w:val="3"/>
                <w:sz w:val="21"/>
                <w:szCs w:val="21"/>
                <w:lang w:eastAsia="zh-CN"/>
                <w14:textFill>
                  <w14:solidFill>
                    <w14:schemeClr w14:val="tx1"/>
                  </w14:solidFill>
                </w14:textFill>
              </w:rPr>
              <w:t>法》（2005）</w:t>
            </w:r>
          </w:p>
        </w:tc>
        <w:tc>
          <w:tcPr>
            <w:tcW w:w="3747" w:type="dxa"/>
            <w:vAlign w:val="center"/>
          </w:tcPr>
          <w:p w14:paraId="52E07458">
            <w:pPr>
              <w:pStyle w:val="34"/>
              <w:ind w:firstLine="0" w:firstLineChars="0"/>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8"/>
                <w:sz w:val="21"/>
                <w:szCs w:val="21"/>
                <w:lang w:eastAsia="zh-CN"/>
                <w14:textFill>
                  <w14:solidFill>
                    <w14:schemeClr w14:val="tx1"/>
                  </w14:solidFill>
                </w14:textFill>
              </w:rPr>
              <w:t>畜禽养殖场、养殖小区应当保证畜</w:t>
            </w:r>
            <w:r>
              <w:rPr>
                <w:rFonts w:hint="default" w:ascii="Times New Roman" w:hAnsi="Times New Roman" w:eastAsia="宋体" w:cs="Times New Roman"/>
                <w:color w:val="000000" w:themeColor="text1"/>
                <w:spacing w:val="9"/>
                <w:sz w:val="21"/>
                <w:szCs w:val="21"/>
                <w:lang w:eastAsia="zh-CN"/>
                <w14:textFill>
                  <w14:solidFill>
                    <w14:schemeClr w14:val="tx1"/>
                  </w14:solidFill>
                </w14:textFill>
              </w:rPr>
              <w:t>禽粪便、废水及其他固体废弃物综合利用或者无害化处理设施的正常运转，保证污染物达标排放，防止污染环境。禁止在生活饮用水的水源保护区，风景名胜区，以及自然保护区的核心区和缓冲区；城镇居民区、文化教育科学研究区等人口集中区域；法律法规规定的其他禁养区域内建设畜禽养殖场、养殖小区。省级人民政府根据本行政区域畜牧业发展状况制定畜禽养殖场、</w:t>
            </w:r>
            <w:r>
              <w:rPr>
                <w:rFonts w:hint="default" w:ascii="Times New Roman" w:hAnsi="Times New Roman" w:eastAsia="宋体" w:cs="Times New Roman"/>
                <w:color w:val="000000" w:themeColor="text1"/>
                <w:spacing w:val="8"/>
                <w:sz w:val="21"/>
                <w:szCs w:val="21"/>
                <w:lang w:eastAsia="zh-CN"/>
                <w14:textFill>
                  <w14:solidFill>
                    <w14:schemeClr w14:val="tx1"/>
                  </w14:solidFill>
                </w14:textFill>
              </w:rPr>
              <w:t>养殖小区的规模标准和备案程序。</w:t>
            </w:r>
          </w:p>
        </w:tc>
        <w:tc>
          <w:tcPr>
            <w:tcW w:w="3061" w:type="dxa"/>
            <w:vAlign w:val="center"/>
          </w:tcPr>
          <w:p w14:paraId="630060EC">
            <w:pPr>
              <w:pStyle w:val="34"/>
              <w:ind w:firstLine="0" w:firstLineChars="0"/>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9"/>
                <w:sz w:val="21"/>
                <w:szCs w:val="21"/>
                <w:lang w:eastAsia="zh-CN"/>
                <w14:textFill>
                  <w14:solidFill>
                    <w14:schemeClr w14:val="tx1"/>
                  </w14:solidFill>
                </w14:textFill>
              </w:rPr>
              <w:t>本项目废垫料和粪便等在固液分离车间堆肥区</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发酵完作为</w:t>
            </w:r>
            <w:r>
              <w:rPr>
                <w:rFonts w:hint="default" w:ascii="Times New Roman" w:hAnsi="Times New Roman" w:eastAsia="宋体" w:cs="Times New Roman"/>
                <w:color w:val="000000" w:themeColor="text1"/>
                <w:kern w:val="0"/>
                <w:sz w:val="21"/>
                <w:szCs w:val="21"/>
                <w:lang w:eastAsia="zh-CN" w:bidi="ar"/>
                <w14:textFill>
                  <w14:solidFill>
                    <w14:schemeClr w14:val="tx1"/>
                  </w14:solidFill>
                </w14:textFill>
              </w:rPr>
              <w:t>农田施肥</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；场区</w:t>
            </w:r>
            <w:r>
              <w:rPr>
                <w:rFonts w:hint="default" w:ascii="Times New Roman" w:hAnsi="Times New Roman" w:eastAsia="宋体" w:cs="Times New Roman"/>
                <w:color w:val="000000" w:themeColor="text1"/>
                <w:spacing w:val="15"/>
                <w:sz w:val="21"/>
                <w:szCs w:val="21"/>
                <w:lang w:eastAsia="zh-CN"/>
                <w14:textFill>
                  <w14:solidFill>
                    <w14:schemeClr w14:val="tx1"/>
                  </w14:solidFill>
                </w14:textFill>
              </w:rPr>
              <w:t>综合废水经氧化塘处理后综合利用；病死牲畜和胎盘与有资质的单位签订处理协议。</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能够保证污水不排放，固废妥善处置，防止污染水环境。</w:t>
            </w:r>
            <w:r>
              <w:rPr>
                <w:rFonts w:hint="default" w:ascii="Times New Roman" w:hAnsi="Times New Roman" w:eastAsia="宋体" w:cs="Times New Roman"/>
                <w:color w:val="000000" w:themeColor="text1"/>
                <w:spacing w:val="6"/>
                <w:sz w:val="21"/>
                <w:szCs w:val="21"/>
                <w14:textFill>
                  <w14:solidFill>
                    <w14:schemeClr w14:val="tx1"/>
                  </w14:solidFill>
                </w14:textFill>
              </w:rPr>
              <w:t>同</w:t>
            </w:r>
            <w:r>
              <w:rPr>
                <w:rFonts w:hint="default" w:ascii="Times New Roman" w:hAnsi="Times New Roman" w:eastAsia="宋体" w:cs="Times New Roman"/>
                <w:color w:val="000000" w:themeColor="text1"/>
                <w:spacing w:val="16"/>
                <w:sz w:val="21"/>
                <w:szCs w:val="21"/>
                <w14:textFill>
                  <w14:solidFill>
                    <w14:schemeClr w14:val="tx1"/>
                  </w14:solidFill>
                </w14:textFill>
              </w:rPr>
              <w:t>时项目选址不在上述禁止区域</w:t>
            </w:r>
            <w:r>
              <w:rPr>
                <w:rFonts w:hint="default" w:ascii="Times New Roman" w:hAnsi="Times New Roman" w:eastAsia="宋体" w:cs="Times New Roman"/>
                <w:color w:val="000000" w:themeColor="text1"/>
                <w:spacing w:val="-13"/>
                <w:sz w:val="21"/>
                <w:szCs w:val="21"/>
                <w14:textFill>
                  <w14:solidFill>
                    <w14:schemeClr w14:val="tx1"/>
                  </w14:solidFill>
                </w14:textFill>
              </w:rPr>
              <w:t>内。</w:t>
            </w:r>
          </w:p>
        </w:tc>
        <w:tc>
          <w:tcPr>
            <w:tcW w:w="694" w:type="dxa"/>
            <w:vAlign w:val="center"/>
          </w:tcPr>
          <w:p w14:paraId="01EF1C53">
            <w:pPr>
              <w:pStyle w:val="34"/>
              <w:ind w:firstLine="0" w:firstLineChars="0"/>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3"/>
                <w:sz w:val="21"/>
                <w:szCs w:val="21"/>
                <w14:textFill>
                  <w14:solidFill>
                    <w14:schemeClr w14:val="tx1"/>
                  </w14:solidFill>
                </w14:textFill>
              </w:rPr>
              <w:t>符合</w:t>
            </w:r>
          </w:p>
        </w:tc>
      </w:tr>
      <w:tr w14:paraId="62D466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512" w:type="dxa"/>
            <w:vAlign w:val="center"/>
          </w:tcPr>
          <w:p w14:paraId="7C21F624">
            <w:pPr>
              <w:pStyle w:val="34"/>
              <w:ind w:firstLine="0" w:firstLineChars="0"/>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7"/>
                <w:sz w:val="21"/>
                <w:szCs w:val="21"/>
                <w:lang w:eastAsia="zh-CN"/>
                <w14:textFill>
                  <w14:solidFill>
                    <w14:schemeClr w14:val="tx1"/>
                  </w14:solidFill>
                </w14:textFill>
              </w:rPr>
              <w:t>《中华人民</w:t>
            </w:r>
            <w:r>
              <w:rPr>
                <w:rFonts w:hint="default" w:ascii="Times New Roman" w:hAnsi="Times New Roman" w:eastAsia="宋体" w:cs="Times New Roman"/>
                <w:color w:val="000000" w:themeColor="text1"/>
                <w:spacing w:val="25"/>
                <w:sz w:val="21"/>
                <w:szCs w:val="21"/>
                <w:lang w:eastAsia="zh-CN"/>
                <w14:textFill>
                  <w14:solidFill>
                    <w14:schemeClr w14:val="tx1"/>
                  </w14:solidFill>
                </w14:textFill>
              </w:rPr>
              <w:t>共和国农业</w:t>
            </w:r>
            <w:r>
              <w:rPr>
                <w:rFonts w:hint="default" w:ascii="Times New Roman" w:hAnsi="Times New Roman" w:eastAsia="宋体" w:cs="Times New Roman"/>
                <w:color w:val="000000" w:themeColor="text1"/>
                <w:spacing w:val="3"/>
                <w:sz w:val="21"/>
                <w:szCs w:val="21"/>
                <w:lang w:eastAsia="zh-CN"/>
                <w14:textFill>
                  <w14:solidFill>
                    <w14:schemeClr w14:val="tx1"/>
                  </w14:solidFill>
                </w14:textFill>
              </w:rPr>
              <w:t>法》（2012）</w:t>
            </w:r>
          </w:p>
        </w:tc>
        <w:tc>
          <w:tcPr>
            <w:tcW w:w="3747" w:type="dxa"/>
            <w:vAlign w:val="center"/>
          </w:tcPr>
          <w:p w14:paraId="7189D3AE">
            <w:pPr>
              <w:pStyle w:val="34"/>
              <w:ind w:firstLine="0" w:firstLineChars="0"/>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9"/>
                <w:sz w:val="21"/>
                <w:szCs w:val="21"/>
                <w:lang w:eastAsia="zh-CN"/>
                <w14:textFill>
                  <w14:solidFill>
                    <w14:schemeClr w14:val="tx1"/>
                  </w14:solidFill>
                </w14:textFill>
              </w:rPr>
              <w:t>从事畜禽规模养殖的单位和个人应</w:t>
            </w:r>
          </w:p>
          <w:p w14:paraId="36D321B0">
            <w:pPr>
              <w:pStyle w:val="34"/>
              <w:ind w:firstLine="0" w:firstLineChars="0"/>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9"/>
                <w:sz w:val="21"/>
                <w:szCs w:val="21"/>
                <w:lang w:eastAsia="zh-CN"/>
                <w14:textFill>
                  <w14:solidFill>
                    <w14:schemeClr w14:val="tx1"/>
                  </w14:solidFill>
                </w14:textFill>
              </w:rPr>
              <w:t>对粪便、废水及废弃物进行无害化</w:t>
            </w:r>
            <w:r>
              <w:rPr>
                <w:rFonts w:hint="default" w:ascii="Times New Roman" w:hAnsi="Times New Roman" w:eastAsia="宋体" w:cs="Times New Roman"/>
                <w:color w:val="000000" w:themeColor="text1"/>
                <w:spacing w:val="7"/>
                <w:sz w:val="21"/>
                <w:szCs w:val="21"/>
                <w:lang w:eastAsia="zh-CN"/>
                <w14:textFill>
                  <w14:solidFill>
                    <w14:schemeClr w14:val="tx1"/>
                  </w14:solidFill>
                </w14:textFill>
              </w:rPr>
              <w:t>处理或者综合利用。</w:t>
            </w:r>
          </w:p>
        </w:tc>
        <w:tc>
          <w:tcPr>
            <w:tcW w:w="3061" w:type="dxa"/>
            <w:vAlign w:val="center"/>
          </w:tcPr>
          <w:p w14:paraId="4D799D37">
            <w:pPr>
              <w:pStyle w:val="34"/>
              <w:ind w:firstLine="0" w:firstLineChars="0"/>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9"/>
                <w:sz w:val="21"/>
                <w:szCs w:val="21"/>
                <w:lang w:eastAsia="zh-CN"/>
                <w14:textFill>
                  <w14:solidFill>
                    <w14:schemeClr w14:val="tx1"/>
                  </w14:solidFill>
                </w14:textFill>
              </w:rPr>
              <w:t>本项目废垫料和粪便等在固液分离车间堆肥区</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发酵完作为</w:t>
            </w:r>
            <w:r>
              <w:rPr>
                <w:rFonts w:hint="eastAsia" w:ascii="Times New Roman" w:hAnsi="Times New Roman" w:cs="Times New Roman"/>
                <w:color w:val="000000" w:themeColor="text1"/>
                <w:spacing w:val="6"/>
                <w:sz w:val="21"/>
                <w:szCs w:val="21"/>
                <w:lang w:eastAsia="zh-CN"/>
                <w14:textFill>
                  <w14:solidFill>
                    <w14:schemeClr w14:val="tx1"/>
                  </w14:solidFill>
                </w14:textFill>
              </w:rPr>
              <w:t>农田施肥</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；场区综合废水经过氧化塘处理后，冬季储存，其余季节作为液肥全部</w:t>
            </w:r>
            <w:r>
              <w:rPr>
                <w:rFonts w:hint="default" w:ascii="Times New Roman" w:hAnsi="Times New Roman" w:eastAsia="宋体" w:cs="Times New Roman"/>
                <w:color w:val="000000" w:themeColor="text1"/>
                <w:spacing w:val="7"/>
                <w:sz w:val="21"/>
                <w:szCs w:val="21"/>
                <w:lang w:eastAsia="zh-CN"/>
                <w14:textFill>
                  <w14:solidFill>
                    <w14:schemeClr w14:val="tx1"/>
                  </w14:solidFill>
                </w14:textFill>
              </w:rPr>
              <w:t>还田，综合利用。</w:t>
            </w:r>
          </w:p>
        </w:tc>
        <w:tc>
          <w:tcPr>
            <w:tcW w:w="694" w:type="dxa"/>
            <w:vAlign w:val="center"/>
          </w:tcPr>
          <w:p w14:paraId="465185A6">
            <w:pPr>
              <w:pStyle w:val="34"/>
              <w:ind w:firstLine="0" w:firstLineChars="0"/>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3"/>
                <w:sz w:val="21"/>
                <w:szCs w:val="21"/>
                <w14:textFill>
                  <w14:solidFill>
                    <w14:schemeClr w14:val="tx1"/>
                  </w14:solidFill>
                </w14:textFill>
              </w:rPr>
              <w:t>符合</w:t>
            </w:r>
          </w:p>
        </w:tc>
      </w:tr>
      <w:tr w14:paraId="4664B5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512" w:type="dxa"/>
            <w:vMerge w:val="restart"/>
            <w:vAlign w:val="center"/>
          </w:tcPr>
          <w:p w14:paraId="3B8985A6">
            <w:pPr>
              <w:pStyle w:val="34"/>
              <w:ind w:firstLine="0" w:firstLineChars="0"/>
              <w:jc w:val="center"/>
              <w:rPr>
                <w:rFonts w:hint="default" w:ascii="Times New Roman" w:hAnsi="Times New Roman" w:eastAsia="宋体" w:cs="Times New Roman"/>
                <w:color w:val="000000" w:themeColor="text1"/>
                <w:spacing w:val="7"/>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7"/>
                <w:sz w:val="21"/>
                <w:szCs w:val="21"/>
                <w:lang w:eastAsia="zh-CN"/>
                <w14:textFill>
                  <w14:solidFill>
                    <w14:schemeClr w14:val="tx1"/>
                  </w14:solidFill>
                </w14:textFill>
              </w:rPr>
              <w:t>《地下水管理条例》中华人民共和国国务院令第748号公布自2021年12月1日起施行</w:t>
            </w:r>
          </w:p>
        </w:tc>
        <w:tc>
          <w:tcPr>
            <w:tcW w:w="3747" w:type="dxa"/>
            <w:vAlign w:val="center"/>
          </w:tcPr>
          <w:p w14:paraId="73B64C48">
            <w:pPr>
              <w:pStyle w:val="34"/>
              <w:ind w:firstLine="0" w:firstLineChars="0"/>
              <w:jc w:val="cente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取用地下水的单位和个人应当遵守取水总量控制和定额管理要求，使</w:t>
            </w:r>
          </w:p>
          <w:p w14:paraId="634F08D1">
            <w:pPr>
              <w:pStyle w:val="34"/>
              <w:ind w:firstLine="0" w:firstLineChars="0"/>
              <w:jc w:val="cente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用先进节约用水技术、工艺和设备，</w:t>
            </w:r>
          </w:p>
          <w:p w14:paraId="1558A16B">
            <w:pPr>
              <w:pStyle w:val="34"/>
              <w:ind w:firstLine="0" w:firstLineChars="0"/>
              <w:jc w:val="cente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采取循环用水、综合利用及废水处</w:t>
            </w:r>
          </w:p>
          <w:p w14:paraId="66343D9C">
            <w:pPr>
              <w:pStyle w:val="34"/>
              <w:ind w:firstLine="0" w:firstLineChars="0"/>
              <w:jc w:val="cente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理回用等措施，实施技术改造，降</w:t>
            </w:r>
          </w:p>
          <w:p w14:paraId="4FDD78F5">
            <w:pPr>
              <w:pStyle w:val="34"/>
              <w:ind w:firstLine="0" w:firstLineChars="0"/>
              <w:jc w:val="center"/>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低用水消耗。</w:t>
            </w:r>
          </w:p>
        </w:tc>
        <w:tc>
          <w:tcPr>
            <w:tcW w:w="3061" w:type="dxa"/>
            <w:vAlign w:val="center"/>
          </w:tcPr>
          <w:p w14:paraId="1225E8D3">
            <w:pPr>
              <w:pStyle w:val="34"/>
              <w:ind w:firstLine="0" w:firstLineChars="0"/>
              <w:jc w:val="cente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本项目正在办理取水许可证，运行过程严格按照许可量使用地下水。</w:t>
            </w:r>
          </w:p>
        </w:tc>
        <w:tc>
          <w:tcPr>
            <w:tcW w:w="694" w:type="dxa"/>
            <w:vAlign w:val="center"/>
          </w:tcPr>
          <w:p w14:paraId="765E80B7">
            <w:pPr>
              <w:pStyle w:val="34"/>
              <w:ind w:firstLine="0" w:firstLineChars="0"/>
              <w:jc w:val="center"/>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符合</w:t>
            </w:r>
          </w:p>
        </w:tc>
      </w:tr>
      <w:tr w14:paraId="121019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512" w:type="dxa"/>
            <w:vMerge w:val="continue"/>
            <w:vAlign w:val="center"/>
          </w:tcPr>
          <w:p w14:paraId="5DC8CFEB">
            <w:pPr>
              <w:pStyle w:val="34"/>
              <w:ind w:firstLine="0" w:firstLineChars="0"/>
              <w:jc w:val="center"/>
              <w:rPr>
                <w:rFonts w:hint="default" w:ascii="Times New Roman" w:hAnsi="Times New Roman" w:eastAsia="宋体" w:cs="Times New Roman"/>
                <w:color w:val="000000" w:themeColor="text1"/>
                <w:spacing w:val="7"/>
                <w:sz w:val="21"/>
                <w:szCs w:val="21"/>
                <w14:textFill>
                  <w14:solidFill>
                    <w14:schemeClr w14:val="tx1"/>
                  </w14:solidFill>
                </w14:textFill>
              </w:rPr>
            </w:pPr>
          </w:p>
        </w:tc>
        <w:tc>
          <w:tcPr>
            <w:tcW w:w="3747" w:type="dxa"/>
            <w:vAlign w:val="center"/>
          </w:tcPr>
          <w:p w14:paraId="5A9CE646">
            <w:pPr>
              <w:pStyle w:val="34"/>
              <w:ind w:firstLine="0" w:firstLineChars="0"/>
              <w:jc w:val="cente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新建、改建、扩建地下水取水工程，</w:t>
            </w:r>
          </w:p>
          <w:p w14:paraId="3AA432A8">
            <w:pPr>
              <w:pStyle w:val="34"/>
              <w:ind w:firstLine="0" w:firstLineChars="0"/>
              <w:jc w:val="cente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应当同时安装计量设施。</w:t>
            </w:r>
          </w:p>
        </w:tc>
        <w:tc>
          <w:tcPr>
            <w:tcW w:w="3061" w:type="dxa"/>
            <w:vAlign w:val="center"/>
          </w:tcPr>
          <w:p w14:paraId="7720271D">
            <w:pPr>
              <w:pStyle w:val="34"/>
              <w:ind w:firstLine="0" w:firstLineChars="0"/>
              <w:jc w:val="cente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本项目同步建设地下水使用计量设施。</w:t>
            </w:r>
          </w:p>
        </w:tc>
        <w:tc>
          <w:tcPr>
            <w:tcW w:w="694" w:type="dxa"/>
            <w:vAlign w:val="center"/>
          </w:tcPr>
          <w:p w14:paraId="2E249A0F">
            <w:pPr>
              <w:pStyle w:val="34"/>
              <w:ind w:firstLine="0" w:firstLineChars="0"/>
              <w:jc w:val="center"/>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符合</w:t>
            </w:r>
          </w:p>
        </w:tc>
      </w:tr>
      <w:tr w14:paraId="743060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512" w:type="dxa"/>
            <w:vAlign w:val="center"/>
          </w:tcPr>
          <w:p w14:paraId="74320DCA">
            <w:pPr>
              <w:pStyle w:val="34"/>
              <w:ind w:firstLine="0" w:firstLineChars="0"/>
              <w:jc w:val="center"/>
              <w:rPr>
                <w:rFonts w:hint="default" w:ascii="Times New Roman" w:hAnsi="Times New Roman" w:eastAsia="宋体" w:cs="Times New Roman"/>
                <w:color w:val="000000" w:themeColor="text1"/>
                <w:spacing w:val="7"/>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7"/>
                <w:sz w:val="21"/>
                <w:szCs w:val="21"/>
                <w:lang w:eastAsia="zh-CN"/>
                <w14:textFill>
                  <w14:solidFill>
                    <w14:schemeClr w14:val="tx1"/>
                  </w14:solidFill>
                </w14:textFill>
              </w:rPr>
              <w:t>国务院办公厅以国办发〔2014〕47号印发《关于建立病死畜禽无害化处理机制的意见》</w:t>
            </w:r>
          </w:p>
        </w:tc>
        <w:tc>
          <w:tcPr>
            <w:tcW w:w="3747" w:type="dxa"/>
            <w:vAlign w:val="center"/>
          </w:tcPr>
          <w:p w14:paraId="7ACC9288">
            <w:pPr>
              <w:pStyle w:val="34"/>
              <w:ind w:firstLine="0" w:firstLineChars="0"/>
              <w:jc w:val="cente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加强无害化处理体系建设</w:t>
            </w:r>
          </w:p>
          <w:p w14:paraId="2D1BEB30">
            <w:pPr>
              <w:pStyle w:val="34"/>
              <w:ind w:firstLine="0" w:firstLineChars="0"/>
              <w:jc w:val="cente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县级以上地方人民政府要根据本地区畜禽养殖、疫病发生和畜禽死亡等情况，统筹规划和合理布局病死畜禽无害化收集处理体系，组织建设覆盖饲养、屠宰、经营、运输等各环节的病死畜禽无害化处理场所，处理场所的设计处理能力应高于日常病死畜禽处理量。要依托养殖场、屠宰场、专业合作组织和乡镇畜牧兽医站等建设病死畜禽收集网点、暂存设施，并配备必要的运输工具。鼓励跨行政区域建设病死畜禽专业无害化处理场。处理设施应优先采用化制、发酵等既能实现无害化处理又能资源化利用的工艺技术。支持研究新型、高效、环保的无害化处理技术和装备。有条件的地方也可在完善防疫设施的基础上，利用现有医疗垃圾处理厂等对病死畜禽进行无害化处理。</w:t>
            </w:r>
          </w:p>
        </w:tc>
        <w:tc>
          <w:tcPr>
            <w:tcW w:w="3061" w:type="dxa"/>
            <w:vAlign w:val="center"/>
          </w:tcPr>
          <w:p w14:paraId="0CB8AEB3">
            <w:pPr>
              <w:pStyle w:val="34"/>
              <w:ind w:firstLine="0" w:firstLineChars="0"/>
              <w:jc w:val="cente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本项目建设雨污分流设施，建设氧化塘、固液分离车间等贮存设施，并配套建设固液分离系统、粪污输送系统，对厂区废水、固粪及病死牛尸体和胎盘等进行无害化处理。本项目病死牛和胎盘等委托内蒙古阳光蒙农农业科技有限责任公司进行无害化处理。符合：《关于建立病死畜禽无害化处理机制的意见》“依托养殖场、屠宰场、专业合作组织和乡镇畜牧兽医站等建设病死畜禽收集网点、暂存设施，并配备必要的运输工具。鼓励跨行政区域建设病死畜禽专业无害化处理场”。</w:t>
            </w:r>
          </w:p>
        </w:tc>
        <w:tc>
          <w:tcPr>
            <w:tcW w:w="694" w:type="dxa"/>
            <w:vAlign w:val="center"/>
          </w:tcPr>
          <w:p w14:paraId="3AA33897">
            <w:pPr>
              <w:pStyle w:val="34"/>
              <w:ind w:firstLine="0" w:firstLineChars="0"/>
              <w:jc w:val="cente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p>
        </w:tc>
      </w:tr>
    </w:tbl>
    <w:p w14:paraId="22A09A2A">
      <w:pPr>
        <w:widowControl/>
        <w:ind w:firstLine="482"/>
        <w:outlineLvl w:val="2"/>
        <w:rPr>
          <w:rFonts w:hint="default" w:ascii="Times New Roman" w:hAnsi="Times New Roman" w:eastAsia="宋体" w:cs="Times New Roman"/>
          <w:b/>
          <w:bCs/>
          <w:color w:val="000000" w:themeColor="text1"/>
          <w:kern w:val="0"/>
          <w:lang w:bidi="ar"/>
          <w14:textFill>
            <w14:solidFill>
              <w14:schemeClr w14:val="tx1"/>
            </w14:solidFill>
          </w14:textFill>
        </w:rPr>
      </w:pPr>
      <w:bookmarkStart w:id="41" w:name="_Toc22469"/>
      <w:r>
        <w:rPr>
          <w:rFonts w:hint="default" w:ascii="Times New Roman" w:hAnsi="Times New Roman" w:eastAsia="宋体" w:cs="Times New Roman"/>
          <w:b/>
          <w:bCs/>
          <w:color w:val="000000" w:themeColor="text1"/>
          <w:kern w:val="0"/>
          <w:lang w:bidi="ar"/>
          <w14:textFill>
            <w14:solidFill>
              <w14:schemeClr w14:val="tx1"/>
            </w14:solidFill>
          </w14:textFill>
        </w:rPr>
        <w:t>1.3.3行业规范符合性分析</w:t>
      </w:r>
      <w:bookmarkEnd w:id="41"/>
    </w:p>
    <w:p w14:paraId="0DFAB573">
      <w:pPr>
        <w:ind w:firstLine="482"/>
        <w:rPr>
          <w:rFonts w:hint="default" w:ascii="Times New Roman" w:hAnsi="Times New Roman" w:eastAsia="宋体" w:cs="Times New Roman"/>
          <w:b/>
          <w:bCs/>
          <w:color w:val="0000FF"/>
        </w:rPr>
      </w:pPr>
      <w:r>
        <w:rPr>
          <w:rFonts w:hint="default" w:ascii="Times New Roman" w:hAnsi="Times New Roman" w:eastAsia="宋体" w:cs="Times New Roman"/>
          <w:b/>
          <w:bCs/>
          <w:color w:val="0000FF"/>
        </w:rPr>
        <w:t>（1）与《关于做好畜禽规模养殖项目环境影响评价管理工作的通知》（环办环评〔2018〕31号）符合性</w:t>
      </w:r>
    </w:p>
    <w:p w14:paraId="499E59E8">
      <w:pPr>
        <w:ind w:firstLine="0" w:firstLineChars="0"/>
        <w:jc w:val="center"/>
        <w:rPr>
          <w:rFonts w:hint="default" w:ascii="Times New Roman" w:hAnsi="Times New Roman" w:eastAsia="宋体" w:cs="Times New Roman"/>
          <w:b/>
          <w:bCs/>
          <w:color w:val="0000FF"/>
        </w:rPr>
      </w:pPr>
      <w:r>
        <w:rPr>
          <w:rFonts w:hint="default" w:ascii="Times New Roman" w:hAnsi="Times New Roman" w:eastAsia="宋体" w:cs="Times New Roman"/>
          <w:b/>
          <w:bCs/>
          <w:color w:val="0000FF"/>
        </w:rPr>
        <w:t>表1.3-2项目与《关于做好畜禽规模养殖项目环境影响评价管理工作的通知》</w:t>
      </w:r>
    </w:p>
    <w:p w14:paraId="70BC0985">
      <w:pPr>
        <w:ind w:firstLine="0" w:firstLineChars="0"/>
        <w:jc w:val="center"/>
        <w:rPr>
          <w:rFonts w:hint="default" w:ascii="Times New Roman" w:hAnsi="Times New Roman" w:eastAsia="宋体" w:cs="Times New Roman"/>
          <w:b/>
          <w:bCs/>
          <w:color w:val="0000FF"/>
        </w:rPr>
      </w:pPr>
      <w:r>
        <w:rPr>
          <w:rFonts w:hint="default" w:ascii="Times New Roman" w:hAnsi="Times New Roman" w:eastAsia="宋体" w:cs="Times New Roman"/>
          <w:b/>
          <w:bCs/>
          <w:color w:val="0000FF"/>
        </w:rPr>
        <w:t>符合性分析表</w:t>
      </w:r>
    </w:p>
    <w:tbl>
      <w:tblPr>
        <w:tblStyle w:val="35"/>
        <w:tblW w:w="901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03"/>
        <w:gridCol w:w="4137"/>
        <w:gridCol w:w="3649"/>
        <w:gridCol w:w="725"/>
      </w:tblGrid>
      <w:tr w14:paraId="71DA31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03" w:type="dxa"/>
            <w:vAlign w:val="center"/>
          </w:tcPr>
          <w:p w14:paraId="5C14809C">
            <w:pPr>
              <w:ind w:firstLine="0" w:firstLineChars="0"/>
              <w:jc w:val="center"/>
              <w:rPr>
                <w:rFonts w:hint="default" w:ascii="Times New Roman" w:hAnsi="Times New Roman" w:eastAsia="宋体" w:cs="Times New Roman"/>
                <w:b/>
                <w:bCs/>
                <w:color w:val="0000FF"/>
                <w:sz w:val="21"/>
                <w:szCs w:val="21"/>
              </w:rPr>
            </w:pPr>
            <w:r>
              <w:rPr>
                <w:rFonts w:hint="default" w:ascii="Times New Roman" w:hAnsi="Times New Roman" w:eastAsia="宋体" w:cs="Times New Roman"/>
                <w:b/>
                <w:bCs/>
                <w:color w:val="0000FF"/>
                <w:sz w:val="21"/>
                <w:szCs w:val="21"/>
              </w:rPr>
              <w:t>序号</w:t>
            </w:r>
          </w:p>
        </w:tc>
        <w:tc>
          <w:tcPr>
            <w:tcW w:w="4137" w:type="dxa"/>
            <w:vAlign w:val="center"/>
          </w:tcPr>
          <w:p w14:paraId="00FBF107">
            <w:pPr>
              <w:ind w:firstLine="0" w:firstLineChars="0"/>
              <w:jc w:val="center"/>
              <w:rPr>
                <w:rFonts w:hint="default" w:ascii="Times New Roman" w:hAnsi="Times New Roman" w:eastAsia="宋体" w:cs="Times New Roman"/>
                <w:b/>
                <w:bCs/>
                <w:color w:val="0000FF"/>
                <w:sz w:val="21"/>
                <w:szCs w:val="21"/>
              </w:rPr>
            </w:pPr>
            <w:r>
              <w:rPr>
                <w:rFonts w:hint="default" w:ascii="Times New Roman" w:hAnsi="Times New Roman" w:eastAsia="宋体" w:cs="Times New Roman"/>
                <w:b/>
                <w:bCs/>
                <w:color w:val="0000FF"/>
                <w:sz w:val="21"/>
                <w:szCs w:val="21"/>
              </w:rPr>
              <w:t>《关于做好畜禽规模养殖项目环境影响评价管理工作的通知》</w:t>
            </w:r>
          </w:p>
        </w:tc>
        <w:tc>
          <w:tcPr>
            <w:tcW w:w="3649" w:type="dxa"/>
            <w:vAlign w:val="center"/>
          </w:tcPr>
          <w:p w14:paraId="5C96B171">
            <w:pPr>
              <w:ind w:firstLine="0" w:firstLineChars="0"/>
              <w:jc w:val="center"/>
              <w:rPr>
                <w:rFonts w:hint="default" w:ascii="Times New Roman" w:hAnsi="Times New Roman" w:eastAsia="宋体" w:cs="Times New Roman"/>
                <w:b/>
                <w:bCs/>
                <w:color w:val="0000FF"/>
                <w:sz w:val="21"/>
                <w:szCs w:val="21"/>
              </w:rPr>
            </w:pPr>
            <w:r>
              <w:rPr>
                <w:rFonts w:hint="default" w:ascii="Times New Roman" w:hAnsi="Times New Roman" w:eastAsia="宋体" w:cs="Times New Roman"/>
                <w:b/>
                <w:bCs/>
                <w:color w:val="0000FF"/>
                <w:sz w:val="21"/>
                <w:szCs w:val="21"/>
              </w:rPr>
              <w:t>本项目</w:t>
            </w:r>
          </w:p>
        </w:tc>
        <w:tc>
          <w:tcPr>
            <w:tcW w:w="725" w:type="dxa"/>
            <w:vAlign w:val="center"/>
          </w:tcPr>
          <w:p w14:paraId="0683AF17">
            <w:pPr>
              <w:ind w:firstLine="0" w:firstLineChars="0"/>
              <w:jc w:val="center"/>
              <w:rPr>
                <w:rFonts w:hint="default" w:ascii="Times New Roman" w:hAnsi="Times New Roman" w:eastAsia="宋体" w:cs="Times New Roman"/>
                <w:b/>
                <w:bCs/>
                <w:color w:val="0000FF"/>
                <w:sz w:val="21"/>
                <w:szCs w:val="21"/>
              </w:rPr>
            </w:pPr>
            <w:r>
              <w:rPr>
                <w:rFonts w:hint="default" w:ascii="Times New Roman" w:hAnsi="Times New Roman" w:eastAsia="宋体" w:cs="Times New Roman"/>
                <w:b/>
                <w:bCs/>
                <w:color w:val="0000FF"/>
                <w:sz w:val="21"/>
                <w:szCs w:val="21"/>
              </w:rPr>
              <w:t>符合性</w:t>
            </w:r>
          </w:p>
        </w:tc>
      </w:tr>
      <w:tr w14:paraId="42C295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03" w:type="dxa"/>
            <w:vAlign w:val="center"/>
          </w:tcPr>
          <w:p w14:paraId="54078A59">
            <w:pPr>
              <w:ind w:firstLine="0" w:firstLineChars="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1</w:t>
            </w:r>
          </w:p>
        </w:tc>
        <w:tc>
          <w:tcPr>
            <w:tcW w:w="4137" w:type="dxa"/>
            <w:vAlign w:val="center"/>
          </w:tcPr>
          <w:p w14:paraId="301456CB">
            <w:pPr>
              <w:ind w:firstLine="0" w:firstLineChars="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选址应避开当地划定的禁止养殖区域，并与区域主体功能区规划、环境功能区划、土地利用规划、城乡规划、畜牧业发展规划、畜禽养殖污染防治规划等规划相协调。当地未划定禁止养殖区域的，应避开饮用水水源保护区、风景名胜区、自然保护区的核心区和缓冲区、村镇人口集中区域，以及法律、法规规定的禁止养殖区域。</w:t>
            </w:r>
          </w:p>
        </w:tc>
        <w:tc>
          <w:tcPr>
            <w:tcW w:w="3649" w:type="dxa"/>
            <w:vAlign w:val="center"/>
          </w:tcPr>
          <w:p w14:paraId="76B540BB">
            <w:pPr>
              <w:ind w:firstLine="0" w:firstLineChars="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本项目占地不处于上述禁止区域。</w:t>
            </w:r>
          </w:p>
        </w:tc>
        <w:tc>
          <w:tcPr>
            <w:tcW w:w="725" w:type="dxa"/>
            <w:vAlign w:val="center"/>
          </w:tcPr>
          <w:p w14:paraId="50AC95FA">
            <w:pPr>
              <w:ind w:firstLine="0" w:firstLineChars="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符合</w:t>
            </w:r>
          </w:p>
        </w:tc>
      </w:tr>
      <w:tr w14:paraId="2557C8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03" w:type="dxa"/>
            <w:vAlign w:val="center"/>
          </w:tcPr>
          <w:p w14:paraId="638FA2CA">
            <w:pPr>
              <w:ind w:firstLine="0" w:firstLineChars="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2</w:t>
            </w:r>
          </w:p>
        </w:tc>
        <w:tc>
          <w:tcPr>
            <w:tcW w:w="4137" w:type="dxa"/>
            <w:vAlign w:val="center"/>
          </w:tcPr>
          <w:p w14:paraId="54EC5AAF">
            <w:pPr>
              <w:ind w:firstLine="0" w:firstLineChars="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励采取干清粪方式，采取水泡粪工艺的应最大限度降低用水量。</w:t>
            </w:r>
          </w:p>
        </w:tc>
        <w:tc>
          <w:tcPr>
            <w:tcW w:w="3649" w:type="dxa"/>
            <w:vAlign w:val="center"/>
          </w:tcPr>
          <w:p w14:paraId="3D508637">
            <w:pPr>
              <w:ind w:firstLine="0" w:firstLineChars="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项目采用干清粪工艺，牛粪</w:t>
            </w:r>
            <w:r>
              <w:rPr>
                <w:rFonts w:hint="eastAsia" w:cs="Times New Roman"/>
                <w:color w:val="0000FF"/>
                <w:sz w:val="21"/>
                <w:szCs w:val="21"/>
                <w:lang w:eastAsia="zh-CN"/>
              </w:rPr>
              <w:t>、</w:t>
            </w:r>
            <w:r>
              <w:rPr>
                <w:rFonts w:hint="default" w:ascii="Times New Roman" w:hAnsi="Times New Roman" w:eastAsia="宋体" w:cs="Times New Roman"/>
                <w:color w:val="0000FF"/>
                <w:sz w:val="21"/>
                <w:szCs w:val="21"/>
              </w:rPr>
              <w:t>牛尿经刮粪板清粪至粪沟后进入输粪渠，不使用清水清理圈舍粪尿，且粪污离开粪沟经输送泵泵入固液分离系统，进行固液分离，并没有混合排出，分离后固体粪污用于发酵制作</w:t>
            </w:r>
            <w:r>
              <w:rPr>
                <w:rFonts w:hint="eastAsia" w:cs="Times New Roman"/>
                <w:color w:val="0000FF"/>
                <w:sz w:val="21"/>
                <w:szCs w:val="21"/>
                <w:lang w:eastAsia="zh-CN"/>
              </w:rPr>
              <w:t>农田施肥</w:t>
            </w:r>
            <w:r>
              <w:rPr>
                <w:rFonts w:hint="default" w:ascii="Times New Roman" w:hAnsi="Times New Roman" w:eastAsia="宋体" w:cs="Times New Roman"/>
                <w:color w:val="0000FF"/>
                <w:sz w:val="21"/>
                <w:szCs w:val="21"/>
              </w:rPr>
              <w:t>，液体粪污进入氧化塘处理系统处理后作为液肥综合利用，牛粪、尿日产日清。</w:t>
            </w:r>
          </w:p>
        </w:tc>
        <w:tc>
          <w:tcPr>
            <w:tcW w:w="725" w:type="dxa"/>
            <w:vAlign w:val="center"/>
          </w:tcPr>
          <w:p w14:paraId="052D8077">
            <w:pPr>
              <w:ind w:firstLine="0" w:firstLineChars="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符合</w:t>
            </w:r>
          </w:p>
        </w:tc>
      </w:tr>
      <w:tr w14:paraId="65FC56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03" w:type="dxa"/>
            <w:vAlign w:val="center"/>
          </w:tcPr>
          <w:p w14:paraId="7BB24FCD">
            <w:pPr>
              <w:ind w:firstLine="0" w:firstLineChars="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3</w:t>
            </w:r>
          </w:p>
        </w:tc>
        <w:tc>
          <w:tcPr>
            <w:tcW w:w="4137" w:type="dxa"/>
            <w:vAlign w:val="center"/>
          </w:tcPr>
          <w:p w14:paraId="0E863742">
            <w:pPr>
              <w:ind w:firstLine="0" w:firstLineChars="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场区应采取雨污分离措施，防止雨水进入粪污收集系统。</w:t>
            </w:r>
          </w:p>
        </w:tc>
        <w:tc>
          <w:tcPr>
            <w:tcW w:w="3649" w:type="dxa"/>
            <w:vAlign w:val="center"/>
          </w:tcPr>
          <w:p w14:paraId="0CED71FF">
            <w:pPr>
              <w:ind w:firstLine="0" w:firstLineChars="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本项目场区采取雨污分流，根据场区所在区域地势结合项目平面布置铺设雨水管网，雨水经雨水管线收集后排入附近沟渠；粪污经场区输送系统进入固液分离系统分离后进入氧化塘处理后作为液肥综合利用。</w:t>
            </w:r>
          </w:p>
        </w:tc>
        <w:tc>
          <w:tcPr>
            <w:tcW w:w="725" w:type="dxa"/>
            <w:vAlign w:val="center"/>
          </w:tcPr>
          <w:p w14:paraId="374CD851">
            <w:pPr>
              <w:ind w:firstLine="0" w:firstLineChars="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符合</w:t>
            </w:r>
          </w:p>
        </w:tc>
      </w:tr>
      <w:tr w14:paraId="7A1D6C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03" w:type="dxa"/>
            <w:vAlign w:val="center"/>
          </w:tcPr>
          <w:p w14:paraId="5605E0A7">
            <w:pPr>
              <w:ind w:firstLine="0" w:firstLineChars="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4</w:t>
            </w:r>
          </w:p>
        </w:tc>
        <w:tc>
          <w:tcPr>
            <w:tcW w:w="4137" w:type="dxa"/>
            <w:vAlign w:val="center"/>
          </w:tcPr>
          <w:p w14:paraId="38F8837F">
            <w:pPr>
              <w:ind w:firstLine="0" w:firstLineChars="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建设单位在项目环评报告书报送审批前，应采取适当形式，遵循依法、有序、公开、便利的原则，公开征求意见并对真实性和结果负责。</w:t>
            </w:r>
          </w:p>
        </w:tc>
        <w:tc>
          <w:tcPr>
            <w:tcW w:w="3649" w:type="dxa"/>
            <w:vAlign w:val="center"/>
          </w:tcPr>
          <w:p w14:paraId="6C412BFD">
            <w:pPr>
              <w:ind w:firstLine="0" w:firstLineChars="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项目已按照《环境影响评价公众参与办法》完成公众意见调查，无反对意见。</w:t>
            </w:r>
          </w:p>
        </w:tc>
        <w:tc>
          <w:tcPr>
            <w:tcW w:w="725" w:type="dxa"/>
            <w:vAlign w:val="center"/>
          </w:tcPr>
          <w:p w14:paraId="4A5B06A1">
            <w:pPr>
              <w:ind w:firstLine="0" w:firstLineChars="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符合</w:t>
            </w:r>
          </w:p>
        </w:tc>
      </w:tr>
    </w:tbl>
    <w:p w14:paraId="18AB50C8">
      <w:pPr>
        <w:ind w:firstLine="480"/>
        <w:rPr>
          <w:rFonts w:hint="default" w:ascii="Times New Roman" w:hAnsi="Times New Roman" w:eastAsia="宋体" w:cs="Times New Roman"/>
          <w:color w:val="0000FF"/>
        </w:rPr>
      </w:pPr>
      <w:r>
        <w:rPr>
          <w:rFonts w:hint="default" w:ascii="Times New Roman" w:hAnsi="Times New Roman" w:eastAsia="宋体" w:cs="Times New Roman"/>
          <w:color w:val="0000FF"/>
        </w:rPr>
        <w:t>由上表可知，本项目建设符合《关于做好畜禽规模养殖项目环境影响评价管理工作的通知》（环办环评〔2018〕31号）要求。</w:t>
      </w:r>
    </w:p>
    <w:p w14:paraId="3378C6BD">
      <w:pPr>
        <w:ind w:firstLine="482"/>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（2）与《畜禽规模养殖污染防治条例》（国务院令第643号）的符合性分析</w:t>
      </w:r>
    </w:p>
    <w:p w14:paraId="35B7BF63">
      <w:pPr>
        <w:ind w:firstLine="0" w:firstLineChars="0"/>
        <w:jc w:val="center"/>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表1.3-3项目与《畜禽规模养殖污染防治条例》符合性分析表</w:t>
      </w:r>
    </w:p>
    <w:tbl>
      <w:tblPr>
        <w:tblStyle w:val="35"/>
        <w:tblW w:w="901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65"/>
        <w:gridCol w:w="4143"/>
        <w:gridCol w:w="3642"/>
        <w:gridCol w:w="764"/>
      </w:tblGrid>
      <w:tr w14:paraId="11FA9B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50" w:type="dxa"/>
            <w:vAlign w:val="center"/>
          </w:tcPr>
          <w:p w14:paraId="4BF12952">
            <w:pPr>
              <w:ind w:firstLine="0" w:firstLineChars="0"/>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序号</w:t>
            </w:r>
          </w:p>
        </w:tc>
        <w:tc>
          <w:tcPr>
            <w:tcW w:w="4007" w:type="dxa"/>
            <w:vAlign w:val="center"/>
          </w:tcPr>
          <w:p w14:paraId="1C6E0430">
            <w:pPr>
              <w:ind w:firstLine="0" w:firstLineChars="0"/>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《畜禽规模养殖污染防治条例》</w:t>
            </w:r>
          </w:p>
          <w:p w14:paraId="7E441348">
            <w:pPr>
              <w:ind w:firstLine="0" w:firstLineChars="0"/>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（国务院令第643号）</w:t>
            </w:r>
          </w:p>
        </w:tc>
        <w:tc>
          <w:tcPr>
            <w:tcW w:w="3522" w:type="dxa"/>
            <w:vAlign w:val="center"/>
          </w:tcPr>
          <w:p w14:paraId="145C8C4E">
            <w:pPr>
              <w:ind w:firstLine="0" w:firstLineChars="0"/>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本项目</w:t>
            </w:r>
          </w:p>
        </w:tc>
        <w:tc>
          <w:tcPr>
            <w:tcW w:w="739" w:type="dxa"/>
            <w:vAlign w:val="center"/>
          </w:tcPr>
          <w:p w14:paraId="1E3C9F0A">
            <w:pPr>
              <w:ind w:firstLine="0" w:firstLineChars="0"/>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符合性</w:t>
            </w:r>
          </w:p>
        </w:tc>
      </w:tr>
      <w:tr w14:paraId="0B32BE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50" w:type="dxa"/>
            <w:vAlign w:val="center"/>
          </w:tcPr>
          <w:p w14:paraId="1E105166">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w:t>
            </w:r>
          </w:p>
        </w:tc>
        <w:tc>
          <w:tcPr>
            <w:tcW w:w="4007" w:type="dxa"/>
            <w:vAlign w:val="center"/>
          </w:tcPr>
          <w:p w14:paraId="0496F0C0">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第十一条禁止在下列区域内建设畜禽养殖场、养殖小区：（一）饮用水水源保护区，风景名胜区；（二）自然保护区的核心区和缓冲区；（三）城镇居民区、文化教育科学研究区等人口集中区域；（四）法律、法规规定的其他禁止养殖区域。</w:t>
            </w:r>
          </w:p>
        </w:tc>
        <w:tc>
          <w:tcPr>
            <w:tcW w:w="3522" w:type="dxa"/>
            <w:vAlign w:val="center"/>
          </w:tcPr>
          <w:p w14:paraId="72428A0B">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本项目不处于上述禁止区域内。</w:t>
            </w:r>
          </w:p>
        </w:tc>
        <w:tc>
          <w:tcPr>
            <w:tcW w:w="739" w:type="dxa"/>
            <w:vAlign w:val="center"/>
          </w:tcPr>
          <w:p w14:paraId="47370D96">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符合</w:t>
            </w:r>
          </w:p>
        </w:tc>
      </w:tr>
      <w:tr w14:paraId="458EED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50" w:type="dxa"/>
            <w:vAlign w:val="center"/>
          </w:tcPr>
          <w:p w14:paraId="4A140DC5">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w:t>
            </w:r>
          </w:p>
        </w:tc>
        <w:tc>
          <w:tcPr>
            <w:tcW w:w="4007" w:type="dxa"/>
            <w:vAlign w:val="center"/>
          </w:tcPr>
          <w:p w14:paraId="4F676B33">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第十二条新建、改建、扩建畜禽养殖场、养殖小区，应当符合畜牧业发展规划、畜禽养殖污染防治规划，满足动物防疫条件，并进行环境影响评价。对环境可能造成重大影响的大型畜禽养殖场、养殖小区，应当编制环境影响报告书；其他畜禽养殖场、养殖小区应当填报环境影响登记表。大型畜禽养殖场、养殖小区的管理目录，由国务院环境保护主管部门商国务院农牧主管部门确定。</w:t>
            </w:r>
          </w:p>
        </w:tc>
        <w:tc>
          <w:tcPr>
            <w:tcW w:w="3522" w:type="dxa"/>
            <w:vAlign w:val="center"/>
          </w:tcPr>
          <w:p w14:paraId="190621AE">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本项目为奶牛养殖项目，符合发展规划、污染防治条例，满足动物防疫条件，目前在编制环境影响报告书。</w:t>
            </w:r>
          </w:p>
        </w:tc>
        <w:tc>
          <w:tcPr>
            <w:tcW w:w="739" w:type="dxa"/>
            <w:vAlign w:val="center"/>
          </w:tcPr>
          <w:p w14:paraId="2D78872F">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符合</w:t>
            </w:r>
          </w:p>
        </w:tc>
      </w:tr>
      <w:tr w14:paraId="0D644A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50" w:type="dxa"/>
            <w:vAlign w:val="center"/>
          </w:tcPr>
          <w:p w14:paraId="1AF3F352">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3</w:t>
            </w:r>
          </w:p>
        </w:tc>
        <w:tc>
          <w:tcPr>
            <w:tcW w:w="4007" w:type="dxa"/>
            <w:vAlign w:val="center"/>
          </w:tcPr>
          <w:p w14:paraId="71D8B47A">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第十三条畜禽养殖场、养殖小区应当根据养殖规模和污染防治需要，建设相应的畜禽粪便、污水与雨水分流设施，畜禽粪便、污水的贮存设施，粪污厌氧消化和堆沤、有机肥加工、制取沼气、沼渣</w:t>
            </w:r>
            <w:r>
              <w:rPr>
                <w:rFonts w:hint="default" w:ascii="Times New Roman" w:hAnsi="Times New Roman" w:eastAsia="宋体" w:cs="Times New Roman"/>
                <w:color w:val="000000" w:themeColor="text1"/>
                <w:sz w:val="21"/>
                <w:szCs w:val="21"/>
                <w:lang w:eastAsia="zh-CN"/>
                <w14:textFill>
                  <w14:solidFill>
                    <w14:schemeClr w14:val="tx1"/>
                  </w14:solidFill>
                </w14:textFill>
              </w:rPr>
              <w:t>粪污</w:t>
            </w:r>
            <w:r>
              <w:rPr>
                <w:rFonts w:hint="default" w:ascii="Times New Roman" w:hAnsi="Times New Roman" w:eastAsia="宋体" w:cs="Times New Roman"/>
                <w:color w:val="000000" w:themeColor="text1"/>
                <w:sz w:val="21"/>
                <w:szCs w:val="21"/>
                <w14:textFill>
                  <w14:solidFill>
                    <w14:schemeClr w14:val="tx1"/>
                  </w14:solidFill>
                </w14:textFill>
              </w:rPr>
              <w:t>分离和输送、污水处理、畜禽尸体处理等综合利用和无害化处理设施。已经委托他人对畜禽养殖废弃物代为综合利用和无害化处理的，可以不自行建设综合利用和无害化处理设施。</w:t>
            </w:r>
          </w:p>
        </w:tc>
        <w:tc>
          <w:tcPr>
            <w:tcW w:w="3522" w:type="dxa"/>
            <w:vAlign w:val="center"/>
          </w:tcPr>
          <w:p w14:paraId="29D6E725">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本项目建设雨污分流设施，建设氧化塘、固液分离车间等贮存设施，并配套建设固液分离系统、粪污输送系统，对厂区废水、固粪及病死牛尸体和胎盘等进行无害化处理。</w:t>
            </w:r>
          </w:p>
        </w:tc>
        <w:tc>
          <w:tcPr>
            <w:tcW w:w="739" w:type="dxa"/>
            <w:vAlign w:val="center"/>
          </w:tcPr>
          <w:p w14:paraId="75F322FE">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符合</w:t>
            </w:r>
          </w:p>
        </w:tc>
      </w:tr>
      <w:tr w14:paraId="3F06AB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50" w:type="dxa"/>
            <w:vAlign w:val="center"/>
          </w:tcPr>
          <w:p w14:paraId="2CBE1FFE">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4</w:t>
            </w:r>
          </w:p>
        </w:tc>
        <w:tc>
          <w:tcPr>
            <w:tcW w:w="4007" w:type="dxa"/>
            <w:vAlign w:val="center"/>
          </w:tcPr>
          <w:p w14:paraId="25994B14">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第十八条将畜禽粪便、污水、沼渣、</w:t>
            </w:r>
            <w:r>
              <w:rPr>
                <w:rFonts w:hint="default" w:ascii="Times New Roman" w:hAnsi="Times New Roman" w:eastAsia="宋体" w:cs="Times New Roman"/>
                <w:color w:val="000000" w:themeColor="text1"/>
                <w:sz w:val="21"/>
                <w:szCs w:val="21"/>
                <w:lang w:eastAsia="zh-CN"/>
                <w14:textFill>
                  <w14:solidFill>
                    <w14:schemeClr w14:val="tx1"/>
                  </w14:solidFill>
                </w14:textFill>
              </w:rPr>
              <w:t>粪污</w:t>
            </w:r>
            <w:r>
              <w:rPr>
                <w:rFonts w:hint="default" w:ascii="Times New Roman" w:hAnsi="Times New Roman" w:eastAsia="宋体" w:cs="Times New Roman"/>
                <w:color w:val="000000" w:themeColor="text1"/>
                <w:sz w:val="21"/>
                <w:szCs w:val="21"/>
                <w14:textFill>
                  <w14:solidFill>
                    <w14:schemeClr w14:val="tx1"/>
                  </w14:solidFill>
                </w14:textFill>
              </w:rPr>
              <w:t>等用作肥料的，应当与土地的消纳能力相适应，并采取有效措施，消除可能引起传染病的微生物，防止污染环境和传播疫病。</w:t>
            </w:r>
          </w:p>
        </w:tc>
        <w:tc>
          <w:tcPr>
            <w:tcW w:w="3522" w:type="dxa"/>
            <w:vAlign w:val="center"/>
          </w:tcPr>
          <w:p w14:paraId="1E4B9487">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本项目固液分离牛粪、废垫料、氧化塘污泥在固液分离车间堆肥区发酵完成，作为</w:t>
            </w:r>
            <w:r>
              <w:rPr>
                <w:rFonts w:hint="eastAsia" w:cs="Times New Roman"/>
                <w:color w:val="000000" w:themeColor="text1"/>
                <w:sz w:val="21"/>
                <w:szCs w:val="21"/>
                <w:lang w:eastAsia="zh-CN"/>
                <w14:textFill>
                  <w14:solidFill>
                    <w14:schemeClr w14:val="tx1"/>
                  </w14:solidFill>
                </w14:textFill>
              </w:rPr>
              <w:t>农田施肥</w:t>
            </w:r>
            <w:r>
              <w:rPr>
                <w:rFonts w:hint="default" w:ascii="Times New Roman" w:hAnsi="Times New Roman" w:eastAsia="宋体" w:cs="Times New Roman"/>
                <w:color w:val="000000" w:themeColor="text1"/>
                <w:sz w:val="21"/>
                <w:szCs w:val="21"/>
                <w14:textFill>
                  <w14:solidFill>
                    <w14:schemeClr w14:val="tx1"/>
                  </w14:solidFill>
                </w14:textFill>
              </w:rPr>
              <w:t>；场区综合废水排入氧化塘处理后冬季储存，其余季节作为液肥全部还田，综合利用。</w:t>
            </w:r>
          </w:p>
        </w:tc>
        <w:tc>
          <w:tcPr>
            <w:tcW w:w="739" w:type="dxa"/>
            <w:vAlign w:val="center"/>
          </w:tcPr>
          <w:p w14:paraId="60AAFC25">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符合</w:t>
            </w:r>
          </w:p>
        </w:tc>
      </w:tr>
      <w:tr w14:paraId="7676E5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50" w:type="dxa"/>
            <w:vAlign w:val="center"/>
          </w:tcPr>
          <w:p w14:paraId="304CA7F0">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5</w:t>
            </w:r>
          </w:p>
        </w:tc>
        <w:tc>
          <w:tcPr>
            <w:tcW w:w="4007" w:type="dxa"/>
            <w:vAlign w:val="center"/>
          </w:tcPr>
          <w:p w14:paraId="7064BE89">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第十九条从事畜禽养殖活动和畜禽养殖废弃物处理活动，应当及时对畜禽粪便、畜禽尸体、污水等进行收集、贮存、清运，防止恶臭和畜禽养殖废弃物渗出、泄漏。</w:t>
            </w:r>
          </w:p>
        </w:tc>
        <w:tc>
          <w:tcPr>
            <w:tcW w:w="3522" w:type="dxa"/>
            <w:vAlign w:val="center"/>
          </w:tcPr>
          <w:p w14:paraId="5DEADF7B">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本项目牛舍牛粪、尿日产日清，牛舍垫料每周清理一次，运动场牛粪日产日清，牛尿蒸发损耗；场区综合废水进入氧化塘处理系统处理后作为液肥综合利用；场区按照防渗级别分为重点防渗区、一般防渗区、简单防渗区，固液分离设于封闭车间内，并喷洒生物除臭剂；固液分离车间堆肥区采取“防风、防雨、防渗漏”措施，防止恶臭和养殖废弃物渗出、泄漏。</w:t>
            </w:r>
          </w:p>
        </w:tc>
        <w:tc>
          <w:tcPr>
            <w:tcW w:w="739" w:type="dxa"/>
            <w:vAlign w:val="center"/>
          </w:tcPr>
          <w:p w14:paraId="7AE77FA5">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符合</w:t>
            </w:r>
          </w:p>
        </w:tc>
      </w:tr>
      <w:tr w14:paraId="1EBD0A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50" w:type="dxa"/>
            <w:vAlign w:val="center"/>
          </w:tcPr>
          <w:p w14:paraId="4AAE968E">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6</w:t>
            </w:r>
          </w:p>
        </w:tc>
        <w:tc>
          <w:tcPr>
            <w:tcW w:w="4007" w:type="dxa"/>
            <w:vAlign w:val="center"/>
          </w:tcPr>
          <w:p w14:paraId="25AC4888">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第二十条向环境排放经过处理的畜禽养殖废弃物，应当符合国家和地方规定的污染物排放标准和总量控制指标。畜禽养殖废弃物未经处理，不得直接向环境排放。</w:t>
            </w:r>
          </w:p>
        </w:tc>
        <w:tc>
          <w:tcPr>
            <w:tcW w:w="3522" w:type="dxa"/>
            <w:vAlign w:val="center"/>
          </w:tcPr>
          <w:p w14:paraId="6AA9660F">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本项目牛粪便、废垫料、氧化塘污泥在固液分离车间堆肥区发酵后作为</w:t>
            </w:r>
            <w:r>
              <w:rPr>
                <w:rFonts w:hint="eastAsia" w:cs="Times New Roman"/>
                <w:color w:val="000000" w:themeColor="text1"/>
                <w:sz w:val="21"/>
                <w:szCs w:val="21"/>
                <w:lang w:eastAsia="zh-CN"/>
                <w14:textFill>
                  <w14:solidFill>
                    <w14:schemeClr w14:val="tx1"/>
                  </w14:solidFill>
                </w14:textFill>
              </w:rPr>
              <w:t>农田施肥</w:t>
            </w:r>
            <w:r>
              <w:rPr>
                <w:rFonts w:hint="default" w:ascii="Times New Roman" w:hAnsi="Times New Roman" w:eastAsia="宋体" w:cs="Times New Roman"/>
                <w:color w:val="000000" w:themeColor="text1"/>
                <w:sz w:val="21"/>
                <w:szCs w:val="21"/>
                <w14:textFill>
                  <w14:solidFill>
                    <w14:schemeClr w14:val="tx1"/>
                  </w14:solidFill>
                </w14:textFill>
              </w:rPr>
              <w:t>；其他固废均得到妥善处理，不外排。综合废水经过场区管网排至氧化塘处理后冬季贮存，其余季节作为液肥全部还田，综合利用。</w:t>
            </w:r>
          </w:p>
        </w:tc>
        <w:tc>
          <w:tcPr>
            <w:tcW w:w="739" w:type="dxa"/>
            <w:vAlign w:val="center"/>
          </w:tcPr>
          <w:p w14:paraId="6B77A301">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符合</w:t>
            </w:r>
          </w:p>
        </w:tc>
      </w:tr>
      <w:tr w14:paraId="09EA86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50" w:type="dxa"/>
            <w:vAlign w:val="center"/>
          </w:tcPr>
          <w:p w14:paraId="3B87B4AC">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7</w:t>
            </w:r>
          </w:p>
        </w:tc>
        <w:tc>
          <w:tcPr>
            <w:tcW w:w="4007" w:type="dxa"/>
            <w:vAlign w:val="center"/>
          </w:tcPr>
          <w:p w14:paraId="37491BD7">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第二十一条染疫畜禽以及染疫畜禽排泄物、染疫畜禽产品、病死或者死因不明的畜禽尸体等病害畜禽养殖废弃物，应当按照有关法律、法规和国务院农牧主管部门的规定，进行深埋、化制、焚烧等无害化处理，不得随意处置。</w:t>
            </w:r>
          </w:p>
        </w:tc>
        <w:tc>
          <w:tcPr>
            <w:tcW w:w="3522" w:type="dxa"/>
            <w:vAlign w:val="center"/>
          </w:tcPr>
          <w:p w14:paraId="4AACB141">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本项目病死牛和胎盘等委托内蒙古阳光蒙农农业科技有限责任公司进行无害化处理。</w:t>
            </w:r>
          </w:p>
        </w:tc>
        <w:tc>
          <w:tcPr>
            <w:tcW w:w="739" w:type="dxa"/>
            <w:vAlign w:val="center"/>
          </w:tcPr>
          <w:p w14:paraId="236BDA81">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符合</w:t>
            </w:r>
          </w:p>
        </w:tc>
      </w:tr>
    </w:tbl>
    <w:p w14:paraId="5761AE8F">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综上，项目建设符合《畜禽规模养殖污染防治条例》（国务院令第643号）要求。</w:t>
      </w:r>
    </w:p>
    <w:p w14:paraId="6D0D18BF">
      <w:pPr>
        <w:ind w:firstLine="482"/>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（3）与《畜禽养殖业污染治理工程技术规范》（HJ497-2009）相符性分析</w:t>
      </w:r>
    </w:p>
    <w:p w14:paraId="3DAF55DB">
      <w:pPr>
        <w:ind w:firstLine="0" w:firstLineChars="0"/>
        <w:jc w:val="center"/>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表1.3-4与《畜禽养殖业污染治理工程技术规范》符合性分析</w:t>
      </w:r>
    </w:p>
    <w:tbl>
      <w:tblPr>
        <w:tblStyle w:val="35"/>
        <w:tblW w:w="901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44"/>
        <w:gridCol w:w="3831"/>
        <w:gridCol w:w="3855"/>
        <w:gridCol w:w="784"/>
      </w:tblGrid>
      <w:tr w14:paraId="2CFD93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07" w:hRule="atLeast"/>
          <w:jc w:val="center"/>
        </w:trPr>
        <w:tc>
          <w:tcPr>
            <w:tcW w:w="4232" w:type="dxa"/>
            <w:gridSpan w:val="2"/>
            <w:vAlign w:val="center"/>
          </w:tcPr>
          <w:p w14:paraId="02234C60">
            <w:pPr>
              <w:ind w:firstLine="0" w:firstLineChars="0"/>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《畜禽养殖业污染治理工程技术规范》（HJ497-2009）</w:t>
            </w:r>
          </w:p>
        </w:tc>
        <w:tc>
          <w:tcPr>
            <w:tcW w:w="3728" w:type="dxa"/>
            <w:vAlign w:val="center"/>
          </w:tcPr>
          <w:p w14:paraId="2D43B022">
            <w:pPr>
              <w:ind w:firstLine="0" w:firstLineChars="0"/>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本项目</w:t>
            </w:r>
          </w:p>
        </w:tc>
        <w:tc>
          <w:tcPr>
            <w:tcW w:w="758" w:type="dxa"/>
            <w:vAlign w:val="center"/>
          </w:tcPr>
          <w:p w14:paraId="0B038028">
            <w:pPr>
              <w:ind w:firstLine="0" w:firstLineChars="0"/>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符合性</w:t>
            </w:r>
          </w:p>
        </w:tc>
      </w:tr>
      <w:tr w14:paraId="0F3650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07" w:hRule="atLeast"/>
          <w:jc w:val="center"/>
        </w:trPr>
        <w:tc>
          <w:tcPr>
            <w:tcW w:w="527" w:type="dxa"/>
            <w:vAlign w:val="center"/>
          </w:tcPr>
          <w:p w14:paraId="75D36596">
            <w:pPr>
              <w:pStyle w:val="34"/>
              <w:ind w:firstLine="0" w:firstLineChars="0"/>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一般规定</w:t>
            </w:r>
          </w:p>
        </w:tc>
        <w:tc>
          <w:tcPr>
            <w:tcW w:w="3705" w:type="dxa"/>
            <w:vAlign w:val="center"/>
          </w:tcPr>
          <w:p w14:paraId="1E26A89D">
            <w:pPr>
              <w:pStyle w:val="34"/>
              <w:ind w:firstLine="0" w:firstLineChars="0"/>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畜禽养殖业污染治理应从源头控制，严格执行雨污分离，通过优化饲料配方、提高饲养技术、管理水平、改善畜舍结构和通风供暖工艺、改进清粪工艺等措施减少养殖场环境污染。</w:t>
            </w:r>
          </w:p>
        </w:tc>
        <w:tc>
          <w:tcPr>
            <w:tcW w:w="3728" w:type="dxa"/>
            <w:vAlign w:val="center"/>
          </w:tcPr>
          <w:p w14:paraId="3A772CB0">
            <w:pPr>
              <w:pStyle w:val="34"/>
              <w:ind w:firstLine="0" w:firstLineChars="0"/>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本项目场区建设雨污分流系统；采用科学饲养、科学配料、提高饲料利用率、在饲料中补充合成氨基酸等措施减少氨气排放量和粪便产生量，采用干清粪、固液分离车间封闭，并喷洒生物除臭剂等措施减少养殖场环境污染。</w:t>
            </w:r>
          </w:p>
        </w:tc>
        <w:tc>
          <w:tcPr>
            <w:tcW w:w="758" w:type="dxa"/>
            <w:vAlign w:val="center"/>
          </w:tcPr>
          <w:p w14:paraId="3F96AE42">
            <w:pPr>
              <w:pStyle w:val="34"/>
              <w:ind w:firstLine="0" w:firstLineChars="0"/>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符合</w:t>
            </w:r>
          </w:p>
        </w:tc>
      </w:tr>
      <w:tr w14:paraId="698468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07" w:hRule="atLeast"/>
          <w:jc w:val="center"/>
        </w:trPr>
        <w:tc>
          <w:tcPr>
            <w:tcW w:w="527" w:type="dxa"/>
            <w:vAlign w:val="center"/>
          </w:tcPr>
          <w:p w14:paraId="33482DBD">
            <w:pPr>
              <w:pStyle w:val="34"/>
              <w:ind w:firstLine="0" w:firstLineChars="0"/>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选址要求</w:t>
            </w:r>
          </w:p>
        </w:tc>
        <w:tc>
          <w:tcPr>
            <w:tcW w:w="3705" w:type="dxa"/>
            <w:vAlign w:val="center"/>
          </w:tcPr>
          <w:p w14:paraId="113C7CA1">
            <w:pPr>
              <w:pStyle w:val="34"/>
              <w:ind w:firstLine="0" w:firstLineChars="0"/>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畜禽养殖业污染治理工程应与养殖场生产区、居民区等建筑保持一定的卫生防护距离，设置在畜禽养殖场的生产区、生活区主导风向的下风向或侧风向处。</w:t>
            </w:r>
          </w:p>
        </w:tc>
        <w:tc>
          <w:tcPr>
            <w:tcW w:w="3728" w:type="dxa"/>
            <w:vAlign w:val="center"/>
          </w:tcPr>
          <w:p w14:paraId="48DEAACD">
            <w:pPr>
              <w:pStyle w:val="34"/>
              <w:ind w:firstLine="0" w:firstLineChars="0"/>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本项目固液分离车间、氧化塘均位于生活区和生产区的侧风向或下风向。</w:t>
            </w:r>
          </w:p>
        </w:tc>
        <w:tc>
          <w:tcPr>
            <w:tcW w:w="758" w:type="dxa"/>
            <w:vAlign w:val="center"/>
          </w:tcPr>
          <w:p w14:paraId="7A1A5852">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p w14:paraId="488E250E">
            <w:pPr>
              <w:pStyle w:val="34"/>
              <w:ind w:firstLine="0" w:firstLineChars="0"/>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符合</w:t>
            </w:r>
          </w:p>
        </w:tc>
      </w:tr>
      <w:tr w14:paraId="7F1BE3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07" w:hRule="atLeast"/>
          <w:jc w:val="center"/>
        </w:trPr>
        <w:tc>
          <w:tcPr>
            <w:tcW w:w="527" w:type="dxa"/>
            <w:vMerge w:val="restart"/>
            <w:vAlign w:val="center"/>
          </w:tcPr>
          <w:p w14:paraId="224C60D9">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工艺选择</w:t>
            </w:r>
          </w:p>
        </w:tc>
        <w:tc>
          <w:tcPr>
            <w:tcW w:w="3705" w:type="dxa"/>
            <w:vAlign w:val="center"/>
          </w:tcPr>
          <w:p w14:paraId="4505EEEC">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畜禽粪污应日产日清，畜禽养殖场应建立排水系统，并实行雨污分流。</w:t>
            </w:r>
          </w:p>
        </w:tc>
        <w:tc>
          <w:tcPr>
            <w:tcW w:w="3728" w:type="dxa"/>
            <w:vAlign w:val="center"/>
          </w:tcPr>
          <w:p w14:paraId="1C034625">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本项目牛舍牛粪、尿日产日清，牛舍垫料每周清理一次，运动场牛粪日产日清，牛尿蒸发损耗；场区实行雨污分流并建设雨水排水系统及场区综合废水收集处理系统。</w:t>
            </w:r>
          </w:p>
        </w:tc>
        <w:tc>
          <w:tcPr>
            <w:tcW w:w="758" w:type="dxa"/>
            <w:vAlign w:val="center"/>
          </w:tcPr>
          <w:p w14:paraId="2C3F5A93">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符合</w:t>
            </w:r>
          </w:p>
        </w:tc>
      </w:tr>
      <w:tr w14:paraId="7C9310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07" w:hRule="atLeast"/>
          <w:jc w:val="center"/>
        </w:trPr>
        <w:tc>
          <w:tcPr>
            <w:tcW w:w="527" w:type="dxa"/>
            <w:vMerge w:val="continue"/>
            <w:vAlign w:val="center"/>
          </w:tcPr>
          <w:p w14:paraId="0E8DC2E6">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3705" w:type="dxa"/>
            <w:vAlign w:val="center"/>
          </w:tcPr>
          <w:p w14:paraId="2F5F53FB">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新建、改建、扩建的畜禽养殖场宜采用干清粪工艺。现有采用水冲粪、水泡粪清粪工艺的养殖场，应逐步改为干清粪工艺。</w:t>
            </w:r>
          </w:p>
        </w:tc>
        <w:tc>
          <w:tcPr>
            <w:tcW w:w="3728" w:type="dxa"/>
            <w:vAlign w:val="center"/>
          </w:tcPr>
          <w:p w14:paraId="293AF3F7">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本项目采用干清粪工艺。</w:t>
            </w:r>
          </w:p>
        </w:tc>
        <w:tc>
          <w:tcPr>
            <w:tcW w:w="758" w:type="dxa"/>
            <w:vAlign w:val="center"/>
          </w:tcPr>
          <w:p w14:paraId="680682C7">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符合</w:t>
            </w:r>
          </w:p>
        </w:tc>
      </w:tr>
    </w:tbl>
    <w:p w14:paraId="0F34AD96">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综上，项目建设符合《畜禽养殖业污染治理工程技术规范》（HJ497-2009）要求。</w:t>
      </w:r>
    </w:p>
    <w:p w14:paraId="1CCFD0BB">
      <w:pPr>
        <w:ind w:firstLine="482"/>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（4）与《关于进一步明确畜禽粪污还田利用要求强化养殖污染监管的通知》（农办牧〔2020〕23号）的符合性分析</w:t>
      </w:r>
    </w:p>
    <w:p w14:paraId="2E428CB2">
      <w:pPr>
        <w:ind w:firstLine="0" w:firstLineChars="0"/>
        <w:jc w:val="center"/>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表1.3-5项目与《关于进一步明确畜禽粪污还田利用要求强化养殖污染监管的通知》的符合性分析一览表</w:t>
      </w:r>
    </w:p>
    <w:tbl>
      <w:tblPr>
        <w:tblStyle w:val="35"/>
        <w:tblW w:w="901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576"/>
        <w:gridCol w:w="3652"/>
        <w:gridCol w:w="786"/>
      </w:tblGrid>
      <w:tr w14:paraId="6AB9AD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040" w:type="dxa"/>
            <w:vAlign w:val="center"/>
          </w:tcPr>
          <w:p w14:paraId="42389A4E">
            <w:pPr>
              <w:pStyle w:val="11"/>
              <w:keepNext w:val="0"/>
              <w:keepLines w:val="0"/>
              <w:pageBreakBefore w:val="0"/>
              <w:widowControl w:val="0"/>
              <w:shd w:val="clear"/>
              <w:kinsoku/>
              <w:wordWrap/>
              <w:overflowPunct/>
              <w:topLinePunct w:val="0"/>
              <w:autoSpaceDE/>
              <w:autoSpaceDN/>
              <w:bidi w:val="0"/>
              <w:adjustRightInd/>
              <w:snapToGrid/>
              <w:spacing w:after="0" w:line="240" w:lineRule="auto"/>
              <w:ind w:firstLine="0" w:firstLineChars="0"/>
              <w:jc w:val="center"/>
              <w:textAlignment w:val="auto"/>
              <w:rPr>
                <w:b/>
                <w:bCs/>
                <w:color w:val="0000FF"/>
                <w:sz w:val="21"/>
                <w:szCs w:val="21"/>
                <w:highlight w:val="none"/>
              </w:rPr>
            </w:pPr>
            <w:r>
              <w:rPr>
                <w:b/>
                <w:bCs/>
                <w:color w:val="0000FF"/>
                <w:sz w:val="21"/>
                <w:szCs w:val="21"/>
                <w:highlight w:val="none"/>
              </w:rPr>
              <w:t>《关于进一步明确畜禽粪污还田利用要求强化养殖污染监管的通知》（农办牧〔2020〕23号）</w:t>
            </w:r>
          </w:p>
        </w:tc>
        <w:tc>
          <w:tcPr>
            <w:tcW w:w="3224" w:type="dxa"/>
            <w:vAlign w:val="center"/>
          </w:tcPr>
          <w:p w14:paraId="3D43688B">
            <w:pPr>
              <w:pStyle w:val="11"/>
              <w:keepNext w:val="0"/>
              <w:keepLines w:val="0"/>
              <w:pageBreakBefore w:val="0"/>
              <w:widowControl w:val="0"/>
              <w:shd w:val="clear"/>
              <w:kinsoku/>
              <w:wordWrap/>
              <w:overflowPunct/>
              <w:topLinePunct w:val="0"/>
              <w:autoSpaceDE/>
              <w:autoSpaceDN/>
              <w:bidi w:val="0"/>
              <w:adjustRightInd/>
              <w:snapToGrid/>
              <w:spacing w:after="0" w:line="240" w:lineRule="auto"/>
              <w:ind w:firstLine="0" w:firstLineChars="0"/>
              <w:jc w:val="center"/>
              <w:textAlignment w:val="auto"/>
              <w:rPr>
                <w:b/>
                <w:bCs/>
                <w:color w:val="0000FF"/>
                <w:sz w:val="21"/>
                <w:szCs w:val="21"/>
                <w:highlight w:val="none"/>
                <w:lang w:eastAsia="en-US"/>
              </w:rPr>
            </w:pPr>
            <w:r>
              <w:rPr>
                <w:b/>
                <w:bCs/>
                <w:color w:val="0000FF"/>
                <w:sz w:val="21"/>
                <w:szCs w:val="21"/>
                <w:highlight w:val="none"/>
              </w:rPr>
              <w:t>本项目</w:t>
            </w:r>
          </w:p>
        </w:tc>
        <w:tc>
          <w:tcPr>
            <w:tcW w:w="694" w:type="dxa"/>
            <w:vAlign w:val="center"/>
          </w:tcPr>
          <w:p w14:paraId="425FEB10">
            <w:pPr>
              <w:pStyle w:val="11"/>
              <w:keepNext w:val="0"/>
              <w:keepLines w:val="0"/>
              <w:pageBreakBefore w:val="0"/>
              <w:widowControl w:val="0"/>
              <w:shd w:val="clear"/>
              <w:kinsoku/>
              <w:wordWrap/>
              <w:overflowPunct/>
              <w:topLinePunct w:val="0"/>
              <w:autoSpaceDE/>
              <w:autoSpaceDN/>
              <w:bidi w:val="0"/>
              <w:adjustRightInd/>
              <w:snapToGrid/>
              <w:spacing w:after="0" w:line="240" w:lineRule="auto"/>
              <w:ind w:firstLine="0" w:firstLineChars="0"/>
              <w:jc w:val="center"/>
              <w:textAlignment w:val="auto"/>
              <w:rPr>
                <w:b/>
                <w:bCs/>
                <w:color w:val="0000FF"/>
                <w:sz w:val="21"/>
                <w:szCs w:val="21"/>
                <w:highlight w:val="none"/>
                <w:lang w:eastAsia="en-US"/>
              </w:rPr>
            </w:pPr>
            <w:r>
              <w:rPr>
                <w:b/>
                <w:bCs/>
                <w:color w:val="0000FF"/>
                <w:sz w:val="21"/>
                <w:szCs w:val="21"/>
                <w:highlight w:val="none"/>
              </w:rPr>
              <w:t>符合性</w:t>
            </w:r>
          </w:p>
        </w:tc>
      </w:tr>
      <w:tr w14:paraId="29B82F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040" w:type="dxa"/>
            <w:vAlign w:val="center"/>
          </w:tcPr>
          <w:p w14:paraId="64979582">
            <w:pPr>
              <w:pStyle w:val="11"/>
              <w:keepNext w:val="0"/>
              <w:keepLines w:val="0"/>
              <w:pageBreakBefore w:val="0"/>
              <w:widowControl w:val="0"/>
              <w:shd w:val="clear"/>
              <w:kinsoku/>
              <w:wordWrap/>
              <w:overflowPunct/>
              <w:topLinePunct w:val="0"/>
              <w:autoSpaceDE/>
              <w:autoSpaceDN/>
              <w:bidi w:val="0"/>
              <w:adjustRightInd/>
              <w:snapToGrid/>
              <w:spacing w:after="0" w:line="240" w:lineRule="auto"/>
              <w:ind w:firstLine="0" w:firstLineChars="0"/>
              <w:jc w:val="center"/>
              <w:textAlignment w:val="auto"/>
              <w:rPr>
                <w:color w:val="0000FF"/>
                <w:sz w:val="21"/>
                <w:szCs w:val="21"/>
                <w:highlight w:val="none"/>
                <w:lang w:eastAsia="zh-CN"/>
              </w:rPr>
            </w:pPr>
            <w:r>
              <w:rPr>
                <w:color w:val="0000FF"/>
                <w:sz w:val="21"/>
                <w:szCs w:val="21"/>
                <w:highlight w:val="none"/>
                <w:lang w:eastAsia="zh-CN"/>
              </w:rPr>
              <w:t>鼓励畜禽粪污还田利用。国家支持畜禽养殖场户建设畜禽粪污无害化处理和资源化利用设施，鼓励采取粪肥还田、制取沼气、生产有机肥等方式进行资源化利用。</w:t>
            </w:r>
          </w:p>
        </w:tc>
        <w:tc>
          <w:tcPr>
            <w:tcW w:w="3224" w:type="dxa"/>
            <w:vAlign w:val="center"/>
          </w:tcPr>
          <w:p w14:paraId="5BE4636A">
            <w:pPr>
              <w:pStyle w:val="11"/>
              <w:keepNext w:val="0"/>
              <w:keepLines w:val="0"/>
              <w:pageBreakBefore w:val="0"/>
              <w:widowControl w:val="0"/>
              <w:shd w:val="clear"/>
              <w:kinsoku/>
              <w:wordWrap/>
              <w:overflowPunct/>
              <w:topLinePunct w:val="0"/>
              <w:autoSpaceDE/>
              <w:autoSpaceDN/>
              <w:bidi w:val="0"/>
              <w:adjustRightInd/>
              <w:snapToGrid/>
              <w:spacing w:after="0" w:line="240" w:lineRule="auto"/>
              <w:ind w:firstLine="0" w:firstLineChars="0"/>
              <w:jc w:val="center"/>
              <w:textAlignment w:val="auto"/>
              <w:rPr>
                <w:color w:val="0000FF"/>
                <w:sz w:val="21"/>
                <w:szCs w:val="21"/>
                <w:highlight w:val="none"/>
                <w:lang w:eastAsia="zh-CN"/>
              </w:rPr>
            </w:pPr>
            <w:r>
              <w:rPr>
                <w:color w:val="0000FF"/>
                <w:sz w:val="21"/>
                <w:szCs w:val="21"/>
                <w:highlight w:val="none"/>
                <w:lang w:eastAsia="zh-CN"/>
              </w:rPr>
              <w:t>本项目</w:t>
            </w:r>
            <w:r>
              <w:rPr>
                <w:rFonts w:hint="eastAsia"/>
                <w:color w:val="0000FF"/>
                <w:sz w:val="21"/>
                <w:szCs w:val="21"/>
                <w:highlight w:val="none"/>
                <w:lang w:val="en-US" w:eastAsia="zh-CN"/>
              </w:rPr>
              <w:t>粪污经</w:t>
            </w:r>
            <w:r>
              <w:rPr>
                <w:color w:val="0000FF"/>
                <w:sz w:val="21"/>
                <w:szCs w:val="21"/>
                <w:highlight w:val="none"/>
                <w:lang w:eastAsia="zh-CN"/>
              </w:rPr>
              <w:t>堆</w:t>
            </w:r>
            <w:r>
              <w:rPr>
                <w:rFonts w:hint="eastAsia"/>
                <w:color w:val="0000FF"/>
                <w:sz w:val="21"/>
                <w:szCs w:val="21"/>
                <w:highlight w:val="none"/>
                <w:lang w:val="en-US" w:eastAsia="zh-CN"/>
              </w:rPr>
              <w:t>粪场</w:t>
            </w:r>
            <w:r>
              <w:rPr>
                <w:color w:val="0000FF"/>
                <w:sz w:val="21"/>
                <w:szCs w:val="21"/>
                <w:highlight w:val="none"/>
                <w:lang w:eastAsia="zh-CN"/>
              </w:rPr>
              <w:t>发酵完作为</w:t>
            </w:r>
            <w:r>
              <w:rPr>
                <w:rFonts w:hint="eastAsia"/>
                <w:color w:val="0000FF"/>
                <w:sz w:val="21"/>
                <w:szCs w:val="21"/>
                <w:highlight w:val="none"/>
                <w:lang w:val="en-US" w:eastAsia="zh-CN"/>
              </w:rPr>
              <w:t>固</w:t>
            </w:r>
            <w:r>
              <w:rPr>
                <w:color w:val="0000FF"/>
                <w:sz w:val="21"/>
                <w:szCs w:val="21"/>
                <w:highlight w:val="none"/>
                <w:lang w:eastAsia="zh-CN"/>
              </w:rPr>
              <w:t>肥</w:t>
            </w:r>
            <w:r>
              <w:rPr>
                <w:rFonts w:hint="eastAsia"/>
                <w:color w:val="0000FF"/>
                <w:sz w:val="21"/>
                <w:szCs w:val="21"/>
                <w:highlight w:val="none"/>
                <w:lang w:val="en-US" w:eastAsia="zh-CN"/>
              </w:rPr>
              <w:t>送至项目消纳土还田</w:t>
            </w:r>
            <w:r>
              <w:rPr>
                <w:color w:val="0000FF"/>
                <w:sz w:val="21"/>
                <w:szCs w:val="21"/>
                <w:highlight w:val="none"/>
                <w:lang w:eastAsia="zh-CN"/>
              </w:rPr>
              <w:t>；场区</w:t>
            </w:r>
            <w:r>
              <w:rPr>
                <w:rFonts w:hint="eastAsia"/>
                <w:color w:val="0000FF"/>
                <w:sz w:val="21"/>
                <w:szCs w:val="21"/>
                <w:highlight w:val="none"/>
                <w:lang w:val="en-US" w:eastAsia="zh-CN"/>
              </w:rPr>
              <w:t>人员生活污水经化粪池收集后，定期抽运至污水处理厂处理</w:t>
            </w:r>
            <w:r>
              <w:rPr>
                <w:color w:val="0000FF"/>
                <w:sz w:val="21"/>
                <w:szCs w:val="21"/>
                <w:highlight w:val="none"/>
                <w:lang w:eastAsia="zh-CN"/>
              </w:rPr>
              <w:t>；病死</w:t>
            </w:r>
            <w:r>
              <w:rPr>
                <w:rFonts w:hint="eastAsia"/>
                <w:color w:val="0000FF"/>
                <w:sz w:val="21"/>
                <w:szCs w:val="21"/>
                <w:highlight w:val="none"/>
                <w:lang w:val="en-US" w:eastAsia="zh-CN"/>
              </w:rPr>
              <w:t>羊</w:t>
            </w:r>
            <w:r>
              <w:rPr>
                <w:color w:val="0000FF"/>
                <w:sz w:val="21"/>
                <w:szCs w:val="21"/>
                <w:highlight w:val="none"/>
                <w:lang w:eastAsia="zh-CN"/>
              </w:rPr>
              <w:t>委托</w:t>
            </w:r>
            <w:r>
              <w:rPr>
                <w:rFonts w:hint="default" w:ascii="Times New Roman" w:hAnsi="Times New Roman" w:eastAsia="宋体" w:cs="Times New Roman"/>
                <w:color w:val="0000FF"/>
                <w:sz w:val="21"/>
                <w:szCs w:val="21"/>
              </w:rPr>
              <w:t>内蒙古阳光蒙农农业科技有限责任公司</w:t>
            </w:r>
            <w:r>
              <w:rPr>
                <w:color w:val="0000FF"/>
                <w:sz w:val="21"/>
                <w:szCs w:val="21"/>
                <w:highlight w:val="none"/>
                <w:lang w:eastAsia="zh-CN"/>
              </w:rPr>
              <w:t>进行处理。</w:t>
            </w:r>
          </w:p>
        </w:tc>
        <w:tc>
          <w:tcPr>
            <w:tcW w:w="694" w:type="dxa"/>
            <w:vAlign w:val="center"/>
          </w:tcPr>
          <w:p w14:paraId="06DCF6E8">
            <w:pPr>
              <w:pStyle w:val="11"/>
              <w:keepNext w:val="0"/>
              <w:keepLines w:val="0"/>
              <w:pageBreakBefore w:val="0"/>
              <w:widowControl w:val="0"/>
              <w:shd w:val="clear"/>
              <w:kinsoku/>
              <w:wordWrap/>
              <w:overflowPunct/>
              <w:topLinePunct w:val="0"/>
              <w:autoSpaceDE/>
              <w:autoSpaceDN/>
              <w:bidi w:val="0"/>
              <w:adjustRightInd/>
              <w:snapToGrid/>
              <w:spacing w:after="0" w:line="240" w:lineRule="auto"/>
              <w:ind w:firstLine="0" w:firstLineChars="0"/>
              <w:jc w:val="center"/>
              <w:textAlignment w:val="auto"/>
              <w:rPr>
                <w:color w:val="0000FF"/>
                <w:sz w:val="21"/>
                <w:szCs w:val="21"/>
                <w:highlight w:val="none"/>
              </w:rPr>
            </w:pPr>
            <w:r>
              <w:rPr>
                <w:color w:val="0000FF"/>
                <w:sz w:val="21"/>
                <w:szCs w:val="21"/>
                <w:highlight w:val="none"/>
              </w:rPr>
              <w:t>符合</w:t>
            </w:r>
          </w:p>
        </w:tc>
      </w:tr>
      <w:tr w14:paraId="147BC8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040" w:type="dxa"/>
            <w:vAlign w:val="center"/>
          </w:tcPr>
          <w:p w14:paraId="79C90418">
            <w:pPr>
              <w:pStyle w:val="11"/>
              <w:keepNext w:val="0"/>
              <w:keepLines w:val="0"/>
              <w:pageBreakBefore w:val="0"/>
              <w:widowControl w:val="0"/>
              <w:shd w:val="clear"/>
              <w:kinsoku/>
              <w:wordWrap/>
              <w:overflowPunct/>
              <w:topLinePunct w:val="0"/>
              <w:autoSpaceDE/>
              <w:autoSpaceDN/>
              <w:bidi w:val="0"/>
              <w:adjustRightInd/>
              <w:snapToGrid/>
              <w:spacing w:after="0" w:line="240" w:lineRule="auto"/>
              <w:ind w:firstLine="0" w:firstLineChars="0"/>
              <w:jc w:val="center"/>
              <w:textAlignment w:val="auto"/>
              <w:rPr>
                <w:color w:val="0000FF"/>
                <w:sz w:val="21"/>
                <w:szCs w:val="21"/>
                <w:highlight w:val="none"/>
                <w:lang w:eastAsia="zh-CN"/>
              </w:rPr>
            </w:pPr>
            <w:r>
              <w:rPr>
                <w:color w:val="0000FF"/>
                <w:sz w:val="21"/>
                <w:szCs w:val="21"/>
                <w:highlight w:val="none"/>
                <w:lang w:eastAsia="zh-CN"/>
              </w:rPr>
              <w:t>明确还田利用标准规范。畜禽粪污的处理应根据排放去向或利用方式的不同执行相应的标准规范。对配套土地充足的养殖场户，粪污经无害化处理后还田利用具体要求及限量应符合《畜禽粪便无害化处理技术规范》（GB/T36195）和《畜禽粪便还田技术规范》（GB/T25246），配套土地面积应达到《畜禽粪污土地承载力测算技术指南》（以下简称《指南》）要求的最小面积。</w:t>
            </w:r>
          </w:p>
        </w:tc>
        <w:tc>
          <w:tcPr>
            <w:tcW w:w="3224" w:type="dxa"/>
            <w:vAlign w:val="center"/>
          </w:tcPr>
          <w:p w14:paraId="4FB51D9A">
            <w:pPr>
              <w:pStyle w:val="11"/>
              <w:keepNext w:val="0"/>
              <w:keepLines w:val="0"/>
              <w:pageBreakBefore w:val="0"/>
              <w:widowControl w:val="0"/>
              <w:shd w:val="clear"/>
              <w:kinsoku/>
              <w:wordWrap/>
              <w:overflowPunct/>
              <w:topLinePunct w:val="0"/>
              <w:autoSpaceDE/>
              <w:autoSpaceDN/>
              <w:bidi w:val="0"/>
              <w:adjustRightInd/>
              <w:snapToGrid/>
              <w:spacing w:after="0" w:line="240" w:lineRule="auto"/>
              <w:ind w:firstLine="0" w:firstLineChars="0"/>
              <w:jc w:val="center"/>
              <w:textAlignment w:val="auto"/>
              <w:rPr>
                <w:color w:val="0000FF"/>
                <w:sz w:val="21"/>
                <w:szCs w:val="21"/>
                <w:highlight w:val="none"/>
                <w:lang w:eastAsia="zh-CN"/>
              </w:rPr>
            </w:pPr>
            <w:r>
              <w:rPr>
                <w:rFonts w:hint="eastAsia"/>
                <w:color w:val="0000FF"/>
                <w:sz w:val="21"/>
                <w:szCs w:val="21"/>
                <w:highlight w:val="none"/>
                <w:lang w:eastAsia="zh-CN"/>
              </w:rPr>
              <w:t>本项目</w:t>
            </w:r>
            <w:r>
              <w:rPr>
                <w:color w:val="0000FF"/>
                <w:sz w:val="21"/>
                <w:szCs w:val="21"/>
                <w:highlight w:val="none"/>
                <w:lang w:eastAsia="zh-CN"/>
              </w:rPr>
              <w:t>粪污经无害化处理后还田利用具体要求及限量符合《畜禽粪便无害化处理技术规范》（GB/T36195）和《畜禽粪便还田技术规范》（GB/T25246），配套土地面积</w:t>
            </w:r>
            <w:r>
              <w:rPr>
                <w:rFonts w:hint="eastAsia"/>
                <w:color w:val="0000FF"/>
                <w:sz w:val="21"/>
                <w:szCs w:val="21"/>
                <w:highlight w:val="none"/>
                <w:lang w:val="en-US" w:eastAsia="zh-CN"/>
              </w:rPr>
              <w:t>1000亩，</w:t>
            </w:r>
            <w:r>
              <w:rPr>
                <w:color w:val="0000FF"/>
                <w:sz w:val="21"/>
                <w:szCs w:val="21"/>
                <w:highlight w:val="none"/>
                <w:lang w:eastAsia="zh-CN"/>
              </w:rPr>
              <w:t>达到《畜禽粪污土地承载力测算技术指南》要求的最小面积。</w:t>
            </w:r>
          </w:p>
        </w:tc>
        <w:tc>
          <w:tcPr>
            <w:tcW w:w="694" w:type="dxa"/>
            <w:vAlign w:val="center"/>
          </w:tcPr>
          <w:p w14:paraId="07002A42">
            <w:pPr>
              <w:pStyle w:val="11"/>
              <w:keepNext w:val="0"/>
              <w:keepLines w:val="0"/>
              <w:pageBreakBefore w:val="0"/>
              <w:widowControl w:val="0"/>
              <w:shd w:val="clear"/>
              <w:kinsoku/>
              <w:wordWrap/>
              <w:overflowPunct/>
              <w:topLinePunct w:val="0"/>
              <w:autoSpaceDE/>
              <w:autoSpaceDN/>
              <w:bidi w:val="0"/>
              <w:adjustRightInd/>
              <w:snapToGrid/>
              <w:spacing w:after="0" w:line="240" w:lineRule="auto"/>
              <w:ind w:firstLine="0" w:firstLineChars="0"/>
              <w:jc w:val="center"/>
              <w:textAlignment w:val="auto"/>
              <w:rPr>
                <w:color w:val="0000FF"/>
                <w:sz w:val="21"/>
                <w:szCs w:val="21"/>
                <w:highlight w:val="none"/>
                <w:lang w:eastAsia="zh-CN"/>
              </w:rPr>
            </w:pPr>
            <w:r>
              <w:rPr>
                <w:color w:val="0000FF"/>
                <w:sz w:val="21"/>
                <w:szCs w:val="21"/>
                <w:highlight w:val="none"/>
              </w:rPr>
              <w:t>符合</w:t>
            </w:r>
          </w:p>
        </w:tc>
      </w:tr>
      <w:tr w14:paraId="5AA929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040" w:type="dxa"/>
            <w:vAlign w:val="center"/>
          </w:tcPr>
          <w:p w14:paraId="52A5EC8F">
            <w:pPr>
              <w:pStyle w:val="11"/>
              <w:keepNext w:val="0"/>
              <w:keepLines w:val="0"/>
              <w:pageBreakBefore w:val="0"/>
              <w:widowControl w:val="0"/>
              <w:shd w:val="clear"/>
              <w:kinsoku/>
              <w:wordWrap/>
              <w:overflowPunct/>
              <w:topLinePunct w:val="0"/>
              <w:autoSpaceDE/>
              <w:autoSpaceDN/>
              <w:bidi w:val="0"/>
              <w:adjustRightInd/>
              <w:snapToGrid/>
              <w:spacing w:after="0" w:line="240" w:lineRule="auto"/>
              <w:ind w:firstLine="0" w:firstLineChars="0"/>
              <w:jc w:val="center"/>
              <w:textAlignment w:val="auto"/>
              <w:rPr>
                <w:color w:val="0000FF"/>
                <w:sz w:val="21"/>
                <w:szCs w:val="21"/>
                <w:highlight w:val="none"/>
                <w:lang w:eastAsia="zh-CN"/>
              </w:rPr>
            </w:pPr>
            <w:r>
              <w:rPr>
                <w:color w:val="0000FF"/>
                <w:sz w:val="21"/>
                <w:szCs w:val="21"/>
                <w:highlight w:val="none"/>
                <w:lang w:eastAsia="zh-CN"/>
              </w:rPr>
              <w:t>落实养殖场户主体责任。养殖场户应当切实履行粪污利用和污染防治主体责任，采取措施，对畜禽粪污进行科学处理和资源化利用，防止污染环境。从事畜禽规模养殖要严格落实《中华人民共和国固体废物污染环境防治法》《中华人民共和国水污染防治法》《畜禽规模养殖污染防治条例》要求，建设粪污无害化处理和资源化利用设施并确保其正常运行，或委托第三方代为实现粪污无害化处理和资源化利用。</w:t>
            </w:r>
          </w:p>
        </w:tc>
        <w:tc>
          <w:tcPr>
            <w:tcW w:w="3224" w:type="dxa"/>
            <w:vAlign w:val="center"/>
          </w:tcPr>
          <w:p w14:paraId="6B39B714">
            <w:pPr>
              <w:pStyle w:val="11"/>
              <w:keepNext w:val="0"/>
              <w:keepLines w:val="0"/>
              <w:pageBreakBefore w:val="0"/>
              <w:widowControl w:val="0"/>
              <w:shd w:val="clear"/>
              <w:kinsoku/>
              <w:wordWrap/>
              <w:overflowPunct/>
              <w:topLinePunct w:val="0"/>
              <w:autoSpaceDE/>
              <w:autoSpaceDN/>
              <w:bidi w:val="0"/>
              <w:adjustRightInd/>
              <w:snapToGrid/>
              <w:spacing w:after="0" w:line="240" w:lineRule="auto"/>
              <w:ind w:firstLine="0" w:firstLineChars="0"/>
              <w:jc w:val="center"/>
              <w:textAlignment w:val="auto"/>
              <w:rPr>
                <w:color w:val="0000FF"/>
                <w:sz w:val="21"/>
                <w:szCs w:val="21"/>
                <w:highlight w:val="none"/>
                <w:lang w:eastAsia="zh-CN"/>
              </w:rPr>
            </w:pPr>
            <w:r>
              <w:rPr>
                <w:rFonts w:hint="eastAsia"/>
                <w:color w:val="0000FF"/>
                <w:sz w:val="21"/>
                <w:szCs w:val="21"/>
                <w:highlight w:val="none"/>
                <w:lang w:eastAsia="zh-CN"/>
              </w:rPr>
              <w:t>本项目</w:t>
            </w:r>
            <w:r>
              <w:rPr>
                <w:color w:val="0000FF"/>
                <w:sz w:val="21"/>
                <w:szCs w:val="21"/>
                <w:highlight w:val="none"/>
                <w:lang w:eastAsia="zh-CN"/>
              </w:rPr>
              <w:t>养殖场户切实履行粪污利用和污染防治主体责任，采取措施，对畜禽粪污进行科学处理和资源化利用，防止污染环境。</w:t>
            </w:r>
          </w:p>
        </w:tc>
        <w:tc>
          <w:tcPr>
            <w:tcW w:w="694" w:type="dxa"/>
            <w:vAlign w:val="center"/>
          </w:tcPr>
          <w:p w14:paraId="31805D8A">
            <w:pPr>
              <w:pStyle w:val="11"/>
              <w:keepNext w:val="0"/>
              <w:keepLines w:val="0"/>
              <w:pageBreakBefore w:val="0"/>
              <w:widowControl w:val="0"/>
              <w:shd w:val="clear"/>
              <w:kinsoku/>
              <w:wordWrap/>
              <w:overflowPunct/>
              <w:topLinePunct w:val="0"/>
              <w:autoSpaceDE/>
              <w:autoSpaceDN/>
              <w:bidi w:val="0"/>
              <w:adjustRightInd/>
              <w:snapToGrid/>
              <w:spacing w:after="0" w:line="240" w:lineRule="auto"/>
              <w:ind w:firstLine="0" w:firstLineChars="0"/>
              <w:jc w:val="center"/>
              <w:textAlignment w:val="auto"/>
              <w:rPr>
                <w:color w:val="0000FF"/>
                <w:sz w:val="21"/>
                <w:szCs w:val="21"/>
                <w:highlight w:val="none"/>
                <w:lang w:eastAsia="zh-CN"/>
              </w:rPr>
            </w:pPr>
            <w:r>
              <w:rPr>
                <w:rFonts w:hint="eastAsia"/>
                <w:color w:val="0000FF"/>
                <w:sz w:val="21"/>
                <w:szCs w:val="21"/>
                <w:highlight w:val="none"/>
                <w:lang w:eastAsia="zh-CN"/>
              </w:rPr>
              <w:t>符合</w:t>
            </w:r>
          </w:p>
        </w:tc>
      </w:tr>
      <w:tr w14:paraId="41F6A4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040" w:type="dxa"/>
            <w:vAlign w:val="center"/>
          </w:tcPr>
          <w:p w14:paraId="5135D2E3">
            <w:pPr>
              <w:pStyle w:val="11"/>
              <w:keepNext w:val="0"/>
              <w:keepLines w:val="0"/>
              <w:pageBreakBefore w:val="0"/>
              <w:widowControl w:val="0"/>
              <w:shd w:val="clear"/>
              <w:kinsoku/>
              <w:wordWrap/>
              <w:overflowPunct/>
              <w:topLinePunct w:val="0"/>
              <w:autoSpaceDE/>
              <w:autoSpaceDN/>
              <w:bidi w:val="0"/>
              <w:adjustRightInd/>
              <w:snapToGrid/>
              <w:spacing w:after="0" w:line="240" w:lineRule="auto"/>
              <w:ind w:firstLine="0" w:firstLineChars="0"/>
              <w:jc w:val="center"/>
              <w:textAlignment w:val="auto"/>
              <w:rPr>
                <w:color w:val="0000FF"/>
                <w:sz w:val="21"/>
                <w:szCs w:val="21"/>
                <w:highlight w:val="none"/>
                <w:lang w:eastAsia="zh-CN"/>
              </w:rPr>
            </w:pPr>
            <w:r>
              <w:rPr>
                <w:color w:val="0000FF"/>
                <w:sz w:val="21"/>
                <w:szCs w:val="21"/>
                <w:highlight w:val="none"/>
                <w:lang w:eastAsia="zh-CN"/>
              </w:rPr>
              <w:t>强化粪污还田利用过程监管。养殖场户应依法配置粪污贮存设施，设施总容积不得低于当地农林作物生产用肥的最大间隔时间内产生粪污的总量，配套土地面积不得小于《指南》要求的最小面积；配套土地面积不足的，应委托第三方代为实现粪污资源化。</w:t>
            </w:r>
          </w:p>
        </w:tc>
        <w:tc>
          <w:tcPr>
            <w:tcW w:w="3224" w:type="dxa"/>
            <w:vAlign w:val="center"/>
          </w:tcPr>
          <w:p w14:paraId="080BF4BA">
            <w:pPr>
              <w:pStyle w:val="11"/>
              <w:keepNext w:val="0"/>
              <w:keepLines w:val="0"/>
              <w:pageBreakBefore w:val="0"/>
              <w:widowControl w:val="0"/>
              <w:shd w:val="clear"/>
              <w:kinsoku/>
              <w:wordWrap/>
              <w:overflowPunct/>
              <w:topLinePunct w:val="0"/>
              <w:autoSpaceDE/>
              <w:autoSpaceDN/>
              <w:bidi w:val="0"/>
              <w:adjustRightInd/>
              <w:snapToGrid/>
              <w:spacing w:after="0" w:line="240" w:lineRule="auto"/>
              <w:ind w:firstLine="0" w:firstLineChars="0"/>
              <w:jc w:val="center"/>
              <w:textAlignment w:val="auto"/>
              <w:rPr>
                <w:color w:val="0000FF"/>
                <w:sz w:val="21"/>
                <w:szCs w:val="21"/>
                <w:highlight w:val="none"/>
                <w:lang w:eastAsia="zh-CN"/>
              </w:rPr>
            </w:pPr>
            <w:r>
              <w:rPr>
                <w:rFonts w:hint="eastAsia"/>
                <w:color w:val="0000FF"/>
                <w:sz w:val="21"/>
                <w:szCs w:val="21"/>
                <w:highlight w:val="none"/>
                <w:lang w:eastAsia="zh-CN"/>
              </w:rPr>
              <w:t>本项目</w:t>
            </w:r>
            <w:r>
              <w:rPr>
                <w:color w:val="0000FF"/>
                <w:sz w:val="21"/>
                <w:szCs w:val="21"/>
                <w:highlight w:val="none"/>
                <w:lang w:eastAsia="zh-CN"/>
              </w:rPr>
              <w:t>养殖场户依法配置</w:t>
            </w:r>
            <w:r>
              <w:rPr>
                <w:rFonts w:hint="eastAsia"/>
                <w:color w:val="0000FF"/>
                <w:sz w:val="21"/>
                <w:szCs w:val="21"/>
                <w:highlight w:val="none"/>
                <w:lang w:eastAsia="zh-CN"/>
              </w:rPr>
              <w:t>了</w:t>
            </w:r>
            <w:r>
              <w:rPr>
                <w:color w:val="0000FF"/>
                <w:sz w:val="21"/>
                <w:szCs w:val="21"/>
                <w:highlight w:val="none"/>
                <w:lang w:eastAsia="zh-CN"/>
              </w:rPr>
              <w:t>粪污贮存设施，配套土地面积</w:t>
            </w:r>
            <w:r>
              <w:rPr>
                <w:rFonts w:hint="eastAsia"/>
                <w:color w:val="0000FF"/>
                <w:sz w:val="21"/>
                <w:szCs w:val="21"/>
                <w:highlight w:val="none"/>
                <w:lang w:eastAsia="zh-CN"/>
              </w:rPr>
              <w:t>为</w:t>
            </w:r>
            <w:r>
              <w:rPr>
                <w:rFonts w:hint="eastAsia"/>
                <w:color w:val="0000FF"/>
                <w:sz w:val="21"/>
                <w:szCs w:val="21"/>
                <w:highlight w:val="none"/>
                <w:lang w:val="en-US" w:eastAsia="zh-CN"/>
              </w:rPr>
              <w:t>1000亩，符合</w:t>
            </w:r>
            <w:r>
              <w:rPr>
                <w:color w:val="0000FF"/>
                <w:sz w:val="21"/>
                <w:szCs w:val="21"/>
                <w:highlight w:val="none"/>
                <w:lang w:eastAsia="zh-CN"/>
              </w:rPr>
              <w:t>《指南》要求的最小面积</w:t>
            </w:r>
          </w:p>
        </w:tc>
        <w:tc>
          <w:tcPr>
            <w:tcW w:w="694" w:type="dxa"/>
            <w:vAlign w:val="center"/>
          </w:tcPr>
          <w:p w14:paraId="3691B566">
            <w:pPr>
              <w:pStyle w:val="11"/>
              <w:keepNext w:val="0"/>
              <w:keepLines w:val="0"/>
              <w:pageBreakBefore w:val="0"/>
              <w:widowControl w:val="0"/>
              <w:shd w:val="clear"/>
              <w:kinsoku/>
              <w:wordWrap/>
              <w:overflowPunct/>
              <w:topLinePunct w:val="0"/>
              <w:autoSpaceDE/>
              <w:autoSpaceDN/>
              <w:bidi w:val="0"/>
              <w:adjustRightInd/>
              <w:snapToGrid/>
              <w:spacing w:after="0" w:line="240" w:lineRule="auto"/>
              <w:ind w:firstLine="0" w:firstLineChars="0"/>
              <w:jc w:val="center"/>
              <w:textAlignment w:val="auto"/>
              <w:rPr>
                <w:color w:val="0000FF"/>
                <w:sz w:val="21"/>
                <w:szCs w:val="21"/>
                <w:highlight w:val="none"/>
                <w:lang w:eastAsia="zh-CN"/>
              </w:rPr>
            </w:pPr>
            <w:r>
              <w:rPr>
                <w:rFonts w:hint="eastAsia"/>
                <w:color w:val="0000FF"/>
                <w:sz w:val="21"/>
                <w:szCs w:val="21"/>
                <w:highlight w:val="none"/>
                <w:lang w:eastAsia="zh-CN"/>
              </w:rPr>
              <w:t>符合</w:t>
            </w:r>
          </w:p>
        </w:tc>
      </w:tr>
      <w:tr w14:paraId="668D69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040" w:type="dxa"/>
            <w:vAlign w:val="center"/>
          </w:tcPr>
          <w:p w14:paraId="440C6521">
            <w:pPr>
              <w:pStyle w:val="11"/>
              <w:keepNext w:val="0"/>
              <w:keepLines w:val="0"/>
              <w:pageBreakBefore w:val="0"/>
              <w:widowControl w:val="0"/>
              <w:shd w:val="clear"/>
              <w:kinsoku/>
              <w:wordWrap/>
              <w:overflowPunct/>
              <w:topLinePunct w:val="0"/>
              <w:autoSpaceDE/>
              <w:autoSpaceDN/>
              <w:bidi w:val="0"/>
              <w:adjustRightInd/>
              <w:snapToGrid/>
              <w:spacing w:after="0" w:line="240" w:lineRule="auto"/>
              <w:ind w:firstLine="0" w:firstLineChars="0"/>
              <w:jc w:val="center"/>
              <w:textAlignment w:val="auto"/>
              <w:rPr>
                <w:color w:val="0000FF"/>
                <w:sz w:val="21"/>
                <w:szCs w:val="21"/>
                <w:highlight w:val="none"/>
                <w:lang w:eastAsia="zh-CN"/>
              </w:rPr>
            </w:pPr>
            <w:r>
              <w:rPr>
                <w:color w:val="0000FF"/>
                <w:sz w:val="21"/>
                <w:szCs w:val="21"/>
                <w:highlight w:val="none"/>
                <w:lang w:eastAsia="zh-CN"/>
              </w:rPr>
              <w:t>完善粪肥还田管理制度。督促指导规模养殖场制定畜禽粪肥还田利用计划，根据养殖规模明确配套农田面积、农田类型、种植制度、粪肥使用时间及使用量等。推动建立畜禽粪污处理和粪肥利用台账，避免施用超量或时间不合理，并作为监督执法的重要依据。加强日常监测，及时掌握粪污养分和有害物质含量，严防还田环境风险。</w:t>
            </w:r>
          </w:p>
        </w:tc>
        <w:tc>
          <w:tcPr>
            <w:tcW w:w="3224" w:type="dxa"/>
            <w:vAlign w:val="center"/>
          </w:tcPr>
          <w:p w14:paraId="27135B4C">
            <w:pPr>
              <w:pStyle w:val="11"/>
              <w:keepNext w:val="0"/>
              <w:keepLines w:val="0"/>
              <w:pageBreakBefore w:val="0"/>
              <w:widowControl w:val="0"/>
              <w:shd w:val="clear"/>
              <w:kinsoku/>
              <w:wordWrap/>
              <w:overflowPunct/>
              <w:topLinePunct w:val="0"/>
              <w:autoSpaceDE/>
              <w:autoSpaceDN/>
              <w:bidi w:val="0"/>
              <w:adjustRightInd/>
              <w:snapToGrid/>
              <w:spacing w:after="0" w:line="240" w:lineRule="auto"/>
              <w:ind w:firstLine="0" w:firstLineChars="0"/>
              <w:jc w:val="center"/>
              <w:textAlignment w:val="auto"/>
              <w:rPr>
                <w:color w:val="0000FF"/>
                <w:sz w:val="21"/>
                <w:szCs w:val="21"/>
                <w:highlight w:val="none"/>
                <w:lang w:eastAsia="zh-CN"/>
              </w:rPr>
            </w:pPr>
            <w:r>
              <w:rPr>
                <w:rFonts w:hint="eastAsia"/>
                <w:color w:val="0000FF"/>
                <w:sz w:val="21"/>
                <w:szCs w:val="21"/>
                <w:highlight w:val="none"/>
                <w:lang w:eastAsia="zh-CN"/>
              </w:rPr>
              <w:t>本项目</w:t>
            </w:r>
            <w:r>
              <w:rPr>
                <w:color w:val="0000FF"/>
                <w:sz w:val="21"/>
                <w:szCs w:val="21"/>
                <w:highlight w:val="none"/>
                <w:lang w:eastAsia="zh-CN"/>
              </w:rPr>
              <w:t>明确配套农田面积、农田类型、种植制度、粪肥使用时间及使用量等。推动建立畜禽粪污处理和粪肥利用台账，避免施用超量或时间不合理，并作为监督执法的重要依据。加强日常监测，及时掌握粪污养分和有害物质含量，严防还田环境风险。</w:t>
            </w:r>
          </w:p>
        </w:tc>
        <w:tc>
          <w:tcPr>
            <w:tcW w:w="694" w:type="dxa"/>
            <w:vAlign w:val="center"/>
          </w:tcPr>
          <w:p w14:paraId="1CA5B159">
            <w:pPr>
              <w:pStyle w:val="11"/>
              <w:keepNext w:val="0"/>
              <w:keepLines w:val="0"/>
              <w:pageBreakBefore w:val="0"/>
              <w:widowControl w:val="0"/>
              <w:shd w:val="clear"/>
              <w:kinsoku/>
              <w:wordWrap/>
              <w:overflowPunct/>
              <w:topLinePunct w:val="0"/>
              <w:autoSpaceDE/>
              <w:autoSpaceDN/>
              <w:bidi w:val="0"/>
              <w:adjustRightInd/>
              <w:snapToGrid/>
              <w:spacing w:after="0" w:line="240" w:lineRule="auto"/>
              <w:ind w:firstLine="0" w:firstLineChars="0"/>
              <w:jc w:val="center"/>
              <w:textAlignment w:val="auto"/>
              <w:rPr>
                <w:color w:val="0000FF"/>
                <w:sz w:val="21"/>
                <w:szCs w:val="21"/>
                <w:highlight w:val="none"/>
                <w:lang w:eastAsia="zh-CN"/>
              </w:rPr>
            </w:pPr>
            <w:r>
              <w:rPr>
                <w:rFonts w:hint="eastAsia"/>
                <w:color w:val="0000FF"/>
                <w:sz w:val="21"/>
                <w:szCs w:val="21"/>
                <w:highlight w:val="none"/>
                <w:lang w:eastAsia="zh-CN"/>
              </w:rPr>
              <w:t>符合</w:t>
            </w:r>
          </w:p>
        </w:tc>
      </w:tr>
      <w:tr w14:paraId="456D06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040" w:type="dxa"/>
            <w:vAlign w:val="center"/>
          </w:tcPr>
          <w:p w14:paraId="2E0DF6FB">
            <w:pPr>
              <w:pStyle w:val="11"/>
              <w:keepNext w:val="0"/>
              <w:keepLines w:val="0"/>
              <w:pageBreakBefore w:val="0"/>
              <w:widowControl w:val="0"/>
              <w:shd w:val="clear"/>
              <w:kinsoku/>
              <w:wordWrap/>
              <w:overflowPunct/>
              <w:topLinePunct w:val="0"/>
              <w:autoSpaceDE/>
              <w:autoSpaceDN/>
              <w:bidi w:val="0"/>
              <w:adjustRightInd/>
              <w:snapToGrid/>
              <w:spacing w:after="0" w:line="240" w:lineRule="auto"/>
              <w:ind w:firstLine="0" w:firstLineChars="0"/>
              <w:jc w:val="center"/>
              <w:textAlignment w:val="auto"/>
              <w:rPr>
                <w:color w:val="0000FF"/>
                <w:sz w:val="21"/>
                <w:szCs w:val="21"/>
                <w:highlight w:val="none"/>
                <w:lang w:eastAsia="zh-CN"/>
              </w:rPr>
            </w:pPr>
            <w:r>
              <w:rPr>
                <w:color w:val="0000FF"/>
                <w:sz w:val="21"/>
                <w:szCs w:val="21"/>
                <w:highlight w:val="none"/>
                <w:lang w:eastAsia="zh-CN"/>
              </w:rPr>
              <w:t>加强技术和装备支撑。加快畜禽粪污资源化利用先进工艺、技术和装备研发，着力破除粪污资源化利用过程中的技术和成本障碍。鼓励养殖场户全量收集和利用畜禽粪污，根据实际情况选择合理的输送和施用方式，不再强制要求固液分离。结合本地实际，推行经济高效的粪污资源化利用技术模式，积极推广全量机械化施用，逐步改进粪肥施用方式。</w:t>
            </w:r>
          </w:p>
        </w:tc>
        <w:tc>
          <w:tcPr>
            <w:tcW w:w="3224" w:type="dxa"/>
            <w:vAlign w:val="center"/>
          </w:tcPr>
          <w:p w14:paraId="5A9DDB3C">
            <w:pPr>
              <w:pStyle w:val="11"/>
              <w:keepNext w:val="0"/>
              <w:keepLines w:val="0"/>
              <w:pageBreakBefore w:val="0"/>
              <w:widowControl w:val="0"/>
              <w:shd w:val="clear"/>
              <w:kinsoku/>
              <w:wordWrap/>
              <w:overflowPunct/>
              <w:topLinePunct w:val="0"/>
              <w:autoSpaceDE/>
              <w:autoSpaceDN/>
              <w:bidi w:val="0"/>
              <w:adjustRightInd/>
              <w:snapToGrid/>
              <w:spacing w:after="0" w:line="240" w:lineRule="auto"/>
              <w:ind w:firstLine="0" w:firstLineChars="0"/>
              <w:jc w:val="center"/>
              <w:textAlignment w:val="auto"/>
              <w:rPr>
                <w:color w:val="0000FF"/>
                <w:sz w:val="21"/>
                <w:szCs w:val="21"/>
                <w:highlight w:val="none"/>
                <w:lang w:eastAsia="zh-CN"/>
              </w:rPr>
            </w:pPr>
            <w:r>
              <w:rPr>
                <w:rFonts w:hint="eastAsia"/>
                <w:color w:val="0000FF"/>
                <w:sz w:val="21"/>
                <w:szCs w:val="21"/>
                <w:highlight w:val="none"/>
                <w:lang w:eastAsia="zh-CN"/>
              </w:rPr>
              <w:t>本项目采用干清粪工艺，</w:t>
            </w:r>
            <w:r>
              <w:rPr>
                <w:color w:val="0000FF"/>
                <w:sz w:val="21"/>
                <w:szCs w:val="21"/>
                <w:highlight w:val="none"/>
                <w:lang w:eastAsia="zh-CN"/>
              </w:rPr>
              <w:t>全量收集和利用畜禽粪污</w:t>
            </w:r>
            <w:r>
              <w:rPr>
                <w:rFonts w:hint="eastAsia"/>
                <w:color w:val="0000FF"/>
                <w:sz w:val="21"/>
                <w:szCs w:val="21"/>
                <w:highlight w:val="none"/>
                <w:lang w:eastAsia="zh-CN"/>
              </w:rPr>
              <w:t>。</w:t>
            </w:r>
          </w:p>
        </w:tc>
        <w:tc>
          <w:tcPr>
            <w:tcW w:w="694" w:type="dxa"/>
            <w:vAlign w:val="center"/>
          </w:tcPr>
          <w:p w14:paraId="4213BE29">
            <w:pPr>
              <w:pStyle w:val="11"/>
              <w:keepNext w:val="0"/>
              <w:keepLines w:val="0"/>
              <w:pageBreakBefore w:val="0"/>
              <w:widowControl w:val="0"/>
              <w:shd w:val="clear"/>
              <w:kinsoku/>
              <w:wordWrap/>
              <w:overflowPunct/>
              <w:topLinePunct w:val="0"/>
              <w:autoSpaceDE/>
              <w:autoSpaceDN/>
              <w:bidi w:val="0"/>
              <w:adjustRightInd/>
              <w:snapToGrid/>
              <w:spacing w:after="0" w:line="240" w:lineRule="auto"/>
              <w:ind w:firstLine="0" w:firstLineChars="0"/>
              <w:jc w:val="center"/>
              <w:textAlignment w:val="auto"/>
              <w:rPr>
                <w:color w:val="0000FF"/>
                <w:sz w:val="21"/>
                <w:szCs w:val="21"/>
                <w:highlight w:val="none"/>
                <w:lang w:eastAsia="zh-CN"/>
              </w:rPr>
            </w:pPr>
            <w:r>
              <w:rPr>
                <w:rFonts w:hint="eastAsia"/>
                <w:color w:val="0000FF"/>
                <w:sz w:val="21"/>
                <w:szCs w:val="21"/>
                <w:highlight w:val="none"/>
                <w:lang w:eastAsia="zh-CN"/>
              </w:rPr>
              <w:t>符合</w:t>
            </w:r>
          </w:p>
        </w:tc>
      </w:tr>
    </w:tbl>
    <w:p w14:paraId="2F986FAF">
      <w:pPr>
        <w:ind w:firstLine="480"/>
        <w:rPr>
          <w:rFonts w:hint="default" w:ascii="Times New Roman" w:hAnsi="Times New Roman" w:eastAsia="宋体" w:cs="Times New Roman"/>
          <w:color w:val="0000FF"/>
        </w:rPr>
      </w:pPr>
      <w:r>
        <w:rPr>
          <w:rFonts w:hint="default" w:ascii="Times New Roman" w:hAnsi="Times New Roman" w:eastAsia="宋体" w:cs="Times New Roman"/>
          <w:color w:val="0000FF"/>
        </w:rPr>
        <w:t>综上，项目建设符合生态环境部办公厅关于进一步明确畜禽粪污还田利用要求强化养殖污染监管的通知（农办牧〔2020〕23号）的要求。</w:t>
      </w:r>
    </w:p>
    <w:p w14:paraId="654FAA5B">
      <w:pPr>
        <w:ind w:firstLine="482"/>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（5）与《内蒙古自治区畜禽养殖主要污染物减排项目建设技术指南（试行）》（内环发[2014]83号）的符合性分析</w:t>
      </w:r>
    </w:p>
    <w:p w14:paraId="1DEA8EE4">
      <w:pPr>
        <w:ind w:firstLine="0" w:firstLineChars="0"/>
        <w:jc w:val="center"/>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表1.3-6项目与《内蒙古自治区畜禽养殖主要污染物减排项目建设技术指南（试行）》的符合性分析一览表</w:t>
      </w:r>
    </w:p>
    <w:tbl>
      <w:tblPr>
        <w:tblStyle w:val="35"/>
        <w:tblW w:w="901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705"/>
        <w:gridCol w:w="3840"/>
        <w:gridCol w:w="3775"/>
        <w:gridCol w:w="694"/>
      </w:tblGrid>
      <w:tr w14:paraId="54B689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705" w:type="dxa"/>
            <w:vAlign w:val="center"/>
          </w:tcPr>
          <w:p w14:paraId="321BA88A">
            <w:pPr>
              <w:ind w:firstLine="0" w:firstLineChars="0"/>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序号</w:t>
            </w:r>
          </w:p>
        </w:tc>
        <w:tc>
          <w:tcPr>
            <w:tcW w:w="3840" w:type="dxa"/>
            <w:vAlign w:val="center"/>
          </w:tcPr>
          <w:p w14:paraId="7BA0B846">
            <w:pPr>
              <w:ind w:firstLine="0" w:firstLineChars="0"/>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《内蒙古自治区畜禽养殖主要污染物减排项目建设技术指南（试行）》</w:t>
            </w:r>
          </w:p>
        </w:tc>
        <w:tc>
          <w:tcPr>
            <w:tcW w:w="3775" w:type="dxa"/>
            <w:vAlign w:val="center"/>
          </w:tcPr>
          <w:p w14:paraId="36836604">
            <w:pPr>
              <w:ind w:firstLine="0" w:firstLineChars="0"/>
              <w:jc w:val="center"/>
              <w:rPr>
                <w:rFonts w:hint="default" w:ascii="Times New Roman" w:hAnsi="Times New Roman" w:eastAsia="宋体" w:cs="Times New Roman"/>
                <w:b/>
                <w:bCs/>
                <w:color w:val="000000" w:themeColor="text1"/>
                <w:sz w:val="21"/>
                <w:szCs w:val="21"/>
                <w:lang w:eastAsia="en-US"/>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本项目</w:t>
            </w:r>
          </w:p>
        </w:tc>
        <w:tc>
          <w:tcPr>
            <w:tcW w:w="694" w:type="dxa"/>
            <w:vAlign w:val="center"/>
          </w:tcPr>
          <w:p w14:paraId="4AC89500">
            <w:pPr>
              <w:ind w:firstLine="0" w:firstLineChars="0"/>
              <w:jc w:val="center"/>
              <w:rPr>
                <w:rFonts w:hint="default" w:ascii="Times New Roman" w:hAnsi="Times New Roman" w:eastAsia="宋体" w:cs="Times New Roman"/>
                <w:b/>
                <w:bCs/>
                <w:color w:val="000000" w:themeColor="text1"/>
                <w:sz w:val="21"/>
                <w:szCs w:val="21"/>
                <w:lang w:eastAsia="en-US"/>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符合性</w:t>
            </w:r>
          </w:p>
        </w:tc>
      </w:tr>
      <w:tr w14:paraId="70D021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705" w:type="dxa"/>
            <w:vAlign w:val="center"/>
          </w:tcPr>
          <w:p w14:paraId="1D04B10B">
            <w:pPr>
              <w:pStyle w:val="34"/>
              <w:ind w:firstLine="0" w:firstLineChars="0"/>
              <w:jc w:val="center"/>
              <w:rPr>
                <w:rFonts w:hint="default" w:ascii="Times New Roman" w:hAnsi="Times New Roman" w:eastAsia="宋体" w:cs="Times New Roman"/>
                <w:color w:val="000000" w:themeColor="text1"/>
                <w:spacing w:val="7"/>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7"/>
                <w:sz w:val="21"/>
                <w:szCs w:val="21"/>
                <w:lang w:eastAsia="zh-CN"/>
                <w14:textFill>
                  <w14:solidFill>
                    <w14:schemeClr w14:val="tx1"/>
                  </w14:solidFill>
                </w14:textFill>
              </w:rPr>
              <w:t>1</w:t>
            </w:r>
          </w:p>
        </w:tc>
        <w:tc>
          <w:tcPr>
            <w:tcW w:w="3840" w:type="dxa"/>
            <w:vAlign w:val="center"/>
          </w:tcPr>
          <w:p w14:paraId="5063E3F3">
            <w:pPr>
              <w:pStyle w:val="34"/>
              <w:ind w:firstLine="0" w:firstLineChars="0"/>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消纳土地面积要求每存栏1头奶牛</w:t>
            </w:r>
            <w:r>
              <w:rPr>
                <w:rFonts w:hint="default" w:ascii="Times New Roman" w:hAnsi="Times New Roman" w:eastAsia="宋体" w:cs="Times New Roman"/>
                <w:color w:val="000000" w:themeColor="text1"/>
                <w:spacing w:val="3"/>
                <w:sz w:val="21"/>
                <w:szCs w:val="21"/>
                <w:lang w:eastAsia="zh-CN"/>
                <w14:textFill>
                  <w14:solidFill>
                    <w14:schemeClr w14:val="tx1"/>
                  </w14:solidFill>
                </w14:textFill>
              </w:rPr>
              <w:t>（0.5头肉牛）不少于1.25亩土地。</w:t>
            </w:r>
          </w:p>
        </w:tc>
        <w:tc>
          <w:tcPr>
            <w:tcW w:w="3775" w:type="dxa"/>
            <w:vAlign w:val="center"/>
          </w:tcPr>
          <w:p w14:paraId="698BFA37">
            <w:pPr>
              <w:pStyle w:val="34"/>
              <w:ind w:firstLine="0" w:firstLineChars="0"/>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9"/>
                <w:sz w:val="21"/>
                <w:szCs w:val="21"/>
                <w:lang w:eastAsia="zh-CN"/>
                <w14:textFill>
                  <w14:solidFill>
                    <w14:schemeClr w14:val="tx1"/>
                  </w14:solidFill>
                </w14:textFill>
              </w:rPr>
              <w:t>本项目奶牛最大年存栏头数为</w:t>
            </w:r>
            <w:r>
              <w:rPr>
                <w:rFonts w:hint="default" w:ascii="Times New Roman" w:hAnsi="Times New Roman" w:eastAsia="宋体" w:cs="Times New Roman"/>
                <w:color w:val="000000" w:themeColor="text1"/>
                <w:spacing w:val="-1"/>
                <w:sz w:val="21"/>
                <w:szCs w:val="21"/>
                <w:lang w:eastAsia="zh-CN"/>
                <w14:textFill>
                  <w14:solidFill>
                    <w14:schemeClr w14:val="tx1"/>
                  </w14:solidFill>
                </w14:textFill>
              </w:rPr>
              <w:t>700头，需要土地消纳面积875</w:t>
            </w:r>
            <w:r>
              <w:rPr>
                <w:rFonts w:hint="default" w:ascii="Times New Roman" w:hAnsi="Times New Roman" w:eastAsia="宋体" w:cs="Times New Roman"/>
                <w:color w:val="000000" w:themeColor="text1"/>
                <w:spacing w:val="15"/>
                <w:sz w:val="21"/>
                <w:szCs w:val="21"/>
                <w:lang w:eastAsia="zh-CN"/>
                <w14:textFill>
                  <w14:solidFill>
                    <w14:schemeClr w14:val="tx1"/>
                  </w14:solidFill>
                </w14:textFill>
              </w:rPr>
              <w:t>亩，本项目场址周边配套土地</w:t>
            </w:r>
            <w:r>
              <w:rPr>
                <w:rFonts w:hint="eastAsia" w:ascii="Times New Roman" w:hAnsi="Times New Roman" w:cs="Times New Roman"/>
                <w:color w:val="000000" w:themeColor="text1"/>
                <w:spacing w:val="15"/>
                <w:sz w:val="21"/>
                <w:szCs w:val="21"/>
                <w:lang w:val="en-US" w:eastAsia="zh-CN"/>
                <w14:textFill>
                  <w14:solidFill>
                    <w14:schemeClr w14:val="tx1"/>
                  </w14:solidFill>
                </w14:textFill>
              </w:rPr>
              <w:t>10</w:t>
            </w:r>
            <w:r>
              <w:rPr>
                <w:rFonts w:hint="default" w:ascii="Times New Roman" w:hAnsi="Times New Roman" w:eastAsia="宋体" w:cs="Times New Roman"/>
                <w:color w:val="000000" w:themeColor="text1"/>
                <w:spacing w:val="15"/>
                <w:sz w:val="21"/>
                <w:szCs w:val="21"/>
                <w:lang w:eastAsia="zh-CN"/>
                <w14:textFill>
                  <w14:solidFill>
                    <w14:schemeClr w14:val="tx1"/>
                  </w14:solidFill>
                </w14:textFill>
              </w:rPr>
              <w:t>00亩，主要种植玉米、青贮等，具有足够的消纳容量，满足土地消纳要求，不会有超过农田负荷的情况出现。</w:t>
            </w:r>
          </w:p>
        </w:tc>
        <w:tc>
          <w:tcPr>
            <w:tcW w:w="694" w:type="dxa"/>
            <w:vAlign w:val="center"/>
          </w:tcPr>
          <w:p w14:paraId="1BC166D7">
            <w:pPr>
              <w:pStyle w:val="34"/>
              <w:spacing w:before="65"/>
              <w:ind w:left="132"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3"/>
                <w:sz w:val="21"/>
                <w:szCs w:val="21"/>
                <w14:textFill>
                  <w14:solidFill>
                    <w14:schemeClr w14:val="tx1"/>
                  </w14:solidFill>
                </w14:textFill>
              </w:rPr>
              <w:t>符合</w:t>
            </w:r>
          </w:p>
        </w:tc>
      </w:tr>
      <w:tr w14:paraId="0BE9EE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705" w:type="dxa"/>
            <w:vAlign w:val="center"/>
          </w:tcPr>
          <w:p w14:paraId="127FB31D">
            <w:pPr>
              <w:pStyle w:val="34"/>
              <w:ind w:firstLine="0" w:firstLineChars="0"/>
              <w:jc w:val="center"/>
              <w:rPr>
                <w:rFonts w:hint="default" w:ascii="Times New Roman" w:hAnsi="Times New Roman" w:eastAsia="宋体" w:cs="Times New Roman"/>
                <w:color w:val="000000" w:themeColor="text1"/>
                <w:spacing w:val="7"/>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7"/>
                <w:sz w:val="21"/>
                <w:szCs w:val="21"/>
                <w:lang w:eastAsia="zh-CN"/>
                <w14:textFill>
                  <w14:solidFill>
                    <w14:schemeClr w14:val="tx1"/>
                  </w14:solidFill>
                </w14:textFill>
              </w:rPr>
              <w:t>2</w:t>
            </w:r>
          </w:p>
        </w:tc>
        <w:tc>
          <w:tcPr>
            <w:tcW w:w="3840" w:type="dxa"/>
            <w:vAlign w:val="center"/>
          </w:tcPr>
          <w:p w14:paraId="7C14867C">
            <w:pPr>
              <w:pStyle w:val="34"/>
              <w:ind w:firstLine="0" w:firstLineChars="0"/>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9"/>
                <w:sz w:val="21"/>
                <w:szCs w:val="21"/>
                <w:lang w:eastAsia="zh-CN"/>
                <w14:textFill>
                  <w14:solidFill>
                    <w14:schemeClr w14:val="tx1"/>
                  </w14:solidFill>
                </w14:textFill>
              </w:rPr>
              <w:t>粪便堆放场总容积不得低于土地利用的最大间隔时间内本养殖场所产生粪污的总量，确保不外溢造成污染。一般情况下，粪便堆场有效使用容积要求每头奶牛（存栏）不低</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于0.25m</w:t>
            </w:r>
            <w:r>
              <w:rPr>
                <w:rFonts w:hint="default" w:ascii="Times New Roman" w:hAnsi="Times New Roman" w:eastAsia="宋体" w:cs="Times New Roman"/>
                <w:color w:val="000000" w:themeColor="text1"/>
                <w:spacing w:val="6"/>
                <w:sz w:val="21"/>
                <w:szCs w:val="21"/>
                <w:vertAlign w:val="superscript"/>
                <w:lang w:eastAsia="zh-CN"/>
                <w14:textFill>
                  <w14:solidFill>
                    <w14:schemeClr w14:val="tx1"/>
                  </w14:solidFill>
                </w14:textFill>
              </w:rPr>
              <w:t>3</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，每头肉牛（出栏）不低</w:t>
            </w:r>
            <w:r>
              <w:rPr>
                <w:rFonts w:hint="default" w:ascii="Times New Roman" w:hAnsi="Times New Roman" w:eastAsia="宋体" w:cs="Times New Roman"/>
                <w:color w:val="000000" w:themeColor="text1"/>
                <w:spacing w:val="2"/>
                <w:sz w:val="21"/>
                <w:szCs w:val="21"/>
                <w:lang w:eastAsia="zh-CN"/>
                <w14:textFill>
                  <w14:solidFill>
                    <w14:schemeClr w14:val="tx1"/>
                  </w14:solidFill>
                </w14:textFill>
              </w:rPr>
              <w:t>于0.5m</w:t>
            </w:r>
            <w:r>
              <w:rPr>
                <w:rFonts w:hint="default" w:ascii="Times New Roman" w:hAnsi="Times New Roman" w:eastAsia="宋体" w:cs="Times New Roman"/>
                <w:color w:val="000000" w:themeColor="text1"/>
                <w:spacing w:val="2"/>
                <w:sz w:val="21"/>
                <w:szCs w:val="21"/>
                <w:vertAlign w:val="superscript"/>
                <w:lang w:eastAsia="zh-CN"/>
                <w14:textFill>
                  <w14:solidFill>
                    <w14:schemeClr w14:val="tx1"/>
                  </w14:solidFill>
                </w14:textFill>
              </w:rPr>
              <w:t>3</w:t>
            </w:r>
          </w:p>
        </w:tc>
        <w:tc>
          <w:tcPr>
            <w:tcW w:w="3775" w:type="dxa"/>
            <w:vAlign w:val="center"/>
          </w:tcPr>
          <w:p w14:paraId="50C86C97">
            <w:pPr>
              <w:pStyle w:val="34"/>
              <w:ind w:firstLine="0" w:firstLineChars="0"/>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3"/>
                <w:sz w:val="21"/>
                <w:szCs w:val="21"/>
                <w:lang w:eastAsia="zh-CN"/>
                <w14:textFill>
                  <w14:solidFill>
                    <w14:schemeClr w14:val="tx1"/>
                  </w14:solidFill>
                </w14:textFill>
              </w:rPr>
              <w:t>本项目奶牛年存栏头数700头，</w:t>
            </w:r>
            <w:r>
              <w:rPr>
                <w:rFonts w:hint="default" w:ascii="Times New Roman" w:hAnsi="Times New Roman" w:eastAsia="宋体" w:cs="Times New Roman"/>
                <w:color w:val="000000" w:themeColor="text1"/>
                <w:spacing w:val="8"/>
                <w:sz w:val="21"/>
                <w:szCs w:val="21"/>
                <w:lang w:eastAsia="zh-CN"/>
                <w14:textFill>
                  <w14:solidFill>
                    <w14:schemeClr w14:val="tx1"/>
                  </w14:solidFill>
                </w14:textFill>
              </w:rPr>
              <w:t>应</w:t>
            </w:r>
            <w:r>
              <w:rPr>
                <w:rFonts w:hint="default" w:ascii="Times New Roman" w:hAnsi="Times New Roman" w:eastAsia="宋体" w:cs="Times New Roman"/>
                <w:color w:val="000000" w:themeColor="text1"/>
                <w:spacing w:val="7"/>
                <w:sz w:val="21"/>
                <w:szCs w:val="21"/>
                <w:lang w:eastAsia="zh-CN"/>
                <w14:textFill>
                  <w14:solidFill>
                    <w14:schemeClr w14:val="tx1"/>
                  </w14:solidFill>
                </w14:textFill>
              </w:rPr>
              <w:t>设有效使用容积不低于175m</w:t>
            </w:r>
            <w:r>
              <w:rPr>
                <w:rFonts w:hint="default" w:ascii="Times New Roman" w:hAnsi="Times New Roman" w:eastAsia="宋体" w:cs="Times New Roman"/>
                <w:color w:val="000000" w:themeColor="text1"/>
                <w:spacing w:val="7"/>
                <w:sz w:val="21"/>
                <w:szCs w:val="21"/>
                <w:vertAlign w:val="superscript"/>
                <w:lang w:eastAsia="zh-CN"/>
                <w14:textFill>
                  <w14:solidFill>
                    <w14:schemeClr w14:val="tx1"/>
                  </w14:solidFill>
                </w14:textFill>
              </w:rPr>
              <w:t>3</w:t>
            </w:r>
            <w:r>
              <w:rPr>
                <w:rFonts w:hint="default" w:ascii="Times New Roman" w:hAnsi="Times New Roman" w:eastAsia="宋体" w:cs="Times New Roman"/>
                <w:color w:val="000000" w:themeColor="text1"/>
                <w:spacing w:val="7"/>
                <w:sz w:val="21"/>
                <w:szCs w:val="21"/>
                <w:lang w:eastAsia="zh-CN"/>
                <w14:textFill>
                  <w14:solidFill>
                    <w14:schemeClr w14:val="tx1"/>
                  </w14:solidFill>
                </w14:textFill>
              </w:rPr>
              <w:t>的</w:t>
            </w:r>
            <w:r>
              <w:rPr>
                <w:rFonts w:hint="default" w:ascii="Times New Roman" w:hAnsi="Times New Roman" w:eastAsia="宋体" w:cs="Times New Roman"/>
                <w:color w:val="000000" w:themeColor="text1"/>
                <w:spacing w:val="15"/>
                <w:sz w:val="21"/>
                <w:szCs w:val="21"/>
                <w:lang w:eastAsia="zh-CN"/>
                <w14:textFill>
                  <w14:solidFill>
                    <w14:schemeClr w14:val="tx1"/>
                  </w14:solidFill>
                </w14:textFill>
              </w:rPr>
              <w:t>固粪处置场，本项目建设固液分离车间</w:t>
            </w:r>
            <w:r>
              <w:rPr>
                <w:rFonts w:hint="default" w:ascii="Times New Roman" w:hAnsi="Times New Roman" w:eastAsia="宋体" w:cs="Times New Roman"/>
                <w:color w:val="000000" w:themeColor="text1"/>
                <w:spacing w:val="8"/>
                <w:sz w:val="21"/>
                <w:szCs w:val="21"/>
                <w:lang w:eastAsia="zh-CN"/>
                <w14:textFill>
                  <w14:solidFill>
                    <w14:schemeClr w14:val="tx1"/>
                  </w14:solidFill>
                </w14:textFill>
              </w:rPr>
              <w:t>，车间占地约625m</w:t>
            </w:r>
            <w:r>
              <w:rPr>
                <w:rFonts w:hint="default" w:ascii="Times New Roman" w:hAnsi="Times New Roman" w:eastAsia="宋体" w:cs="Times New Roman"/>
                <w:color w:val="000000" w:themeColor="text1"/>
                <w:spacing w:val="8"/>
                <w:sz w:val="21"/>
                <w:szCs w:val="21"/>
                <w:vertAlign w:val="superscript"/>
                <w:lang w:eastAsia="zh-CN"/>
                <w14:textFill>
                  <w14:solidFill>
                    <w14:schemeClr w14:val="tx1"/>
                  </w14:solidFill>
                </w14:textFill>
              </w:rPr>
              <w:t>2</w:t>
            </w:r>
            <w:r>
              <w:rPr>
                <w:rFonts w:hint="default" w:ascii="Times New Roman" w:hAnsi="Times New Roman" w:eastAsia="宋体" w:cs="Times New Roman"/>
                <w:color w:val="000000" w:themeColor="text1"/>
                <w:spacing w:val="8"/>
                <w:sz w:val="21"/>
                <w:szCs w:val="21"/>
                <w:lang w:eastAsia="zh-CN"/>
                <w14:textFill>
                  <w14:solidFill>
                    <w14:schemeClr w14:val="tx1"/>
                  </w14:solidFill>
                </w14:textFill>
              </w:rPr>
              <w:t>，</w:t>
            </w:r>
            <w:r>
              <w:rPr>
                <w:rFonts w:hint="default" w:ascii="Times New Roman" w:hAnsi="Times New Roman" w:eastAsia="宋体" w:cs="Times New Roman"/>
                <w:color w:val="000000" w:themeColor="text1"/>
                <w:spacing w:val="9"/>
                <w:sz w:val="21"/>
                <w:szCs w:val="21"/>
                <w:lang w:eastAsia="zh-CN"/>
                <w14:textFill>
                  <w14:solidFill>
                    <w14:schemeClr w14:val="tx1"/>
                  </w14:solidFill>
                </w14:textFill>
              </w:rPr>
              <w:t>可满足冬季养殖场的堆存量需</w:t>
            </w:r>
            <w:r>
              <w:rPr>
                <w:rFonts w:hint="default" w:ascii="Times New Roman" w:hAnsi="Times New Roman" w:eastAsia="宋体" w:cs="Times New Roman"/>
                <w:color w:val="000000" w:themeColor="text1"/>
                <w:spacing w:val="-1"/>
                <w:sz w:val="21"/>
                <w:szCs w:val="21"/>
                <w:lang w:eastAsia="zh-CN"/>
                <w14:textFill>
                  <w14:solidFill>
                    <w14:schemeClr w14:val="tx1"/>
                  </w14:solidFill>
                </w14:textFill>
              </w:rPr>
              <w:t>求。</w:t>
            </w:r>
          </w:p>
        </w:tc>
        <w:tc>
          <w:tcPr>
            <w:tcW w:w="694" w:type="dxa"/>
            <w:vAlign w:val="center"/>
          </w:tcPr>
          <w:p w14:paraId="6E54AC80">
            <w:pPr>
              <w:pStyle w:val="34"/>
              <w:spacing w:before="65"/>
              <w:ind w:left="132" w:firstLineChars="0"/>
              <w:jc w:val="center"/>
              <w:rPr>
                <w:rFonts w:hint="default" w:ascii="Times New Roman" w:hAnsi="Times New Roman" w:eastAsia="宋体" w:cs="Times New Roman"/>
                <w:color w:val="000000" w:themeColor="text1"/>
                <w:spacing w:val="3"/>
                <w:sz w:val="21"/>
                <w:szCs w:val="21"/>
                <w:lang w:eastAsia="zh-CN"/>
                <w14:textFill>
                  <w14:solidFill>
                    <w14:schemeClr w14:val="tx1"/>
                  </w14:solidFill>
                </w14:textFill>
              </w:rPr>
            </w:pPr>
          </w:p>
        </w:tc>
      </w:tr>
    </w:tbl>
    <w:p w14:paraId="59F96EBF">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综上，项目建设符合《内蒙古自治区畜禽养殖主要污染物减排项目建设技术指南（试行）》（内环发[2014]83号）要求。</w:t>
      </w:r>
    </w:p>
    <w:p w14:paraId="3D7E776E">
      <w:pPr>
        <w:ind w:firstLine="482"/>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（6）与《畜禽粪污资源化利用工作方案（2017-2020）》的符合性分析</w:t>
      </w:r>
    </w:p>
    <w:p w14:paraId="01688AA8">
      <w:pPr>
        <w:ind w:firstLine="0" w:firstLineChars="0"/>
        <w:jc w:val="center"/>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表1.3-7项目与《畜禽粪污资源化利用工作方案（2017-2020）》的符合性分析一览表</w:t>
      </w:r>
    </w:p>
    <w:tbl>
      <w:tblPr>
        <w:tblStyle w:val="35"/>
        <w:tblW w:w="901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55"/>
        <w:gridCol w:w="4335"/>
        <w:gridCol w:w="3430"/>
        <w:gridCol w:w="694"/>
      </w:tblGrid>
      <w:tr w14:paraId="0151CF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55" w:type="dxa"/>
            <w:vAlign w:val="center"/>
          </w:tcPr>
          <w:p w14:paraId="0B30E06A">
            <w:pPr>
              <w:ind w:firstLine="0" w:firstLineChars="0"/>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序号</w:t>
            </w:r>
          </w:p>
        </w:tc>
        <w:tc>
          <w:tcPr>
            <w:tcW w:w="4335" w:type="dxa"/>
            <w:vAlign w:val="center"/>
          </w:tcPr>
          <w:p w14:paraId="5A1106A6">
            <w:pPr>
              <w:ind w:firstLine="0" w:firstLineChars="0"/>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《畜禽粪污资源化利用工作方案（2017-2020）》</w:t>
            </w:r>
          </w:p>
        </w:tc>
        <w:tc>
          <w:tcPr>
            <w:tcW w:w="3430" w:type="dxa"/>
            <w:vAlign w:val="center"/>
          </w:tcPr>
          <w:p w14:paraId="03483256">
            <w:pPr>
              <w:ind w:firstLine="0" w:firstLineChars="0"/>
              <w:jc w:val="center"/>
              <w:rPr>
                <w:rFonts w:hint="default" w:ascii="Times New Roman" w:hAnsi="Times New Roman" w:eastAsia="宋体" w:cs="Times New Roman"/>
                <w:b/>
                <w:bCs/>
                <w:color w:val="000000" w:themeColor="text1"/>
                <w:sz w:val="21"/>
                <w:szCs w:val="21"/>
                <w:lang w:eastAsia="en-US"/>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本项目</w:t>
            </w:r>
          </w:p>
        </w:tc>
        <w:tc>
          <w:tcPr>
            <w:tcW w:w="694" w:type="dxa"/>
            <w:vAlign w:val="center"/>
          </w:tcPr>
          <w:p w14:paraId="438E87A8">
            <w:pPr>
              <w:ind w:firstLine="0" w:firstLineChars="0"/>
              <w:jc w:val="center"/>
              <w:rPr>
                <w:rFonts w:hint="default" w:ascii="Times New Roman" w:hAnsi="Times New Roman" w:eastAsia="宋体" w:cs="Times New Roman"/>
                <w:b/>
                <w:bCs/>
                <w:color w:val="000000" w:themeColor="text1"/>
                <w:sz w:val="21"/>
                <w:szCs w:val="21"/>
                <w:lang w:eastAsia="en-US"/>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符合性</w:t>
            </w:r>
          </w:p>
        </w:tc>
      </w:tr>
      <w:tr w14:paraId="56512E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55" w:type="dxa"/>
            <w:vAlign w:val="center"/>
          </w:tcPr>
          <w:p w14:paraId="380AC06E">
            <w:pPr>
              <w:pStyle w:val="34"/>
              <w:ind w:firstLine="0" w:firstLineChars="0"/>
              <w:jc w:val="center"/>
              <w:rPr>
                <w:rFonts w:hint="default" w:ascii="Times New Roman" w:hAnsi="Times New Roman" w:eastAsia="宋体" w:cs="Times New Roman"/>
                <w:color w:val="000000" w:themeColor="text1"/>
                <w:spacing w:val="7"/>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7"/>
                <w:sz w:val="21"/>
                <w:szCs w:val="21"/>
                <w:lang w:eastAsia="zh-CN"/>
                <w14:textFill>
                  <w14:solidFill>
                    <w14:schemeClr w14:val="tx1"/>
                  </w14:solidFill>
                </w14:textFill>
              </w:rPr>
              <w:t>1</w:t>
            </w:r>
          </w:p>
        </w:tc>
        <w:tc>
          <w:tcPr>
            <w:tcW w:w="4335" w:type="dxa"/>
            <w:vAlign w:val="center"/>
          </w:tcPr>
          <w:p w14:paraId="18FC493F">
            <w:pPr>
              <w:pStyle w:val="34"/>
              <w:ind w:firstLine="0" w:firstLineChars="0"/>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9"/>
                <w:sz w:val="21"/>
                <w:szCs w:val="21"/>
                <w:lang w:eastAsia="zh-CN"/>
                <w14:textFill>
                  <w14:solidFill>
                    <w14:schemeClr w14:val="tx1"/>
                  </w14:solidFill>
                </w14:textFill>
              </w:rPr>
              <w:t>加强畜禽养殖污染监管：依据国家</w:t>
            </w:r>
            <w:r>
              <w:rPr>
                <w:rFonts w:hint="default" w:ascii="Times New Roman" w:hAnsi="Times New Roman" w:eastAsia="宋体" w:cs="Times New Roman"/>
                <w:color w:val="000000" w:themeColor="text1"/>
                <w:spacing w:val="8"/>
                <w:sz w:val="21"/>
                <w:szCs w:val="21"/>
                <w:lang w:eastAsia="zh-CN"/>
                <w14:textFill>
                  <w14:solidFill>
                    <w14:schemeClr w14:val="tx1"/>
                  </w14:solidFill>
                </w14:textFill>
              </w:rPr>
              <w:t>畜禽粪污还田利用和检测标准体</w:t>
            </w:r>
            <w:r>
              <w:rPr>
                <w:rFonts w:hint="default" w:ascii="Times New Roman" w:hAnsi="Times New Roman" w:eastAsia="宋体" w:cs="Times New Roman"/>
                <w:color w:val="000000" w:themeColor="text1"/>
                <w:spacing w:val="9"/>
                <w:sz w:val="21"/>
                <w:szCs w:val="21"/>
                <w:lang w:eastAsia="zh-CN"/>
                <w14:textFill>
                  <w14:solidFill>
                    <w14:schemeClr w14:val="tx1"/>
                  </w14:solidFill>
                </w14:textFill>
              </w:rPr>
              <w:t>系，以及畜禽养殖粪污土地承载能力测算方法，推行畜禽规模养殖场污染物减排核算制度，确保科学还</w:t>
            </w:r>
            <w:r>
              <w:rPr>
                <w:rFonts w:hint="default" w:ascii="Times New Roman" w:hAnsi="Times New Roman" w:eastAsia="宋体" w:cs="Times New Roman"/>
                <w:color w:val="000000" w:themeColor="text1"/>
                <w:spacing w:val="-13"/>
                <w:sz w:val="21"/>
                <w:szCs w:val="21"/>
                <w:lang w:eastAsia="zh-CN"/>
                <w14:textFill>
                  <w14:solidFill>
                    <w14:schemeClr w14:val="tx1"/>
                  </w14:solidFill>
                </w14:textFill>
              </w:rPr>
              <w:t>田。</w:t>
            </w:r>
          </w:p>
        </w:tc>
        <w:tc>
          <w:tcPr>
            <w:tcW w:w="3430" w:type="dxa"/>
            <w:vAlign w:val="center"/>
          </w:tcPr>
          <w:p w14:paraId="5CA52429">
            <w:pPr>
              <w:pStyle w:val="34"/>
              <w:ind w:firstLine="0" w:firstLineChars="0"/>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项目粪污水采用“固液分离+氧</w:t>
            </w:r>
            <w:r>
              <w:rPr>
                <w:rFonts w:hint="default" w:ascii="Times New Roman" w:hAnsi="Times New Roman" w:eastAsia="宋体" w:cs="Times New Roman"/>
                <w:color w:val="000000" w:themeColor="text1"/>
                <w:spacing w:val="4"/>
                <w:sz w:val="21"/>
                <w:szCs w:val="21"/>
                <w:lang w:eastAsia="zh-CN"/>
                <w14:textFill>
                  <w14:solidFill>
                    <w14:schemeClr w14:val="tx1"/>
                  </w14:solidFill>
                </w14:textFill>
              </w:rPr>
              <w:t>化塘”工艺，氧化塘出水作为液</w:t>
            </w:r>
            <w:r>
              <w:rPr>
                <w:rFonts w:hint="default" w:ascii="Times New Roman" w:hAnsi="Times New Roman" w:eastAsia="宋体" w:cs="Times New Roman"/>
                <w:color w:val="000000" w:themeColor="text1"/>
                <w:spacing w:val="15"/>
                <w:sz w:val="21"/>
                <w:szCs w:val="21"/>
                <w:lang w:eastAsia="zh-CN"/>
                <w14:textFill>
                  <w14:solidFill>
                    <w14:schemeClr w14:val="tx1"/>
                  </w14:solidFill>
                </w14:textFill>
              </w:rPr>
              <w:t>肥用于周边配套的农田。符合</w:t>
            </w:r>
            <w:r>
              <w:rPr>
                <w:rFonts w:hint="default" w:ascii="Times New Roman" w:hAnsi="Times New Roman" w:eastAsia="宋体" w:cs="Times New Roman"/>
                <w:color w:val="000000" w:themeColor="text1"/>
                <w:spacing w:val="8"/>
                <w:sz w:val="21"/>
                <w:szCs w:val="21"/>
                <w:lang w:eastAsia="zh-CN"/>
                <w14:textFill>
                  <w14:solidFill>
                    <w14:schemeClr w14:val="tx1"/>
                  </w14:solidFill>
                </w14:textFill>
              </w:rPr>
              <w:t>“固体粪便堆肥+污水肥料化利</w:t>
            </w:r>
            <w:r>
              <w:rPr>
                <w:rFonts w:hint="default" w:ascii="Times New Roman" w:hAnsi="Times New Roman" w:eastAsia="宋体" w:cs="Times New Roman"/>
                <w:color w:val="000000" w:themeColor="text1"/>
                <w:spacing w:val="-8"/>
                <w:sz w:val="21"/>
                <w:szCs w:val="21"/>
                <w:lang w:eastAsia="zh-CN"/>
                <w14:textFill>
                  <w14:solidFill>
                    <w14:schemeClr w14:val="tx1"/>
                  </w14:solidFill>
                </w14:textFill>
              </w:rPr>
              <w:t>用”、“污水肥料化利用”模式；</w:t>
            </w:r>
            <w:r>
              <w:rPr>
                <w:rFonts w:hint="default" w:ascii="Times New Roman" w:hAnsi="Times New Roman" w:eastAsia="宋体" w:cs="Times New Roman"/>
                <w:color w:val="000000" w:themeColor="text1"/>
                <w:spacing w:val="9"/>
                <w:sz w:val="21"/>
                <w:szCs w:val="21"/>
                <w:lang w:eastAsia="zh-CN"/>
                <w14:textFill>
                  <w14:solidFill>
                    <w14:schemeClr w14:val="tx1"/>
                  </w14:solidFill>
                </w14:textFill>
              </w:rPr>
              <w:t>本项目配套消纳土地1</w:t>
            </w:r>
            <w:r>
              <w:rPr>
                <w:rFonts w:hint="eastAsia" w:ascii="Times New Roman" w:hAnsi="Times New Roman" w:cs="Times New Roman"/>
                <w:color w:val="000000" w:themeColor="text1"/>
                <w:spacing w:val="9"/>
                <w:sz w:val="21"/>
                <w:szCs w:val="21"/>
                <w:lang w:val="en-US" w:eastAsia="zh-CN"/>
                <w14:textFill>
                  <w14:solidFill>
                    <w14:schemeClr w14:val="tx1"/>
                  </w14:solidFill>
                </w14:textFill>
              </w:rPr>
              <w:t>0</w:t>
            </w:r>
            <w:r>
              <w:rPr>
                <w:rFonts w:hint="default" w:ascii="Times New Roman" w:hAnsi="Times New Roman" w:eastAsia="宋体" w:cs="Times New Roman"/>
                <w:color w:val="000000" w:themeColor="text1"/>
                <w:spacing w:val="9"/>
                <w:sz w:val="21"/>
                <w:szCs w:val="21"/>
                <w:lang w:eastAsia="zh-CN"/>
                <w14:textFill>
                  <w14:solidFill>
                    <w14:schemeClr w14:val="tx1"/>
                  </w14:solidFill>
                </w14:textFill>
              </w:rPr>
              <w:t>00亩，</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满足《畜禽粪污土地承载力测算技术指南》中规模养殖场配套土</w:t>
            </w:r>
            <w:r>
              <w:rPr>
                <w:rFonts w:hint="default" w:ascii="Times New Roman" w:hAnsi="Times New Roman" w:eastAsia="宋体" w:cs="Times New Roman"/>
                <w:color w:val="000000" w:themeColor="text1"/>
                <w:spacing w:val="5"/>
                <w:sz w:val="21"/>
                <w:szCs w:val="21"/>
                <w:lang w:eastAsia="zh-CN"/>
                <w14:textFill>
                  <w14:solidFill>
                    <w14:schemeClr w14:val="tx1"/>
                  </w14:solidFill>
                </w14:textFill>
              </w:rPr>
              <w:t>地计算面积875亩需求。</w:t>
            </w:r>
          </w:p>
        </w:tc>
        <w:tc>
          <w:tcPr>
            <w:tcW w:w="694" w:type="dxa"/>
            <w:vAlign w:val="center"/>
          </w:tcPr>
          <w:p w14:paraId="6C5DB8BF">
            <w:pPr>
              <w:pStyle w:val="34"/>
              <w:ind w:firstLine="0" w:firstLineChars="0"/>
              <w:jc w:val="center"/>
              <w:rPr>
                <w:rFonts w:hint="default" w:ascii="Times New Roman" w:hAnsi="Times New Roman" w:eastAsia="宋体" w:cs="Times New Roman"/>
                <w:color w:val="000000" w:themeColor="text1"/>
                <w:spacing w:val="3"/>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3"/>
                <w:sz w:val="21"/>
                <w:szCs w:val="21"/>
                <w:lang w:eastAsia="zh-CN"/>
                <w14:textFill>
                  <w14:solidFill>
                    <w14:schemeClr w14:val="tx1"/>
                  </w14:solidFill>
                </w14:textFill>
              </w:rPr>
              <w:t>符合</w:t>
            </w:r>
          </w:p>
        </w:tc>
      </w:tr>
      <w:tr w14:paraId="0468B1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55" w:type="dxa"/>
            <w:vAlign w:val="center"/>
          </w:tcPr>
          <w:p w14:paraId="7651408B">
            <w:pPr>
              <w:pStyle w:val="34"/>
              <w:ind w:firstLine="0" w:firstLineChars="0"/>
              <w:jc w:val="center"/>
              <w:rPr>
                <w:rFonts w:hint="default" w:ascii="Times New Roman" w:hAnsi="Times New Roman" w:eastAsia="宋体" w:cs="Times New Roman"/>
                <w:color w:val="000000" w:themeColor="text1"/>
                <w:spacing w:val="7"/>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7"/>
                <w:sz w:val="21"/>
                <w:szCs w:val="21"/>
                <w:lang w:eastAsia="zh-CN"/>
                <w14:textFill>
                  <w14:solidFill>
                    <w14:schemeClr w14:val="tx1"/>
                  </w14:solidFill>
                </w14:textFill>
              </w:rPr>
              <w:t>2</w:t>
            </w:r>
          </w:p>
        </w:tc>
        <w:tc>
          <w:tcPr>
            <w:tcW w:w="4335" w:type="dxa"/>
            <w:vAlign w:val="center"/>
          </w:tcPr>
          <w:p w14:paraId="4F578C00">
            <w:pPr>
              <w:pStyle w:val="34"/>
              <w:ind w:firstLine="0" w:firstLineChars="0"/>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9"/>
                <w:sz w:val="21"/>
                <w:szCs w:val="21"/>
                <w:lang w:eastAsia="zh-CN"/>
                <w14:textFill>
                  <w14:solidFill>
                    <w14:schemeClr w14:val="tx1"/>
                  </w14:solidFill>
                </w14:textFill>
              </w:rPr>
              <w:t>确定主推技术模式：推动生猪、奶牛规模养殖场改水冲粪为干清粪，</w:t>
            </w:r>
            <w:r>
              <w:rPr>
                <w:rFonts w:hint="default" w:ascii="Times New Roman" w:hAnsi="Times New Roman" w:eastAsia="宋体" w:cs="Times New Roman"/>
                <w:color w:val="000000" w:themeColor="text1"/>
                <w:spacing w:val="16"/>
                <w:sz w:val="21"/>
                <w:szCs w:val="21"/>
                <w:lang w:eastAsia="zh-CN"/>
                <w14:textFill>
                  <w14:solidFill>
                    <w14:schemeClr w14:val="tx1"/>
                  </w14:solidFill>
                </w14:textFill>
              </w:rPr>
              <w:t>采用节水型饮水器或饮水分流装</w:t>
            </w:r>
            <w:r>
              <w:rPr>
                <w:rFonts w:hint="default" w:ascii="Times New Roman" w:hAnsi="Times New Roman" w:eastAsia="宋体" w:cs="Times New Roman"/>
                <w:color w:val="000000" w:themeColor="text1"/>
                <w:spacing w:val="9"/>
                <w:sz w:val="21"/>
                <w:szCs w:val="21"/>
                <w:lang w:eastAsia="zh-CN"/>
                <w14:textFill>
                  <w14:solidFill>
                    <w14:schemeClr w14:val="tx1"/>
                  </w14:solidFill>
                </w14:textFill>
              </w:rPr>
              <w:t>置，实行雨污分流、回水污水循环清粪等有效措施，从源头上控制养</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殖污水产生量。</w:t>
            </w:r>
          </w:p>
        </w:tc>
        <w:tc>
          <w:tcPr>
            <w:tcW w:w="3430" w:type="dxa"/>
            <w:vAlign w:val="center"/>
          </w:tcPr>
          <w:p w14:paraId="07D8EDFC">
            <w:pPr>
              <w:pStyle w:val="34"/>
              <w:ind w:firstLine="0" w:firstLineChars="0"/>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本项目采用干清粪工艺，场区建设雨污分流系统，雨水通过雨水沟排至场外，粪污水通过污水管</w:t>
            </w:r>
            <w:r>
              <w:rPr>
                <w:rFonts w:hint="default" w:ascii="Times New Roman" w:hAnsi="Times New Roman" w:eastAsia="宋体" w:cs="Times New Roman"/>
                <w:color w:val="000000" w:themeColor="text1"/>
                <w:spacing w:val="7"/>
                <w:sz w:val="21"/>
                <w:szCs w:val="21"/>
                <w:lang w:eastAsia="zh-CN"/>
                <w14:textFill>
                  <w14:solidFill>
                    <w14:schemeClr w14:val="tx1"/>
                  </w14:solidFill>
                </w14:textFill>
              </w:rPr>
              <w:t>道送至“固液分离+氧化塘”系</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统，从源头上控制养殖污水产生</w:t>
            </w:r>
            <w:r>
              <w:rPr>
                <w:rFonts w:hint="default" w:ascii="Times New Roman" w:hAnsi="Times New Roman" w:eastAsia="宋体" w:cs="Times New Roman"/>
                <w:color w:val="000000" w:themeColor="text1"/>
                <w:sz w:val="21"/>
                <w:szCs w:val="21"/>
                <w:lang w:eastAsia="zh-CN"/>
                <w14:textFill>
                  <w14:solidFill>
                    <w14:schemeClr w14:val="tx1"/>
                  </w14:solidFill>
                </w14:textFill>
              </w:rPr>
              <w:t>量。</w:t>
            </w:r>
          </w:p>
        </w:tc>
        <w:tc>
          <w:tcPr>
            <w:tcW w:w="694" w:type="dxa"/>
            <w:vAlign w:val="center"/>
          </w:tcPr>
          <w:p w14:paraId="0BE2BF57">
            <w:pPr>
              <w:ind w:firstLine="0" w:firstLineChars="0"/>
              <w:jc w:val="center"/>
              <w:rPr>
                <w:rFonts w:hint="default" w:ascii="Times New Roman" w:hAnsi="Times New Roman" w:eastAsia="宋体" w:cs="Times New Roman"/>
                <w:color w:val="000000" w:themeColor="text1"/>
                <w:spacing w:val="3"/>
                <w:sz w:val="21"/>
                <w:szCs w:val="21"/>
                <w14:textFill>
                  <w14:solidFill>
                    <w14:schemeClr w14:val="tx1"/>
                  </w14:solidFill>
                </w14:textFill>
              </w:rPr>
            </w:pPr>
            <w:r>
              <w:rPr>
                <w:rFonts w:hint="default" w:ascii="Times New Roman" w:hAnsi="Times New Roman" w:eastAsia="宋体" w:cs="Times New Roman"/>
                <w:color w:val="000000" w:themeColor="text1"/>
                <w:spacing w:val="3"/>
                <w:sz w:val="21"/>
                <w:szCs w:val="21"/>
                <w14:textFill>
                  <w14:solidFill>
                    <w14:schemeClr w14:val="tx1"/>
                  </w14:solidFill>
                </w14:textFill>
              </w:rPr>
              <w:t>符合</w:t>
            </w:r>
          </w:p>
        </w:tc>
      </w:tr>
      <w:tr w14:paraId="7B4991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55" w:type="dxa"/>
            <w:vAlign w:val="center"/>
          </w:tcPr>
          <w:p w14:paraId="55D6B1A2">
            <w:pPr>
              <w:pStyle w:val="34"/>
              <w:ind w:firstLine="0" w:firstLineChars="0"/>
              <w:jc w:val="center"/>
              <w:rPr>
                <w:rFonts w:hint="default" w:ascii="Times New Roman" w:hAnsi="Times New Roman" w:eastAsia="宋体" w:cs="Times New Roman"/>
                <w:color w:val="000000" w:themeColor="text1"/>
                <w:spacing w:val="7"/>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7"/>
                <w:sz w:val="21"/>
                <w:szCs w:val="21"/>
                <w:lang w:eastAsia="zh-CN"/>
                <w14:textFill>
                  <w14:solidFill>
                    <w14:schemeClr w14:val="tx1"/>
                  </w14:solidFill>
                </w14:textFill>
              </w:rPr>
              <w:t>3</w:t>
            </w:r>
          </w:p>
        </w:tc>
        <w:tc>
          <w:tcPr>
            <w:tcW w:w="4335" w:type="dxa"/>
            <w:vAlign w:val="center"/>
          </w:tcPr>
          <w:p w14:paraId="2F66406C">
            <w:pPr>
              <w:pStyle w:val="34"/>
              <w:ind w:firstLine="0" w:firstLineChars="0"/>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10"/>
                <w:sz w:val="21"/>
                <w:szCs w:val="21"/>
                <w:lang w:eastAsia="zh-CN"/>
                <w14:textFill>
                  <w14:solidFill>
                    <w14:schemeClr w14:val="tx1"/>
                  </w14:solidFill>
                </w14:textFill>
              </w:rPr>
              <w:t>规模化养殖场建设粪污处理设施，</w:t>
            </w:r>
            <w:r>
              <w:rPr>
                <w:rFonts w:hint="default" w:ascii="Times New Roman" w:hAnsi="Times New Roman" w:eastAsia="宋体" w:cs="Times New Roman"/>
                <w:color w:val="000000" w:themeColor="text1"/>
                <w:spacing w:val="12"/>
                <w:sz w:val="21"/>
                <w:szCs w:val="21"/>
                <w:lang w:eastAsia="zh-CN"/>
                <w14:textFill>
                  <w14:solidFill>
                    <w14:schemeClr w14:val="tx1"/>
                  </w14:solidFill>
                </w14:textFill>
              </w:rPr>
              <w:t>使用堆肥发酵菌剂、粪水处理菌剂和臭气处理菌剂等，加速粪污无害</w:t>
            </w:r>
            <w:r>
              <w:rPr>
                <w:rFonts w:hint="default" w:ascii="Times New Roman" w:hAnsi="Times New Roman" w:eastAsia="宋体" w:cs="Times New Roman"/>
                <w:color w:val="000000" w:themeColor="text1"/>
                <w:spacing w:val="7"/>
                <w:sz w:val="21"/>
                <w:szCs w:val="21"/>
                <w:lang w:eastAsia="zh-CN"/>
                <w14:textFill>
                  <w14:solidFill>
                    <w14:schemeClr w14:val="tx1"/>
                  </w14:solidFill>
                </w14:textFill>
              </w:rPr>
              <w:t>化处理过程，减少氮磷和臭气排放。</w:t>
            </w:r>
          </w:p>
        </w:tc>
        <w:tc>
          <w:tcPr>
            <w:tcW w:w="3430" w:type="dxa"/>
            <w:vAlign w:val="center"/>
          </w:tcPr>
          <w:p w14:paraId="449D3AAE">
            <w:pPr>
              <w:pStyle w:val="34"/>
              <w:ind w:firstLine="0" w:firstLineChars="0"/>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7"/>
                <w:sz w:val="21"/>
                <w:szCs w:val="21"/>
                <w:lang w:eastAsia="zh-CN"/>
                <w14:textFill>
                  <w14:solidFill>
                    <w14:schemeClr w14:val="tx1"/>
                  </w14:solidFill>
                </w14:textFill>
              </w:rPr>
              <w:t>本项目粪污水采用“固液分离+</w:t>
            </w:r>
            <w:r>
              <w:rPr>
                <w:rFonts w:hint="default" w:ascii="Times New Roman" w:hAnsi="Times New Roman" w:eastAsia="宋体" w:cs="Times New Roman"/>
                <w:color w:val="000000" w:themeColor="text1"/>
                <w:spacing w:val="-5"/>
                <w:sz w:val="21"/>
                <w:szCs w:val="21"/>
                <w:lang w:eastAsia="zh-CN"/>
                <w14:textFill>
                  <w14:solidFill>
                    <w14:schemeClr w14:val="tx1"/>
                  </w14:solidFill>
                </w14:textFill>
              </w:rPr>
              <w:t>氧化塘”工艺，养殖区、固液分离车间、</w:t>
            </w:r>
            <w:r>
              <w:rPr>
                <w:rFonts w:hint="default" w:ascii="Times New Roman" w:hAnsi="Times New Roman" w:eastAsia="宋体" w:cs="Times New Roman"/>
                <w:color w:val="000000" w:themeColor="text1"/>
                <w:spacing w:val="10"/>
                <w:sz w:val="21"/>
                <w:szCs w:val="21"/>
                <w:lang w:eastAsia="zh-CN"/>
                <w14:textFill>
                  <w14:solidFill>
                    <w14:schemeClr w14:val="tx1"/>
                  </w14:solidFill>
                </w14:textFill>
              </w:rPr>
              <w:t>氧化塘等喷洒生物除臭剂除臭剂，</w:t>
            </w:r>
            <w:r>
              <w:rPr>
                <w:rFonts w:hint="default" w:ascii="Times New Roman" w:hAnsi="Times New Roman" w:eastAsia="宋体" w:cs="Times New Roman"/>
                <w:color w:val="000000" w:themeColor="text1"/>
                <w:spacing w:val="-5"/>
                <w:sz w:val="21"/>
                <w:szCs w:val="21"/>
                <w:lang w:eastAsia="zh-CN"/>
                <w14:textFill>
                  <w14:solidFill>
                    <w14:schemeClr w14:val="tx1"/>
                  </w14:solidFill>
                </w14:textFill>
              </w:rPr>
              <w:t>固液分离后的固粪</w:t>
            </w:r>
            <w:r>
              <w:rPr>
                <w:rFonts w:hint="default" w:ascii="Times New Roman" w:hAnsi="Times New Roman" w:eastAsia="宋体" w:cs="Times New Roman"/>
                <w:color w:val="000000" w:themeColor="text1"/>
                <w:spacing w:val="15"/>
                <w:sz w:val="21"/>
                <w:szCs w:val="21"/>
                <w:lang w:eastAsia="zh-CN"/>
                <w14:textFill>
                  <w14:solidFill>
                    <w14:schemeClr w14:val="tx1"/>
                  </w14:solidFill>
                </w14:textFill>
              </w:rPr>
              <w:t>堆肥过程添加发酵及臭气处理</w:t>
            </w:r>
            <w:r>
              <w:rPr>
                <w:rFonts w:hint="default" w:ascii="Times New Roman" w:hAnsi="Times New Roman" w:eastAsia="宋体" w:cs="Times New Roman"/>
                <w:color w:val="000000" w:themeColor="text1"/>
                <w:spacing w:val="8"/>
                <w:sz w:val="21"/>
                <w:szCs w:val="21"/>
                <w:lang w:eastAsia="zh-CN"/>
                <w14:textFill>
                  <w14:solidFill>
                    <w14:schemeClr w14:val="tx1"/>
                  </w14:solidFill>
                </w14:textFill>
              </w:rPr>
              <w:t>菌剂，减少氮磷和恶臭气排放。</w:t>
            </w:r>
          </w:p>
        </w:tc>
        <w:tc>
          <w:tcPr>
            <w:tcW w:w="694" w:type="dxa"/>
            <w:vAlign w:val="center"/>
          </w:tcPr>
          <w:p w14:paraId="45CE4B02">
            <w:pPr>
              <w:ind w:firstLine="0" w:firstLineChars="0"/>
              <w:jc w:val="center"/>
              <w:rPr>
                <w:rFonts w:hint="default" w:ascii="Times New Roman" w:hAnsi="Times New Roman" w:eastAsia="宋体" w:cs="Times New Roman"/>
                <w:color w:val="000000" w:themeColor="text1"/>
                <w:spacing w:val="3"/>
                <w:sz w:val="21"/>
                <w:szCs w:val="21"/>
                <w14:textFill>
                  <w14:solidFill>
                    <w14:schemeClr w14:val="tx1"/>
                  </w14:solidFill>
                </w14:textFill>
              </w:rPr>
            </w:pPr>
            <w:r>
              <w:rPr>
                <w:rFonts w:hint="default" w:ascii="Times New Roman" w:hAnsi="Times New Roman" w:eastAsia="宋体" w:cs="Times New Roman"/>
                <w:color w:val="000000" w:themeColor="text1"/>
                <w:spacing w:val="3"/>
                <w:sz w:val="21"/>
                <w:szCs w:val="21"/>
                <w14:textFill>
                  <w14:solidFill>
                    <w14:schemeClr w14:val="tx1"/>
                  </w14:solidFill>
                </w14:textFill>
              </w:rPr>
              <w:t>符合</w:t>
            </w:r>
          </w:p>
        </w:tc>
      </w:tr>
      <w:tr w14:paraId="730DF6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55" w:type="dxa"/>
            <w:vAlign w:val="center"/>
          </w:tcPr>
          <w:p w14:paraId="1EC47C79">
            <w:pPr>
              <w:pStyle w:val="34"/>
              <w:ind w:firstLine="0" w:firstLineChars="0"/>
              <w:jc w:val="center"/>
              <w:rPr>
                <w:rFonts w:hint="default" w:ascii="Times New Roman" w:hAnsi="Times New Roman" w:eastAsia="宋体" w:cs="Times New Roman"/>
                <w:color w:val="000000" w:themeColor="text1"/>
                <w:spacing w:val="7"/>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7"/>
                <w:sz w:val="21"/>
                <w:szCs w:val="21"/>
                <w:lang w:eastAsia="zh-CN"/>
                <w14:textFill>
                  <w14:solidFill>
                    <w14:schemeClr w14:val="tx1"/>
                  </w14:solidFill>
                </w14:textFill>
              </w:rPr>
              <w:t>4</w:t>
            </w:r>
          </w:p>
        </w:tc>
        <w:tc>
          <w:tcPr>
            <w:tcW w:w="4335" w:type="dxa"/>
            <w:vAlign w:val="center"/>
          </w:tcPr>
          <w:p w14:paraId="0E0D7F7C">
            <w:pPr>
              <w:pStyle w:val="34"/>
              <w:ind w:firstLine="0" w:firstLineChars="0"/>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9"/>
                <w:sz w:val="21"/>
                <w:szCs w:val="21"/>
                <w:lang w:eastAsia="zh-CN"/>
                <w14:textFill>
                  <w14:solidFill>
                    <w14:schemeClr w14:val="tx1"/>
                  </w14:solidFill>
                </w14:textFill>
              </w:rPr>
              <w:t>生猪和奶牛等规模化养殖场鼓励采</w:t>
            </w:r>
            <w:r>
              <w:rPr>
                <w:rFonts w:hint="default" w:ascii="Times New Roman" w:hAnsi="Times New Roman" w:eastAsia="宋体" w:cs="Times New Roman"/>
                <w:color w:val="000000" w:themeColor="text1"/>
                <w:spacing w:val="7"/>
                <w:sz w:val="21"/>
                <w:szCs w:val="21"/>
                <w:lang w:eastAsia="zh-CN"/>
                <w14:textFill>
                  <w14:solidFill>
                    <w14:schemeClr w14:val="tx1"/>
                  </w14:solidFill>
                </w14:textFill>
              </w:rPr>
              <w:t>用粪污全量收集还田利用和“固体粪</w:t>
            </w:r>
            <w:r>
              <w:rPr>
                <w:rFonts w:hint="default" w:ascii="Times New Roman" w:hAnsi="Times New Roman" w:eastAsia="宋体" w:cs="Times New Roman"/>
                <w:color w:val="000000" w:themeColor="text1"/>
                <w:spacing w:val="11"/>
                <w:sz w:val="21"/>
                <w:szCs w:val="21"/>
                <w:lang w:eastAsia="zh-CN"/>
                <w14:textFill>
                  <w14:solidFill>
                    <w14:schemeClr w14:val="tx1"/>
                  </w14:solidFill>
                </w14:textFill>
              </w:rPr>
              <w:t>便堆肥+污水肥料化利用”等技术模</w:t>
            </w:r>
            <w:r>
              <w:rPr>
                <w:rFonts w:hint="default" w:ascii="Times New Roman" w:hAnsi="Times New Roman" w:eastAsia="宋体" w:cs="Times New Roman"/>
                <w:color w:val="000000" w:themeColor="text1"/>
                <w:spacing w:val="12"/>
                <w:sz w:val="21"/>
                <w:szCs w:val="21"/>
                <w:lang w:eastAsia="zh-CN"/>
                <w14:textFill>
                  <w14:solidFill>
                    <w14:schemeClr w14:val="tx1"/>
                  </w14:solidFill>
                </w14:textFill>
              </w:rPr>
              <w:t>式，推广快速低排放的固体粪便堆肥技术和水肥一体化施用技术，促进畜禽粪污就近还田利用。</w:t>
            </w:r>
          </w:p>
        </w:tc>
        <w:tc>
          <w:tcPr>
            <w:tcW w:w="3430" w:type="dxa"/>
            <w:vAlign w:val="center"/>
          </w:tcPr>
          <w:p w14:paraId="6896F4DD">
            <w:pPr>
              <w:pStyle w:val="34"/>
              <w:ind w:firstLine="0" w:firstLineChars="0"/>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本项目粪污水采用“固液分离+</w:t>
            </w:r>
            <w:r>
              <w:rPr>
                <w:rFonts w:hint="default" w:ascii="Times New Roman" w:hAnsi="Times New Roman" w:eastAsia="宋体" w:cs="Times New Roman"/>
                <w:color w:val="000000" w:themeColor="text1"/>
                <w:spacing w:val="4"/>
                <w:sz w:val="21"/>
                <w:szCs w:val="21"/>
                <w:lang w:eastAsia="zh-CN"/>
                <w14:textFill>
                  <w14:solidFill>
                    <w14:schemeClr w14:val="tx1"/>
                  </w14:solidFill>
                </w14:textFill>
              </w:rPr>
              <w:t>氧化塘”工艺，分离后固粪</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堆肥发酵，氧化塘废水作为液</w:t>
            </w:r>
            <w:r>
              <w:rPr>
                <w:rFonts w:hint="default" w:ascii="Times New Roman" w:hAnsi="Times New Roman" w:eastAsia="宋体" w:cs="Times New Roman"/>
                <w:color w:val="000000" w:themeColor="text1"/>
                <w:spacing w:val="4"/>
                <w:sz w:val="21"/>
                <w:szCs w:val="21"/>
                <w:lang w:eastAsia="zh-CN"/>
                <w14:textFill>
                  <w14:solidFill>
                    <w14:schemeClr w14:val="tx1"/>
                  </w14:solidFill>
                </w14:textFill>
              </w:rPr>
              <w:t>态肥还田，符合“固体粪便堆肥</w:t>
            </w:r>
            <w:r>
              <w:rPr>
                <w:rFonts w:hint="default" w:ascii="Times New Roman" w:hAnsi="Times New Roman" w:eastAsia="宋体" w:cs="Times New Roman"/>
                <w:color w:val="000000" w:themeColor="text1"/>
                <w:spacing w:val="5"/>
                <w:sz w:val="21"/>
                <w:szCs w:val="21"/>
                <w:lang w:eastAsia="zh-CN"/>
                <w14:textFill>
                  <w14:solidFill>
                    <w14:schemeClr w14:val="tx1"/>
                  </w14:solidFill>
                </w14:textFill>
              </w:rPr>
              <w:t>+污水肥料化利用”模式。</w:t>
            </w:r>
          </w:p>
        </w:tc>
        <w:tc>
          <w:tcPr>
            <w:tcW w:w="694" w:type="dxa"/>
            <w:vAlign w:val="center"/>
          </w:tcPr>
          <w:p w14:paraId="3F835C28">
            <w:pPr>
              <w:ind w:firstLine="0" w:firstLineChars="0"/>
              <w:jc w:val="center"/>
              <w:rPr>
                <w:rFonts w:hint="default" w:ascii="Times New Roman" w:hAnsi="Times New Roman" w:eastAsia="宋体" w:cs="Times New Roman"/>
                <w:color w:val="000000" w:themeColor="text1"/>
                <w:spacing w:val="3"/>
                <w:sz w:val="21"/>
                <w:szCs w:val="21"/>
                <w14:textFill>
                  <w14:solidFill>
                    <w14:schemeClr w14:val="tx1"/>
                  </w14:solidFill>
                </w14:textFill>
              </w:rPr>
            </w:pPr>
            <w:r>
              <w:rPr>
                <w:rFonts w:hint="default" w:ascii="Times New Roman" w:hAnsi="Times New Roman" w:eastAsia="宋体" w:cs="Times New Roman"/>
                <w:color w:val="000000" w:themeColor="text1"/>
                <w:spacing w:val="3"/>
                <w:sz w:val="21"/>
                <w:szCs w:val="21"/>
                <w14:textFill>
                  <w14:solidFill>
                    <w14:schemeClr w14:val="tx1"/>
                  </w14:solidFill>
                </w14:textFill>
              </w:rPr>
              <w:t>符合</w:t>
            </w:r>
          </w:p>
        </w:tc>
      </w:tr>
    </w:tbl>
    <w:p w14:paraId="2AD246D1">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综上，项目建设符合《畜禽粪污资源化利用工作方案（2017-2020）》的要求。</w:t>
      </w:r>
    </w:p>
    <w:p w14:paraId="761390D5">
      <w:pPr>
        <w:widowControl/>
        <w:ind w:firstLine="482"/>
        <w:outlineLvl w:val="2"/>
        <w:rPr>
          <w:rFonts w:hint="default" w:ascii="Times New Roman" w:hAnsi="Times New Roman" w:eastAsia="宋体" w:cs="Times New Roman"/>
          <w:color w:val="000000" w:themeColor="text1"/>
          <w14:textFill>
            <w14:solidFill>
              <w14:schemeClr w14:val="tx1"/>
            </w14:solidFill>
          </w14:textFill>
        </w:rPr>
      </w:pPr>
      <w:bookmarkStart w:id="42" w:name="_Toc3182"/>
      <w:r>
        <w:rPr>
          <w:rFonts w:hint="default" w:ascii="Times New Roman" w:hAnsi="Times New Roman" w:eastAsia="宋体" w:cs="Times New Roman"/>
          <w:b/>
          <w:bCs/>
          <w:color w:val="000000" w:themeColor="text1"/>
          <w:kern w:val="0"/>
          <w:lang w:bidi="ar"/>
          <w14:textFill>
            <w14:solidFill>
              <w14:schemeClr w14:val="tx1"/>
            </w14:solidFill>
          </w14:textFill>
        </w:rPr>
        <w:t>1.3.5选址合理性分析</w:t>
      </w:r>
      <w:bookmarkEnd w:id="42"/>
    </w:p>
    <w:p w14:paraId="6C9FE502">
      <w:pPr>
        <w:widowControl/>
        <w:ind w:firstLine="482"/>
        <w:jc w:val="left"/>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kern w:val="0"/>
          <w:lang w:bidi="ar"/>
          <w14:textFill>
            <w14:solidFill>
              <w14:schemeClr w14:val="tx1"/>
            </w14:solidFill>
          </w14:textFill>
        </w:rPr>
        <w:t>（1）场址选择合理性分析</w:t>
      </w:r>
    </w:p>
    <w:p w14:paraId="43CFCC50">
      <w:pPr>
        <w:widowControl/>
        <w:ind w:firstLine="480"/>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lang w:bidi="ar"/>
          <w14:textFill>
            <w14:solidFill>
              <w14:schemeClr w14:val="tx1"/>
            </w14:solidFill>
          </w14:textFill>
        </w:rPr>
        <w:t>项目不在《畜禽规模养殖污染防治条例》（2014年1月1日起施行）、《畜禽养殖业污染治理工程技术规范》（HJ497-2009）、《动物防疫条件审查办法》中规定的禁止建设区：并根据养殖规模和污染防治需要，建设相应的粪便、污水与雨水分流设施，粪便、污水的贮存设施，污水处理设施，且采取科学的饲养方式和废弃物处理工艺等有效措施，减少养殖废弃物的产生量和向环境的排放量。</w:t>
      </w:r>
    </w:p>
    <w:p w14:paraId="13C995CE">
      <w:pPr>
        <w:widowControl/>
        <w:ind w:firstLine="480"/>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FF"/>
          <w:kern w:val="0"/>
          <w:lang w:bidi="ar"/>
        </w:rPr>
        <w:t>本项目</w:t>
      </w:r>
      <w:r>
        <w:rPr>
          <w:rFonts w:hint="eastAsia" w:cs="Times New Roman"/>
          <w:color w:val="0000FF"/>
          <w:kern w:val="0"/>
          <w:lang w:val="en-US" w:eastAsia="zh-CN" w:bidi="ar"/>
        </w:rPr>
        <w:t>总</w:t>
      </w:r>
      <w:r>
        <w:rPr>
          <w:rFonts w:hint="default" w:ascii="Times New Roman" w:hAnsi="Times New Roman" w:eastAsia="宋体" w:cs="Times New Roman"/>
          <w:color w:val="0000FF"/>
          <w:kern w:val="0"/>
          <w:lang w:bidi="ar"/>
        </w:rPr>
        <w:t>占地面积为157.155495亩</w:t>
      </w:r>
      <w:r>
        <w:rPr>
          <w:rFonts w:hint="eastAsia" w:cs="Times New Roman"/>
          <w:color w:val="0000FF"/>
          <w:kern w:val="0"/>
          <w:lang w:eastAsia="zh-CN" w:bidi="ar"/>
        </w:rPr>
        <w:t>（</w:t>
      </w:r>
      <w:r>
        <w:rPr>
          <w:rFonts w:hint="eastAsia" w:cs="Times New Roman"/>
          <w:color w:val="0000FF"/>
          <w:kern w:val="0"/>
          <w:lang w:val="en-US" w:eastAsia="zh-CN" w:bidi="ar"/>
        </w:rPr>
        <w:t>104770.33m</w:t>
      </w:r>
      <w:r>
        <w:rPr>
          <w:rFonts w:hint="eastAsia" w:cs="Times New Roman"/>
          <w:color w:val="0000FF"/>
          <w:kern w:val="0"/>
          <w:vertAlign w:val="superscript"/>
          <w:lang w:val="en-US" w:eastAsia="zh-CN" w:bidi="ar"/>
        </w:rPr>
        <w:t>2</w:t>
      </w:r>
      <w:r>
        <w:rPr>
          <w:rFonts w:hint="eastAsia" w:cs="Times New Roman"/>
          <w:color w:val="0000FF"/>
          <w:kern w:val="0"/>
          <w:lang w:eastAsia="zh-CN" w:bidi="ar"/>
        </w:rPr>
        <w:t>）</w:t>
      </w:r>
      <w:r>
        <w:rPr>
          <w:rFonts w:hint="default" w:ascii="Times New Roman" w:hAnsi="Times New Roman" w:eastAsia="宋体" w:cs="Times New Roman"/>
          <w:color w:val="0000FF"/>
          <w:kern w:val="0"/>
          <w:lang w:bidi="ar"/>
        </w:rPr>
        <w:t>，</w:t>
      </w:r>
      <w:r>
        <w:rPr>
          <w:rFonts w:hint="eastAsia" w:cs="Times New Roman"/>
          <w:color w:val="0000FF"/>
          <w:kern w:val="0"/>
          <w:lang w:val="en-US" w:eastAsia="zh-CN" w:bidi="ar"/>
        </w:rPr>
        <w:t>其中人工种植的</w:t>
      </w:r>
      <w:r>
        <w:rPr>
          <w:rFonts w:hint="default" w:ascii="Times New Roman" w:hAnsi="Times New Roman" w:eastAsia="宋体" w:cs="Times New Roman"/>
          <w:color w:val="0000FF"/>
          <w:kern w:val="0"/>
          <w:lang w:bidi="ar"/>
        </w:rPr>
        <w:t>用材林地</w:t>
      </w:r>
      <w:r>
        <w:rPr>
          <w:rFonts w:hint="eastAsia" w:cs="Times New Roman"/>
          <w:color w:val="0000FF"/>
          <w:kern w:val="0"/>
          <w:lang w:val="en-US" w:eastAsia="zh-CN" w:bidi="ar"/>
        </w:rPr>
        <w:t>为1.2969公顷（19.4535</w:t>
      </w:r>
      <w:r>
        <w:rPr>
          <w:rFonts w:hint="default" w:ascii="Times New Roman" w:hAnsi="Times New Roman" w:eastAsia="宋体" w:cs="Times New Roman"/>
          <w:color w:val="0000FF"/>
          <w:kern w:val="0"/>
          <w:lang w:bidi="ar"/>
        </w:rPr>
        <w:t>亩</w:t>
      </w:r>
      <w:r>
        <w:rPr>
          <w:rFonts w:hint="eastAsia" w:cs="Times New Roman"/>
          <w:color w:val="0000FF"/>
          <w:kern w:val="0"/>
          <w:lang w:val="en-US" w:eastAsia="zh-CN" w:bidi="ar"/>
        </w:rPr>
        <w:t>）</w:t>
      </w:r>
      <w:r>
        <w:rPr>
          <w:rFonts w:hint="default" w:ascii="Times New Roman" w:hAnsi="Times New Roman" w:eastAsia="宋体" w:cs="Times New Roman"/>
          <w:color w:val="0000FF"/>
          <w:kern w:val="0"/>
          <w:lang w:bidi="ar"/>
        </w:rPr>
        <w:t>，</w:t>
      </w:r>
      <w:r>
        <w:rPr>
          <w:rFonts w:hint="eastAsia" w:cs="Times New Roman"/>
          <w:color w:val="0000FF"/>
          <w:kern w:val="0"/>
          <w:lang w:val="en-US" w:eastAsia="zh-CN" w:bidi="ar"/>
        </w:rPr>
        <w:t>2023年10月20日</w:t>
      </w:r>
      <w:r>
        <w:rPr>
          <w:rFonts w:hint="default" w:ascii="Times New Roman" w:hAnsi="Times New Roman" w:eastAsia="宋体" w:cs="Times New Roman"/>
          <w:color w:val="0000FF"/>
          <w:kern w:val="0"/>
          <w:lang w:bidi="ar"/>
        </w:rPr>
        <w:t>取得林</w:t>
      </w:r>
      <w:bookmarkStart w:id="467" w:name="_GoBack"/>
      <w:bookmarkEnd w:id="467"/>
      <w:r>
        <w:rPr>
          <w:rFonts w:hint="default" w:ascii="Times New Roman" w:hAnsi="Times New Roman" w:eastAsia="宋体" w:cs="Times New Roman"/>
          <w:color w:val="0000FF"/>
          <w:kern w:val="0"/>
          <w:lang w:bidi="ar"/>
        </w:rPr>
        <w:t>地采伐许可证（文号：科尔沁右翼前旗采字[2023]1154-1155号），</w:t>
      </w:r>
      <w:r>
        <w:rPr>
          <w:rFonts w:hint="eastAsia" w:cs="Times New Roman"/>
          <w:color w:val="0000FF"/>
          <w:kern w:val="0"/>
          <w:lang w:val="en-US" w:eastAsia="zh-CN" w:bidi="ar"/>
        </w:rPr>
        <w:t>于2023年11干23日采伐完成。</w:t>
      </w:r>
      <w:r>
        <w:rPr>
          <w:rFonts w:hint="default" w:ascii="Times New Roman" w:hAnsi="Times New Roman" w:eastAsia="宋体" w:cs="Times New Roman"/>
          <w:color w:val="000000" w:themeColor="text1"/>
          <w:kern w:val="0"/>
          <w:lang w:bidi="ar"/>
          <w14:textFill>
            <w14:solidFill>
              <w14:schemeClr w14:val="tx1"/>
            </w14:solidFill>
          </w14:textFill>
        </w:rPr>
        <w:t>项目区500m范围内无居民集中区、村庄、自然保护区、饮用水源保护区、重点保护文物及珍稀动植物资源等特殊敏感区。</w:t>
      </w:r>
    </w:p>
    <w:p w14:paraId="001CB994">
      <w:pPr>
        <w:widowControl/>
        <w:ind w:firstLine="480"/>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lang w:bidi="ar"/>
          <w14:textFill>
            <w14:solidFill>
              <w14:schemeClr w14:val="tx1"/>
            </w14:solidFill>
          </w14:textFill>
        </w:rPr>
        <w:t>同时根据预测计算，本项目落实“三同时”制度后，对于产生臭气污染源进行严格管理的情况下，其臭气可以做到场界达标。</w:t>
      </w:r>
    </w:p>
    <w:p w14:paraId="43E76623">
      <w:pPr>
        <w:widowControl/>
        <w:ind w:firstLine="480"/>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lang w:bidi="ar"/>
          <w14:textFill>
            <w14:solidFill>
              <w14:schemeClr w14:val="tx1"/>
            </w14:solidFill>
          </w14:textFill>
        </w:rPr>
        <w:t>综上，本项目选址不在饮用水水源保护区，风景名胜区，自然保护区的核心区和缓冲区，城镇居民区、文化教育科学研究区等人口集中区域及法律法规规定的其他禁止养殖区域，且项目四周为天然牧草地、耕地和林地。项目符合相关法律、法规及相关行业规范要求，在严格执行环评规定的各项措施并确保其正常稳定运行且在严格管理的情况下，项目场址从环境角度分析是可行的。</w:t>
      </w:r>
    </w:p>
    <w:p w14:paraId="0B08B3E6">
      <w:pPr>
        <w:widowControl/>
        <w:ind w:firstLine="482"/>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b/>
          <w:bCs/>
          <w:color w:val="000000" w:themeColor="text1"/>
          <w:kern w:val="0"/>
          <w:lang w:bidi="ar"/>
          <w14:textFill>
            <w14:solidFill>
              <w14:schemeClr w14:val="tx1"/>
            </w14:solidFill>
          </w14:textFill>
        </w:rPr>
        <w:t>（2）项目用地与《促进规模化畜禽养殖有关用地政策的通知》符合性</w:t>
      </w:r>
    </w:p>
    <w:p w14:paraId="48B2CFA7">
      <w:pPr>
        <w:widowControl/>
        <w:ind w:firstLine="480"/>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lang w:bidi="ar"/>
          <w14:textFill>
            <w14:solidFill>
              <w14:schemeClr w14:val="tx1"/>
            </w14:solidFill>
          </w14:textFill>
        </w:rPr>
        <w:t>《促进规模化畜禽养殖有关用地政策的通知》中明确指出：“规模化畜禽养殖用地的规划布局和选址，应坚持鼓励利用废弃地和荒山荒坡等未利用地、尽可能不占或少占耕地的原则，禁止占用基本农田。各地在土地整理和新农村建设中，可以充分考虑规模化畜禽养殖的需要，预留用地空间，提供用地条件。任何地方不得以新农村建设或整治环境为由禁止或限制规模化畜禽养殖。积极推行标准化规模养殖，合理确定用地标准，节约集约用地。”</w:t>
      </w:r>
    </w:p>
    <w:p w14:paraId="3FF6B213">
      <w:pPr>
        <w:widowControl/>
        <w:ind w:firstLine="480"/>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lang w:bidi="ar"/>
          <w14:textFill>
            <w14:solidFill>
              <w14:schemeClr w14:val="tx1"/>
            </w14:solidFill>
          </w14:textFill>
        </w:rPr>
        <w:t>本项目占地面积为157.155495亩，占地类型为用材林地，并已取得林地采伐许可证（文号：科尔沁右翼前旗采字[2023]1154-1155号），符合《促进规模化畜禽养殖有关用地政策的通知》中的相关要求。</w:t>
      </w:r>
    </w:p>
    <w:p w14:paraId="10F3AE27">
      <w:pPr>
        <w:widowControl/>
        <w:ind w:firstLine="482"/>
        <w:outlineLvl w:val="2"/>
        <w:rPr>
          <w:rFonts w:hint="default" w:ascii="Times New Roman" w:hAnsi="Times New Roman" w:eastAsia="宋体" w:cs="Times New Roman"/>
          <w:color w:val="000000" w:themeColor="text1"/>
          <w14:textFill>
            <w14:solidFill>
              <w14:schemeClr w14:val="tx1"/>
            </w14:solidFill>
          </w14:textFill>
        </w:rPr>
      </w:pPr>
      <w:bookmarkStart w:id="43" w:name="_Toc28551"/>
      <w:r>
        <w:rPr>
          <w:rFonts w:hint="default" w:ascii="Times New Roman" w:hAnsi="Times New Roman" w:eastAsia="宋体" w:cs="Times New Roman"/>
          <w:b/>
          <w:bCs/>
          <w:color w:val="000000" w:themeColor="text1"/>
          <w:kern w:val="0"/>
          <w:lang w:bidi="ar"/>
          <w14:textFill>
            <w14:solidFill>
              <w14:schemeClr w14:val="tx1"/>
            </w14:solidFill>
          </w14:textFill>
        </w:rPr>
        <w:t>1.3.6“三线一单”符合性分析</w:t>
      </w:r>
      <w:bookmarkEnd w:id="43"/>
    </w:p>
    <w:p w14:paraId="7C8065E0">
      <w:pPr>
        <w:ind w:firstLine="480"/>
        <w:rPr>
          <w:rFonts w:hint="default" w:ascii="Times New Roman" w:hAnsi="Times New Roman" w:eastAsia="宋体" w:cs="Times New Roman"/>
          <w:color w:val="000000" w:themeColor="text1"/>
          <w14:textFill>
            <w14:solidFill>
              <w14:schemeClr w14:val="tx1"/>
            </w14:solidFill>
          </w14:textFill>
        </w:rPr>
      </w:pPr>
      <w:bookmarkStart w:id="44" w:name="_Hlk89901413"/>
      <w:r>
        <w:rPr>
          <w:rFonts w:hint="default" w:ascii="Times New Roman" w:hAnsi="Times New Roman" w:eastAsia="宋体" w:cs="Times New Roman"/>
          <w:color w:val="000000" w:themeColor="text1"/>
          <w14:textFill>
            <w14:solidFill>
              <w14:schemeClr w14:val="tx1"/>
            </w14:solidFill>
          </w14:textFill>
        </w:rPr>
        <w:t>按照盟行署2023年第30次常务会议研究通过的兴安盟“三线一单”生态环境分区管控成果，对《兴安盟行政公署关于“三线一单”生态环境分区管控的实施意见》（兴署发〔2021〕77号）进行修订补充，补充内容如下。</w:t>
      </w:r>
    </w:p>
    <w:p w14:paraId="3851B0B5">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将全盟环境管控单元从82个优化调整为90个环境管控单元，包括优先保护单元、重点管控单元、一般管控单元三类。</w:t>
      </w:r>
    </w:p>
    <w:p w14:paraId="04CAAC2E">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优先保护单元56个，面积占比为71.4%，主要包括我盟生态保护红线、集中式饮用水水源保护区等需要依法保护的生态功能重要区和生态环境敏感区；重点管控单元28个，面积占比为17.8%，主要包括工业园区、矿区、城镇开发边界等开发强度高、污染排放量大、环境问题相对集中的区域；一般管控单元6个，面积占比为10.8%，包括优先保护单元、重点管控单元之外的其他区域。</w:t>
      </w:r>
    </w:p>
    <w:p w14:paraId="6ADA60B4">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根据《旗县市环境管控单元汇总表》结果显示，科右前旗管控单元总个数为18个，其中优先保护单元10个，重点管控单元7个，一般管控单元1个。分区管控单元图见附图。</w:t>
      </w:r>
    </w:p>
    <w:p w14:paraId="3024BBA3">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（1）生态保护红线</w:t>
      </w:r>
    </w:p>
    <w:p w14:paraId="0FB9FBF5">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兴安盟生态保护红线划定面积为25992.42km</w:t>
      </w:r>
      <w:r>
        <w:rPr>
          <w:rFonts w:hint="default" w:ascii="Times New Roman" w:hAnsi="Times New Roman" w:eastAsia="宋体" w:cs="Times New Roman"/>
          <w:color w:val="000000" w:themeColor="text1"/>
          <w:vertAlign w:val="superscript"/>
          <w14:textFill>
            <w14:solidFill>
              <w14:schemeClr w14:val="tx1"/>
            </w14:solidFill>
          </w14:textFill>
        </w:rPr>
        <w:t>2</w:t>
      </w:r>
      <w:r>
        <w:rPr>
          <w:rFonts w:hint="default" w:ascii="Times New Roman" w:hAnsi="Times New Roman" w:eastAsia="宋体" w:cs="Times New Roman"/>
          <w:color w:val="000000" w:themeColor="text1"/>
          <w:vertAlign w:val="baseline"/>
          <w:lang w:eastAsia="zh-CN"/>
          <w14:textFill>
            <w14:solidFill>
              <w14:schemeClr w14:val="tx1"/>
            </w14:solidFill>
          </w14:textFill>
        </w:rPr>
        <w:t>，</w:t>
      </w:r>
      <w:r>
        <w:rPr>
          <w:rFonts w:hint="default" w:ascii="Times New Roman" w:hAnsi="Times New Roman" w:eastAsia="宋体" w:cs="Times New Roman"/>
          <w:color w:val="000000" w:themeColor="text1"/>
          <w14:textFill>
            <w14:solidFill>
              <w14:schemeClr w14:val="tx1"/>
            </w14:solidFill>
          </w14:textFill>
        </w:rPr>
        <w:t>科尔沁右翼前旗生态保护红线面积7917.76km</w:t>
      </w:r>
      <w:r>
        <w:rPr>
          <w:rFonts w:hint="default" w:ascii="Times New Roman" w:hAnsi="Times New Roman" w:eastAsia="宋体" w:cs="Times New Roman"/>
          <w:color w:val="000000" w:themeColor="text1"/>
          <w:vertAlign w:val="superscript"/>
          <w14:textFill>
            <w14:solidFill>
              <w14:schemeClr w14:val="tx1"/>
            </w14:solidFill>
          </w14:textFill>
        </w:rPr>
        <w:t>2</w:t>
      </w:r>
      <w:r>
        <w:rPr>
          <w:rFonts w:hint="default" w:ascii="Times New Roman" w:hAnsi="Times New Roman" w:eastAsia="宋体" w:cs="Times New Roman"/>
          <w:color w:val="000000" w:themeColor="text1"/>
          <w14:textFill>
            <w14:solidFill>
              <w14:schemeClr w14:val="tx1"/>
            </w14:solidFill>
          </w14:textFill>
        </w:rPr>
        <w:t>，项目位于兴安盟科尔沁右翼前旗额尔格图镇境内，厂址周围为</w:t>
      </w:r>
      <w:r>
        <w:rPr>
          <w:rFonts w:hint="eastAsia" w:cs="Times New Roman"/>
          <w:color w:val="000000" w:themeColor="text1"/>
          <w:lang w:val="en-US" w:eastAsia="zh-CN"/>
          <w14:textFill>
            <w14:solidFill>
              <w14:schemeClr w14:val="tx1"/>
            </w14:solidFill>
          </w14:textFill>
        </w:rPr>
        <w:t>光伏发电场，场内无升压站</w:t>
      </w:r>
      <w:r>
        <w:rPr>
          <w:rFonts w:hint="default" w:ascii="Times New Roman" w:hAnsi="Times New Roman" w:eastAsia="宋体" w:cs="Times New Roman"/>
          <w:color w:val="000000" w:themeColor="text1"/>
          <w:lang w:eastAsia="zh-CN"/>
          <w14:textFill>
            <w14:solidFill>
              <w14:schemeClr w14:val="tx1"/>
            </w14:solidFill>
          </w14:textFill>
        </w:rPr>
        <w:t>，</w:t>
      </w:r>
      <w:r>
        <w:rPr>
          <w:rFonts w:hint="default" w:ascii="Times New Roman" w:hAnsi="Times New Roman" w:eastAsia="宋体" w:cs="Times New Roman"/>
          <w:color w:val="000000" w:themeColor="text1"/>
          <w:lang w:val="en-US" w:eastAsia="zh-CN"/>
          <w14:textFill>
            <w14:solidFill>
              <w14:schemeClr w14:val="tx1"/>
            </w14:solidFill>
          </w14:textFill>
        </w:rPr>
        <w:t>无设施企业</w:t>
      </w:r>
      <w:r>
        <w:rPr>
          <w:rFonts w:hint="default" w:ascii="Times New Roman" w:hAnsi="Times New Roman" w:eastAsia="宋体" w:cs="Times New Roman"/>
          <w:color w:val="000000" w:themeColor="text1"/>
          <w14:textFill>
            <w14:solidFill>
              <w14:schemeClr w14:val="tx1"/>
            </w14:solidFill>
          </w14:textFill>
        </w:rPr>
        <w:t>。根据兴安盟生态保护红线划定，该项目不在生态红线范围内，符合生态保护红线管控要求。本项目位于生态保护红线分布图中位置图见附图</w:t>
      </w:r>
      <w:r>
        <w:rPr>
          <w:rFonts w:hint="eastAsia" w:cs="Times New Roman"/>
          <w:color w:val="000000" w:themeColor="text1"/>
          <w:lang w:val="en-US" w:eastAsia="zh-CN"/>
          <w14:textFill>
            <w14:solidFill>
              <w14:schemeClr w14:val="tx1"/>
            </w14:solidFill>
          </w14:textFill>
        </w:rPr>
        <w:t>6</w:t>
      </w:r>
      <w:r>
        <w:rPr>
          <w:rFonts w:hint="default" w:ascii="Times New Roman" w:hAnsi="Times New Roman" w:eastAsia="宋体" w:cs="Times New Roman"/>
          <w:color w:val="000000" w:themeColor="text1"/>
          <w14:textFill>
            <w14:solidFill>
              <w14:schemeClr w14:val="tx1"/>
            </w14:solidFill>
          </w14:textFill>
        </w:rPr>
        <w:t>。</w:t>
      </w:r>
    </w:p>
    <w:p w14:paraId="228D8315">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（2）环境质量底线</w:t>
      </w:r>
    </w:p>
    <w:p w14:paraId="586FCF1C">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根据2023年内蒙古自治区生态环境状况公报，兴安盟2023年1月1日-2023年12月31日中心城区空气质量统计数据进行评价，SO</w:t>
      </w:r>
      <w:r>
        <w:rPr>
          <w:rFonts w:hint="default" w:ascii="Times New Roman" w:hAnsi="Times New Roman" w:eastAsia="宋体" w:cs="Times New Roman"/>
          <w:color w:val="000000" w:themeColor="text1"/>
          <w:vertAlign w:val="subscript"/>
          <w14:textFill>
            <w14:solidFill>
              <w14:schemeClr w14:val="tx1"/>
            </w14:solidFill>
          </w14:textFill>
        </w:rPr>
        <w:t>2</w:t>
      </w:r>
      <w:r>
        <w:rPr>
          <w:rFonts w:hint="default" w:ascii="Times New Roman" w:hAnsi="Times New Roman" w:eastAsia="宋体" w:cs="Times New Roman"/>
          <w:color w:val="000000" w:themeColor="text1"/>
          <w14:textFill>
            <w14:solidFill>
              <w14:schemeClr w14:val="tx1"/>
            </w14:solidFill>
          </w14:textFill>
        </w:rPr>
        <w:t>、NO</w:t>
      </w:r>
      <w:r>
        <w:rPr>
          <w:rFonts w:hint="default" w:ascii="Times New Roman" w:hAnsi="Times New Roman" w:eastAsia="宋体" w:cs="Times New Roman"/>
          <w:color w:val="000000" w:themeColor="text1"/>
          <w:vertAlign w:val="subscript"/>
          <w14:textFill>
            <w14:solidFill>
              <w14:schemeClr w14:val="tx1"/>
            </w14:solidFill>
          </w14:textFill>
        </w:rPr>
        <w:t>2</w:t>
      </w:r>
      <w:r>
        <w:rPr>
          <w:rFonts w:hint="default" w:ascii="Times New Roman" w:hAnsi="Times New Roman" w:eastAsia="宋体" w:cs="Times New Roman"/>
          <w:color w:val="000000" w:themeColor="text1"/>
          <w14:textFill>
            <w14:solidFill>
              <w14:schemeClr w14:val="tx1"/>
            </w14:solidFill>
          </w14:textFill>
        </w:rPr>
        <w:t>、PM</w:t>
      </w:r>
      <w:r>
        <w:rPr>
          <w:rFonts w:hint="default" w:ascii="Times New Roman" w:hAnsi="Times New Roman" w:eastAsia="宋体" w:cs="Times New Roman"/>
          <w:color w:val="000000" w:themeColor="text1"/>
          <w:vertAlign w:val="subscript"/>
          <w14:textFill>
            <w14:solidFill>
              <w14:schemeClr w14:val="tx1"/>
            </w14:solidFill>
          </w14:textFill>
        </w:rPr>
        <w:t>10</w:t>
      </w:r>
      <w:r>
        <w:rPr>
          <w:rFonts w:hint="default" w:ascii="Times New Roman" w:hAnsi="Times New Roman" w:eastAsia="宋体" w:cs="Times New Roman"/>
          <w:color w:val="000000" w:themeColor="text1"/>
          <w14:textFill>
            <w14:solidFill>
              <w14:schemeClr w14:val="tx1"/>
            </w14:solidFill>
          </w14:textFill>
        </w:rPr>
        <w:t>、PM</w:t>
      </w:r>
      <w:r>
        <w:rPr>
          <w:rFonts w:hint="default" w:ascii="Times New Roman" w:hAnsi="Times New Roman" w:eastAsia="宋体" w:cs="Times New Roman"/>
          <w:color w:val="000000" w:themeColor="text1"/>
          <w:vertAlign w:val="subscript"/>
          <w14:textFill>
            <w14:solidFill>
              <w14:schemeClr w14:val="tx1"/>
            </w14:solidFill>
          </w14:textFill>
        </w:rPr>
        <w:t>2.5</w:t>
      </w:r>
      <w:r>
        <w:rPr>
          <w:rFonts w:hint="default" w:ascii="Times New Roman" w:hAnsi="Times New Roman" w:eastAsia="宋体" w:cs="Times New Roman"/>
          <w:color w:val="000000" w:themeColor="text1"/>
          <w14:textFill>
            <w14:solidFill>
              <w14:schemeClr w14:val="tx1"/>
            </w14:solidFill>
          </w14:textFill>
        </w:rPr>
        <w:t>年均浓度分别为</w:t>
      </w:r>
      <w:r>
        <w:rPr>
          <w:rFonts w:hint="default" w:ascii="Times New Roman" w:hAnsi="Times New Roman" w:eastAsia="宋体" w:cs="Times New Roman"/>
          <w:color w:val="000000" w:themeColor="text1"/>
          <w:lang w:val="en-US" w:eastAsia="zh-CN"/>
          <w14:textFill>
            <w14:solidFill>
              <w14:schemeClr w14:val="tx1"/>
            </w14:solidFill>
          </w14:textFill>
        </w:rPr>
        <w:t>4</w:t>
      </w:r>
      <w:r>
        <w:rPr>
          <w:rFonts w:hint="default" w:ascii="Times New Roman" w:hAnsi="Times New Roman" w:eastAsia="宋体" w:cs="Times New Roman"/>
          <w:color w:val="000000" w:themeColor="text1"/>
          <w14:textFill>
            <w14:solidFill>
              <w14:schemeClr w14:val="tx1"/>
            </w14:solidFill>
          </w14:textFill>
        </w:rPr>
        <w:t>ug/m</w:t>
      </w:r>
      <w:r>
        <w:rPr>
          <w:rFonts w:hint="default" w:ascii="Times New Roman" w:hAnsi="Times New Roman" w:eastAsia="宋体" w:cs="Times New Roman"/>
          <w:color w:val="000000" w:themeColor="text1"/>
          <w:vertAlign w:val="superscript"/>
          <w14:textFill>
            <w14:solidFill>
              <w14:schemeClr w14:val="tx1"/>
            </w14:solidFill>
          </w14:textFill>
        </w:rPr>
        <w:t>3</w:t>
      </w:r>
      <w:r>
        <w:rPr>
          <w:rFonts w:hint="default" w:ascii="Times New Roman" w:hAnsi="Times New Roman" w:eastAsia="宋体" w:cs="Times New Roman"/>
          <w:color w:val="000000" w:themeColor="text1"/>
          <w14:textFill>
            <w14:solidFill>
              <w14:schemeClr w14:val="tx1"/>
            </w14:solidFill>
          </w14:textFill>
        </w:rPr>
        <w:t>、</w:t>
      </w:r>
      <w:r>
        <w:rPr>
          <w:rFonts w:hint="default" w:ascii="Times New Roman" w:hAnsi="Times New Roman" w:eastAsia="宋体" w:cs="Times New Roman"/>
          <w:color w:val="000000" w:themeColor="text1"/>
          <w:lang w:val="en-US" w:eastAsia="zh-CN"/>
          <w14:textFill>
            <w14:solidFill>
              <w14:schemeClr w14:val="tx1"/>
            </w14:solidFill>
          </w14:textFill>
        </w:rPr>
        <w:t>14</w:t>
      </w:r>
      <w:r>
        <w:rPr>
          <w:rFonts w:hint="default" w:ascii="Times New Roman" w:hAnsi="Times New Roman" w:eastAsia="宋体" w:cs="Times New Roman"/>
          <w:color w:val="000000" w:themeColor="text1"/>
          <w14:textFill>
            <w14:solidFill>
              <w14:schemeClr w14:val="tx1"/>
            </w14:solidFill>
          </w14:textFill>
        </w:rPr>
        <w:t>ug/m</w:t>
      </w:r>
      <w:r>
        <w:rPr>
          <w:rFonts w:hint="default" w:ascii="Times New Roman" w:hAnsi="Times New Roman" w:eastAsia="宋体" w:cs="Times New Roman"/>
          <w:color w:val="000000" w:themeColor="text1"/>
          <w:vertAlign w:val="superscript"/>
          <w14:textFill>
            <w14:solidFill>
              <w14:schemeClr w14:val="tx1"/>
            </w14:solidFill>
          </w14:textFill>
        </w:rPr>
        <w:t>3</w:t>
      </w:r>
      <w:r>
        <w:rPr>
          <w:rFonts w:hint="default" w:ascii="Times New Roman" w:hAnsi="Times New Roman" w:eastAsia="宋体" w:cs="Times New Roman"/>
          <w:color w:val="000000" w:themeColor="text1"/>
          <w14:textFill>
            <w14:solidFill>
              <w14:schemeClr w14:val="tx1"/>
            </w14:solidFill>
          </w14:textFill>
        </w:rPr>
        <w:t>、</w:t>
      </w:r>
      <w:r>
        <w:rPr>
          <w:rFonts w:hint="default" w:ascii="Times New Roman" w:hAnsi="Times New Roman" w:eastAsia="宋体" w:cs="Times New Roman"/>
          <w:color w:val="000000" w:themeColor="text1"/>
          <w:lang w:val="en-US" w:eastAsia="zh-CN"/>
          <w14:textFill>
            <w14:solidFill>
              <w14:schemeClr w14:val="tx1"/>
            </w14:solidFill>
          </w14:textFill>
        </w:rPr>
        <w:t>37</w:t>
      </w:r>
      <w:r>
        <w:rPr>
          <w:rFonts w:hint="default" w:ascii="Times New Roman" w:hAnsi="Times New Roman" w:eastAsia="宋体" w:cs="Times New Roman"/>
          <w:color w:val="000000" w:themeColor="text1"/>
          <w14:textFill>
            <w14:solidFill>
              <w14:schemeClr w14:val="tx1"/>
            </w14:solidFill>
          </w14:textFill>
        </w:rPr>
        <w:t>ug/m</w:t>
      </w:r>
      <w:r>
        <w:rPr>
          <w:rFonts w:hint="default" w:ascii="Times New Roman" w:hAnsi="Times New Roman" w:eastAsia="宋体" w:cs="Times New Roman"/>
          <w:color w:val="000000" w:themeColor="text1"/>
          <w:vertAlign w:val="superscript"/>
          <w14:textFill>
            <w14:solidFill>
              <w14:schemeClr w14:val="tx1"/>
            </w14:solidFill>
          </w14:textFill>
        </w:rPr>
        <w:t>3</w:t>
      </w:r>
      <w:r>
        <w:rPr>
          <w:rFonts w:hint="default" w:ascii="Times New Roman" w:hAnsi="Times New Roman" w:eastAsia="宋体" w:cs="Times New Roman"/>
          <w:color w:val="000000" w:themeColor="text1"/>
          <w14:textFill>
            <w14:solidFill>
              <w14:schemeClr w14:val="tx1"/>
            </w14:solidFill>
          </w14:textFill>
        </w:rPr>
        <w:t>、</w:t>
      </w:r>
      <w:r>
        <w:rPr>
          <w:rFonts w:hint="default" w:ascii="Times New Roman" w:hAnsi="Times New Roman" w:eastAsia="宋体" w:cs="Times New Roman"/>
          <w:color w:val="000000" w:themeColor="text1"/>
          <w:lang w:val="en-US" w:eastAsia="zh-CN"/>
          <w14:textFill>
            <w14:solidFill>
              <w14:schemeClr w14:val="tx1"/>
            </w14:solidFill>
          </w14:textFill>
        </w:rPr>
        <w:t>22</w:t>
      </w:r>
      <w:r>
        <w:rPr>
          <w:rFonts w:hint="default" w:ascii="Times New Roman" w:hAnsi="Times New Roman" w:eastAsia="宋体" w:cs="Times New Roman"/>
          <w:color w:val="000000" w:themeColor="text1"/>
          <w14:textFill>
            <w14:solidFill>
              <w14:schemeClr w14:val="tx1"/>
            </w14:solidFill>
          </w14:textFill>
        </w:rPr>
        <w:t>ug/m</w:t>
      </w:r>
      <w:r>
        <w:rPr>
          <w:rFonts w:hint="default" w:ascii="Times New Roman" w:hAnsi="Times New Roman" w:eastAsia="宋体" w:cs="Times New Roman"/>
          <w:color w:val="000000" w:themeColor="text1"/>
          <w:vertAlign w:val="superscript"/>
          <w14:textFill>
            <w14:solidFill>
              <w14:schemeClr w14:val="tx1"/>
            </w14:solidFill>
          </w14:textFill>
        </w:rPr>
        <w:t>3</w:t>
      </w:r>
      <w:r>
        <w:rPr>
          <w:rFonts w:hint="default" w:ascii="Times New Roman" w:hAnsi="Times New Roman" w:eastAsia="宋体" w:cs="Times New Roman"/>
          <w:color w:val="000000" w:themeColor="text1"/>
          <w14:textFill>
            <w14:solidFill>
              <w14:schemeClr w14:val="tx1"/>
            </w14:solidFill>
          </w14:textFill>
        </w:rPr>
        <w:t>；CO24小时平均第95百分位数为0.</w:t>
      </w:r>
      <w:r>
        <w:rPr>
          <w:rFonts w:hint="default" w:ascii="Times New Roman" w:hAnsi="Times New Roman" w:eastAsia="宋体" w:cs="Times New Roman"/>
          <w:color w:val="000000" w:themeColor="text1"/>
          <w:lang w:val="en-US" w:eastAsia="zh-CN"/>
          <w14:textFill>
            <w14:solidFill>
              <w14:schemeClr w14:val="tx1"/>
            </w14:solidFill>
          </w14:textFill>
        </w:rPr>
        <w:t>7</w:t>
      </w:r>
      <w:r>
        <w:rPr>
          <w:rFonts w:hint="default" w:ascii="Times New Roman" w:hAnsi="Times New Roman" w:eastAsia="宋体" w:cs="Times New Roman"/>
          <w:color w:val="000000" w:themeColor="text1"/>
          <w14:textFill>
            <w14:solidFill>
              <w14:schemeClr w14:val="tx1"/>
            </w14:solidFill>
          </w14:textFill>
        </w:rPr>
        <w:t>mg/m</w:t>
      </w:r>
      <w:r>
        <w:rPr>
          <w:rFonts w:hint="default" w:ascii="Times New Roman" w:hAnsi="Times New Roman" w:eastAsia="宋体" w:cs="Times New Roman"/>
          <w:color w:val="000000" w:themeColor="text1"/>
          <w:vertAlign w:val="superscript"/>
          <w14:textFill>
            <w14:solidFill>
              <w14:schemeClr w14:val="tx1"/>
            </w14:solidFill>
          </w14:textFill>
        </w:rPr>
        <w:t>3</w:t>
      </w:r>
      <w:r>
        <w:rPr>
          <w:rFonts w:hint="default" w:ascii="Times New Roman" w:hAnsi="Times New Roman" w:eastAsia="宋体" w:cs="Times New Roman"/>
          <w:color w:val="000000" w:themeColor="text1"/>
          <w14:textFill>
            <w14:solidFill>
              <w14:schemeClr w14:val="tx1"/>
            </w14:solidFill>
          </w14:textFill>
        </w:rPr>
        <w:t>，O</w:t>
      </w:r>
      <w:r>
        <w:rPr>
          <w:rFonts w:hint="default" w:ascii="Times New Roman" w:hAnsi="Times New Roman" w:eastAsia="宋体" w:cs="Times New Roman"/>
          <w:color w:val="000000" w:themeColor="text1"/>
          <w:vertAlign w:val="subscript"/>
          <w14:textFill>
            <w14:solidFill>
              <w14:schemeClr w14:val="tx1"/>
            </w14:solidFill>
          </w14:textFill>
        </w:rPr>
        <w:t>3</w:t>
      </w:r>
      <w:r>
        <w:rPr>
          <w:rFonts w:hint="default" w:ascii="Times New Roman" w:hAnsi="Times New Roman" w:eastAsia="宋体" w:cs="Times New Roman"/>
          <w:color w:val="000000" w:themeColor="text1"/>
          <w14:textFill>
            <w14:solidFill>
              <w14:schemeClr w14:val="tx1"/>
            </w14:solidFill>
          </w14:textFill>
        </w:rPr>
        <w:t>日最大8小时平均第90百分位数为</w:t>
      </w:r>
      <w:r>
        <w:rPr>
          <w:rFonts w:hint="default" w:ascii="Times New Roman" w:hAnsi="Times New Roman" w:eastAsia="宋体" w:cs="Times New Roman"/>
          <w:color w:val="000000" w:themeColor="text1"/>
          <w:lang w:val="en-US" w:eastAsia="zh-CN"/>
          <w14:textFill>
            <w14:solidFill>
              <w14:schemeClr w14:val="tx1"/>
            </w14:solidFill>
          </w14:textFill>
        </w:rPr>
        <w:t>98</w:t>
      </w:r>
      <w:r>
        <w:rPr>
          <w:rFonts w:hint="default" w:ascii="Times New Roman" w:hAnsi="Times New Roman" w:eastAsia="宋体" w:cs="Times New Roman"/>
          <w:color w:val="000000" w:themeColor="text1"/>
          <w14:textFill>
            <w14:solidFill>
              <w14:schemeClr w14:val="tx1"/>
            </w14:solidFill>
          </w14:textFill>
        </w:rPr>
        <w:t>µg/m</w:t>
      </w:r>
      <w:r>
        <w:rPr>
          <w:rFonts w:hint="default" w:ascii="Times New Roman" w:hAnsi="Times New Roman" w:eastAsia="宋体" w:cs="Times New Roman"/>
          <w:color w:val="000000" w:themeColor="text1"/>
          <w:vertAlign w:val="superscript"/>
          <w14:textFill>
            <w14:solidFill>
              <w14:schemeClr w14:val="tx1"/>
            </w14:solidFill>
          </w14:textFill>
        </w:rPr>
        <w:t>3</w:t>
      </w:r>
      <w:r>
        <w:rPr>
          <w:rFonts w:hint="default" w:ascii="Times New Roman" w:hAnsi="Times New Roman" w:eastAsia="宋体" w:cs="Times New Roman"/>
          <w:color w:val="000000" w:themeColor="text1"/>
          <w14:textFill>
            <w14:solidFill>
              <w14:schemeClr w14:val="tx1"/>
            </w14:solidFill>
          </w14:textFill>
        </w:rPr>
        <w:t>，均符合《环境空气质量标准》（GB3095-2012）及2019年修改单二级标准限值要求，项目区域属于达标区。</w:t>
      </w:r>
    </w:p>
    <w:p w14:paraId="6E1DBCAF">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声环境属于《声环境质量标准》（GB3096-2008）2类功能区，区域环境质量现状较好，具有环境容量，本工程采取规定的治理措施后，在正常生产情况下，项目各项污染物均能达标排放。项目三废均能有效处理，不会明显降低区域环境质量现状，符合环境质量底线要求。</w:t>
      </w:r>
    </w:p>
    <w:p w14:paraId="713584AD">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（3）资源利用上线</w:t>
      </w:r>
    </w:p>
    <w:p w14:paraId="0C703B24">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资源是环境的载体，资源利用上限是各地区能源、水、土地等资源消耗不得突破的“天花板”。</w:t>
      </w:r>
    </w:p>
    <w:p w14:paraId="00FE7CE5">
      <w:pPr>
        <w:ind w:firstLine="480"/>
        <w:rPr>
          <w:rFonts w:hint="default" w:ascii="Times New Roman" w:hAnsi="Times New Roman" w:eastAsia="宋体" w:cs="Times New Roman"/>
          <w:color w:val="000000" w:themeColor="text1"/>
          <w14:textFill>
            <w14:solidFill>
              <w14:schemeClr w14:val="tx1"/>
            </w14:solidFill>
          </w14:textFill>
        </w:rPr>
      </w:pPr>
      <w:r>
        <w:rPr>
          <w:rFonts w:ascii="Times New Roman" w:hAnsi="Times New Roman" w:eastAsia="宋体"/>
          <w:color w:val="auto"/>
          <w:highlight w:val="none"/>
        </w:rPr>
        <w:t>本项目运营过程中消耗一定的电源、水资源等，</w:t>
      </w:r>
      <w:r>
        <w:rPr>
          <w:rFonts w:hint="eastAsia" w:ascii="Times New Roman" w:hAnsi="Times New Roman" w:eastAsia="宋体"/>
          <w:color w:val="auto"/>
          <w:highlight w:val="none"/>
        </w:rPr>
        <w:t>项目</w:t>
      </w:r>
      <w:r>
        <w:rPr>
          <w:rFonts w:hint="default" w:ascii="Times New Roman" w:hAnsi="Times New Roman" w:eastAsia="宋体" w:cs="Times New Roman"/>
          <w:color w:val="000000" w:themeColor="text1"/>
          <w:lang w:val="en-US" w:eastAsia="zh-CN"/>
          <w14:textFill>
            <w14:solidFill>
              <w14:schemeClr w14:val="tx1"/>
            </w14:solidFill>
          </w14:textFill>
        </w:rPr>
        <w:t>用水来自自备水井</w:t>
      </w:r>
      <w:r>
        <w:rPr>
          <w:rFonts w:hint="default" w:ascii="Times New Roman" w:hAnsi="Times New Roman" w:eastAsia="宋体" w:cs="Times New Roman"/>
          <w:color w:val="000000" w:themeColor="text1"/>
          <w14:textFill>
            <w14:solidFill>
              <w14:schemeClr w14:val="tx1"/>
            </w14:solidFill>
          </w14:textFill>
        </w:rPr>
        <w:t>，</w:t>
      </w:r>
      <w:r>
        <w:rPr>
          <w:rFonts w:hint="eastAsia" w:ascii="Times New Roman" w:hAnsi="Times New Roman" w:eastAsia="宋体"/>
          <w:color w:val="auto"/>
          <w:highlight w:val="none"/>
          <w:lang w:val="en-US" w:eastAsia="zh-CN"/>
        </w:rPr>
        <w:t>且</w:t>
      </w:r>
      <w:r>
        <w:rPr>
          <w:rFonts w:ascii="Times New Roman" w:hAnsi="Times New Roman" w:eastAsia="宋体"/>
          <w:color w:val="auto"/>
          <w:highlight w:val="none"/>
        </w:rPr>
        <w:t>取得取水</w:t>
      </w:r>
      <w:r>
        <w:rPr>
          <w:rFonts w:hint="eastAsia" w:ascii="Times New Roman" w:hAnsi="Times New Roman" w:eastAsia="宋体"/>
          <w:color w:val="auto"/>
          <w:highlight w:val="none"/>
          <w:lang w:eastAsia="zh-CN"/>
        </w:rPr>
        <w:t>许可</w:t>
      </w:r>
      <w:r>
        <w:rPr>
          <w:rFonts w:ascii="Times New Roman" w:hAnsi="Times New Roman" w:eastAsia="宋体"/>
          <w:color w:val="auto"/>
          <w:highlight w:val="none"/>
        </w:rPr>
        <w:t>证，</w:t>
      </w:r>
      <w:r>
        <w:rPr>
          <w:rFonts w:hint="eastAsia" w:ascii="Times New Roman" w:hAnsi="Times New Roman" w:eastAsia="宋体"/>
          <w:color w:val="auto"/>
          <w:highlight w:val="none"/>
          <w:lang w:val="en-US" w:eastAsia="zh-CN"/>
        </w:rPr>
        <w:t>并</w:t>
      </w:r>
      <w:r>
        <w:rPr>
          <w:rFonts w:ascii="Times New Roman" w:hAnsi="Times New Roman" w:eastAsia="宋体"/>
          <w:color w:val="auto"/>
          <w:highlight w:val="none"/>
        </w:rPr>
        <w:t>采用节水设施，资源消耗量相对区域资源利用总量较少</w:t>
      </w:r>
      <w:r>
        <w:rPr>
          <w:rFonts w:hint="eastAsia" w:ascii="Times New Roman" w:hAnsi="Times New Roman" w:eastAsia="宋体"/>
          <w:color w:val="auto"/>
          <w:highlight w:val="none"/>
          <w:lang w:eastAsia="zh-CN"/>
        </w:rPr>
        <w:t>。</w:t>
      </w:r>
      <w:r>
        <w:rPr>
          <w:rFonts w:ascii="宋体" w:hAnsi="宋体" w:eastAsia="宋体" w:cs="宋体"/>
          <w:spacing w:val="-3"/>
          <w:sz w:val="24"/>
          <w:szCs w:val="24"/>
        </w:rPr>
        <w:t>本项目</w:t>
      </w:r>
      <w:r>
        <w:rPr>
          <w:rFonts w:hint="default" w:ascii="Times New Roman" w:hAnsi="Times New Roman" w:eastAsia="宋体" w:cs="Times New Roman"/>
          <w:color w:val="000000" w:themeColor="text1"/>
          <w14:textFill>
            <w14:solidFill>
              <w14:schemeClr w14:val="tx1"/>
            </w14:solidFill>
          </w14:textFill>
        </w:rPr>
        <w:t>新征用地约157.155495亩</w:t>
      </w:r>
      <w:r>
        <w:rPr>
          <w:rFonts w:hint="default" w:ascii="Times New Roman" w:hAnsi="Times New Roman" w:eastAsia="宋体" w:cs="Times New Roman"/>
          <w:color w:val="000000" w:themeColor="text1"/>
          <w:lang w:eastAsia="zh-CN"/>
          <w14:textFill>
            <w14:solidFill>
              <w14:schemeClr w14:val="tx1"/>
            </w14:solidFill>
          </w14:textFill>
        </w:rPr>
        <w:t>（</w:t>
      </w:r>
      <w:r>
        <w:rPr>
          <w:rFonts w:hint="default" w:ascii="Times New Roman" w:hAnsi="Times New Roman" w:eastAsia="宋体" w:cs="Times New Roman"/>
          <w:color w:val="000000" w:themeColor="text1"/>
          <w:lang w:val="en-US" w:eastAsia="zh-CN"/>
          <w14:textFill>
            <w14:solidFill>
              <w14:schemeClr w14:val="tx1"/>
            </w14:solidFill>
          </w14:textFill>
        </w:rPr>
        <w:t>104770.33m</w:t>
      </w:r>
      <w:r>
        <w:rPr>
          <w:rFonts w:hint="default" w:ascii="Times New Roman" w:hAnsi="Times New Roman" w:eastAsia="宋体" w:cs="Times New Roman"/>
          <w:color w:val="000000" w:themeColor="text1"/>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lang w:eastAsia="zh-CN"/>
          <w14:textFill>
            <w14:solidFill>
              <w14:schemeClr w14:val="tx1"/>
            </w14:solidFill>
          </w14:textFill>
        </w:rPr>
        <w:t>）</w:t>
      </w:r>
      <w:r>
        <w:rPr>
          <w:rFonts w:hint="eastAsia" w:ascii="Times New Roman" w:hAnsi="Times New Roman" w:eastAsia="宋体" w:cs="Times New Roman"/>
          <w:color w:val="000000" w:themeColor="text1"/>
          <w:lang w:eastAsia="zh-CN"/>
          <w14:textFill>
            <w14:solidFill>
              <w14:schemeClr w14:val="tx1"/>
            </w14:solidFill>
          </w14:textFill>
        </w:rPr>
        <w:t>，</w:t>
      </w:r>
      <w:r>
        <w:rPr>
          <w:rFonts w:ascii="宋体" w:hAnsi="宋体" w:eastAsia="宋体" w:cs="宋体"/>
          <w:spacing w:val="-3"/>
          <w:sz w:val="24"/>
          <w:szCs w:val="24"/>
        </w:rPr>
        <w:t>建设地点</w:t>
      </w:r>
      <w:r>
        <w:rPr>
          <w:rFonts w:ascii="宋体" w:hAnsi="宋体" w:eastAsia="宋体" w:cs="宋体"/>
          <w:spacing w:val="-7"/>
          <w:sz w:val="24"/>
          <w:szCs w:val="24"/>
        </w:rPr>
        <w:t>所占土地属于</w:t>
      </w:r>
      <w:r>
        <w:rPr>
          <w:rFonts w:hint="eastAsia" w:ascii="宋体" w:hAnsi="宋体" w:eastAsia="宋体" w:cs="宋体"/>
          <w:spacing w:val="-7"/>
          <w:sz w:val="24"/>
          <w:szCs w:val="24"/>
          <w:lang w:eastAsia="zh-CN"/>
        </w:rPr>
        <w:t>农用地</w:t>
      </w:r>
      <w:r>
        <w:rPr>
          <w:rFonts w:ascii="宋体" w:hAnsi="宋体" w:eastAsia="宋体" w:cs="宋体"/>
          <w:spacing w:val="-7"/>
          <w:sz w:val="24"/>
          <w:szCs w:val="24"/>
        </w:rPr>
        <w:t>，不改变、新增用地性质，</w:t>
      </w:r>
      <w:r>
        <w:rPr>
          <w:rFonts w:ascii="Times New Roman" w:hAnsi="Times New Roman" w:eastAsia="宋体"/>
          <w:color w:val="auto"/>
          <w:highlight w:val="none"/>
        </w:rPr>
        <w:t>符合资源利用上线要求。</w:t>
      </w:r>
      <w:r>
        <w:rPr>
          <w:rFonts w:hint="default" w:ascii="Times New Roman" w:hAnsi="Times New Roman" w:eastAsia="宋体" w:cs="Times New Roman"/>
          <w:color w:val="000000" w:themeColor="text1"/>
          <w14:textFill>
            <w14:solidFill>
              <w14:schemeClr w14:val="tx1"/>
            </w14:solidFill>
          </w14:textFill>
        </w:rPr>
        <w:t>因此，本项目符合资源利用上线要求。</w:t>
      </w:r>
    </w:p>
    <w:p w14:paraId="7960C0D3">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综上所述，本工程建设不会突破当地资源利用上线的要求。</w:t>
      </w:r>
    </w:p>
    <w:p w14:paraId="1700BE40">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（4）生态环境准入清单</w:t>
      </w:r>
    </w:p>
    <w:p w14:paraId="5ED3D1D8">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根据《兴安盟生态环境准入清单》中“二、旗县区（市）环境管控单元准入要求-（三）兴安盟科尔沁右翼前旗生态环境准入清单”管控要求分析，本项目占地涉及3个管控单元，环境管控单元编码分别为：ZH15222110011、ZH15222120003、ZH15222130001，管控单元名称分别为：科尔沁右翼前旗一般生态空间-水源涵养、科尔沁右翼前旗采矿用地、科尔沁右翼前旗一般管控单元，管控分别类别为：一般管控单元和优先保护单元。本项目位于生态环境准入空间位置图见附图。</w:t>
      </w:r>
    </w:p>
    <w:p w14:paraId="1F00CA35">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生态环境准入清单分析情况如下：</w:t>
      </w:r>
    </w:p>
    <w:bookmarkEnd w:id="44"/>
    <w:p w14:paraId="3ECEB573">
      <w:pPr>
        <w:ind w:firstLine="422"/>
        <w:jc w:val="center"/>
        <w:rPr>
          <w:rFonts w:hint="default" w:ascii="Times New Roman" w:hAnsi="Times New Roman" w:eastAsia="宋体" w:cs="Times New Roman"/>
          <w:b/>
          <w:color w:val="000000" w:themeColor="text1"/>
          <w:sz w:val="21"/>
          <w:szCs w:val="21"/>
          <w14:textFill>
            <w14:solidFill>
              <w14:schemeClr w14:val="tx1"/>
            </w14:solidFill>
          </w14:textFill>
        </w:rPr>
      </w:pPr>
    </w:p>
    <w:p w14:paraId="2E0AB398">
      <w:pPr>
        <w:ind w:firstLine="422"/>
        <w:jc w:val="center"/>
        <w:rPr>
          <w:rFonts w:hint="default" w:ascii="Times New Roman" w:hAnsi="Times New Roman" w:eastAsia="宋体" w:cs="Times New Roman"/>
          <w:b/>
          <w:color w:val="000000" w:themeColor="text1"/>
          <w:sz w:val="21"/>
          <w:szCs w:val="21"/>
          <w14:textFill>
            <w14:solidFill>
              <w14:schemeClr w14:val="tx1"/>
            </w14:solidFill>
          </w14:textFill>
        </w:rPr>
      </w:pPr>
    </w:p>
    <w:p w14:paraId="47F9C335">
      <w:pPr>
        <w:ind w:firstLine="422"/>
        <w:jc w:val="center"/>
        <w:rPr>
          <w:rFonts w:hint="default" w:ascii="Times New Roman" w:hAnsi="Times New Roman" w:eastAsia="宋体" w:cs="Times New Roman"/>
          <w:b/>
          <w:color w:val="000000" w:themeColor="text1"/>
          <w:sz w:val="21"/>
          <w:szCs w:val="21"/>
          <w14:textFill>
            <w14:solidFill>
              <w14:schemeClr w14:val="tx1"/>
            </w14:solidFill>
          </w14:textFill>
        </w:rPr>
      </w:pPr>
      <w:r>
        <w:rPr>
          <w:rFonts w:hint="default" w:ascii="Times New Roman" w:hAnsi="Times New Roman" w:eastAsia="宋体" w:cs="Times New Roman"/>
          <w:b/>
          <w:color w:val="000000" w:themeColor="text1"/>
          <w:sz w:val="21"/>
          <w:szCs w:val="21"/>
          <w14:textFill>
            <w14:solidFill>
              <w14:schemeClr w14:val="tx1"/>
            </w14:solidFill>
          </w14:textFill>
        </w:rPr>
        <w:t>表1.3-8本项目与兴安盟科尔沁右翼前旗生态环境准入清单符合性分析</w:t>
      </w:r>
    </w:p>
    <w:tbl>
      <w:tblPr>
        <w:tblStyle w:val="29"/>
        <w:tblW w:w="55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512"/>
        <w:gridCol w:w="517"/>
        <w:gridCol w:w="629"/>
        <w:gridCol w:w="509"/>
        <w:gridCol w:w="4822"/>
        <w:gridCol w:w="1641"/>
        <w:gridCol w:w="566"/>
      </w:tblGrid>
      <w:tr w14:paraId="38AE70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275" w:type="pct"/>
            <w:vAlign w:val="center"/>
          </w:tcPr>
          <w:p w14:paraId="4EE830EA">
            <w:pPr>
              <w:autoSpaceDE w:val="0"/>
              <w:adjustRightInd w:val="0"/>
              <w:snapToGrid w:val="0"/>
              <w:spacing w:line="240" w:lineRule="auto"/>
              <w:ind w:firstLine="0" w:firstLineChars="0"/>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单元</w:t>
            </w:r>
          </w:p>
          <w:p w14:paraId="4B31B653">
            <w:pPr>
              <w:autoSpaceDE w:val="0"/>
              <w:adjustRightInd w:val="0"/>
              <w:snapToGrid w:val="0"/>
              <w:spacing w:line="240" w:lineRule="auto"/>
              <w:ind w:firstLine="0" w:firstLineChars="0"/>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编码</w:t>
            </w:r>
          </w:p>
        </w:tc>
        <w:tc>
          <w:tcPr>
            <w:tcW w:w="281" w:type="pct"/>
            <w:vAlign w:val="center"/>
          </w:tcPr>
          <w:p w14:paraId="6ADBD659">
            <w:pPr>
              <w:autoSpaceDE w:val="0"/>
              <w:adjustRightInd w:val="0"/>
              <w:snapToGrid w:val="0"/>
              <w:spacing w:line="240" w:lineRule="auto"/>
              <w:ind w:firstLine="0" w:firstLineChars="0"/>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单元</w:t>
            </w:r>
          </w:p>
          <w:p w14:paraId="23CCFCF7">
            <w:pPr>
              <w:autoSpaceDE w:val="0"/>
              <w:adjustRightInd w:val="0"/>
              <w:snapToGrid w:val="0"/>
              <w:spacing w:line="240" w:lineRule="auto"/>
              <w:ind w:firstLine="0" w:firstLineChars="0"/>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名称</w:t>
            </w:r>
          </w:p>
        </w:tc>
        <w:tc>
          <w:tcPr>
            <w:tcW w:w="342" w:type="pct"/>
            <w:vAlign w:val="center"/>
          </w:tcPr>
          <w:p w14:paraId="10323FDD">
            <w:pPr>
              <w:autoSpaceDE w:val="0"/>
              <w:adjustRightInd w:val="0"/>
              <w:snapToGrid w:val="0"/>
              <w:spacing w:line="240" w:lineRule="auto"/>
              <w:ind w:firstLine="0" w:firstLineChars="0"/>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单元</w:t>
            </w:r>
          </w:p>
          <w:p w14:paraId="2088FA64">
            <w:pPr>
              <w:autoSpaceDE w:val="0"/>
              <w:adjustRightInd w:val="0"/>
              <w:snapToGrid w:val="0"/>
              <w:spacing w:line="240" w:lineRule="auto"/>
              <w:ind w:firstLine="0" w:firstLineChars="0"/>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类别</w:t>
            </w:r>
          </w:p>
        </w:tc>
        <w:tc>
          <w:tcPr>
            <w:tcW w:w="277" w:type="pct"/>
            <w:vAlign w:val="center"/>
          </w:tcPr>
          <w:p w14:paraId="256D1A90">
            <w:pPr>
              <w:autoSpaceDE w:val="0"/>
              <w:adjustRightInd w:val="0"/>
              <w:snapToGrid w:val="0"/>
              <w:spacing w:line="240" w:lineRule="auto"/>
              <w:ind w:firstLine="0" w:firstLineChars="0"/>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维度</w:t>
            </w:r>
          </w:p>
        </w:tc>
        <w:tc>
          <w:tcPr>
            <w:tcW w:w="2622" w:type="pct"/>
            <w:tcMar>
              <w:top w:w="57" w:type="dxa"/>
              <w:left w:w="108" w:type="dxa"/>
              <w:bottom w:w="57" w:type="dxa"/>
              <w:right w:w="108" w:type="dxa"/>
            </w:tcMar>
            <w:vAlign w:val="center"/>
          </w:tcPr>
          <w:p w14:paraId="447B9713">
            <w:pPr>
              <w:autoSpaceDE w:val="0"/>
              <w:adjustRightInd w:val="0"/>
              <w:snapToGrid w:val="0"/>
              <w:spacing w:line="240" w:lineRule="auto"/>
              <w:ind w:firstLine="0" w:firstLineChars="0"/>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管控要求</w:t>
            </w:r>
          </w:p>
        </w:tc>
        <w:tc>
          <w:tcPr>
            <w:tcW w:w="892" w:type="pct"/>
            <w:vAlign w:val="center"/>
          </w:tcPr>
          <w:p w14:paraId="73E61817">
            <w:pPr>
              <w:widowControl/>
              <w:spacing w:line="240" w:lineRule="auto"/>
              <w:ind w:firstLine="0" w:firstLineChars="0"/>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本项目情况</w:t>
            </w:r>
          </w:p>
        </w:tc>
        <w:tc>
          <w:tcPr>
            <w:tcW w:w="308" w:type="pct"/>
            <w:vAlign w:val="center"/>
          </w:tcPr>
          <w:p w14:paraId="500E59B3">
            <w:pPr>
              <w:widowControl/>
              <w:spacing w:line="240" w:lineRule="auto"/>
              <w:ind w:firstLine="0" w:firstLineChars="0"/>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是否符合</w:t>
            </w:r>
          </w:p>
        </w:tc>
      </w:tr>
      <w:tr w14:paraId="7F667D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275" w:type="pct"/>
            <w:vAlign w:val="center"/>
          </w:tcPr>
          <w:p w14:paraId="0F180971">
            <w:pPr>
              <w:autoSpaceDE w:val="0"/>
              <w:adjustRightInd w:val="0"/>
              <w:snapToGrid w:val="0"/>
              <w:spacing w:line="240" w:lineRule="auto"/>
              <w:ind w:firstLine="0" w:firstLineChars="0"/>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ZH15222110011</w:t>
            </w:r>
          </w:p>
        </w:tc>
        <w:tc>
          <w:tcPr>
            <w:tcW w:w="281" w:type="pct"/>
            <w:vAlign w:val="center"/>
          </w:tcPr>
          <w:p w14:paraId="5786F977">
            <w:pPr>
              <w:autoSpaceDE w:val="0"/>
              <w:adjustRightInd w:val="0"/>
              <w:snapToGrid w:val="0"/>
              <w:spacing w:line="240" w:lineRule="auto"/>
              <w:ind w:firstLine="0" w:firstLineChars="0"/>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科尔沁右翼前旗一般生态空间-水源涵养</w:t>
            </w:r>
          </w:p>
        </w:tc>
        <w:tc>
          <w:tcPr>
            <w:tcW w:w="342" w:type="pct"/>
            <w:vAlign w:val="center"/>
          </w:tcPr>
          <w:p w14:paraId="4AEE5A03">
            <w:pPr>
              <w:autoSpaceDE w:val="0"/>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优先保护单元</w:t>
            </w:r>
          </w:p>
        </w:tc>
        <w:tc>
          <w:tcPr>
            <w:tcW w:w="277" w:type="pct"/>
            <w:vAlign w:val="center"/>
          </w:tcPr>
          <w:p w14:paraId="322FBE4E">
            <w:pPr>
              <w:autoSpaceDE w:val="0"/>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空间布局约束</w:t>
            </w:r>
          </w:p>
        </w:tc>
        <w:tc>
          <w:tcPr>
            <w:tcW w:w="2622" w:type="pct"/>
            <w:vAlign w:val="center"/>
          </w:tcPr>
          <w:p w14:paraId="009A65A8">
            <w:pPr>
              <w:autoSpaceDE w:val="0"/>
              <w:adjustRightInd w:val="0"/>
              <w:snapToGrid w:val="0"/>
              <w:spacing w:line="240" w:lineRule="auto"/>
              <w:ind w:firstLine="0" w:firstLineChars="0"/>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禁止过度放牧、无序采矿、毁林开荒、开垦草原等损害或不利于维护水源涵养功能的人类活动。禁止新建高水资源消耗产业。禁止新建纺织印染、制革、造纸、石化、化工、医药、金属冶炼等水污染或大气污染较重的项目。区内现有不符合布局要求的，限期退出或关停。对已造成的污染或损害，应限期治理。</w:t>
            </w:r>
          </w:p>
          <w:p w14:paraId="265ACA29">
            <w:pPr>
              <w:autoSpaceDE w:val="0"/>
              <w:adjustRightInd w:val="0"/>
              <w:snapToGrid w:val="0"/>
              <w:spacing w:line="240" w:lineRule="auto"/>
              <w:ind w:firstLine="0" w:firstLineChars="0"/>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2.严格水域岸线用途管制，新建项目一律不得违规占用水域。严禁破坏生态的岸线利用行为和不符合其功能定位的开发建设活动，严禁以各种名义侵占河道、围垦湖泊、非法采砂等。</w:t>
            </w:r>
          </w:p>
        </w:tc>
        <w:tc>
          <w:tcPr>
            <w:tcW w:w="892" w:type="pct"/>
            <w:vAlign w:val="center"/>
          </w:tcPr>
          <w:p w14:paraId="617812BE">
            <w:pPr>
              <w:autoSpaceDE w:val="0"/>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项目属于</w:t>
            </w:r>
            <w:r>
              <w:rPr>
                <w:rFonts w:hint="default" w:ascii="Times New Roman" w:hAnsi="Times New Roman" w:eastAsia="宋体" w:cs="Times New Roman"/>
                <w:color w:val="000000" w:themeColor="text1"/>
                <w:sz w:val="21"/>
                <w:szCs w:val="21"/>
                <w:lang w:eastAsia="zh-CN"/>
                <w14:textFill>
                  <w14:solidFill>
                    <w14:schemeClr w14:val="tx1"/>
                  </w14:solidFill>
                </w14:textFill>
              </w:rPr>
              <w:t>奶</w:t>
            </w:r>
            <w:r>
              <w:rPr>
                <w:rFonts w:hint="default" w:ascii="Times New Roman" w:hAnsi="Times New Roman" w:eastAsia="宋体" w:cs="Times New Roman"/>
                <w:color w:val="000000" w:themeColor="text1"/>
                <w:sz w:val="21"/>
                <w:szCs w:val="21"/>
                <w14:textFill>
                  <w14:solidFill>
                    <w14:schemeClr w14:val="tx1"/>
                  </w14:solidFill>
                </w14:textFill>
              </w:rPr>
              <w:t>牛养殖项目，无放牧，且项目不属于高耗水行业。</w:t>
            </w:r>
          </w:p>
        </w:tc>
        <w:tc>
          <w:tcPr>
            <w:tcW w:w="308" w:type="pct"/>
            <w:vAlign w:val="center"/>
          </w:tcPr>
          <w:p w14:paraId="5320705B">
            <w:pPr>
              <w:autoSpaceDE w:val="0"/>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符合</w:t>
            </w:r>
          </w:p>
        </w:tc>
      </w:tr>
      <w:tr w14:paraId="65B54C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275" w:type="pct"/>
            <w:vMerge w:val="restart"/>
            <w:vAlign w:val="center"/>
          </w:tcPr>
          <w:p w14:paraId="486CE565">
            <w:pPr>
              <w:autoSpaceDE w:val="0"/>
              <w:adjustRightInd w:val="0"/>
              <w:snapToGrid w:val="0"/>
              <w:spacing w:line="240" w:lineRule="auto"/>
              <w:ind w:firstLine="0" w:firstLineChars="0"/>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ZH15222120003</w:t>
            </w:r>
          </w:p>
        </w:tc>
        <w:tc>
          <w:tcPr>
            <w:tcW w:w="281" w:type="pct"/>
            <w:vMerge w:val="restart"/>
            <w:vAlign w:val="center"/>
          </w:tcPr>
          <w:p w14:paraId="3FE46ADB">
            <w:pPr>
              <w:autoSpaceDE w:val="0"/>
              <w:adjustRightInd w:val="0"/>
              <w:snapToGrid w:val="0"/>
              <w:spacing w:line="240" w:lineRule="auto"/>
              <w:ind w:firstLine="0" w:firstLineChars="0"/>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科尔沁右翼前旗采矿用地</w:t>
            </w:r>
          </w:p>
        </w:tc>
        <w:tc>
          <w:tcPr>
            <w:tcW w:w="342" w:type="pct"/>
            <w:vMerge w:val="restart"/>
            <w:vAlign w:val="center"/>
          </w:tcPr>
          <w:p w14:paraId="14FE1622">
            <w:pPr>
              <w:autoSpaceDE w:val="0"/>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重点管控单元</w:t>
            </w:r>
          </w:p>
        </w:tc>
        <w:tc>
          <w:tcPr>
            <w:tcW w:w="277" w:type="pct"/>
            <w:vAlign w:val="center"/>
          </w:tcPr>
          <w:p w14:paraId="685D3B0E">
            <w:pPr>
              <w:autoSpaceDE w:val="0"/>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空间布局约束</w:t>
            </w:r>
          </w:p>
        </w:tc>
        <w:tc>
          <w:tcPr>
            <w:tcW w:w="2622" w:type="pct"/>
            <w:vAlign w:val="center"/>
          </w:tcPr>
          <w:p w14:paraId="4592443A">
            <w:pPr>
              <w:autoSpaceDE w:val="0"/>
              <w:adjustRightInd w:val="0"/>
              <w:snapToGrid w:val="0"/>
              <w:spacing w:line="240" w:lineRule="auto"/>
              <w:ind w:firstLine="0" w:firstLineChars="0"/>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1.自然保护区内禁止新设矿业权。</w:t>
            </w:r>
          </w:p>
          <w:p w14:paraId="60A1C2AC">
            <w:pPr>
              <w:autoSpaceDE w:val="0"/>
              <w:adjustRightInd w:val="0"/>
              <w:snapToGrid w:val="0"/>
              <w:spacing w:line="240" w:lineRule="auto"/>
              <w:ind w:firstLine="0" w:firstLineChars="0"/>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自然保护区内已设置的商业探矿权、采矿权和取水权，依法限期退出。自然保护区设立之前已存在的合法探矿权、采矿权和取水权，以及自然保护区设立之后各项手续完备且已征得保护区主管部门同意设立的探矿权、采矿权和取水权，按照内蒙古自治区自然保护区内矿业权清理工作方案等要求依法退出。</w:t>
            </w:r>
          </w:p>
          <w:p w14:paraId="74B4DB54">
            <w:pPr>
              <w:autoSpaceDE w:val="0"/>
              <w:adjustRightInd w:val="0"/>
              <w:snapToGrid w:val="0"/>
              <w:spacing w:line="240" w:lineRule="auto"/>
              <w:ind w:firstLine="0" w:firstLineChars="0"/>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开采范围与自然保护区、风景名胜区、饮用水水源保护区等区域重叠的煤矿，依法关闭退出。其中，矿业权后于自然保护区、风景名胜区、饮用水源保护区的煤矿，立即退出；矿业权先于自然保护区、风景名胜区、饮用水源保护区的煤矿，原则上在2020年前退出，确因开采特殊紧缺煤种的非煤与瓦斯突出煤矿，或满足林区、边远山区居民生活用煤需要、承担特殊供应任务的煤矿，以及处于自然保护区核心区和缓冲区、风景名胜区二级及以上保护区之外的煤矿，在落实安全生产保障和环境保护措施的前提下，经报请省级人民政府有关部门同意后，方可适当延迟退出时间。</w:t>
            </w:r>
          </w:p>
          <w:p w14:paraId="72D5B211">
            <w:pPr>
              <w:autoSpaceDE w:val="0"/>
              <w:adjustRightInd w:val="0"/>
              <w:snapToGrid w:val="0"/>
              <w:spacing w:line="240" w:lineRule="auto"/>
              <w:ind w:firstLine="0" w:firstLineChars="0"/>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新增：禁止在生态保护红线内的草原上规划煤炭等矿产资源开发项目。严格控制在生态保护红线外的基本草原上规划建设新的煤炭等矿产资源开发项目、扩大煤炭等矿产资源露天开采区域。为了保障国家能源安全确需开采的，由自治区人民政府依照有关规定审批。严格落实草原征占用审核审批制度，严禁不符合主体功能定位的各类建设项目和高耗能、高排放项目占用草原。严格控制矿产资源开发项目外排土场占用草原，严格控制矿区范围外布局的进场道路、工业广场、尾矿库等生产辅助设施占用草原。</w:t>
            </w:r>
          </w:p>
          <w:p w14:paraId="7FBEE672">
            <w:pPr>
              <w:autoSpaceDE w:val="0"/>
              <w:adjustRightInd w:val="0"/>
              <w:snapToGrid w:val="0"/>
              <w:spacing w:line="240" w:lineRule="auto"/>
              <w:ind w:firstLine="0" w:firstLineChars="0"/>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新增：严格控制草原上新建矿产资源开发项目。新上矿产资源开发项目在开展前期工作时，应征求林业和草原行政主管部门意见，严格执行国家林草局草原征占用审核审批管理制度，把先预审、再立项、后建设的源头把控原则落到实处。（根据内蒙古自治区人民政府办公厅《关于矿产资源开发中加强草原生态保护的意见》</w:t>
            </w:r>
            <w:r>
              <w:rPr>
                <w:rFonts w:hint="eastAsia" w:cs="Times New Roman"/>
                <w:color w:val="000000" w:themeColor="text1"/>
                <w:sz w:val="21"/>
                <w:szCs w:val="21"/>
                <w:lang w:eastAsia="zh-CN"/>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内政办发〔2021〕7号）。</w:t>
            </w:r>
          </w:p>
          <w:p w14:paraId="3D281C6E">
            <w:pPr>
              <w:autoSpaceDE w:val="0"/>
              <w:adjustRightInd w:val="0"/>
              <w:snapToGrid w:val="0"/>
              <w:spacing w:line="240" w:lineRule="auto"/>
              <w:ind w:firstLine="0" w:firstLineChars="0"/>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非经国务院授权的有关主管部门同意，不得在以下地区开采矿产资源：（1）港口、机场、国防工程建设设施圈定地区以内；（2）重要工业区、大型水利工程设施、城镇市政工程设施附近一定距离以内；（3）铁路、重要公路两侧一定距离以内；（4）重要河流、堤坝两侧一定距离以内；（5）国家划定的自然保护区、重要风景名胜区，国家重点保护的不能移动的历史文物和名胜古迹所在地；（6）国家规定不得开采矿产资源的其他地区。</w:t>
            </w:r>
          </w:p>
          <w:p w14:paraId="428C555B">
            <w:pPr>
              <w:autoSpaceDE w:val="0"/>
              <w:adjustRightInd w:val="0"/>
              <w:snapToGrid w:val="0"/>
              <w:spacing w:line="240" w:lineRule="auto"/>
              <w:ind w:firstLine="0" w:firstLineChars="0"/>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3.禁止建设不符合国家产业结构调整指导目录及国家重点生态功能区产业准入负面清单中的采选项目。</w:t>
            </w:r>
          </w:p>
          <w:p w14:paraId="3DCFC2DD">
            <w:pPr>
              <w:autoSpaceDE w:val="0"/>
              <w:adjustRightInd w:val="0"/>
              <w:snapToGrid w:val="0"/>
              <w:spacing w:line="240" w:lineRule="auto"/>
              <w:ind w:firstLine="0" w:firstLineChars="0"/>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4.禁燃区内禁止新建、扩建高污染燃料燃用设施，现有的高污染燃料燃用设施应按照市政府规定的期限予以拆除。禁燃区内的单位和个人应在市政府规定的期限内停止燃用高污染燃料，改用电、天然气、液化石油气和含硫量小于0.5%、灰分小于10.0%的煤炭及其制品（其中型煤、焦炭、兰炭的挥发分含量不能大于12%、5%、10%，对型煤的灰分含量没有要求）或者其他清洁能源；禁燃区内集中供热中心高污染燃料锅炉，配备高效脱硫、脱硝、除尘设施，确保污染物按照国家标准达标排放。禁燃区内禁止生产、销售相应类别的高污染燃料。</w:t>
            </w:r>
          </w:p>
          <w:p w14:paraId="1B3D5A59">
            <w:pPr>
              <w:autoSpaceDE w:val="0"/>
              <w:adjustRightInd w:val="0"/>
              <w:snapToGrid w:val="0"/>
              <w:spacing w:line="240" w:lineRule="auto"/>
              <w:ind w:firstLine="0" w:firstLineChars="0"/>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5.严格水域岸线用途管制，新建项目一律不得违规占用水域。严禁破坏生态的岸线利用行为和不符合其功能定位的开发建设活动，严禁以各种名义侵占河道、围垦湖泊、非法采砂等。</w:t>
            </w:r>
          </w:p>
          <w:p w14:paraId="730C727B">
            <w:pPr>
              <w:autoSpaceDE w:val="0"/>
              <w:adjustRightInd w:val="0"/>
              <w:snapToGrid w:val="0"/>
              <w:spacing w:line="240" w:lineRule="auto"/>
              <w:ind w:firstLine="0" w:firstLineChars="0"/>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6.进一步加大草原生态保护修复力度，加快草原生态恢复，提升草原生态服务功能，筑牢我国北方重要生态安全屏障。</w:t>
            </w:r>
          </w:p>
          <w:p w14:paraId="2ECE5536">
            <w:pPr>
              <w:autoSpaceDE w:val="0"/>
              <w:adjustRightInd w:val="0"/>
              <w:snapToGrid w:val="0"/>
              <w:spacing w:line="240" w:lineRule="auto"/>
              <w:ind w:firstLine="0" w:firstLineChars="0"/>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7.严格控制草原上新建矿产资源开发项目。新上矿产资源开发项目在开展前期工作时，应征求林业和草原行政主管部门意见，严格执行国家林草局草原征占用审核审批管理制度，把先预审、再立项、后建设的源头把控原则落到实处。</w:t>
            </w:r>
          </w:p>
        </w:tc>
        <w:tc>
          <w:tcPr>
            <w:tcW w:w="892" w:type="pct"/>
            <w:vAlign w:val="center"/>
          </w:tcPr>
          <w:p w14:paraId="0C155170">
            <w:pPr>
              <w:autoSpaceDE w:val="0"/>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项目属于</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奶牛</w:t>
            </w:r>
            <w:r>
              <w:rPr>
                <w:rFonts w:hint="default" w:ascii="Times New Roman" w:hAnsi="Times New Roman" w:eastAsia="宋体" w:cs="Times New Roman"/>
                <w:color w:val="000000" w:themeColor="text1"/>
                <w:sz w:val="21"/>
                <w:szCs w:val="21"/>
                <w14:textFill>
                  <w14:solidFill>
                    <w14:schemeClr w14:val="tx1"/>
                  </w14:solidFill>
                </w14:textFill>
              </w:rPr>
              <w:t>养殖项目，不属于采矿类项目</w:t>
            </w:r>
          </w:p>
        </w:tc>
        <w:tc>
          <w:tcPr>
            <w:tcW w:w="308" w:type="pct"/>
            <w:vAlign w:val="center"/>
          </w:tcPr>
          <w:p w14:paraId="39629681">
            <w:pPr>
              <w:autoSpaceDE w:val="0"/>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符合</w:t>
            </w:r>
          </w:p>
        </w:tc>
      </w:tr>
      <w:tr w14:paraId="41EFFD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0" w:hRule="atLeast"/>
          <w:jc w:val="center"/>
        </w:trPr>
        <w:tc>
          <w:tcPr>
            <w:tcW w:w="275" w:type="pct"/>
            <w:vMerge w:val="continue"/>
            <w:vAlign w:val="center"/>
          </w:tcPr>
          <w:p w14:paraId="4883D367">
            <w:pPr>
              <w:widowControl/>
              <w:spacing w:line="240" w:lineRule="auto"/>
              <w:ind w:firstLine="0" w:firstLineChars="0"/>
              <w:jc w:val="left"/>
              <w:rPr>
                <w:rFonts w:hint="default" w:ascii="Times New Roman" w:hAnsi="Times New Roman" w:eastAsia="宋体" w:cs="Times New Roman"/>
                <w:color w:val="000000" w:themeColor="text1"/>
                <w:sz w:val="21"/>
                <w:szCs w:val="21"/>
                <w14:textFill>
                  <w14:solidFill>
                    <w14:schemeClr w14:val="tx1"/>
                  </w14:solidFill>
                </w14:textFill>
              </w:rPr>
            </w:pPr>
          </w:p>
        </w:tc>
        <w:tc>
          <w:tcPr>
            <w:tcW w:w="281" w:type="pct"/>
            <w:vMerge w:val="continue"/>
            <w:vAlign w:val="center"/>
          </w:tcPr>
          <w:p w14:paraId="315FA595">
            <w:pPr>
              <w:widowControl/>
              <w:spacing w:line="240" w:lineRule="auto"/>
              <w:ind w:firstLine="0" w:firstLineChars="0"/>
              <w:jc w:val="left"/>
              <w:rPr>
                <w:rFonts w:hint="default" w:ascii="Times New Roman" w:hAnsi="Times New Roman" w:eastAsia="宋体" w:cs="Times New Roman"/>
                <w:color w:val="000000" w:themeColor="text1"/>
                <w:sz w:val="21"/>
                <w:szCs w:val="21"/>
                <w14:textFill>
                  <w14:solidFill>
                    <w14:schemeClr w14:val="tx1"/>
                  </w14:solidFill>
                </w14:textFill>
              </w:rPr>
            </w:pPr>
          </w:p>
        </w:tc>
        <w:tc>
          <w:tcPr>
            <w:tcW w:w="342" w:type="pct"/>
            <w:vMerge w:val="continue"/>
            <w:vAlign w:val="center"/>
          </w:tcPr>
          <w:p w14:paraId="4CA0DE96">
            <w:pPr>
              <w:widowControl/>
              <w:spacing w:line="240" w:lineRule="auto"/>
              <w:ind w:firstLine="0" w:firstLineChars="0"/>
              <w:jc w:val="left"/>
              <w:rPr>
                <w:rFonts w:hint="default" w:ascii="Times New Roman" w:hAnsi="Times New Roman" w:eastAsia="宋体" w:cs="Times New Roman"/>
                <w:color w:val="000000" w:themeColor="text1"/>
                <w:sz w:val="21"/>
                <w:szCs w:val="21"/>
                <w14:textFill>
                  <w14:solidFill>
                    <w14:schemeClr w14:val="tx1"/>
                  </w14:solidFill>
                </w14:textFill>
              </w:rPr>
            </w:pPr>
          </w:p>
        </w:tc>
        <w:tc>
          <w:tcPr>
            <w:tcW w:w="277" w:type="pct"/>
            <w:vAlign w:val="center"/>
          </w:tcPr>
          <w:p w14:paraId="37850164">
            <w:pPr>
              <w:autoSpaceDE w:val="0"/>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污染物排放管控</w:t>
            </w:r>
          </w:p>
        </w:tc>
        <w:tc>
          <w:tcPr>
            <w:tcW w:w="2622" w:type="pct"/>
            <w:vAlign w:val="center"/>
          </w:tcPr>
          <w:p w14:paraId="2A7FA47B">
            <w:pPr>
              <w:autoSpaceDE w:val="0"/>
              <w:adjustRightInd w:val="0"/>
              <w:snapToGrid w:val="0"/>
              <w:spacing w:line="240" w:lineRule="auto"/>
              <w:ind w:firstLine="0" w:firstLineChars="0"/>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1.新建、改扩建项目执行重点污染物特别排放限值。现有项目通过提标升级改造，重点污染物逐步达到特别排放限值。</w:t>
            </w:r>
          </w:p>
          <w:p w14:paraId="38A0F995">
            <w:pPr>
              <w:autoSpaceDE w:val="0"/>
              <w:adjustRightInd w:val="0"/>
              <w:snapToGrid w:val="0"/>
              <w:spacing w:line="240" w:lineRule="auto"/>
              <w:ind w:firstLine="0" w:firstLineChars="0"/>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矿产资源勘查以及采选过程中排土场、露天采场、尾矿库、矿区专用道路、矿山工业场地、沉陷区、矸石场、矿山污染场地等的生态环境保护与治理恢复工作须满足《矿山生态环境保护与治理恢复技术规范（试行）》（HJ652013）要求。落实边开采、边保护、边复垦的要求，使新建、在建矿山损毁土地得到全面复垦。</w:t>
            </w:r>
          </w:p>
        </w:tc>
        <w:tc>
          <w:tcPr>
            <w:tcW w:w="892" w:type="pct"/>
            <w:vAlign w:val="center"/>
          </w:tcPr>
          <w:p w14:paraId="20553159">
            <w:pPr>
              <w:autoSpaceDE w:val="0"/>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项目加强牛舍的通风换气，控制饲养密度，及时清理牛粪，合理配置日粮、定期喷洒除臭剂；粪便堆肥采用好氧堆肥方式，定期喷洒减少氨释放和保氮的复合菌剂，可减少臭气的产生</w:t>
            </w:r>
          </w:p>
        </w:tc>
        <w:tc>
          <w:tcPr>
            <w:tcW w:w="308" w:type="pct"/>
            <w:vAlign w:val="center"/>
          </w:tcPr>
          <w:p w14:paraId="282A4B4B">
            <w:pPr>
              <w:autoSpaceDE w:val="0"/>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符合</w:t>
            </w:r>
          </w:p>
        </w:tc>
      </w:tr>
      <w:tr w14:paraId="0DB58B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0" w:hRule="atLeast"/>
          <w:jc w:val="center"/>
        </w:trPr>
        <w:tc>
          <w:tcPr>
            <w:tcW w:w="275" w:type="pct"/>
            <w:vMerge w:val="continue"/>
            <w:vAlign w:val="center"/>
          </w:tcPr>
          <w:p w14:paraId="2D6540F6">
            <w:pPr>
              <w:widowControl/>
              <w:spacing w:line="240" w:lineRule="auto"/>
              <w:ind w:firstLine="0" w:firstLineChars="0"/>
              <w:jc w:val="left"/>
              <w:rPr>
                <w:rFonts w:hint="default" w:ascii="Times New Roman" w:hAnsi="Times New Roman" w:eastAsia="宋体" w:cs="Times New Roman"/>
                <w:color w:val="000000" w:themeColor="text1"/>
                <w:sz w:val="21"/>
                <w:szCs w:val="21"/>
                <w14:textFill>
                  <w14:solidFill>
                    <w14:schemeClr w14:val="tx1"/>
                  </w14:solidFill>
                </w14:textFill>
              </w:rPr>
            </w:pPr>
          </w:p>
        </w:tc>
        <w:tc>
          <w:tcPr>
            <w:tcW w:w="281" w:type="pct"/>
            <w:vMerge w:val="continue"/>
            <w:vAlign w:val="center"/>
          </w:tcPr>
          <w:p w14:paraId="4F600556">
            <w:pPr>
              <w:widowControl/>
              <w:spacing w:line="240" w:lineRule="auto"/>
              <w:ind w:firstLine="0" w:firstLineChars="0"/>
              <w:jc w:val="left"/>
              <w:rPr>
                <w:rFonts w:hint="default" w:ascii="Times New Roman" w:hAnsi="Times New Roman" w:eastAsia="宋体" w:cs="Times New Roman"/>
                <w:color w:val="000000" w:themeColor="text1"/>
                <w:sz w:val="21"/>
                <w:szCs w:val="21"/>
                <w14:textFill>
                  <w14:solidFill>
                    <w14:schemeClr w14:val="tx1"/>
                  </w14:solidFill>
                </w14:textFill>
              </w:rPr>
            </w:pPr>
          </w:p>
        </w:tc>
        <w:tc>
          <w:tcPr>
            <w:tcW w:w="342" w:type="pct"/>
            <w:vMerge w:val="continue"/>
            <w:vAlign w:val="center"/>
          </w:tcPr>
          <w:p w14:paraId="0BEB3039">
            <w:pPr>
              <w:widowControl/>
              <w:spacing w:line="240" w:lineRule="auto"/>
              <w:ind w:firstLine="0" w:firstLineChars="0"/>
              <w:jc w:val="left"/>
              <w:rPr>
                <w:rFonts w:hint="default" w:ascii="Times New Roman" w:hAnsi="Times New Roman" w:eastAsia="宋体" w:cs="Times New Roman"/>
                <w:color w:val="000000" w:themeColor="text1"/>
                <w:sz w:val="21"/>
                <w:szCs w:val="21"/>
                <w14:textFill>
                  <w14:solidFill>
                    <w14:schemeClr w14:val="tx1"/>
                  </w14:solidFill>
                </w14:textFill>
              </w:rPr>
            </w:pPr>
          </w:p>
        </w:tc>
        <w:tc>
          <w:tcPr>
            <w:tcW w:w="277" w:type="pct"/>
            <w:vAlign w:val="center"/>
          </w:tcPr>
          <w:p w14:paraId="524C9724">
            <w:pPr>
              <w:autoSpaceDE w:val="0"/>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环境风险防控</w:t>
            </w:r>
          </w:p>
        </w:tc>
        <w:tc>
          <w:tcPr>
            <w:tcW w:w="2622" w:type="pct"/>
            <w:vAlign w:val="center"/>
          </w:tcPr>
          <w:p w14:paraId="4275B37B">
            <w:pPr>
              <w:autoSpaceDE w:val="0"/>
              <w:adjustRightInd w:val="0"/>
              <w:snapToGrid w:val="0"/>
              <w:spacing w:line="240" w:lineRule="auto"/>
              <w:ind w:firstLine="0" w:firstLineChars="0"/>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1.制定环境风险应急预案，成立应急组织机构，配备必要的应急设施和应急物资，定期开展环境风险应急演练。</w:t>
            </w:r>
          </w:p>
          <w:p w14:paraId="260FD351">
            <w:pPr>
              <w:autoSpaceDE w:val="0"/>
              <w:adjustRightInd w:val="0"/>
              <w:snapToGrid w:val="0"/>
              <w:spacing w:line="240" w:lineRule="auto"/>
              <w:ind w:firstLine="0" w:firstLineChars="0"/>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全面整治历史遗留尾矿库，完善覆膜、压土、排洪、堤坝加固等隐患治理和闭库措施。有重点监管尾矿库的企业要开展环境风险评估，完善污染治理设施，储备应急物资。加强对矿产资源开发利用活动的辐射安全监管，有关企业每年要对本矿区土壤进行辐射环境监测。</w:t>
            </w:r>
          </w:p>
        </w:tc>
        <w:tc>
          <w:tcPr>
            <w:tcW w:w="892" w:type="pct"/>
            <w:vAlign w:val="center"/>
          </w:tcPr>
          <w:p w14:paraId="1FD14295">
            <w:pPr>
              <w:autoSpaceDE w:val="0"/>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本项目建成投产后按要求编制应急预案并定期开展事故风险演练</w:t>
            </w:r>
          </w:p>
        </w:tc>
        <w:tc>
          <w:tcPr>
            <w:tcW w:w="308" w:type="pct"/>
            <w:vAlign w:val="center"/>
          </w:tcPr>
          <w:p w14:paraId="531AB78E">
            <w:pPr>
              <w:autoSpaceDE w:val="0"/>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符合</w:t>
            </w:r>
          </w:p>
        </w:tc>
      </w:tr>
      <w:tr w14:paraId="2F646A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0" w:hRule="atLeast"/>
          <w:jc w:val="center"/>
        </w:trPr>
        <w:tc>
          <w:tcPr>
            <w:tcW w:w="275" w:type="pct"/>
            <w:vMerge w:val="continue"/>
            <w:vAlign w:val="center"/>
          </w:tcPr>
          <w:p w14:paraId="19A3074A">
            <w:pPr>
              <w:widowControl/>
              <w:spacing w:line="240" w:lineRule="auto"/>
              <w:ind w:firstLine="0" w:firstLineChars="0"/>
              <w:jc w:val="left"/>
              <w:rPr>
                <w:rFonts w:hint="default" w:ascii="Times New Roman" w:hAnsi="Times New Roman" w:eastAsia="宋体" w:cs="Times New Roman"/>
                <w:color w:val="000000" w:themeColor="text1"/>
                <w:sz w:val="21"/>
                <w:szCs w:val="21"/>
                <w14:textFill>
                  <w14:solidFill>
                    <w14:schemeClr w14:val="tx1"/>
                  </w14:solidFill>
                </w14:textFill>
              </w:rPr>
            </w:pPr>
          </w:p>
        </w:tc>
        <w:tc>
          <w:tcPr>
            <w:tcW w:w="281" w:type="pct"/>
            <w:vMerge w:val="continue"/>
            <w:vAlign w:val="center"/>
          </w:tcPr>
          <w:p w14:paraId="5C3788B8">
            <w:pPr>
              <w:widowControl/>
              <w:spacing w:line="240" w:lineRule="auto"/>
              <w:ind w:firstLine="0" w:firstLineChars="0"/>
              <w:jc w:val="left"/>
              <w:rPr>
                <w:rFonts w:hint="default" w:ascii="Times New Roman" w:hAnsi="Times New Roman" w:eastAsia="宋体" w:cs="Times New Roman"/>
                <w:color w:val="000000" w:themeColor="text1"/>
                <w:sz w:val="21"/>
                <w:szCs w:val="21"/>
                <w14:textFill>
                  <w14:solidFill>
                    <w14:schemeClr w14:val="tx1"/>
                  </w14:solidFill>
                </w14:textFill>
              </w:rPr>
            </w:pPr>
          </w:p>
        </w:tc>
        <w:tc>
          <w:tcPr>
            <w:tcW w:w="342" w:type="pct"/>
            <w:vMerge w:val="continue"/>
            <w:vAlign w:val="center"/>
          </w:tcPr>
          <w:p w14:paraId="6CA204D4">
            <w:pPr>
              <w:widowControl/>
              <w:spacing w:line="240" w:lineRule="auto"/>
              <w:ind w:firstLine="0" w:firstLineChars="0"/>
              <w:jc w:val="left"/>
              <w:rPr>
                <w:rFonts w:hint="default" w:ascii="Times New Roman" w:hAnsi="Times New Roman" w:eastAsia="宋体" w:cs="Times New Roman"/>
                <w:color w:val="000000" w:themeColor="text1"/>
                <w:sz w:val="21"/>
                <w:szCs w:val="21"/>
                <w14:textFill>
                  <w14:solidFill>
                    <w14:schemeClr w14:val="tx1"/>
                  </w14:solidFill>
                </w14:textFill>
              </w:rPr>
            </w:pPr>
          </w:p>
        </w:tc>
        <w:tc>
          <w:tcPr>
            <w:tcW w:w="277" w:type="pct"/>
            <w:vAlign w:val="center"/>
          </w:tcPr>
          <w:p w14:paraId="6B89AEB1">
            <w:pPr>
              <w:autoSpaceDE w:val="0"/>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资源开发效率要求</w:t>
            </w:r>
          </w:p>
        </w:tc>
        <w:tc>
          <w:tcPr>
            <w:tcW w:w="2622" w:type="pct"/>
            <w:vAlign w:val="center"/>
          </w:tcPr>
          <w:p w14:paraId="4D81672C">
            <w:pPr>
              <w:autoSpaceDE w:val="0"/>
              <w:adjustRightInd w:val="0"/>
              <w:snapToGrid w:val="0"/>
              <w:spacing w:line="240" w:lineRule="auto"/>
              <w:ind w:firstLine="0" w:firstLineChars="0"/>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1.矿山“三率”水平达到国内同行业先进水平，矿山“三率”水平达标率达85%以上，尾矿排放重金属残留水平进一步降低。</w:t>
            </w:r>
          </w:p>
        </w:tc>
        <w:tc>
          <w:tcPr>
            <w:tcW w:w="892" w:type="pct"/>
            <w:vAlign w:val="center"/>
          </w:tcPr>
          <w:p w14:paraId="213EA3D5">
            <w:pPr>
              <w:autoSpaceDE w:val="0"/>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项目属于养殖项目，不属涉及矿山“三率”</w:t>
            </w:r>
          </w:p>
        </w:tc>
        <w:tc>
          <w:tcPr>
            <w:tcW w:w="308" w:type="pct"/>
            <w:vAlign w:val="center"/>
          </w:tcPr>
          <w:p w14:paraId="4D904141">
            <w:pPr>
              <w:autoSpaceDE w:val="0"/>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符合</w:t>
            </w:r>
          </w:p>
        </w:tc>
      </w:tr>
      <w:tr w14:paraId="017EEB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0" w:hRule="atLeast"/>
          <w:jc w:val="center"/>
        </w:trPr>
        <w:tc>
          <w:tcPr>
            <w:tcW w:w="278" w:type="pct"/>
            <w:vMerge w:val="restart"/>
            <w:vAlign w:val="center"/>
          </w:tcPr>
          <w:p w14:paraId="356A88EC">
            <w:pPr>
              <w:autoSpaceDE w:val="0"/>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ZH15222130001</w:t>
            </w:r>
          </w:p>
        </w:tc>
        <w:tc>
          <w:tcPr>
            <w:tcW w:w="278" w:type="pct"/>
            <w:vMerge w:val="restart"/>
            <w:vAlign w:val="center"/>
          </w:tcPr>
          <w:p w14:paraId="05D56E6C">
            <w:pPr>
              <w:autoSpaceDE w:val="0"/>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科尔沁右翼前旗一般管控单元</w:t>
            </w:r>
          </w:p>
        </w:tc>
        <w:tc>
          <w:tcPr>
            <w:tcW w:w="342" w:type="pct"/>
            <w:vMerge w:val="restart"/>
            <w:vAlign w:val="center"/>
          </w:tcPr>
          <w:p w14:paraId="470350C9">
            <w:pPr>
              <w:autoSpaceDE w:val="0"/>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一般管控单元</w:t>
            </w:r>
          </w:p>
        </w:tc>
        <w:tc>
          <w:tcPr>
            <w:tcW w:w="277" w:type="pct"/>
            <w:vAlign w:val="center"/>
          </w:tcPr>
          <w:p w14:paraId="766F220D">
            <w:pPr>
              <w:autoSpaceDE w:val="0"/>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空间布局约束</w:t>
            </w:r>
          </w:p>
        </w:tc>
        <w:tc>
          <w:tcPr>
            <w:tcW w:w="2622" w:type="pct"/>
            <w:vAlign w:val="center"/>
          </w:tcPr>
          <w:p w14:paraId="3EE6BF7D">
            <w:pPr>
              <w:autoSpaceDE w:val="0"/>
              <w:adjustRightInd w:val="0"/>
              <w:snapToGrid w:val="0"/>
              <w:spacing w:line="240" w:lineRule="auto"/>
              <w:ind w:firstLine="0" w:firstLineChars="0"/>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禁止布局现有化工园区以外新的化工园区。鼓励壮大风光氢储、再生资源、绿电替代、绿色新材料产业，新能源倍增工程，现代能源新中心，灵活电网工程，控煤减碳工程，源网荷储工程，再电气化工程，绿氢经济工程，数字能源工程，惠民提升工程，科技赋能工程，区域合作工程。禁止在松花江流域内蒙古段及主要支流岸线1公里范围内扩大现有园区的面积。严格实行钢铁、水泥等行业新增产能等量或减量置换，继续依法依规淘汰落后产能和推进过剩产能有序退出。</w:t>
            </w:r>
          </w:p>
          <w:p w14:paraId="7E3DBE74">
            <w:pPr>
              <w:autoSpaceDE w:val="0"/>
              <w:adjustRightInd w:val="0"/>
              <w:snapToGrid w:val="0"/>
              <w:spacing w:line="240" w:lineRule="auto"/>
              <w:ind w:firstLine="0" w:firstLineChars="0"/>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各旗县市建成区淘汰10蒸吨及以下燃煤锅炉，以及茶水炉、经营性炉灶、储粮烘干设备等燃煤设施，原则上不再新建35蒸吨以下燃煤锅炉，其他地区原则上不再新建10蒸吨以下燃煤锅炉。</w:t>
            </w:r>
          </w:p>
          <w:p w14:paraId="3EA3D3BC">
            <w:pPr>
              <w:autoSpaceDE w:val="0"/>
              <w:adjustRightInd w:val="0"/>
              <w:snapToGrid w:val="0"/>
              <w:spacing w:line="240" w:lineRule="auto"/>
              <w:ind w:firstLine="0" w:firstLineChars="0"/>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高污染燃料禁燃区范围内，禁止新建、扩建燃用高污染燃料的设施；已建成的，应按各级人民政府规定限期改用生物质、天然气、液化气、电等清洁能源或采取有效措施控制二氧化硫、氮氧化物和烟尘等排放；仍未达到大气污染物排放标准的，应停止使用。</w:t>
            </w:r>
          </w:p>
          <w:p w14:paraId="2565AA66">
            <w:pPr>
              <w:autoSpaceDE w:val="0"/>
              <w:adjustRightInd w:val="0"/>
              <w:snapToGrid w:val="0"/>
              <w:spacing w:line="240" w:lineRule="auto"/>
              <w:ind w:firstLine="0" w:firstLineChars="0"/>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市区和城关镇及周边区域加强民用散煤销售质量管理，扩大使用清洁能源替代原煤散烧区域，推广节能环保燃煤锅炉，加快棚户区拆迁改造力度，逐步减少煤炭使用量。</w:t>
            </w:r>
          </w:p>
          <w:p w14:paraId="350043AA">
            <w:pPr>
              <w:autoSpaceDE w:val="0"/>
              <w:adjustRightInd w:val="0"/>
              <w:snapToGrid w:val="0"/>
              <w:spacing w:line="240" w:lineRule="auto"/>
              <w:ind w:firstLine="0" w:firstLineChars="0"/>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2.严格水域岸线用途管制，新建项目一律不得违规占用水域。严禁破坏生态的岸线利用行为和不符合其功能定位的开发建设活动，严禁以各种名义侵占河道、围垦湖泊、非法采砂等。</w:t>
            </w:r>
          </w:p>
        </w:tc>
        <w:tc>
          <w:tcPr>
            <w:tcW w:w="892" w:type="pct"/>
            <w:vAlign w:val="center"/>
          </w:tcPr>
          <w:p w14:paraId="17F86BEA">
            <w:pPr>
              <w:autoSpaceDE w:val="0"/>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项目位于内蒙古自治区兴安盟</w:t>
            </w:r>
            <w:r>
              <w:rPr>
                <w:rFonts w:hint="eastAsia" w:cs="Times New Roman"/>
                <w:color w:val="000000" w:themeColor="text1"/>
                <w:sz w:val="21"/>
                <w:szCs w:val="21"/>
                <w:lang w:eastAsia="zh-CN"/>
                <w14:textFill>
                  <w14:solidFill>
                    <w14:schemeClr w14:val="tx1"/>
                  </w14:solidFill>
                </w14:textFill>
              </w:rPr>
              <w:t>科尔沁右翼前旗</w:t>
            </w:r>
            <w:r>
              <w:rPr>
                <w:rFonts w:hint="default" w:ascii="Times New Roman" w:hAnsi="Times New Roman" w:eastAsia="宋体" w:cs="Times New Roman"/>
                <w:color w:val="000000" w:themeColor="text1"/>
                <w:sz w:val="21"/>
                <w:szCs w:val="21"/>
                <w14:textFill>
                  <w14:solidFill>
                    <w14:schemeClr w14:val="tx1"/>
                  </w14:solidFill>
                </w14:textFill>
              </w:rPr>
              <w:t>现代农牧业园，项目办公区采用电暖气供暖，不设燃煤锅炉</w:t>
            </w:r>
          </w:p>
        </w:tc>
        <w:tc>
          <w:tcPr>
            <w:tcW w:w="308" w:type="pct"/>
            <w:vAlign w:val="center"/>
          </w:tcPr>
          <w:p w14:paraId="39A10787">
            <w:pPr>
              <w:autoSpaceDE w:val="0"/>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符合</w:t>
            </w:r>
          </w:p>
        </w:tc>
      </w:tr>
      <w:tr w14:paraId="17285F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0" w:hRule="atLeast"/>
          <w:jc w:val="center"/>
        </w:trPr>
        <w:tc>
          <w:tcPr>
            <w:tcW w:w="278" w:type="pct"/>
            <w:vMerge w:val="continue"/>
            <w:vAlign w:val="center"/>
          </w:tcPr>
          <w:p w14:paraId="5A8B2E0A">
            <w:pPr>
              <w:widowControl/>
              <w:spacing w:line="240" w:lineRule="auto"/>
              <w:ind w:firstLine="0" w:firstLineChars="0"/>
              <w:jc w:val="left"/>
              <w:rPr>
                <w:rFonts w:hint="default" w:ascii="Times New Roman" w:hAnsi="Times New Roman" w:eastAsia="宋体" w:cs="Times New Roman"/>
                <w:color w:val="000000" w:themeColor="text1"/>
                <w:sz w:val="21"/>
                <w:szCs w:val="21"/>
                <w14:textFill>
                  <w14:solidFill>
                    <w14:schemeClr w14:val="tx1"/>
                  </w14:solidFill>
                </w14:textFill>
              </w:rPr>
            </w:pPr>
          </w:p>
        </w:tc>
        <w:tc>
          <w:tcPr>
            <w:tcW w:w="278" w:type="pct"/>
            <w:vMerge w:val="continue"/>
            <w:vAlign w:val="center"/>
          </w:tcPr>
          <w:p w14:paraId="30440E1E">
            <w:pPr>
              <w:widowControl/>
              <w:spacing w:line="240" w:lineRule="auto"/>
              <w:ind w:firstLine="0" w:firstLineChars="0"/>
              <w:jc w:val="left"/>
              <w:rPr>
                <w:rFonts w:hint="default" w:ascii="Times New Roman" w:hAnsi="Times New Roman" w:eastAsia="宋体" w:cs="Times New Roman"/>
                <w:color w:val="000000" w:themeColor="text1"/>
                <w:sz w:val="21"/>
                <w:szCs w:val="21"/>
                <w14:textFill>
                  <w14:solidFill>
                    <w14:schemeClr w14:val="tx1"/>
                  </w14:solidFill>
                </w14:textFill>
              </w:rPr>
            </w:pPr>
          </w:p>
        </w:tc>
        <w:tc>
          <w:tcPr>
            <w:tcW w:w="342" w:type="pct"/>
            <w:vMerge w:val="continue"/>
            <w:vAlign w:val="center"/>
          </w:tcPr>
          <w:p w14:paraId="1B66E85D">
            <w:pPr>
              <w:widowControl/>
              <w:spacing w:line="240" w:lineRule="auto"/>
              <w:ind w:firstLine="0" w:firstLineChars="0"/>
              <w:jc w:val="left"/>
              <w:rPr>
                <w:rFonts w:hint="default" w:ascii="Times New Roman" w:hAnsi="Times New Roman" w:eastAsia="宋体" w:cs="Times New Roman"/>
                <w:color w:val="000000" w:themeColor="text1"/>
                <w:sz w:val="21"/>
                <w:szCs w:val="21"/>
                <w14:textFill>
                  <w14:solidFill>
                    <w14:schemeClr w14:val="tx1"/>
                  </w14:solidFill>
                </w14:textFill>
              </w:rPr>
            </w:pPr>
          </w:p>
        </w:tc>
        <w:tc>
          <w:tcPr>
            <w:tcW w:w="277" w:type="pct"/>
            <w:vAlign w:val="center"/>
          </w:tcPr>
          <w:p w14:paraId="70D2A145">
            <w:pPr>
              <w:autoSpaceDE w:val="0"/>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污染物排放管控</w:t>
            </w:r>
          </w:p>
        </w:tc>
        <w:tc>
          <w:tcPr>
            <w:tcW w:w="2622" w:type="pct"/>
            <w:vAlign w:val="center"/>
          </w:tcPr>
          <w:p w14:paraId="4307A6DB">
            <w:pPr>
              <w:widowControl/>
              <w:spacing w:line="240" w:lineRule="auto"/>
              <w:ind w:firstLine="0" w:firstLineChars="0"/>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严格落实污染物排放总量控制制度，把主要污染物排放总量指标作为环评审批的前置条件。对未完成上一年度主要污染物总量减排目标的地区或企业、环境质量未达到环境功能区划要求、被实施区域限批的地区及未进行排污权交易的工业企业建设项目暂停新增主要污染物排放建设项目的总量审批。</w:t>
            </w:r>
          </w:p>
          <w:p w14:paraId="0E248164">
            <w:pPr>
              <w:widowControl/>
              <w:spacing w:line="240" w:lineRule="auto"/>
              <w:ind w:firstLine="0" w:firstLineChars="0"/>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各旗县市所在地建成区20蒸吨以上燃煤锅炉要严格执行《锅炉大气污染物排放标准》中大气污染物特别排放限值要求，安装自动监控设备并与生态环境主管部门联网。</w:t>
            </w:r>
          </w:p>
          <w:p w14:paraId="21AD1962">
            <w:pPr>
              <w:widowControl/>
              <w:spacing w:line="240" w:lineRule="auto"/>
              <w:ind w:firstLine="0" w:firstLineChars="0"/>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严格执行第六阶段国家机动车排放标准，全面实施国六排放标准。全面实施非道路移动机械第四阶段排放标准。</w:t>
            </w:r>
          </w:p>
          <w:p w14:paraId="13A2F822">
            <w:pPr>
              <w:widowControl/>
              <w:spacing w:line="240" w:lineRule="auto"/>
              <w:ind w:firstLine="0" w:firstLineChars="0"/>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严格管控高污染车辆驶入禁行区。</w:t>
            </w:r>
          </w:p>
          <w:p w14:paraId="3C386A34">
            <w:pPr>
              <w:widowControl/>
              <w:spacing w:line="240" w:lineRule="auto"/>
              <w:ind w:firstLine="0" w:firstLineChars="0"/>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45米以上高架源纳入重点污染源在线监控并实现与生态环境部门联网。</w:t>
            </w:r>
          </w:p>
          <w:p w14:paraId="0B584E0B">
            <w:pPr>
              <w:widowControl/>
              <w:spacing w:line="240" w:lineRule="auto"/>
              <w:ind w:firstLine="0" w:firstLineChars="0"/>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实行烟花爆竹禁（限）放管制。重要节假日禁止（限制）燃放烟花爆竹，实行生产、销售、燃放全过程、全链条管理。</w:t>
            </w:r>
          </w:p>
          <w:p w14:paraId="4FA20D74">
            <w:pPr>
              <w:widowControl/>
              <w:spacing w:line="240" w:lineRule="auto"/>
              <w:ind w:firstLine="0" w:firstLineChars="0"/>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现有的每小时10蒸吨（不包括10蒸吨）以上燃煤锅炉进行污染治理设施提标改造，保证大气污染物达标排放。集中供热企业达标排放，严格控制污染物排放总量；实施乌钢超低排放改造。清理整治排放大气污染物的“散乱污”企业。执行相关行业扬尘污染防治技术规程，各类可能产生扬尘污染活动的施工现场、运输车辆等要采取抑尘、降尘、防尘防治措施。新建矿山执行绿色矿山建设标准，已建生产矿山应当限期达到绿色矿山建设标准，露天矿山辖区边坡修复、土壤改良、植物配植等措施进行生态复绿。畜禽养殖场、养殖小区对污水、畜禽粪便等污染物进行收集、贮存、清运和无害化处理，防止排放恶臭气体。餐饮服务业安装油烟净化设施，保证油烟达标排放。禁止露天焚烧沥青、油毡、橡胶、塑料、皮革、垃圾以及其他产生有毒有害烟尘和恶臭气体的物质，确需焚烧处理的，采用专用焚烧装置。加大道路移动污染源治理力度。禁止农作物秸杆等生物质违规露天焚烧。</w:t>
            </w:r>
          </w:p>
          <w:p w14:paraId="351247FA">
            <w:pPr>
              <w:widowControl/>
              <w:spacing w:line="240" w:lineRule="auto"/>
              <w:ind w:firstLine="0" w:firstLineChars="0"/>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新增：科学有序推进碳达峰碳中和。积极稳妥推进碳达峰碳中和“1+N+X”政策体系落实，推动国家出台《新时期推进内蒙古绿色低碳高质量发展若干支持意见》，在落实碳达峰碳中和目标任务过程中锻造新的产业竞争优势。推动能源、工业、建筑、交通等领域清洁低碳转型，建立健全碳排放统计核算制度，提升生态系统碳汇能力。逐步推进能耗“双控”向碳排放“双控”转变，争创“能耗‘双控’向碳排放‘双控’转变”全国试点，加大参与国家碳汇标准开发的力度，推进构建体现生态产品价值实现、体现生态补偿的林草碳汇开发机制。严格落实《“两高”项目低水平盲目发展管控目录》，开展建筑等重点领域节能降碳行动。</w:t>
            </w:r>
          </w:p>
          <w:p w14:paraId="7122A834">
            <w:pPr>
              <w:widowControl/>
              <w:spacing w:line="240" w:lineRule="auto"/>
              <w:ind w:firstLine="0" w:firstLineChars="0"/>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新增：所有新建城镇污水处理设施要执行一级A排放标准。新建排放重金属污染物的建设项目全面执行重金属重点污染物排放限值要求。</w:t>
            </w:r>
          </w:p>
          <w:p w14:paraId="4BEFF2A9">
            <w:pPr>
              <w:widowControl/>
              <w:spacing w:line="240" w:lineRule="auto"/>
              <w:ind w:firstLine="0" w:firstLineChars="0"/>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新增：严格落实农业农村部、生态环境部《畜禽养殖场（户）粪污处理设施建设技术指南》（农办牧〔2022〕19号）要求，畜禽养殖场（户）宜采用干清粪、水泡粪、地面垫料、床（网）下垫料等清粪工艺，逐步淘汰水冲粪工艺，合理控制清粪环节用水量；新建养殖场采用干清粪工艺的，鼓励进行机械干清粪；鼓励畜禽养殖场采用碗式或液位控制等防溢漏饮水器，减少饮水漏水；新建猪、鸡等养殖场宜采取圈舍封闭半封闭管理，鼓励有条件的现有畜禽养殖场开展圈舍封闭改造，对恶臭气体进行收集处理。</w:t>
            </w:r>
          </w:p>
          <w:p w14:paraId="71686C2F">
            <w:pPr>
              <w:widowControl/>
              <w:spacing w:line="240" w:lineRule="auto"/>
              <w:ind w:firstLine="0" w:firstLineChars="0"/>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新增：禁止在下列区域内建设畜禽养殖场、养殖小区：饮用水水源保护区；自然保护区的核心区和缓冲区；城镇居民区、文化教育科学研究区等人口集中禁止生物多样性维护生态功能区的大规模水电开发和林纸一体化产业发展。在不损害生态系统功能的前提下，因地制宜地发展旅游、农林牧产品生产和加工、观光休闲农业及风电、太阳能等新能源产业。严禁盲目引入外来物种，严格控制转基因物种环境释放活动。。</w:t>
            </w:r>
          </w:p>
        </w:tc>
        <w:tc>
          <w:tcPr>
            <w:tcW w:w="892" w:type="pct"/>
            <w:vAlign w:val="center"/>
          </w:tcPr>
          <w:p w14:paraId="620EF94C">
            <w:pPr>
              <w:autoSpaceDE w:val="0"/>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项目加强牛舍的通风换气，控制饲养密度，及时清理牛粪，合理配置日粮、定期喷洒除臭剂；粪便堆肥采用好氧堆肥方式，定期喷洒减少氨释放和保氮的复合菌剂，可减少臭气的产生</w:t>
            </w:r>
          </w:p>
        </w:tc>
        <w:tc>
          <w:tcPr>
            <w:tcW w:w="308" w:type="pct"/>
            <w:vAlign w:val="center"/>
          </w:tcPr>
          <w:p w14:paraId="778DE523">
            <w:pPr>
              <w:autoSpaceDE w:val="0"/>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符合</w:t>
            </w:r>
          </w:p>
        </w:tc>
      </w:tr>
      <w:tr w14:paraId="015104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0" w:hRule="atLeast"/>
          <w:jc w:val="center"/>
        </w:trPr>
        <w:tc>
          <w:tcPr>
            <w:tcW w:w="278" w:type="pct"/>
            <w:vMerge w:val="continue"/>
            <w:vAlign w:val="center"/>
          </w:tcPr>
          <w:p w14:paraId="5A245BEC">
            <w:pPr>
              <w:widowControl/>
              <w:spacing w:line="240" w:lineRule="auto"/>
              <w:ind w:firstLine="0" w:firstLineChars="0"/>
              <w:jc w:val="left"/>
              <w:rPr>
                <w:rFonts w:hint="default" w:ascii="Times New Roman" w:hAnsi="Times New Roman" w:eastAsia="宋体" w:cs="Times New Roman"/>
                <w:color w:val="000000" w:themeColor="text1"/>
                <w:sz w:val="21"/>
                <w:szCs w:val="21"/>
                <w14:textFill>
                  <w14:solidFill>
                    <w14:schemeClr w14:val="tx1"/>
                  </w14:solidFill>
                </w14:textFill>
              </w:rPr>
            </w:pPr>
          </w:p>
        </w:tc>
        <w:tc>
          <w:tcPr>
            <w:tcW w:w="278" w:type="pct"/>
            <w:vMerge w:val="continue"/>
            <w:vAlign w:val="center"/>
          </w:tcPr>
          <w:p w14:paraId="2F78F4DF">
            <w:pPr>
              <w:widowControl/>
              <w:spacing w:line="240" w:lineRule="auto"/>
              <w:ind w:firstLine="0" w:firstLineChars="0"/>
              <w:jc w:val="left"/>
              <w:rPr>
                <w:rFonts w:hint="default" w:ascii="Times New Roman" w:hAnsi="Times New Roman" w:eastAsia="宋体" w:cs="Times New Roman"/>
                <w:color w:val="000000" w:themeColor="text1"/>
                <w:sz w:val="21"/>
                <w:szCs w:val="21"/>
                <w14:textFill>
                  <w14:solidFill>
                    <w14:schemeClr w14:val="tx1"/>
                  </w14:solidFill>
                </w14:textFill>
              </w:rPr>
            </w:pPr>
          </w:p>
        </w:tc>
        <w:tc>
          <w:tcPr>
            <w:tcW w:w="342" w:type="pct"/>
            <w:vMerge w:val="continue"/>
            <w:vAlign w:val="center"/>
          </w:tcPr>
          <w:p w14:paraId="08FFE421">
            <w:pPr>
              <w:widowControl/>
              <w:spacing w:line="240" w:lineRule="auto"/>
              <w:ind w:firstLine="0" w:firstLineChars="0"/>
              <w:jc w:val="left"/>
              <w:rPr>
                <w:rFonts w:hint="default" w:ascii="Times New Roman" w:hAnsi="Times New Roman" w:eastAsia="宋体" w:cs="Times New Roman"/>
                <w:color w:val="000000" w:themeColor="text1"/>
                <w:sz w:val="21"/>
                <w:szCs w:val="21"/>
                <w14:textFill>
                  <w14:solidFill>
                    <w14:schemeClr w14:val="tx1"/>
                  </w14:solidFill>
                </w14:textFill>
              </w:rPr>
            </w:pPr>
          </w:p>
        </w:tc>
        <w:tc>
          <w:tcPr>
            <w:tcW w:w="277" w:type="pct"/>
            <w:vAlign w:val="center"/>
          </w:tcPr>
          <w:p w14:paraId="637864A3">
            <w:pPr>
              <w:autoSpaceDE w:val="0"/>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环境风险防控</w:t>
            </w:r>
          </w:p>
        </w:tc>
        <w:tc>
          <w:tcPr>
            <w:tcW w:w="2622" w:type="pct"/>
            <w:vAlign w:val="center"/>
          </w:tcPr>
          <w:p w14:paraId="64787467">
            <w:pPr>
              <w:autoSpaceDE w:val="0"/>
              <w:adjustRightInd w:val="0"/>
              <w:snapToGrid w:val="0"/>
              <w:spacing w:line="240" w:lineRule="auto"/>
              <w:ind w:firstLine="0" w:firstLineChars="0"/>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1.建立重污染天气预警体系。完善重度及以上污染天气的区域联合预警机制，预测到区域将出现大范围重污染天气时，按级别启动应急响应措施，实施区域应急联动。</w:t>
            </w:r>
          </w:p>
          <w:p w14:paraId="31090578">
            <w:pPr>
              <w:autoSpaceDE w:val="0"/>
              <w:adjustRightInd w:val="0"/>
              <w:snapToGrid w:val="0"/>
              <w:spacing w:line="240" w:lineRule="auto"/>
              <w:ind w:firstLine="0" w:firstLineChars="0"/>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加强重大环境风险源的风险管控，构建区域环境风险联防联控机制，建立突发环境事故状态下的应急监测与人员疏散联动机制。全面落实园区、企业环境风险应急预案各项要求，增强突发环境事件处置能力。开展涉危涉化企业、有风险隐患的渣场等风险排查和整改工作，及时消除隐患。按要求建设园区隔离带、绿化防护带和风险事故水池等设施。</w:t>
            </w:r>
          </w:p>
          <w:p w14:paraId="62992ABC">
            <w:pPr>
              <w:autoSpaceDE w:val="0"/>
              <w:adjustRightInd w:val="0"/>
              <w:snapToGrid w:val="0"/>
              <w:spacing w:line="240" w:lineRule="auto"/>
              <w:ind w:firstLine="0" w:firstLineChars="0"/>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加强采矿引起的滑坡、塌陷等次生地质灾害的防范和治理，及时回填废弃巷道和采空区，要充分利用采矿疏干排出的地下水，最大限度的维持矿区生态平衡。</w:t>
            </w:r>
          </w:p>
          <w:p w14:paraId="275ABA6C">
            <w:pPr>
              <w:autoSpaceDE w:val="0"/>
              <w:adjustRightInd w:val="0"/>
              <w:snapToGrid w:val="0"/>
              <w:spacing w:line="240" w:lineRule="auto"/>
              <w:ind w:firstLine="0" w:firstLineChars="0"/>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建立健全地质灾害群测群防网络和专业监测网络，建立地质灾害多发期各部门联合会商制度，逐步建成于全盟防汛监测网络、气象监测网络、地震监测网络互联，连接旗县市、盟、自治区三级地质灾害信息管理系统，及时传送地质灾害险情、灾情、汛情、气象和地震信心。部门联合开展地质灾害气象预报预警工作，预测到地质灾害是，启动分级响应程序，根据突发地质灾害的不同险情灾情等级启动相应的应急预案。</w:t>
            </w:r>
          </w:p>
          <w:p w14:paraId="4438F7AB">
            <w:pPr>
              <w:autoSpaceDE w:val="0"/>
              <w:adjustRightInd w:val="0"/>
              <w:snapToGrid w:val="0"/>
              <w:spacing w:line="240" w:lineRule="auto"/>
              <w:ind w:firstLine="0" w:firstLineChars="0"/>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加快修订应急预案并严格执行。统一预警标准、实行绩效分级管控。做到应急减排清单所有涉气企业全覆盖、“一厂一策”应急减排操作方案全覆盖。</w:t>
            </w:r>
          </w:p>
          <w:p w14:paraId="3FBBD3C9">
            <w:pPr>
              <w:autoSpaceDE w:val="0"/>
              <w:adjustRightInd w:val="0"/>
              <w:snapToGrid w:val="0"/>
              <w:spacing w:line="240" w:lineRule="auto"/>
              <w:ind w:firstLine="0" w:firstLineChars="0"/>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新增：完善环境风险防控体系。全面落实园区、企业环境风险应急预案各项要求，增强突发环境事件处置能力。开展涉危涉化企业、有风险隐患的渣场等风险排查和整改工作，及时消除隐患。按要求建设园区隔离带、绿化防护带等设施。</w:t>
            </w:r>
          </w:p>
          <w:p w14:paraId="3D055006">
            <w:pPr>
              <w:autoSpaceDE w:val="0"/>
              <w:adjustRightInd w:val="0"/>
              <w:snapToGrid w:val="0"/>
              <w:spacing w:line="240" w:lineRule="auto"/>
              <w:ind w:firstLine="0" w:firstLineChars="0"/>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新增：开采矿山的企业应当落实主体责任，做好扬尘污染防治、绿色矿山建设和矿山恢复治理、矿山地质环境治理等工作。制定环境风险应急预案，成立应急组织机构，配备必要的应急设施和应急物资，定期开展环境风险应急演练。</w:t>
            </w:r>
          </w:p>
          <w:p w14:paraId="4580550F">
            <w:pPr>
              <w:autoSpaceDE w:val="0"/>
              <w:adjustRightInd w:val="0"/>
              <w:snapToGrid w:val="0"/>
              <w:spacing w:line="240" w:lineRule="auto"/>
              <w:ind w:firstLine="0" w:firstLineChars="0"/>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2.加强重大环境风险源的风险管控，构建区域环境风险联防联控机制，建立突发环境事故状态下的应急监测与人员疏散联动机制。</w:t>
            </w:r>
          </w:p>
        </w:tc>
        <w:tc>
          <w:tcPr>
            <w:tcW w:w="892" w:type="pct"/>
            <w:vAlign w:val="center"/>
          </w:tcPr>
          <w:p w14:paraId="6912F3D9">
            <w:pPr>
              <w:autoSpaceDE w:val="0"/>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本项目建成投产后按要求编制应急预案并定期开展事故风险演练</w:t>
            </w:r>
          </w:p>
        </w:tc>
        <w:tc>
          <w:tcPr>
            <w:tcW w:w="308" w:type="pct"/>
            <w:vAlign w:val="center"/>
          </w:tcPr>
          <w:p w14:paraId="6FC5FBDE">
            <w:pPr>
              <w:autoSpaceDE w:val="0"/>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符合</w:t>
            </w:r>
          </w:p>
        </w:tc>
      </w:tr>
      <w:tr w14:paraId="53CDD2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0" w:hRule="atLeast"/>
          <w:jc w:val="center"/>
        </w:trPr>
        <w:tc>
          <w:tcPr>
            <w:tcW w:w="278" w:type="pct"/>
            <w:vMerge w:val="continue"/>
            <w:vAlign w:val="center"/>
          </w:tcPr>
          <w:p w14:paraId="31E1738E">
            <w:pPr>
              <w:widowControl/>
              <w:spacing w:line="240" w:lineRule="auto"/>
              <w:ind w:firstLine="0" w:firstLineChars="0"/>
              <w:jc w:val="left"/>
              <w:rPr>
                <w:rFonts w:hint="default" w:ascii="Times New Roman" w:hAnsi="Times New Roman" w:eastAsia="宋体" w:cs="Times New Roman"/>
                <w:color w:val="000000" w:themeColor="text1"/>
                <w:sz w:val="21"/>
                <w:szCs w:val="21"/>
                <w14:textFill>
                  <w14:solidFill>
                    <w14:schemeClr w14:val="tx1"/>
                  </w14:solidFill>
                </w14:textFill>
              </w:rPr>
            </w:pPr>
          </w:p>
        </w:tc>
        <w:tc>
          <w:tcPr>
            <w:tcW w:w="278" w:type="pct"/>
            <w:vMerge w:val="continue"/>
            <w:vAlign w:val="center"/>
          </w:tcPr>
          <w:p w14:paraId="257D9C15">
            <w:pPr>
              <w:widowControl/>
              <w:spacing w:line="240" w:lineRule="auto"/>
              <w:ind w:firstLine="0" w:firstLineChars="0"/>
              <w:jc w:val="left"/>
              <w:rPr>
                <w:rFonts w:hint="default" w:ascii="Times New Roman" w:hAnsi="Times New Roman" w:eastAsia="宋体" w:cs="Times New Roman"/>
                <w:color w:val="000000" w:themeColor="text1"/>
                <w:sz w:val="21"/>
                <w:szCs w:val="21"/>
                <w14:textFill>
                  <w14:solidFill>
                    <w14:schemeClr w14:val="tx1"/>
                  </w14:solidFill>
                </w14:textFill>
              </w:rPr>
            </w:pPr>
          </w:p>
        </w:tc>
        <w:tc>
          <w:tcPr>
            <w:tcW w:w="342" w:type="pct"/>
            <w:vMerge w:val="continue"/>
            <w:vAlign w:val="center"/>
          </w:tcPr>
          <w:p w14:paraId="70BDF0D1">
            <w:pPr>
              <w:widowControl/>
              <w:spacing w:line="240" w:lineRule="auto"/>
              <w:ind w:firstLine="0" w:firstLineChars="0"/>
              <w:jc w:val="left"/>
              <w:rPr>
                <w:rFonts w:hint="default" w:ascii="Times New Roman" w:hAnsi="Times New Roman" w:eastAsia="宋体" w:cs="Times New Roman"/>
                <w:color w:val="000000" w:themeColor="text1"/>
                <w:sz w:val="21"/>
                <w:szCs w:val="21"/>
                <w14:textFill>
                  <w14:solidFill>
                    <w14:schemeClr w14:val="tx1"/>
                  </w14:solidFill>
                </w14:textFill>
              </w:rPr>
            </w:pPr>
          </w:p>
        </w:tc>
        <w:tc>
          <w:tcPr>
            <w:tcW w:w="277" w:type="pct"/>
            <w:vAlign w:val="center"/>
          </w:tcPr>
          <w:p w14:paraId="3634E29B">
            <w:pPr>
              <w:autoSpaceDE w:val="0"/>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资源开发效率要求</w:t>
            </w:r>
          </w:p>
        </w:tc>
        <w:tc>
          <w:tcPr>
            <w:tcW w:w="2622" w:type="pct"/>
            <w:vAlign w:val="center"/>
          </w:tcPr>
          <w:p w14:paraId="0FC07CE3">
            <w:pPr>
              <w:autoSpaceDE w:val="0"/>
              <w:adjustRightInd w:val="0"/>
              <w:snapToGrid w:val="0"/>
              <w:spacing w:line="240" w:lineRule="auto"/>
              <w:ind w:firstLine="0" w:firstLineChars="0"/>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1.禁止开采深层地下水，禁止农业灌溉项目新增机电井，除食品、医药外，新改扩建高耗水工业项目。禁止取用地下水，防止地下水超采。</w:t>
            </w:r>
          </w:p>
        </w:tc>
        <w:tc>
          <w:tcPr>
            <w:tcW w:w="892" w:type="pct"/>
            <w:vAlign w:val="center"/>
          </w:tcPr>
          <w:p w14:paraId="1B2260DA">
            <w:pPr>
              <w:autoSpaceDE w:val="0"/>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项目用水主要为牛只饮用水及人员生活用水，用水量较小，且项目已取得取水许可证</w:t>
            </w:r>
          </w:p>
        </w:tc>
        <w:tc>
          <w:tcPr>
            <w:tcW w:w="308" w:type="pct"/>
            <w:vAlign w:val="center"/>
          </w:tcPr>
          <w:p w14:paraId="505B2AB9">
            <w:pPr>
              <w:autoSpaceDE w:val="0"/>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符合</w:t>
            </w:r>
          </w:p>
        </w:tc>
      </w:tr>
    </w:tbl>
    <w:p w14:paraId="58176D7C">
      <w:pPr>
        <w:widowControl/>
        <w:ind w:firstLine="480"/>
        <w:rPr>
          <w:rFonts w:hint="default" w:ascii="Times New Roman" w:hAnsi="Times New Roman" w:eastAsia="宋体" w:cs="Times New Roman"/>
          <w:color w:val="000000" w:themeColor="text1"/>
          <w:kern w:val="0"/>
          <w:lang w:bidi="ar"/>
          <w14:textFill>
            <w14:solidFill>
              <w14:schemeClr w14:val="tx1"/>
            </w14:solidFill>
          </w14:textFill>
        </w:rPr>
      </w:pPr>
      <w:r>
        <w:rPr>
          <w:rFonts w:hint="default" w:ascii="Times New Roman" w:hAnsi="Times New Roman" w:eastAsia="宋体" w:cs="Times New Roman"/>
          <w:color w:val="000000" w:themeColor="text1"/>
          <w:kern w:val="0"/>
          <w:lang w:bidi="ar"/>
          <w14:textFill>
            <w14:solidFill>
              <w14:schemeClr w14:val="tx1"/>
            </w14:solidFill>
          </w14:textFill>
        </w:rPr>
        <w:t>综上所述，本项目建设满足国家关于“生态保护红线、环境质量底线、资源利用上线和生态环境准入清单”相关要求。</w:t>
      </w:r>
    </w:p>
    <w:p w14:paraId="7DB31CD8">
      <w:pPr>
        <w:widowControl/>
        <w:ind w:firstLine="480"/>
        <w:rPr>
          <w:rFonts w:hint="default" w:ascii="Times New Roman" w:hAnsi="Times New Roman" w:eastAsia="宋体" w:cs="Times New Roman"/>
          <w:color w:val="000000" w:themeColor="text1"/>
          <w:kern w:val="0"/>
          <w:lang w:bidi="ar"/>
          <w14:textFill>
            <w14:solidFill>
              <w14:schemeClr w14:val="tx1"/>
            </w14:solidFill>
          </w14:textFill>
        </w:rPr>
      </w:pPr>
    </w:p>
    <w:p w14:paraId="37F99FAA">
      <w:pPr>
        <w:widowControl/>
        <w:ind w:firstLine="480"/>
        <w:rPr>
          <w:rFonts w:hint="default" w:ascii="Times New Roman" w:hAnsi="Times New Roman" w:eastAsia="宋体" w:cs="Times New Roman"/>
          <w:color w:val="000000" w:themeColor="text1"/>
          <w:kern w:val="0"/>
          <w:lang w:bidi="ar"/>
          <w14:textFill>
            <w14:solidFill>
              <w14:schemeClr w14:val="tx1"/>
            </w14:solidFill>
          </w14:textFill>
        </w:rPr>
      </w:pPr>
    </w:p>
    <w:p w14:paraId="6A1C003A">
      <w:pPr>
        <w:ind w:firstLine="0" w:firstLineChars="0"/>
        <w:outlineLvl w:val="1"/>
        <w:rPr>
          <w:rFonts w:hint="default" w:ascii="Times New Roman" w:hAnsi="Times New Roman" w:eastAsia="宋体" w:cs="Times New Roman"/>
          <w:b/>
          <w:bCs/>
          <w:color w:val="000000" w:themeColor="text1"/>
          <w:sz w:val="28"/>
          <w:szCs w:val="28"/>
          <w14:textFill>
            <w14:solidFill>
              <w14:schemeClr w14:val="tx1"/>
            </w14:solidFill>
          </w14:textFill>
        </w:rPr>
      </w:pPr>
      <w:bookmarkStart w:id="45" w:name="_Toc26927"/>
      <w:r>
        <w:rPr>
          <w:rFonts w:hint="default" w:ascii="Times New Roman" w:hAnsi="Times New Roman" w:eastAsia="宋体" w:cs="Times New Roman"/>
          <w:b/>
          <w:bCs/>
          <w:color w:val="000000" w:themeColor="text1"/>
          <w:sz w:val="28"/>
          <w:szCs w:val="28"/>
          <w14:textFill>
            <w14:solidFill>
              <w14:schemeClr w14:val="tx1"/>
            </w14:solidFill>
          </w14:textFill>
        </w:rPr>
        <w:t>1.4关注的主要环境问题</w:t>
      </w:r>
      <w:bookmarkEnd w:id="45"/>
    </w:p>
    <w:p w14:paraId="4352FDDE">
      <w:pPr>
        <w:keepNext w:val="0"/>
        <w:keepLines w:val="0"/>
        <w:pageBreakBefore w:val="0"/>
        <w:widowControl/>
        <w:kinsoku/>
        <w:wordWrap w:val="0"/>
        <w:overflowPunct/>
        <w:topLinePunct/>
        <w:autoSpaceDE/>
        <w:autoSpaceDN/>
        <w:bidi w:val="0"/>
        <w:adjustRightInd/>
        <w:snapToGrid/>
        <w:ind w:firstLine="480"/>
        <w:jc w:val="left"/>
        <w:textAlignment w:val="auto"/>
        <w:rPr>
          <w:rFonts w:hint="default" w:ascii="Times New Roman" w:hAnsi="Times New Roman" w:eastAsia="宋体" w:cs="Times New Roman"/>
          <w:color w:val="000000" w:themeColor="text1"/>
          <w:kern w:val="0"/>
          <w:lang w:bidi="ar"/>
          <w14:textFill>
            <w14:solidFill>
              <w14:schemeClr w14:val="tx1"/>
            </w14:solidFill>
          </w14:textFill>
        </w:rPr>
      </w:pPr>
      <w:r>
        <w:rPr>
          <w:rFonts w:hint="default" w:ascii="Times New Roman" w:hAnsi="Times New Roman" w:eastAsia="宋体" w:cs="Times New Roman"/>
          <w:color w:val="000000" w:themeColor="text1"/>
          <w:kern w:val="0"/>
          <w:lang w:bidi="ar"/>
          <w14:textFill>
            <w14:solidFill>
              <w14:schemeClr w14:val="tx1"/>
            </w14:solidFill>
          </w14:textFill>
        </w:rPr>
        <w:t>本次评价工作在对项目进行工程分析的基础上，主要关注的环境问题有环境空气影响、水环境影响及废气污染防治措施、废水污染防治措施、固体废物污染防治措施、环境风险分析，亦对声环境进行评价与分析。</w:t>
      </w:r>
    </w:p>
    <w:p w14:paraId="41CAA489">
      <w:pPr>
        <w:keepNext w:val="0"/>
        <w:keepLines w:val="0"/>
        <w:pageBreakBefore w:val="0"/>
        <w:widowControl/>
        <w:kinsoku/>
        <w:wordWrap w:val="0"/>
        <w:overflowPunct/>
        <w:topLinePunct/>
        <w:autoSpaceDE/>
        <w:autoSpaceDN/>
        <w:bidi w:val="0"/>
        <w:adjustRightInd/>
        <w:snapToGrid/>
        <w:ind w:firstLine="480"/>
        <w:jc w:val="left"/>
        <w:textAlignment w:val="auto"/>
        <w:rPr>
          <w:rFonts w:hint="default" w:ascii="Times New Roman" w:hAnsi="Times New Roman" w:eastAsia="宋体" w:cs="Times New Roman"/>
          <w:color w:val="000000" w:themeColor="text1"/>
          <w:kern w:val="0"/>
          <w:lang w:bidi="ar"/>
          <w14:textFill>
            <w14:solidFill>
              <w14:schemeClr w14:val="tx1"/>
            </w14:solidFill>
          </w14:textFill>
        </w:rPr>
      </w:pPr>
      <w:r>
        <w:rPr>
          <w:rFonts w:hint="default" w:ascii="Times New Roman" w:hAnsi="Times New Roman" w:eastAsia="宋体" w:cs="Times New Roman"/>
          <w:color w:val="000000" w:themeColor="text1"/>
          <w:kern w:val="0"/>
          <w:lang w:bidi="ar"/>
          <w14:textFill>
            <w14:solidFill>
              <w14:schemeClr w14:val="tx1"/>
            </w14:solidFill>
          </w14:textFill>
        </w:rPr>
        <w:t>本次评价重点关注问题：</w:t>
      </w:r>
    </w:p>
    <w:p w14:paraId="39E50FA5">
      <w:pPr>
        <w:keepNext w:val="0"/>
        <w:keepLines w:val="0"/>
        <w:pageBreakBefore w:val="0"/>
        <w:widowControl/>
        <w:kinsoku/>
        <w:wordWrap w:val="0"/>
        <w:overflowPunct/>
        <w:topLinePunct/>
        <w:autoSpaceDE/>
        <w:autoSpaceDN/>
        <w:bidi w:val="0"/>
        <w:adjustRightInd/>
        <w:snapToGrid/>
        <w:ind w:firstLine="480"/>
        <w:jc w:val="left"/>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lang w:bidi="ar"/>
          <w14:textFill>
            <w14:solidFill>
              <w14:schemeClr w14:val="tx1"/>
            </w14:solidFill>
          </w14:textFill>
        </w:rPr>
        <w:t>废气方面：主要关注运营期养殖区牛舍恶臭、牛粪便堆粪区恶臭、氧化塘恶臭。重点分析废气源强、治理措施的可行性及对周边大气环境的影响。</w:t>
      </w:r>
    </w:p>
    <w:p w14:paraId="28DEFF0F">
      <w:pPr>
        <w:keepNext w:val="0"/>
        <w:keepLines w:val="0"/>
        <w:pageBreakBefore w:val="0"/>
        <w:widowControl/>
        <w:kinsoku/>
        <w:wordWrap w:val="0"/>
        <w:overflowPunct/>
        <w:topLinePunct/>
        <w:autoSpaceDE/>
        <w:autoSpaceDN/>
        <w:bidi w:val="0"/>
        <w:adjustRightInd/>
        <w:snapToGrid/>
        <w:ind w:firstLine="480"/>
        <w:jc w:val="left"/>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lang w:bidi="ar"/>
          <w14:textFill>
            <w14:solidFill>
              <w14:schemeClr w14:val="tx1"/>
            </w14:solidFill>
          </w14:textFill>
        </w:rPr>
        <w:t>废水方面：主要关注运营过程养殖废水及生活污水等。废水污染因子为COD、BOD</w:t>
      </w:r>
      <w:r>
        <w:rPr>
          <w:rFonts w:hint="default" w:ascii="Times New Roman" w:hAnsi="Times New Roman" w:eastAsia="宋体" w:cs="Times New Roman"/>
          <w:color w:val="000000" w:themeColor="text1"/>
          <w:kern w:val="0"/>
          <w:sz w:val="15"/>
          <w:szCs w:val="15"/>
          <w:lang w:bidi="ar"/>
          <w14:textFill>
            <w14:solidFill>
              <w14:schemeClr w14:val="tx1"/>
            </w14:solidFill>
          </w14:textFill>
        </w:rPr>
        <w:t>5</w:t>
      </w:r>
      <w:r>
        <w:rPr>
          <w:rFonts w:hint="default" w:ascii="Times New Roman" w:hAnsi="Times New Roman" w:eastAsia="宋体" w:cs="Times New Roman"/>
          <w:color w:val="000000" w:themeColor="text1"/>
          <w:kern w:val="0"/>
          <w:lang w:bidi="ar"/>
          <w14:textFill>
            <w14:solidFill>
              <w14:schemeClr w14:val="tx1"/>
            </w14:solidFill>
          </w14:textFill>
        </w:rPr>
        <w:t>、NH</w:t>
      </w:r>
      <w:r>
        <w:rPr>
          <w:rFonts w:hint="default" w:ascii="Times New Roman" w:hAnsi="Times New Roman" w:eastAsia="宋体" w:cs="Times New Roman"/>
          <w:color w:val="000000" w:themeColor="text1"/>
          <w:kern w:val="0"/>
          <w:sz w:val="15"/>
          <w:szCs w:val="15"/>
          <w:lang w:bidi="ar"/>
          <w14:textFill>
            <w14:solidFill>
              <w14:schemeClr w14:val="tx1"/>
            </w14:solidFill>
          </w14:textFill>
        </w:rPr>
        <w:t>3</w:t>
      </w:r>
      <w:r>
        <w:rPr>
          <w:rFonts w:hint="default" w:ascii="Times New Roman" w:hAnsi="Times New Roman" w:eastAsia="宋体" w:cs="Times New Roman"/>
          <w:color w:val="000000" w:themeColor="text1"/>
          <w:kern w:val="0"/>
          <w:lang w:bidi="ar"/>
          <w14:textFill>
            <w14:solidFill>
              <w14:schemeClr w14:val="tx1"/>
            </w14:solidFill>
          </w14:textFill>
        </w:rPr>
        <w:t>-N、SS。重点分析废水水量及处理工艺的可行性。</w:t>
      </w:r>
    </w:p>
    <w:p w14:paraId="05FF5CA9">
      <w:pPr>
        <w:keepNext w:val="0"/>
        <w:keepLines w:val="0"/>
        <w:pageBreakBefore w:val="0"/>
        <w:widowControl/>
        <w:kinsoku/>
        <w:wordWrap w:val="0"/>
        <w:overflowPunct/>
        <w:topLinePunct/>
        <w:autoSpaceDE/>
        <w:autoSpaceDN/>
        <w:bidi w:val="0"/>
        <w:adjustRightInd/>
        <w:snapToGrid/>
        <w:ind w:firstLine="480"/>
        <w:jc w:val="left"/>
        <w:textAlignment w:val="auto"/>
        <w:rPr>
          <w:rFonts w:hint="default" w:ascii="Times New Roman" w:hAnsi="Times New Roman" w:eastAsia="宋体" w:cs="Times New Roman"/>
          <w:color w:val="000000" w:themeColor="text1"/>
          <w:kern w:val="0"/>
          <w:lang w:bidi="ar"/>
          <w14:textFill>
            <w14:solidFill>
              <w14:schemeClr w14:val="tx1"/>
            </w14:solidFill>
          </w14:textFill>
        </w:rPr>
      </w:pPr>
      <w:r>
        <w:rPr>
          <w:rFonts w:hint="default" w:ascii="Times New Roman" w:hAnsi="Times New Roman" w:eastAsia="宋体" w:cs="Times New Roman"/>
          <w:color w:val="000000" w:themeColor="text1"/>
          <w:kern w:val="0"/>
          <w:lang w:bidi="ar"/>
          <w14:textFill>
            <w14:solidFill>
              <w14:schemeClr w14:val="tx1"/>
            </w14:solidFill>
          </w14:textFill>
        </w:rPr>
        <w:t>噪声方面：关注运营期场界噪声是否可以达到相应的标准要求。</w:t>
      </w:r>
    </w:p>
    <w:p w14:paraId="3C21BD03">
      <w:pPr>
        <w:keepNext w:val="0"/>
        <w:keepLines w:val="0"/>
        <w:pageBreakBefore w:val="0"/>
        <w:widowControl/>
        <w:kinsoku/>
        <w:wordWrap w:val="0"/>
        <w:overflowPunct/>
        <w:topLinePunct/>
        <w:autoSpaceDE/>
        <w:autoSpaceDN/>
        <w:bidi w:val="0"/>
        <w:adjustRightInd/>
        <w:snapToGrid/>
        <w:ind w:firstLine="480"/>
        <w:jc w:val="left"/>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lang w:bidi="ar"/>
          <w14:textFill>
            <w14:solidFill>
              <w14:schemeClr w14:val="tx1"/>
            </w14:solidFill>
          </w14:textFill>
        </w:rPr>
        <w:t>固废方面：关注饲料配制粉尘、牛粪、病死畜、医疗垃圾、生活垃圾等固废处置方式。重点分析固废的产生情况、暂存设施设置的规范要求及处置是否符合环保要求。</w:t>
      </w:r>
    </w:p>
    <w:p w14:paraId="18C4EADB">
      <w:pPr>
        <w:ind w:firstLine="0" w:firstLineChars="0"/>
        <w:outlineLvl w:val="1"/>
        <w:rPr>
          <w:rFonts w:hint="default" w:ascii="Times New Roman" w:hAnsi="Times New Roman" w:eastAsia="宋体" w:cs="Times New Roman"/>
          <w:b/>
          <w:bCs/>
          <w:color w:val="000000" w:themeColor="text1"/>
          <w:sz w:val="28"/>
          <w:szCs w:val="28"/>
          <w14:textFill>
            <w14:solidFill>
              <w14:schemeClr w14:val="tx1"/>
            </w14:solidFill>
          </w14:textFill>
        </w:rPr>
      </w:pPr>
      <w:bookmarkStart w:id="46" w:name="_Toc24778"/>
      <w:r>
        <w:rPr>
          <w:rFonts w:hint="default" w:ascii="Times New Roman" w:hAnsi="Times New Roman" w:eastAsia="宋体" w:cs="Times New Roman"/>
          <w:b/>
          <w:bCs/>
          <w:color w:val="000000" w:themeColor="text1"/>
          <w:sz w:val="28"/>
          <w:szCs w:val="28"/>
          <w14:textFill>
            <w14:solidFill>
              <w14:schemeClr w14:val="tx1"/>
            </w14:solidFill>
          </w14:textFill>
        </w:rPr>
        <w:t>1.5环境影响报告主要结论</w:t>
      </w:r>
      <w:bookmarkEnd w:id="46"/>
    </w:p>
    <w:p w14:paraId="1DDD7484">
      <w:pPr>
        <w:widowControl/>
        <w:ind w:firstLine="480"/>
        <w:jc w:val="left"/>
        <w:rPr>
          <w:rFonts w:hint="default" w:ascii="Times New Roman" w:hAnsi="Times New Roman" w:eastAsia="宋体" w:cs="Times New Roman"/>
          <w:color w:val="000000" w:themeColor="text1"/>
          <w:kern w:val="0"/>
          <w:lang w:bidi="ar"/>
          <w14:textFill>
            <w14:solidFill>
              <w14:schemeClr w14:val="tx1"/>
            </w14:solidFill>
          </w14:textFill>
        </w:rPr>
        <w:sectPr>
          <w:pgSz w:w="11910" w:h="16840"/>
          <w:pgMar w:top="1440" w:right="1803" w:bottom="1440" w:left="1803" w:header="898" w:footer="998" w:gutter="0"/>
          <w:pgNumType w:fmt="decimal" w:start="1"/>
          <w:cols w:space="0" w:num="1"/>
          <w:titlePg/>
        </w:sectPr>
      </w:pPr>
      <w:r>
        <w:rPr>
          <w:rFonts w:hint="default" w:ascii="Times New Roman" w:hAnsi="Times New Roman" w:eastAsia="宋体" w:cs="Times New Roman"/>
          <w:color w:val="000000" w:themeColor="text1"/>
          <w:kern w:val="0"/>
          <w:lang w:bidi="ar"/>
          <w14:textFill>
            <w14:solidFill>
              <w14:schemeClr w14:val="tx1"/>
            </w14:solidFill>
          </w14:textFill>
        </w:rPr>
        <w:t>本项目属于《产业结构调整指导目录（2024年本）》中的鼓励类，符合产业政策的要求；从环境保护角度选址基本合理；当地的环境质量现状较好；项目所产生的污染物均能达标排放并满足总量控制要求；项目建设满足国家关于“环境质量底线、资源消耗上限、生态保护红线和生态环境准入清单”相关要求；项目环境风险可接受；项目的建设得到了被调查公众的支持；因此只要项目严格执行相关规范、严格管理，严格执行“三同时”制度，从环保角度分析，本项目的建设是可行的。</w:t>
      </w:r>
    </w:p>
    <w:p w14:paraId="12970BF2">
      <w:pPr>
        <w:ind w:firstLine="0" w:firstLineChars="0"/>
        <w:outlineLvl w:val="0"/>
        <w:rPr>
          <w:rFonts w:hint="default" w:ascii="Times New Roman" w:hAnsi="Times New Roman" w:eastAsia="宋体" w:cs="Times New Roman"/>
          <w:b/>
          <w:bCs/>
          <w:color w:val="000000" w:themeColor="text1"/>
          <w:sz w:val="30"/>
          <w:szCs w:val="30"/>
          <w14:textFill>
            <w14:solidFill>
              <w14:schemeClr w14:val="tx1"/>
            </w14:solidFill>
          </w14:textFill>
        </w:rPr>
      </w:pPr>
      <w:bookmarkStart w:id="47" w:name="_Toc9203"/>
      <w:r>
        <w:rPr>
          <w:rFonts w:hint="default" w:ascii="Times New Roman" w:hAnsi="Times New Roman" w:eastAsia="宋体" w:cs="Times New Roman"/>
          <w:b/>
          <w:bCs/>
          <w:color w:val="000000" w:themeColor="text1"/>
          <w:sz w:val="30"/>
          <w:szCs w:val="30"/>
          <w14:textFill>
            <w14:solidFill>
              <w14:schemeClr w14:val="tx1"/>
            </w14:solidFill>
          </w14:textFill>
        </w:rPr>
        <w:t>2总则</w:t>
      </w:r>
      <w:bookmarkEnd w:id="47"/>
    </w:p>
    <w:p w14:paraId="5BEE2B1A">
      <w:pPr>
        <w:ind w:firstLine="0" w:firstLineChars="0"/>
        <w:outlineLvl w:val="1"/>
        <w:rPr>
          <w:rFonts w:hint="default" w:ascii="Times New Roman" w:hAnsi="Times New Roman" w:eastAsia="宋体" w:cs="Times New Roman"/>
          <w:b/>
          <w:bCs/>
          <w:color w:val="000000" w:themeColor="text1"/>
          <w:sz w:val="28"/>
          <w:szCs w:val="28"/>
          <w14:textFill>
            <w14:solidFill>
              <w14:schemeClr w14:val="tx1"/>
            </w14:solidFill>
          </w14:textFill>
        </w:rPr>
      </w:pPr>
      <w:bookmarkStart w:id="48" w:name="_Toc5500"/>
      <w:r>
        <w:rPr>
          <w:rFonts w:hint="default" w:ascii="Times New Roman" w:hAnsi="Times New Roman" w:eastAsia="宋体" w:cs="Times New Roman"/>
          <w:b/>
          <w:bCs/>
          <w:color w:val="000000" w:themeColor="text1"/>
          <w:sz w:val="28"/>
          <w:szCs w:val="28"/>
          <w14:textFill>
            <w14:solidFill>
              <w14:schemeClr w14:val="tx1"/>
            </w14:solidFill>
          </w14:textFill>
        </w:rPr>
        <w:t>2.1编制依据</w:t>
      </w:r>
      <w:bookmarkEnd w:id="48"/>
    </w:p>
    <w:p w14:paraId="705CD65E">
      <w:pPr>
        <w:widowControl/>
        <w:ind w:firstLine="482"/>
        <w:outlineLvl w:val="2"/>
        <w:rPr>
          <w:rFonts w:hint="default" w:ascii="Times New Roman" w:hAnsi="Times New Roman" w:eastAsia="宋体" w:cs="Times New Roman"/>
          <w:color w:val="000000" w:themeColor="text1"/>
          <w14:textFill>
            <w14:solidFill>
              <w14:schemeClr w14:val="tx1"/>
            </w14:solidFill>
          </w14:textFill>
        </w:rPr>
      </w:pPr>
      <w:bookmarkStart w:id="49" w:name="_Toc9479"/>
      <w:r>
        <w:rPr>
          <w:rFonts w:hint="default" w:ascii="Times New Roman" w:hAnsi="Times New Roman" w:eastAsia="宋体" w:cs="Times New Roman"/>
          <w:b/>
          <w:bCs/>
          <w:color w:val="000000" w:themeColor="text1"/>
          <w:kern w:val="0"/>
          <w:lang w:bidi="ar"/>
          <w14:textFill>
            <w14:solidFill>
              <w14:schemeClr w14:val="tx1"/>
            </w14:solidFill>
          </w14:textFill>
        </w:rPr>
        <w:t>2.1.1国家法律法规</w:t>
      </w:r>
      <w:bookmarkEnd w:id="49"/>
    </w:p>
    <w:p w14:paraId="29F3F4B8">
      <w:pPr>
        <w:widowControl/>
        <w:ind w:firstLine="480"/>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lang w:bidi="ar"/>
          <w14:textFill>
            <w14:solidFill>
              <w14:schemeClr w14:val="tx1"/>
            </w14:solidFill>
          </w14:textFill>
        </w:rPr>
        <w:t>（1）《中华人民共和国环境保护法（修订）》，2015年1月1日起施行；</w:t>
      </w:r>
    </w:p>
    <w:p w14:paraId="48983882">
      <w:pPr>
        <w:widowControl/>
        <w:ind w:firstLine="480"/>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lang w:bidi="ar"/>
          <w14:textFill>
            <w14:solidFill>
              <w14:schemeClr w14:val="tx1"/>
            </w14:solidFill>
          </w14:textFill>
        </w:rPr>
        <w:t>（2）《中华人民共和国环境影响评价法（修订）》，2018年12月29日起施行；</w:t>
      </w:r>
    </w:p>
    <w:p w14:paraId="587FDA24">
      <w:pPr>
        <w:widowControl/>
        <w:ind w:firstLine="480"/>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lang w:bidi="ar"/>
          <w14:textFill>
            <w14:solidFill>
              <w14:schemeClr w14:val="tx1"/>
            </w14:solidFill>
          </w14:textFill>
        </w:rPr>
        <w:t>（3）《中华人民共和国大气污染防治法（修订）》，2018年10月26日起施行；</w:t>
      </w:r>
    </w:p>
    <w:p w14:paraId="5BA6E61A">
      <w:pPr>
        <w:widowControl/>
        <w:ind w:firstLine="480"/>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lang w:bidi="ar"/>
          <w14:textFill>
            <w14:solidFill>
              <w14:schemeClr w14:val="tx1"/>
            </w14:solidFill>
          </w14:textFill>
        </w:rPr>
        <w:t>（4）《中华人民共和国水污染防治法（修订）》，2018年1月1日起施行；</w:t>
      </w:r>
    </w:p>
    <w:p w14:paraId="74002AC0">
      <w:pPr>
        <w:widowControl/>
        <w:ind w:firstLine="480"/>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lang w:bidi="ar"/>
          <w14:textFill>
            <w14:solidFill>
              <w14:schemeClr w14:val="tx1"/>
            </w14:solidFill>
          </w14:textFill>
        </w:rPr>
        <w:t>（5）《中华人民共和国固体废物污染环境防治法》，2020年9月1日起施行；</w:t>
      </w:r>
    </w:p>
    <w:p w14:paraId="41647875">
      <w:pPr>
        <w:widowControl/>
        <w:ind w:firstLine="480"/>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lang w:bidi="ar"/>
          <w14:textFill>
            <w14:solidFill>
              <w14:schemeClr w14:val="tx1"/>
            </w14:solidFill>
          </w14:textFill>
        </w:rPr>
        <w:t>（6）《中华人民共和国环境噪声污染防治法（修订）》，2022年6月5日起施行；</w:t>
      </w:r>
    </w:p>
    <w:p w14:paraId="466614EE">
      <w:pPr>
        <w:widowControl/>
        <w:ind w:firstLine="480"/>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lang w:bidi="ar"/>
          <w14:textFill>
            <w14:solidFill>
              <w14:schemeClr w14:val="tx1"/>
            </w14:solidFill>
          </w14:textFill>
        </w:rPr>
        <w:t>（7）《中华人民共和国土壤污染防治法》，2019年1月1日起施行；</w:t>
      </w:r>
    </w:p>
    <w:p w14:paraId="4BEC0E72">
      <w:pPr>
        <w:widowControl/>
        <w:ind w:firstLine="480"/>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lang w:bidi="ar"/>
          <w14:textFill>
            <w14:solidFill>
              <w14:schemeClr w14:val="tx1"/>
            </w14:solidFill>
          </w14:textFill>
        </w:rPr>
        <w:t>（8）《中华人民共和国清洁生产促进法（修订）》，2012年7月1日起施行；</w:t>
      </w:r>
    </w:p>
    <w:p w14:paraId="14F4B860">
      <w:pPr>
        <w:widowControl/>
        <w:ind w:firstLine="480"/>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lang w:bidi="ar"/>
          <w14:textFill>
            <w14:solidFill>
              <w14:schemeClr w14:val="tx1"/>
            </w14:solidFill>
          </w14:textFill>
        </w:rPr>
        <w:t>（9）《地下水管理条例》，中华人民共和国国务院令第748号，2021年12月1日起施行；</w:t>
      </w:r>
    </w:p>
    <w:p w14:paraId="030F3710">
      <w:pPr>
        <w:widowControl/>
        <w:ind w:firstLine="480"/>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lang w:bidi="ar"/>
          <w14:textFill>
            <w14:solidFill>
              <w14:schemeClr w14:val="tx1"/>
            </w14:solidFill>
          </w14:textFill>
        </w:rPr>
        <w:t>（10）《产业结构调整指导目录（2024年本）》，2024年2月1日起发布施行；</w:t>
      </w:r>
    </w:p>
    <w:p w14:paraId="1154676F">
      <w:pPr>
        <w:widowControl/>
        <w:ind w:firstLine="480"/>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lang w:bidi="ar"/>
          <w14:textFill>
            <w14:solidFill>
              <w14:schemeClr w14:val="tx1"/>
            </w14:solidFill>
          </w14:textFill>
        </w:rPr>
        <w:t>（11）《建设项目环境影响评价分类管理名录》（2021年版）》，部令第16号，2020年11月30日；</w:t>
      </w:r>
    </w:p>
    <w:p w14:paraId="44D42CA7">
      <w:pPr>
        <w:widowControl/>
        <w:ind w:firstLine="480"/>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lang w:bidi="ar"/>
          <w14:textFill>
            <w14:solidFill>
              <w14:schemeClr w14:val="tx1"/>
            </w14:solidFill>
          </w14:textFill>
        </w:rPr>
        <w:t>（12）《建设项目环境保护管理条例》（2017年修改），中华人民共和国国务院令第682号，2017年10月1日起施行；</w:t>
      </w:r>
    </w:p>
    <w:p w14:paraId="7C636948">
      <w:pPr>
        <w:widowControl/>
        <w:ind w:firstLine="480"/>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lang w:bidi="ar"/>
          <w14:textFill>
            <w14:solidFill>
              <w14:schemeClr w14:val="tx1"/>
            </w14:solidFill>
          </w14:textFill>
        </w:rPr>
        <w:t>（13）《中共中央国务院关于全面加强生态环境保护坚决打好污染防治攻坚战的意见》，2018年6月16日；</w:t>
      </w:r>
    </w:p>
    <w:p w14:paraId="73B2D1BA">
      <w:pPr>
        <w:widowControl/>
        <w:ind w:firstLine="480"/>
        <w:jc w:val="left"/>
        <w:rPr>
          <w:rFonts w:hint="default" w:ascii="Times New Roman" w:hAnsi="Times New Roman" w:eastAsia="宋体" w:cs="Times New Roman"/>
          <w:color w:val="000000" w:themeColor="text1"/>
          <w:kern w:val="0"/>
          <w:lang w:bidi="ar"/>
          <w14:textFill>
            <w14:solidFill>
              <w14:schemeClr w14:val="tx1"/>
            </w14:solidFill>
          </w14:textFill>
        </w:rPr>
      </w:pPr>
      <w:r>
        <w:rPr>
          <w:rFonts w:hint="default" w:ascii="Times New Roman" w:hAnsi="Times New Roman" w:eastAsia="宋体" w:cs="Times New Roman"/>
          <w:color w:val="000000" w:themeColor="text1"/>
          <w:kern w:val="0"/>
          <w:lang w:bidi="ar"/>
          <w14:textFill>
            <w14:solidFill>
              <w14:schemeClr w14:val="tx1"/>
            </w14:solidFill>
          </w14:textFill>
        </w:rPr>
        <w:t>（14）《国务院关于印发水污染防治行动计划的通知》，国发〔2015〕17号，2015年4月2日；</w:t>
      </w:r>
    </w:p>
    <w:p w14:paraId="4EAE6232">
      <w:pPr>
        <w:widowControl/>
        <w:ind w:firstLine="480"/>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lang w:bidi="ar"/>
          <w14:textFill>
            <w14:solidFill>
              <w14:schemeClr w14:val="tx1"/>
            </w14:solidFill>
          </w14:textFill>
        </w:rPr>
        <w:t>（15）《国务院关于印发土壤污染防治行动计划的通知》，国发〔2016〕31号，2016年5月28日；</w:t>
      </w:r>
    </w:p>
    <w:p w14:paraId="5EA6F14B">
      <w:pPr>
        <w:widowControl/>
        <w:ind w:firstLine="480"/>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lang w:bidi="ar"/>
          <w14:textFill>
            <w14:solidFill>
              <w14:schemeClr w14:val="tx1"/>
            </w14:solidFill>
          </w14:textFill>
        </w:rPr>
        <w:t>（16）《中华人民共和国畜牧法》，2015年4月24日修正版；</w:t>
      </w:r>
    </w:p>
    <w:p w14:paraId="57C654D1">
      <w:pPr>
        <w:widowControl/>
        <w:ind w:firstLine="480"/>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lang w:bidi="ar"/>
          <w14:textFill>
            <w14:solidFill>
              <w14:schemeClr w14:val="tx1"/>
            </w14:solidFill>
          </w14:textFill>
        </w:rPr>
        <w:t>（17）《关于病害动物无害化处理有关意见的复函》，环办函〔2014〕789号；</w:t>
      </w:r>
    </w:p>
    <w:p w14:paraId="2E0F3CBF">
      <w:pPr>
        <w:widowControl/>
        <w:ind w:firstLine="480"/>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lang w:bidi="ar"/>
          <w14:textFill>
            <w14:solidFill>
              <w14:schemeClr w14:val="tx1"/>
            </w14:solidFill>
          </w14:textFill>
        </w:rPr>
        <w:t>（18）《畜禽规模养殖污染防治条例》，中华人民共和国国务院令第643号；</w:t>
      </w:r>
    </w:p>
    <w:p w14:paraId="37286C9E">
      <w:pPr>
        <w:widowControl/>
        <w:ind w:firstLine="480"/>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lang w:bidi="ar"/>
          <w14:textFill>
            <w14:solidFill>
              <w14:schemeClr w14:val="tx1"/>
            </w14:solidFill>
          </w14:textFill>
        </w:rPr>
        <w:t>（19）《动物防疫条件审查办法》，农业部令2010年第7号；</w:t>
      </w:r>
    </w:p>
    <w:p w14:paraId="536C589F">
      <w:pPr>
        <w:widowControl/>
        <w:ind w:firstLine="480"/>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lang w:bidi="ar"/>
          <w14:textFill>
            <w14:solidFill>
              <w14:schemeClr w14:val="tx1"/>
            </w14:solidFill>
          </w14:textFill>
        </w:rPr>
        <w:t>（20）《农业农村部关于调整动物防疫条件审查有关规定的通知》，农牧发〔2019〕42号；</w:t>
      </w:r>
    </w:p>
    <w:p w14:paraId="64F4D8EA">
      <w:pPr>
        <w:widowControl/>
        <w:ind w:firstLine="480"/>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lang w:bidi="ar"/>
          <w14:textFill>
            <w14:solidFill>
              <w14:schemeClr w14:val="tx1"/>
            </w14:solidFill>
          </w14:textFill>
        </w:rPr>
        <w:t>（21）《国务院办公厅关于促进畜牧业高质量发展的意见》，国办发〔2020〕31号；</w:t>
      </w:r>
    </w:p>
    <w:p w14:paraId="58140747">
      <w:pPr>
        <w:widowControl/>
        <w:ind w:firstLine="480"/>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lang w:bidi="ar"/>
          <w14:textFill>
            <w14:solidFill>
              <w14:schemeClr w14:val="tx1"/>
            </w14:solidFill>
          </w14:textFill>
        </w:rPr>
        <w:t>（22）《推进肉牛肉羊生产发展五年行动方案》，农牧发〔2021〕10号；</w:t>
      </w:r>
    </w:p>
    <w:p w14:paraId="557BC684">
      <w:pPr>
        <w:widowControl/>
        <w:ind w:firstLine="480"/>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lang w:bidi="ar"/>
          <w14:textFill>
            <w14:solidFill>
              <w14:schemeClr w14:val="tx1"/>
            </w14:solidFill>
          </w14:textFill>
        </w:rPr>
        <w:t>（23）《环境影响评价公众参与办法》，生态环境部令第4号，2019年1月1日起施行；</w:t>
      </w:r>
    </w:p>
    <w:p w14:paraId="2AC6DA8D">
      <w:pPr>
        <w:widowControl/>
        <w:ind w:firstLine="480"/>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lang w:bidi="ar"/>
          <w14:textFill>
            <w14:solidFill>
              <w14:schemeClr w14:val="tx1"/>
            </w14:solidFill>
          </w14:textFill>
        </w:rPr>
        <w:t>（24）《中华人民共和国动物防疫法》，2021年5月1日起施行；</w:t>
      </w:r>
    </w:p>
    <w:p w14:paraId="65C9B31F">
      <w:pPr>
        <w:widowControl/>
        <w:ind w:firstLine="480"/>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lang w:bidi="ar"/>
          <w14:textFill>
            <w14:solidFill>
              <w14:schemeClr w14:val="tx1"/>
            </w14:solidFill>
          </w14:textFill>
        </w:rPr>
        <w:t>（25）《关于做好畜禽规模养殖项目环境影响评价管理工作的通知》，环办环评〔2018〕31号，2018年10月15日；</w:t>
      </w:r>
    </w:p>
    <w:p w14:paraId="7F1A1B96">
      <w:pPr>
        <w:widowControl/>
        <w:ind w:firstLine="480"/>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lang w:bidi="ar"/>
          <w14:textFill>
            <w14:solidFill>
              <w14:schemeClr w14:val="tx1"/>
            </w14:solidFill>
          </w14:textFill>
        </w:rPr>
        <w:t>（26）《农业农村部办公厅生态环境部办公厅关于进一步明确畜禽粪污还田利用要求强化养殖污染监管的通知》，农办牧〔2020〕23号；</w:t>
      </w:r>
    </w:p>
    <w:p w14:paraId="1AFDF5BB">
      <w:pPr>
        <w:widowControl/>
        <w:ind w:firstLine="480"/>
        <w:jc w:val="left"/>
        <w:rPr>
          <w:rFonts w:hint="default" w:ascii="Times New Roman" w:hAnsi="Times New Roman" w:eastAsia="宋体" w:cs="Times New Roman"/>
          <w:color w:val="000000" w:themeColor="text1"/>
          <w:kern w:val="0"/>
          <w:lang w:bidi="ar"/>
          <w14:textFill>
            <w14:solidFill>
              <w14:schemeClr w14:val="tx1"/>
            </w14:solidFill>
          </w14:textFill>
        </w:rPr>
      </w:pPr>
      <w:r>
        <w:rPr>
          <w:rFonts w:hint="default" w:ascii="Times New Roman" w:hAnsi="Times New Roman" w:eastAsia="宋体" w:cs="Times New Roman"/>
          <w:color w:val="000000" w:themeColor="text1"/>
          <w:kern w:val="0"/>
          <w:lang w:bidi="ar"/>
          <w14:textFill>
            <w14:solidFill>
              <w14:schemeClr w14:val="tx1"/>
            </w14:solidFill>
          </w14:textFill>
        </w:rPr>
        <w:t>（27）《国务院办公厅关于建立病死畜禽无害化处理机制的意见》（国办发〔2014〕47号）；</w:t>
      </w:r>
    </w:p>
    <w:p w14:paraId="72890605">
      <w:pPr>
        <w:widowControl/>
        <w:ind w:firstLine="480"/>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lang w:bidi="ar"/>
          <w14:textFill>
            <w14:solidFill>
              <w14:schemeClr w14:val="tx1"/>
            </w14:solidFill>
          </w14:textFill>
        </w:rPr>
        <w:t>（28）《关于进一步加强病死畜禽无害化处理工作的通知》，农牧发〔2020〕6号。</w:t>
      </w:r>
    </w:p>
    <w:p w14:paraId="0083AA41">
      <w:pPr>
        <w:widowControl/>
        <w:ind w:firstLine="482"/>
        <w:outlineLvl w:val="2"/>
        <w:rPr>
          <w:rFonts w:hint="default" w:ascii="Times New Roman" w:hAnsi="Times New Roman" w:eastAsia="宋体" w:cs="Times New Roman"/>
          <w:color w:val="000000" w:themeColor="text1"/>
          <w14:textFill>
            <w14:solidFill>
              <w14:schemeClr w14:val="tx1"/>
            </w14:solidFill>
          </w14:textFill>
        </w:rPr>
      </w:pPr>
      <w:bookmarkStart w:id="50" w:name="_Toc19045"/>
      <w:r>
        <w:rPr>
          <w:rFonts w:hint="default" w:ascii="Times New Roman" w:hAnsi="Times New Roman" w:eastAsia="宋体" w:cs="Times New Roman"/>
          <w:b/>
          <w:bCs/>
          <w:color w:val="000000" w:themeColor="text1"/>
          <w:kern w:val="0"/>
          <w:lang w:bidi="ar"/>
          <w14:textFill>
            <w14:solidFill>
              <w14:schemeClr w14:val="tx1"/>
            </w14:solidFill>
          </w14:textFill>
        </w:rPr>
        <w:t>2.1.2地方性法规及规范性文件</w:t>
      </w:r>
      <w:bookmarkEnd w:id="50"/>
    </w:p>
    <w:p w14:paraId="657B419E">
      <w:pPr>
        <w:widowControl/>
        <w:ind w:firstLine="480"/>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lang w:bidi="ar"/>
          <w14:textFill>
            <w14:solidFill>
              <w14:schemeClr w14:val="tx1"/>
            </w14:solidFill>
          </w14:textFill>
        </w:rPr>
        <w:t>（1）《内蒙古自治区环境保护条例》，2018年12月6日修正；</w:t>
      </w:r>
    </w:p>
    <w:p w14:paraId="34A8D247">
      <w:pPr>
        <w:widowControl/>
        <w:ind w:firstLine="480"/>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lang w:bidi="ar"/>
          <w14:textFill>
            <w14:solidFill>
              <w14:schemeClr w14:val="tx1"/>
            </w14:solidFill>
          </w14:textFill>
        </w:rPr>
        <w:t>（2）《内蒙古自治区人民政府关于印发自治区国家重点生态功能区产业准入负面清单（试行）的通知》，内政发〔2018〕11号；</w:t>
      </w:r>
    </w:p>
    <w:p w14:paraId="0F739296">
      <w:pPr>
        <w:widowControl/>
        <w:ind w:firstLine="480"/>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lang w:bidi="ar"/>
          <w14:textFill>
            <w14:solidFill>
              <w14:schemeClr w14:val="tx1"/>
            </w14:solidFill>
          </w14:textFill>
        </w:rPr>
        <w:t>（3）《内蒙古自治区关于全面加强生态环境保护坚决打好污染防治攻坚战的实施意见》，2018年8月22日；</w:t>
      </w:r>
    </w:p>
    <w:p w14:paraId="7538A95B">
      <w:pPr>
        <w:widowControl/>
        <w:ind w:firstLine="480"/>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lang w:bidi="ar"/>
          <w14:textFill>
            <w14:solidFill>
              <w14:schemeClr w14:val="tx1"/>
            </w14:solidFill>
          </w14:textFill>
        </w:rPr>
        <w:t>（4）《内蒙古自治区大气污染防治条例》，2019年3月1日起施行；</w:t>
      </w:r>
    </w:p>
    <w:p w14:paraId="3F7F9D1A">
      <w:pPr>
        <w:widowControl/>
        <w:ind w:firstLine="480"/>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lang w:bidi="ar"/>
          <w14:textFill>
            <w14:solidFill>
              <w14:schemeClr w14:val="tx1"/>
            </w14:solidFill>
          </w14:textFill>
        </w:rPr>
        <w:t>（5）《内蒙古自治区主体功能区规划的通知》，内政发〔2012〕85号；</w:t>
      </w:r>
    </w:p>
    <w:p w14:paraId="6F26D34E">
      <w:pPr>
        <w:widowControl/>
        <w:ind w:firstLine="480"/>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lang w:bidi="ar"/>
          <w14:textFill>
            <w14:solidFill>
              <w14:schemeClr w14:val="tx1"/>
            </w14:solidFill>
          </w14:textFill>
        </w:rPr>
        <w:t>（6）《内蒙古自治区人民政府关于自治区主体功能区规划的实施意见》，内政发〔2015〕18号；</w:t>
      </w:r>
    </w:p>
    <w:p w14:paraId="12E8A6D5">
      <w:pPr>
        <w:widowControl/>
        <w:ind w:firstLine="480"/>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lang w:bidi="ar"/>
          <w14:textFill>
            <w14:solidFill>
              <w14:schemeClr w14:val="tx1"/>
            </w14:solidFill>
          </w14:textFill>
        </w:rPr>
        <w:t>（7）《内蒙古自治区水污染防治条例》，2020年1月1日起施行；</w:t>
      </w:r>
    </w:p>
    <w:p w14:paraId="6C635E6B">
      <w:pPr>
        <w:widowControl/>
        <w:ind w:firstLine="480"/>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lang w:bidi="ar"/>
          <w14:textFill>
            <w14:solidFill>
              <w14:schemeClr w14:val="tx1"/>
            </w14:solidFill>
          </w14:textFill>
        </w:rPr>
        <w:t>（8）《内蒙古自治区土壤污染防治条例》，2021年1月1日起施行；</w:t>
      </w:r>
    </w:p>
    <w:p w14:paraId="4BC9BFC1">
      <w:pPr>
        <w:widowControl/>
        <w:ind w:firstLine="480"/>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lang w:bidi="ar"/>
          <w14:textFill>
            <w14:solidFill>
              <w14:schemeClr w14:val="tx1"/>
            </w14:solidFill>
          </w14:textFill>
        </w:rPr>
        <w:t>（9）《内蒙古自治区人民政府关于水污染防治行动计划的实施意见》，内政发〔2015〕119号；</w:t>
      </w:r>
    </w:p>
    <w:p w14:paraId="4BB35A88">
      <w:pPr>
        <w:widowControl/>
        <w:ind w:firstLine="480"/>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lang w:bidi="ar"/>
          <w14:textFill>
            <w14:solidFill>
              <w14:schemeClr w14:val="tx1"/>
            </w14:solidFill>
          </w14:textFill>
        </w:rPr>
        <w:t>（10）《内蒙古自治区人民政府关于贯彻落实土壤污染防治行动计划的实施意见》，内政发〔2016〕127号；</w:t>
      </w:r>
    </w:p>
    <w:p w14:paraId="566E5792">
      <w:pPr>
        <w:widowControl/>
        <w:ind w:firstLine="480"/>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lang w:bidi="ar"/>
          <w14:textFill>
            <w14:solidFill>
              <w14:schemeClr w14:val="tx1"/>
            </w14:solidFill>
          </w14:textFill>
        </w:rPr>
        <w:t>（11）《内蒙古自治区动物防疫条例》，2014年12月1日起施行；</w:t>
      </w:r>
    </w:p>
    <w:p w14:paraId="3EDA4E6E">
      <w:pPr>
        <w:widowControl/>
        <w:ind w:firstLine="480"/>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lang w:bidi="ar"/>
          <w14:textFill>
            <w14:solidFill>
              <w14:schemeClr w14:val="tx1"/>
            </w14:solidFill>
          </w14:textFill>
        </w:rPr>
        <w:t>（12）《内蒙古自治区“十四五”生态环境保护规划》，内政办发〔2021〕51号；</w:t>
      </w:r>
    </w:p>
    <w:p w14:paraId="7FFBCC69">
      <w:pPr>
        <w:widowControl/>
        <w:ind w:firstLine="480"/>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lang w:bidi="ar"/>
          <w14:textFill>
            <w14:solidFill>
              <w14:schemeClr w14:val="tx1"/>
            </w14:solidFill>
          </w14:textFill>
        </w:rPr>
        <w:t>（13）《内蒙古自治区人民政府关于实施“三线一单”生态环境分区管控的意见》（内政发〔2020〕24号）；</w:t>
      </w:r>
    </w:p>
    <w:p w14:paraId="74ED1232">
      <w:pPr>
        <w:widowControl/>
        <w:ind w:firstLine="480"/>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lang w:bidi="ar"/>
          <w14:textFill>
            <w14:solidFill>
              <w14:schemeClr w14:val="tx1"/>
            </w14:solidFill>
          </w14:textFill>
        </w:rPr>
        <w:t>（14）《兴安盟生态环境准入清单》（2021年10月）；</w:t>
      </w:r>
    </w:p>
    <w:p w14:paraId="219CD83C">
      <w:pPr>
        <w:widowControl/>
        <w:ind w:firstLine="480"/>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lang w:bidi="ar"/>
          <w14:textFill>
            <w14:solidFill>
              <w14:schemeClr w14:val="tx1"/>
            </w14:solidFill>
          </w14:textFill>
        </w:rPr>
        <w:t>（15）《兴安盟“三线一单”研究报告》（2021年10月）；</w:t>
      </w:r>
    </w:p>
    <w:p w14:paraId="7055EE68">
      <w:pPr>
        <w:widowControl/>
        <w:ind w:firstLine="480"/>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lang w:bidi="ar"/>
          <w14:textFill>
            <w14:solidFill>
              <w14:schemeClr w14:val="tx1"/>
            </w14:solidFill>
          </w14:textFill>
        </w:rPr>
        <w:t>（16）《兴安盟“十四五”生态环境保护规划》兴环办发（2021）206号。</w:t>
      </w:r>
    </w:p>
    <w:p w14:paraId="6DC5A1CD">
      <w:pPr>
        <w:widowControl/>
        <w:ind w:firstLine="482"/>
        <w:outlineLvl w:val="2"/>
        <w:rPr>
          <w:rFonts w:hint="default" w:ascii="Times New Roman" w:hAnsi="Times New Roman" w:eastAsia="宋体" w:cs="Times New Roman"/>
          <w:color w:val="000000" w:themeColor="text1"/>
          <w14:textFill>
            <w14:solidFill>
              <w14:schemeClr w14:val="tx1"/>
            </w14:solidFill>
          </w14:textFill>
        </w:rPr>
      </w:pPr>
      <w:bookmarkStart w:id="51" w:name="_Toc7419"/>
      <w:r>
        <w:rPr>
          <w:rFonts w:hint="default" w:ascii="Times New Roman" w:hAnsi="Times New Roman" w:eastAsia="宋体" w:cs="Times New Roman"/>
          <w:b/>
          <w:bCs/>
          <w:color w:val="000000" w:themeColor="text1"/>
          <w:kern w:val="0"/>
          <w:lang w:bidi="ar"/>
          <w14:textFill>
            <w14:solidFill>
              <w14:schemeClr w14:val="tx1"/>
            </w14:solidFill>
          </w14:textFill>
        </w:rPr>
        <w:t>2.1.3技术导则与规范</w:t>
      </w:r>
      <w:bookmarkEnd w:id="51"/>
    </w:p>
    <w:p w14:paraId="4D55F0C4">
      <w:pPr>
        <w:widowControl/>
        <w:ind w:firstLine="480"/>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lang w:bidi="ar"/>
          <w14:textFill>
            <w14:solidFill>
              <w14:schemeClr w14:val="tx1"/>
            </w14:solidFill>
          </w14:textFill>
        </w:rPr>
        <w:t>（1）《建设项目环境影响评价技术导则总纲》（HJ2.1-2016）；</w:t>
      </w:r>
    </w:p>
    <w:p w14:paraId="6E682A9E">
      <w:pPr>
        <w:widowControl/>
        <w:ind w:firstLine="480"/>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lang w:bidi="ar"/>
          <w14:textFill>
            <w14:solidFill>
              <w14:schemeClr w14:val="tx1"/>
            </w14:solidFill>
          </w14:textFill>
        </w:rPr>
        <w:t>（2）《环境影响评价技术导则大气环境》（HJ2.2-2018）；</w:t>
      </w:r>
    </w:p>
    <w:p w14:paraId="145D9D9E">
      <w:pPr>
        <w:widowControl/>
        <w:ind w:firstLine="480"/>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lang w:bidi="ar"/>
          <w14:textFill>
            <w14:solidFill>
              <w14:schemeClr w14:val="tx1"/>
            </w14:solidFill>
          </w14:textFill>
        </w:rPr>
        <w:t>（3）《环境影响评价技术导则声环境》（HJ2.4-2021）；</w:t>
      </w:r>
    </w:p>
    <w:p w14:paraId="727D78E6">
      <w:pPr>
        <w:widowControl/>
        <w:ind w:firstLine="480"/>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lang w:bidi="ar"/>
          <w14:textFill>
            <w14:solidFill>
              <w14:schemeClr w14:val="tx1"/>
            </w14:solidFill>
          </w14:textFill>
        </w:rPr>
        <w:t>（4）《环境影响评价技术导则地下水环境》（HJ610-2016）；</w:t>
      </w:r>
    </w:p>
    <w:p w14:paraId="61E6CE23">
      <w:pPr>
        <w:widowControl/>
        <w:ind w:firstLine="480"/>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lang w:bidi="ar"/>
          <w14:textFill>
            <w14:solidFill>
              <w14:schemeClr w14:val="tx1"/>
            </w14:solidFill>
          </w14:textFill>
        </w:rPr>
        <w:t>（5）《环境影响评价技术导则地表水环境》（HJ2.3-2018）；</w:t>
      </w:r>
    </w:p>
    <w:p w14:paraId="1E19D99E">
      <w:pPr>
        <w:widowControl/>
        <w:ind w:firstLine="480"/>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lang w:bidi="ar"/>
          <w14:textFill>
            <w14:solidFill>
              <w14:schemeClr w14:val="tx1"/>
            </w14:solidFill>
          </w14:textFill>
        </w:rPr>
        <w:t>（6）《环境影响评价技术导则生态影响》（HJ19-2022）；</w:t>
      </w:r>
    </w:p>
    <w:p w14:paraId="16B9E0B4">
      <w:pPr>
        <w:widowControl/>
        <w:ind w:firstLine="480"/>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lang w:bidi="ar"/>
          <w14:textFill>
            <w14:solidFill>
              <w14:schemeClr w14:val="tx1"/>
            </w14:solidFill>
          </w14:textFill>
        </w:rPr>
        <w:t>（7）《环境影响评价技术导则土壤环境（试行）》（HJ964-2018）；</w:t>
      </w:r>
    </w:p>
    <w:p w14:paraId="49AE5C21">
      <w:pPr>
        <w:widowControl/>
        <w:ind w:firstLine="480"/>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lang w:bidi="ar"/>
          <w14:textFill>
            <w14:solidFill>
              <w14:schemeClr w14:val="tx1"/>
            </w14:solidFill>
          </w14:textFill>
        </w:rPr>
        <w:t>（8）《建设项目环境风险评价技术导则》（HJ169-2018）；</w:t>
      </w:r>
    </w:p>
    <w:p w14:paraId="30162AF0">
      <w:pPr>
        <w:widowControl/>
        <w:ind w:firstLine="480"/>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lang w:bidi="ar"/>
          <w14:textFill>
            <w14:solidFill>
              <w14:schemeClr w14:val="tx1"/>
            </w14:solidFill>
          </w14:textFill>
        </w:rPr>
        <w:t>（9）《国家危险废物名录》（2021年版）；</w:t>
      </w:r>
    </w:p>
    <w:p w14:paraId="1A596644">
      <w:pPr>
        <w:widowControl/>
        <w:ind w:firstLine="480"/>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lang w:bidi="ar"/>
          <w14:textFill>
            <w14:solidFill>
              <w14:schemeClr w14:val="tx1"/>
            </w14:solidFill>
          </w14:textFill>
        </w:rPr>
        <w:t>（10）《畜禽养殖场（小区）环境守法导则》，环办〔2011〕89号；</w:t>
      </w:r>
    </w:p>
    <w:p w14:paraId="50250541">
      <w:pPr>
        <w:widowControl/>
        <w:ind w:firstLine="480"/>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lang w:bidi="ar"/>
          <w14:textFill>
            <w14:solidFill>
              <w14:schemeClr w14:val="tx1"/>
            </w14:solidFill>
          </w14:textFill>
        </w:rPr>
        <w:t>（11）《畜禽养殖业污染治理工程技术规范》（HJ497-2009）；</w:t>
      </w:r>
    </w:p>
    <w:p w14:paraId="2E1CB6C5">
      <w:pPr>
        <w:widowControl/>
        <w:ind w:firstLine="480"/>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lang w:bidi="ar"/>
          <w14:textFill>
            <w14:solidFill>
              <w14:schemeClr w14:val="tx1"/>
            </w14:solidFill>
          </w14:textFill>
        </w:rPr>
        <w:t>（12）《畜禽养殖业污染防治技术规范》（HJ/T81-2001）；</w:t>
      </w:r>
    </w:p>
    <w:p w14:paraId="5F5F06C3">
      <w:pPr>
        <w:widowControl/>
        <w:ind w:firstLine="480"/>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lang w:bidi="ar"/>
          <w14:textFill>
            <w14:solidFill>
              <w14:schemeClr w14:val="tx1"/>
            </w14:solidFill>
          </w14:textFill>
        </w:rPr>
        <w:t>（13）《畜禽养殖产地环境评价规范》（HJ568-2010）；</w:t>
      </w:r>
    </w:p>
    <w:p w14:paraId="1C1F56FA">
      <w:pPr>
        <w:widowControl/>
        <w:ind w:firstLine="480"/>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lang w:bidi="ar"/>
          <w14:textFill>
            <w14:solidFill>
              <w14:schemeClr w14:val="tx1"/>
            </w14:solidFill>
          </w14:textFill>
        </w:rPr>
        <w:t>（14）《畜禽场环境质量评价准则》（GB/T19525.2-2004）；</w:t>
      </w:r>
    </w:p>
    <w:p w14:paraId="7609125B">
      <w:pPr>
        <w:widowControl/>
        <w:ind w:firstLine="480"/>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lang w:bidi="ar"/>
          <w14:textFill>
            <w14:solidFill>
              <w14:schemeClr w14:val="tx1"/>
            </w14:solidFill>
          </w14:textFill>
        </w:rPr>
        <w:t>（15）《规模畜禽养殖场污染防治最佳可行技术指南（试行）》（HJ-BAT-10）；</w:t>
      </w:r>
    </w:p>
    <w:p w14:paraId="3A976F01">
      <w:pPr>
        <w:widowControl/>
        <w:ind w:firstLine="480"/>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lang w:bidi="ar"/>
          <w14:textFill>
            <w14:solidFill>
              <w14:schemeClr w14:val="tx1"/>
            </w14:solidFill>
          </w14:textFill>
        </w:rPr>
        <w:t>（16）《病死及病害动物无害化处理技术规范》，农医发〔2017〕25号；</w:t>
      </w:r>
    </w:p>
    <w:p w14:paraId="64BC777F">
      <w:pPr>
        <w:widowControl/>
        <w:ind w:firstLine="480"/>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lang w:bidi="ar"/>
          <w14:textFill>
            <w14:solidFill>
              <w14:schemeClr w14:val="tx1"/>
            </w14:solidFill>
          </w14:textFill>
        </w:rPr>
        <w:t>（17）《畜禽粪便无害化处理技术规范》（GB/T36195-2018）；</w:t>
      </w:r>
    </w:p>
    <w:p w14:paraId="16C4429A">
      <w:pPr>
        <w:widowControl/>
        <w:ind w:firstLine="480"/>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lang w:bidi="ar"/>
          <w14:textFill>
            <w14:solidFill>
              <w14:schemeClr w14:val="tx1"/>
            </w14:solidFill>
          </w14:textFill>
        </w:rPr>
        <w:t>（18）《排污许可证申请与核发技术规范畜禽养殖行业》（HJ1029-2019）；</w:t>
      </w:r>
    </w:p>
    <w:p w14:paraId="77136260">
      <w:pPr>
        <w:widowControl/>
        <w:ind w:firstLine="480"/>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lang w:bidi="ar"/>
          <w14:textFill>
            <w14:solidFill>
              <w14:schemeClr w14:val="tx1"/>
            </w14:solidFill>
          </w14:textFill>
        </w:rPr>
        <w:t>（19）《排污单位自行监测技术指南畜禽养殖行业》（HJ1252-2022）；</w:t>
      </w:r>
    </w:p>
    <w:p w14:paraId="286C9EFA">
      <w:pPr>
        <w:widowControl/>
        <w:ind w:firstLine="480"/>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lang w:bidi="ar"/>
          <w14:textFill>
            <w14:solidFill>
              <w14:schemeClr w14:val="tx1"/>
            </w14:solidFill>
          </w14:textFill>
        </w:rPr>
        <w:t>（20）《大气有害物质无组织排放卫生防护距离推导技术导则》（GB/T39499-2020）。</w:t>
      </w:r>
    </w:p>
    <w:p w14:paraId="300F5333">
      <w:pPr>
        <w:ind w:firstLine="482"/>
        <w:outlineLvl w:val="2"/>
        <w:rPr>
          <w:rFonts w:hint="default" w:ascii="Times New Roman" w:hAnsi="Times New Roman" w:eastAsia="宋体" w:cs="Times New Roman"/>
          <w:b/>
          <w:bCs/>
          <w:color w:val="000000" w:themeColor="text1"/>
          <w14:textFill>
            <w14:solidFill>
              <w14:schemeClr w14:val="tx1"/>
            </w14:solidFill>
          </w14:textFill>
        </w:rPr>
      </w:pPr>
      <w:bookmarkStart w:id="52" w:name="_Toc24856"/>
      <w:r>
        <w:rPr>
          <w:rFonts w:hint="default" w:ascii="Times New Roman" w:hAnsi="Times New Roman" w:eastAsia="宋体" w:cs="Times New Roman"/>
          <w:b/>
          <w:bCs/>
          <w:color w:val="000000" w:themeColor="text1"/>
          <w14:textFill>
            <w14:solidFill>
              <w14:schemeClr w14:val="tx1"/>
            </w14:solidFill>
          </w14:textFill>
        </w:rPr>
        <w:t>2.1.</w:t>
      </w:r>
      <w:r>
        <w:rPr>
          <w:rFonts w:hint="eastAsia" w:cs="Times New Roman"/>
          <w:b/>
          <w:bCs/>
          <w:color w:val="000000" w:themeColor="text1"/>
          <w:lang w:val="en-US" w:eastAsia="zh-CN"/>
          <w14:textFill>
            <w14:solidFill>
              <w14:schemeClr w14:val="tx1"/>
            </w14:solidFill>
          </w14:textFill>
        </w:rPr>
        <w:t>4</w:t>
      </w:r>
      <w:r>
        <w:rPr>
          <w:rFonts w:hint="default" w:ascii="Times New Roman" w:hAnsi="Times New Roman" w:eastAsia="宋体" w:cs="Times New Roman"/>
          <w:b/>
          <w:bCs/>
          <w:color w:val="000000" w:themeColor="text1"/>
          <w14:textFill>
            <w14:solidFill>
              <w14:schemeClr w14:val="tx1"/>
            </w14:solidFill>
          </w14:textFill>
        </w:rPr>
        <w:t>企业提供资料</w:t>
      </w:r>
      <w:bookmarkEnd w:id="52"/>
    </w:p>
    <w:p w14:paraId="58088B6E">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（1）环境影响评价委托书；</w:t>
      </w:r>
    </w:p>
    <w:p w14:paraId="3A5A112F">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（2）《科右前旗现代农牧业园区核心育种场养殖项目可行性研究报告》；</w:t>
      </w:r>
    </w:p>
    <w:p w14:paraId="185F61A7">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（3）《科右前旗现代农牧业园区核心育种场养殖项目可行性研究报告的批复》（旗发改[2023]207号）；</w:t>
      </w:r>
    </w:p>
    <w:p w14:paraId="475F281A">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（4）其他相关资料图件。</w:t>
      </w:r>
    </w:p>
    <w:p w14:paraId="14F85832">
      <w:pPr>
        <w:ind w:firstLine="0" w:firstLineChars="0"/>
        <w:outlineLvl w:val="1"/>
        <w:rPr>
          <w:rFonts w:hint="default" w:ascii="Times New Roman" w:hAnsi="Times New Roman" w:eastAsia="宋体" w:cs="Times New Roman"/>
          <w:b/>
          <w:bCs/>
          <w:color w:val="000000" w:themeColor="text1"/>
          <w:sz w:val="28"/>
          <w:szCs w:val="28"/>
          <w14:textFill>
            <w14:solidFill>
              <w14:schemeClr w14:val="tx1"/>
            </w14:solidFill>
          </w14:textFill>
        </w:rPr>
      </w:pPr>
      <w:bookmarkStart w:id="53" w:name="_Toc5458"/>
      <w:r>
        <w:rPr>
          <w:rFonts w:hint="default" w:ascii="Times New Roman" w:hAnsi="Times New Roman" w:eastAsia="宋体" w:cs="Times New Roman"/>
          <w:b/>
          <w:bCs/>
          <w:color w:val="000000" w:themeColor="text1"/>
          <w:sz w:val="28"/>
          <w:szCs w:val="28"/>
          <w14:textFill>
            <w14:solidFill>
              <w14:schemeClr w14:val="tx1"/>
            </w14:solidFill>
          </w14:textFill>
        </w:rPr>
        <w:t>2.2评价目的及原则</w:t>
      </w:r>
      <w:bookmarkEnd w:id="53"/>
    </w:p>
    <w:p w14:paraId="7BFD0AE8">
      <w:pPr>
        <w:ind w:firstLine="482"/>
        <w:outlineLvl w:val="2"/>
        <w:rPr>
          <w:rFonts w:hint="default" w:ascii="Times New Roman" w:hAnsi="Times New Roman" w:eastAsia="宋体" w:cs="Times New Roman"/>
          <w:b/>
          <w:bCs/>
          <w:color w:val="000000" w:themeColor="text1"/>
          <w14:textFill>
            <w14:solidFill>
              <w14:schemeClr w14:val="tx1"/>
            </w14:solidFill>
          </w14:textFill>
        </w:rPr>
      </w:pPr>
      <w:bookmarkStart w:id="54" w:name="_Toc6750"/>
      <w:r>
        <w:rPr>
          <w:rFonts w:hint="default" w:ascii="Times New Roman" w:hAnsi="Times New Roman" w:eastAsia="宋体" w:cs="Times New Roman"/>
          <w:b/>
          <w:bCs/>
          <w:color w:val="000000" w:themeColor="text1"/>
          <w14:textFill>
            <w14:solidFill>
              <w14:schemeClr w14:val="tx1"/>
            </w14:solidFill>
          </w14:textFill>
        </w:rPr>
        <w:t>2.2.1评价目的</w:t>
      </w:r>
      <w:bookmarkEnd w:id="54"/>
    </w:p>
    <w:p w14:paraId="4F60F444">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建设项目环境影响评价工作对预防项目建设可能造成的环境污染起到积极的作用。根据本项目的具体情况，本次环境影响评价工作拟达到以下目的：</w:t>
      </w:r>
    </w:p>
    <w:p w14:paraId="59C30B5F">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通过环境现状调查、监测及评价，掌握项目附近及其周围地区的环境质量现状及环境功能要求。</w:t>
      </w:r>
    </w:p>
    <w:p w14:paraId="298D8230">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对建设项目的工程污染特征进行分析，确定主要污染源。</w:t>
      </w:r>
    </w:p>
    <w:p w14:paraId="62E52A0D">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预测建设项目运行期对周围环境的影响程度和范围。</w:t>
      </w:r>
    </w:p>
    <w:p w14:paraId="209B8D5B">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对建设项目具体工程拟采取的污染防治措施进行论证，评价环境保护措施的可行性，并提出合理化建议。</w:t>
      </w:r>
    </w:p>
    <w:p w14:paraId="5984DB07">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从环境保护的角度对工程的可行性做出明确的结论，为管理部门决策、设计单位优化设计、环境保护管理部门的环境管理和建设单位的环境治理提供科学依据。</w:t>
      </w:r>
    </w:p>
    <w:p w14:paraId="2C17C07F">
      <w:pPr>
        <w:ind w:firstLine="480"/>
        <w:rPr>
          <w:rFonts w:hint="default" w:ascii="Times New Roman" w:hAnsi="Times New Roman" w:eastAsia="宋体" w:cs="Times New Roman"/>
          <w:color w:val="000000" w:themeColor="text1"/>
          <w14:textFill>
            <w14:solidFill>
              <w14:schemeClr w14:val="tx1"/>
            </w14:solidFill>
          </w14:textFill>
        </w:rPr>
      </w:pPr>
    </w:p>
    <w:p w14:paraId="5C82848A">
      <w:pPr>
        <w:ind w:firstLine="482"/>
        <w:outlineLvl w:val="2"/>
        <w:rPr>
          <w:rFonts w:hint="default" w:ascii="Times New Roman" w:hAnsi="Times New Roman" w:eastAsia="宋体" w:cs="Times New Roman"/>
          <w:b/>
          <w:bCs/>
          <w:color w:val="000000" w:themeColor="text1"/>
          <w14:textFill>
            <w14:solidFill>
              <w14:schemeClr w14:val="tx1"/>
            </w14:solidFill>
          </w14:textFill>
        </w:rPr>
      </w:pPr>
      <w:bookmarkStart w:id="55" w:name="_Toc31677"/>
      <w:r>
        <w:rPr>
          <w:rFonts w:hint="default" w:ascii="Times New Roman" w:hAnsi="Times New Roman" w:eastAsia="宋体" w:cs="Times New Roman"/>
          <w:b/>
          <w:bCs/>
          <w:color w:val="000000" w:themeColor="text1"/>
          <w14:textFill>
            <w14:solidFill>
              <w14:schemeClr w14:val="tx1"/>
            </w14:solidFill>
          </w14:textFill>
        </w:rPr>
        <w:t>2.2.2评价原则</w:t>
      </w:r>
      <w:bookmarkEnd w:id="55"/>
    </w:p>
    <w:p w14:paraId="4AE45306">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（1）依法评价：贯彻执行我国环境保护相关法律法规、标准、政策和规划等，优化项目建设，服务环境管理。</w:t>
      </w:r>
    </w:p>
    <w:p w14:paraId="2248F21A">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（2）科学评价：规范环境影响评价方法，科学分析项目建设对环境质量的影响。</w:t>
      </w:r>
    </w:p>
    <w:p w14:paraId="71EDD802">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（3）评价内容主次分明，重点突出，数据可靠，结论明确。</w:t>
      </w:r>
    </w:p>
    <w:p w14:paraId="0CB90842">
      <w:pPr>
        <w:ind w:firstLine="0" w:firstLineChars="0"/>
        <w:outlineLvl w:val="1"/>
        <w:rPr>
          <w:rFonts w:hint="default" w:ascii="Times New Roman" w:hAnsi="Times New Roman" w:eastAsia="宋体" w:cs="Times New Roman"/>
          <w:b/>
          <w:bCs/>
          <w:color w:val="000000" w:themeColor="text1"/>
          <w:sz w:val="28"/>
          <w:szCs w:val="28"/>
          <w14:textFill>
            <w14:solidFill>
              <w14:schemeClr w14:val="tx1"/>
            </w14:solidFill>
          </w14:textFill>
        </w:rPr>
      </w:pPr>
      <w:bookmarkStart w:id="56" w:name="_Toc17671"/>
      <w:r>
        <w:rPr>
          <w:rFonts w:hint="default" w:ascii="Times New Roman" w:hAnsi="Times New Roman" w:eastAsia="宋体" w:cs="Times New Roman"/>
          <w:b/>
          <w:bCs/>
          <w:color w:val="000000" w:themeColor="text1"/>
          <w:sz w:val="28"/>
          <w:szCs w:val="28"/>
          <w14:textFill>
            <w14:solidFill>
              <w14:schemeClr w14:val="tx1"/>
            </w14:solidFill>
          </w14:textFill>
        </w:rPr>
        <w:t>2.3评价内容和重点</w:t>
      </w:r>
      <w:bookmarkEnd w:id="56"/>
    </w:p>
    <w:p w14:paraId="5EEA7CBD">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根据工程特点，本次评价工作的重点为：工程概况及工程分析、运营期环境影响预测与评价、污染防治措施可行性分析、选址可行性分析。</w:t>
      </w:r>
    </w:p>
    <w:p w14:paraId="5E06F7E1">
      <w:pPr>
        <w:ind w:firstLine="0" w:firstLineChars="0"/>
        <w:outlineLvl w:val="1"/>
        <w:rPr>
          <w:rFonts w:hint="default" w:ascii="Times New Roman" w:hAnsi="Times New Roman" w:eastAsia="宋体" w:cs="Times New Roman"/>
          <w:b/>
          <w:bCs/>
          <w:color w:val="000000" w:themeColor="text1"/>
          <w:sz w:val="28"/>
          <w:szCs w:val="28"/>
          <w14:textFill>
            <w14:solidFill>
              <w14:schemeClr w14:val="tx1"/>
            </w14:solidFill>
          </w14:textFill>
        </w:rPr>
      </w:pPr>
      <w:bookmarkStart w:id="57" w:name="_Toc9253"/>
      <w:r>
        <w:rPr>
          <w:rFonts w:hint="default" w:ascii="Times New Roman" w:hAnsi="Times New Roman" w:eastAsia="宋体" w:cs="Times New Roman"/>
          <w:b/>
          <w:bCs/>
          <w:color w:val="000000" w:themeColor="text1"/>
          <w:sz w:val="28"/>
          <w:szCs w:val="28"/>
          <w14:textFill>
            <w14:solidFill>
              <w14:schemeClr w14:val="tx1"/>
            </w14:solidFill>
          </w14:textFill>
        </w:rPr>
        <w:t>2.4环境影响因素识别和评价因子筛选</w:t>
      </w:r>
      <w:bookmarkEnd w:id="57"/>
    </w:p>
    <w:p w14:paraId="38EDA869">
      <w:pPr>
        <w:ind w:firstLine="482"/>
        <w:outlineLvl w:val="2"/>
        <w:rPr>
          <w:rFonts w:hint="default" w:ascii="Times New Roman" w:hAnsi="Times New Roman" w:eastAsia="宋体" w:cs="Times New Roman"/>
          <w:b/>
          <w:bCs/>
          <w:color w:val="000000" w:themeColor="text1"/>
          <w14:textFill>
            <w14:solidFill>
              <w14:schemeClr w14:val="tx1"/>
            </w14:solidFill>
          </w14:textFill>
        </w:rPr>
      </w:pPr>
      <w:bookmarkStart w:id="58" w:name="_Toc3145"/>
      <w:bookmarkStart w:id="59" w:name="_Toc14299"/>
      <w:r>
        <w:rPr>
          <w:rFonts w:hint="default" w:ascii="Times New Roman" w:hAnsi="Times New Roman" w:eastAsia="宋体" w:cs="Times New Roman"/>
          <w:b/>
          <w:bCs/>
          <w:color w:val="000000" w:themeColor="text1"/>
          <w14:textFill>
            <w14:solidFill>
              <w14:schemeClr w14:val="tx1"/>
            </w14:solidFill>
          </w14:textFill>
        </w:rPr>
        <w:t>2.4.1环境影响因素识别</w:t>
      </w:r>
      <w:bookmarkEnd w:id="58"/>
      <w:bookmarkEnd w:id="59"/>
    </w:p>
    <w:p w14:paraId="7C036CA7">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根据对建设项目的工程分析、环境影响分析及建设项目的环境影响特征，本工程对环境影响的识别见表2.4-1。</w:t>
      </w:r>
    </w:p>
    <w:p w14:paraId="46CD4985">
      <w:pPr>
        <w:ind w:firstLine="0" w:firstLineChars="0"/>
        <w:jc w:val="center"/>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表2.4-1本项目环境影响因素识别矩阵表</w:t>
      </w:r>
    </w:p>
    <w:tbl>
      <w:tblPr>
        <w:tblStyle w:val="29"/>
        <w:tblW w:w="901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940"/>
        <w:gridCol w:w="938"/>
        <w:gridCol w:w="668"/>
        <w:gridCol w:w="807"/>
        <w:gridCol w:w="669"/>
        <w:gridCol w:w="669"/>
        <w:gridCol w:w="972"/>
        <w:gridCol w:w="593"/>
        <w:gridCol w:w="539"/>
        <w:gridCol w:w="925"/>
        <w:gridCol w:w="1294"/>
      </w:tblGrid>
      <w:tr w14:paraId="47FA44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3" w:hRule="atLeast"/>
          <w:jc w:val="center"/>
        </w:trPr>
        <w:tc>
          <w:tcPr>
            <w:tcW w:w="916" w:type="dxa"/>
            <w:vMerge w:val="restart"/>
            <w:vAlign w:val="center"/>
          </w:tcPr>
          <w:p w14:paraId="4FABA01A">
            <w:pPr>
              <w:ind w:firstLine="0" w:firstLineChars="0"/>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项目阶段</w:t>
            </w:r>
          </w:p>
        </w:tc>
        <w:tc>
          <w:tcPr>
            <w:tcW w:w="913" w:type="dxa"/>
            <w:vMerge w:val="restart"/>
            <w:vAlign w:val="center"/>
          </w:tcPr>
          <w:p w14:paraId="21767018">
            <w:pPr>
              <w:ind w:firstLine="0" w:firstLineChars="0"/>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影响行动</w:t>
            </w:r>
          </w:p>
        </w:tc>
        <w:tc>
          <w:tcPr>
            <w:tcW w:w="3684" w:type="dxa"/>
            <w:gridSpan w:val="5"/>
            <w:vAlign w:val="center"/>
          </w:tcPr>
          <w:p w14:paraId="2F0CBC56">
            <w:pPr>
              <w:ind w:firstLine="0" w:firstLineChars="0"/>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自然环境</w:t>
            </w:r>
          </w:p>
        </w:tc>
        <w:tc>
          <w:tcPr>
            <w:tcW w:w="1102" w:type="dxa"/>
            <w:gridSpan w:val="2"/>
            <w:vAlign w:val="center"/>
          </w:tcPr>
          <w:p w14:paraId="418264DF">
            <w:pPr>
              <w:ind w:firstLine="0" w:firstLineChars="0"/>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生态环境</w:t>
            </w:r>
          </w:p>
        </w:tc>
        <w:tc>
          <w:tcPr>
            <w:tcW w:w="2160" w:type="dxa"/>
            <w:gridSpan w:val="2"/>
            <w:vAlign w:val="center"/>
          </w:tcPr>
          <w:p w14:paraId="167CFAED">
            <w:pPr>
              <w:ind w:firstLine="0" w:firstLineChars="0"/>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社会环境</w:t>
            </w:r>
          </w:p>
        </w:tc>
      </w:tr>
      <w:tr w14:paraId="7E0D59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3" w:hRule="atLeast"/>
          <w:jc w:val="center"/>
        </w:trPr>
        <w:tc>
          <w:tcPr>
            <w:tcW w:w="916" w:type="dxa"/>
            <w:vMerge w:val="continue"/>
            <w:vAlign w:val="center"/>
          </w:tcPr>
          <w:p w14:paraId="1F917E26">
            <w:pPr>
              <w:ind w:firstLine="0" w:firstLineChars="0"/>
              <w:jc w:val="center"/>
              <w:rPr>
                <w:rFonts w:hint="default" w:ascii="Times New Roman" w:hAnsi="Times New Roman" w:eastAsia="宋体" w:cs="Times New Roman"/>
                <w:b/>
                <w:bCs/>
                <w:color w:val="000000" w:themeColor="text1"/>
                <w:sz w:val="21"/>
                <w:szCs w:val="21"/>
                <w14:textFill>
                  <w14:solidFill>
                    <w14:schemeClr w14:val="tx1"/>
                  </w14:solidFill>
                </w14:textFill>
              </w:rPr>
            </w:pPr>
          </w:p>
        </w:tc>
        <w:tc>
          <w:tcPr>
            <w:tcW w:w="913" w:type="dxa"/>
            <w:vMerge w:val="continue"/>
            <w:vAlign w:val="center"/>
          </w:tcPr>
          <w:p w14:paraId="37AE4C04">
            <w:pPr>
              <w:ind w:firstLine="0" w:firstLineChars="0"/>
              <w:jc w:val="center"/>
              <w:rPr>
                <w:rFonts w:hint="default" w:ascii="Times New Roman" w:hAnsi="Times New Roman" w:eastAsia="宋体" w:cs="Times New Roman"/>
                <w:b/>
                <w:bCs/>
                <w:color w:val="000000" w:themeColor="text1"/>
                <w:sz w:val="21"/>
                <w:szCs w:val="21"/>
                <w14:textFill>
                  <w14:solidFill>
                    <w14:schemeClr w14:val="tx1"/>
                  </w14:solidFill>
                </w14:textFill>
              </w:rPr>
            </w:pPr>
          </w:p>
        </w:tc>
        <w:tc>
          <w:tcPr>
            <w:tcW w:w="650" w:type="dxa"/>
            <w:vAlign w:val="center"/>
          </w:tcPr>
          <w:p w14:paraId="5A3C292E">
            <w:pPr>
              <w:ind w:firstLine="0" w:firstLineChars="0"/>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大气</w:t>
            </w:r>
          </w:p>
        </w:tc>
        <w:tc>
          <w:tcPr>
            <w:tcW w:w="786" w:type="dxa"/>
            <w:vAlign w:val="center"/>
          </w:tcPr>
          <w:p w14:paraId="59B98AD4">
            <w:pPr>
              <w:ind w:firstLine="0" w:firstLineChars="0"/>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地表水</w:t>
            </w:r>
          </w:p>
        </w:tc>
        <w:tc>
          <w:tcPr>
            <w:tcW w:w="651" w:type="dxa"/>
            <w:vAlign w:val="center"/>
          </w:tcPr>
          <w:p w14:paraId="1DF59BED">
            <w:pPr>
              <w:ind w:firstLine="0" w:firstLineChars="0"/>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地下水</w:t>
            </w:r>
          </w:p>
        </w:tc>
        <w:tc>
          <w:tcPr>
            <w:tcW w:w="651" w:type="dxa"/>
            <w:vAlign w:val="center"/>
          </w:tcPr>
          <w:p w14:paraId="5E6040AF">
            <w:pPr>
              <w:ind w:firstLine="0" w:firstLineChars="0"/>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声学</w:t>
            </w:r>
          </w:p>
        </w:tc>
        <w:tc>
          <w:tcPr>
            <w:tcW w:w="946" w:type="dxa"/>
            <w:vAlign w:val="center"/>
          </w:tcPr>
          <w:p w14:paraId="2365C4EB">
            <w:pPr>
              <w:ind w:firstLine="0" w:firstLineChars="0"/>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水土流失</w:t>
            </w:r>
          </w:p>
        </w:tc>
        <w:tc>
          <w:tcPr>
            <w:tcW w:w="577" w:type="dxa"/>
            <w:vAlign w:val="center"/>
          </w:tcPr>
          <w:p w14:paraId="0C4F6EB3">
            <w:pPr>
              <w:ind w:firstLine="0" w:firstLineChars="0"/>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植被</w:t>
            </w:r>
          </w:p>
        </w:tc>
        <w:tc>
          <w:tcPr>
            <w:tcW w:w="525" w:type="dxa"/>
            <w:vAlign w:val="center"/>
          </w:tcPr>
          <w:p w14:paraId="5D0E10F1">
            <w:pPr>
              <w:ind w:firstLine="0" w:firstLineChars="0"/>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土壤</w:t>
            </w:r>
          </w:p>
        </w:tc>
        <w:tc>
          <w:tcPr>
            <w:tcW w:w="900" w:type="dxa"/>
            <w:vAlign w:val="center"/>
          </w:tcPr>
          <w:p w14:paraId="27454D19">
            <w:pPr>
              <w:ind w:firstLine="0" w:firstLineChars="0"/>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生活水平</w:t>
            </w:r>
          </w:p>
        </w:tc>
        <w:tc>
          <w:tcPr>
            <w:tcW w:w="1260" w:type="dxa"/>
            <w:vAlign w:val="center"/>
          </w:tcPr>
          <w:p w14:paraId="2587F014">
            <w:pPr>
              <w:ind w:firstLine="0" w:firstLineChars="0"/>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人体健康</w:t>
            </w:r>
          </w:p>
        </w:tc>
      </w:tr>
      <w:tr w14:paraId="708078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3" w:hRule="atLeast"/>
          <w:jc w:val="center"/>
        </w:trPr>
        <w:tc>
          <w:tcPr>
            <w:tcW w:w="916" w:type="dxa"/>
            <w:vMerge w:val="restart"/>
            <w:vAlign w:val="center"/>
          </w:tcPr>
          <w:p w14:paraId="12296432">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施工期</w:t>
            </w:r>
          </w:p>
        </w:tc>
        <w:tc>
          <w:tcPr>
            <w:tcW w:w="913" w:type="dxa"/>
            <w:vAlign w:val="center"/>
          </w:tcPr>
          <w:p w14:paraId="09AD4435">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场地平整</w:t>
            </w:r>
          </w:p>
        </w:tc>
        <w:tc>
          <w:tcPr>
            <w:tcW w:w="650" w:type="dxa"/>
            <w:vAlign w:val="center"/>
          </w:tcPr>
          <w:p w14:paraId="356FD51A">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-1S</w:t>
            </w:r>
          </w:p>
        </w:tc>
        <w:tc>
          <w:tcPr>
            <w:tcW w:w="786" w:type="dxa"/>
            <w:vAlign w:val="center"/>
          </w:tcPr>
          <w:p w14:paraId="643765F3">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651" w:type="dxa"/>
            <w:vAlign w:val="center"/>
          </w:tcPr>
          <w:p w14:paraId="2415AE80">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-1S</w:t>
            </w:r>
          </w:p>
        </w:tc>
        <w:tc>
          <w:tcPr>
            <w:tcW w:w="651" w:type="dxa"/>
            <w:vAlign w:val="center"/>
          </w:tcPr>
          <w:p w14:paraId="3F3A6546">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-1S</w:t>
            </w:r>
          </w:p>
        </w:tc>
        <w:tc>
          <w:tcPr>
            <w:tcW w:w="946" w:type="dxa"/>
            <w:vAlign w:val="center"/>
          </w:tcPr>
          <w:p w14:paraId="013F7CC7">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-1S</w:t>
            </w:r>
          </w:p>
        </w:tc>
        <w:tc>
          <w:tcPr>
            <w:tcW w:w="577" w:type="dxa"/>
            <w:vAlign w:val="center"/>
          </w:tcPr>
          <w:p w14:paraId="3783D7B3">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-1S</w:t>
            </w:r>
          </w:p>
        </w:tc>
        <w:tc>
          <w:tcPr>
            <w:tcW w:w="525" w:type="dxa"/>
            <w:vAlign w:val="center"/>
          </w:tcPr>
          <w:p w14:paraId="098986AE">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-1S</w:t>
            </w:r>
          </w:p>
        </w:tc>
        <w:tc>
          <w:tcPr>
            <w:tcW w:w="900" w:type="dxa"/>
            <w:vAlign w:val="center"/>
          </w:tcPr>
          <w:p w14:paraId="497E4233">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260" w:type="dxa"/>
            <w:vAlign w:val="center"/>
          </w:tcPr>
          <w:p w14:paraId="684EFCFB">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r>
      <w:tr w14:paraId="1E5179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3" w:hRule="atLeast"/>
          <w:jc w:val="center"/>
        </w:trPr>
        <w:tc>
          <w:tcPr>
            <w:tcW w:w="916" w:type="dxa"/>
            <w:vMerge w:val="continue"/>
            <w:vAlign w:val="center"/>
          </w:tcPr>
          <w:p w14:paraId="61BBD307">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913" w:type="dxa"/>
            <w:vAlign w:val="center"/>
          </w:tcPr>
          <w:p w14:paraId="65D06E42">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施工建设</w:t>
            </w:r>
          </w:p>
        </w:tc>
        <w:tc>
          <w:tcPr>
            <w:tcW w:w="650" w:type="dxa"/>
            <w:vAlign w:val="center"/>
          </w:tcPr>
          <w:p w14:paraId="379FE69C">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-2S</w:t>
            </w:r>
          </w:p>
        </w:tc>
        <w:tc>
          <w:tcPr>
            <w:tcW w:w="786" w:type="dxa"/>
            <w:vAlign w:val="center"/>
          </w:tcPr>
          <w:p w14:paraId="2F418C0E">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651" w:type="dxa"/>
            <w:vAlign w:val="center"/>
          </w:tcPr>
          <w:p w14:paraId="2CA64CF1">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-1S</w:t>
            </w:r>
          </w:p>
        </w:tc>
        <w:tc>
          <w:tcPr>
            <w:tcW w:w="651" w:type="dxa"/>
            <w:vAlign w:val="center"/>
          </w:tcPr>
          <w:p w14:paraId="115AE3B6">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-1S</w:t>
            </w:r>
          </w:p>
        </w:tc>
        <w:tc>
          <w:tcPr>
            <w:tcW w:w="946" w:type="dxa"/>
            <w:vAlign w:val="center"/>
          </w:tcPr>
          <w:p w14:paraId="792C73C6">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577" w:type="dxa"/>
            <w:vAlign w:val="center"/>
          </w:tcPr>
          <w:p w14:paraId="08D2BE52">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525" w:type="dxa"/>
            <w:vAlign w:val="center"/>
          </w:tcPr>
          <w:p w14:paraId="68C2FF55">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900" w:type="dxa"/>
            <w:vAlign w:val="center"/>
          </w:tcPr>
          <w:p w14:paraId="731C09D2">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260" w:type="dxa"/>
            <w:vAlign w:val="center"/>
          </w:tcPr>
          <w:p w14:paraId="273B73B2">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r>
      <w:tr w14:paraId="34BBE0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3" w:hRule="atLeast"/>
          <w:jc w:val="center"/>
        </w:trPr>
        <w:tc>
          <w:tcPr>
            <w:tcW w:w="916" w:type="dxa"/>
            <w:vMerge w:val="continue"/>
            <w:vAlign w:val="center"/>
          </w:tcPr>
          <w:p w14:paraId="66E2168B">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913" w:type="dxa"/>
            <w:vAlign w:val="center"/>
          </w:tcPr>
          <w:p w14:paraId="0BFE3D59">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材料运输</w:t>
            </w:r>
          </w:p>
        </w:tc>
        <w:tc>
          <w:tcPr>
            <w:tcW w:w="650" w:type="dxa"/>
            <w:vAlign w:val="center"/>
          </w:tcPr>
          <w:p w14:paraId="2C77A960">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-1S</w:t>
            </w:r>
          </w:p>
        </w:tc>
        <w:tc>
          <w:tcPr>
            <w:tcW w:w="786" w:type="dxa"/>
            <w:vAlign w:val="center"/>
          </w:tcPr>
          <w:p w14:paraId="348A8F76">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651" w:type="dxa"/>
            <w:vAlign w:val="center"/>
          </w:tcPr>
          <w:p w14:paraId="3684BCFC">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651" w:type="dxa"/>
            <w:vAlign w:val="center"/>
          </w:tcPr>
          <w:p w14:paraId="07BA45BA">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-2S</w:t>
            </w:r>
          </w:p>
        </w:tc>
        <w:tc>
          <w:tcPr>
            <w:tcW w:w="946" w:type="dxa"/>
            <w:vAlign w:val="center"/>
          </w:tcPr>
          <w:p w14:paraId="00AD3CB8">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577" w:type="dxa"/>
            <w:vAlign w:val="center"/>
          </w:tcPr>
          <w:p w14:paraId="7EA38F22">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-1S</w:t>
            </w:r>
          </w:p>
        </w:tc>
        <w:tc>
          <w:tcPr>
            <w:tcW w:w="525" w:type="dxa"/>
            <w:vAlign w:val="center"/>
          </w:tcPr>
          <w:p w14:paraId="641FD05C">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-1S</w:t>
            </w:r>
          </w:p>
        </w:tc>
        <w:tc>
          <w:tcPr>
            <w:tcW w:w="900" w:type="dxa"/>
            <w:vAlign w:val="center"/>
          </w:tcPr>
          <w:p w14:paraId="2C3B7158">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260" w:type="dxa"/>
            <w:vAlign w:val="center"/>
          </w:tcPr>
          <w:p w14:paraId="1ABB1CCC">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r>
      <w:tr w14:paraId="306A44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3" w:hRule="atLeast"/>
          <w:jc w:val="center"/>
        </w:trPr>
        <w:tc>
          <w:tcPr>
            <w:tcW w:w="916" w:type="dxa"/>
            <w:vMerge w:val="restart"/>
            <w:vAlign w:val="center"/>
          </w:tcPr>
          <w:p w14:paraId="0F4EFBC9">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运营期</w:t>
            </w:r>
          </w:p>
        </w:tc>
        <w:tc>
          <w:tcPr>
            <w:tcW w:w="913" w:type="dxa"/>
            <w:vAlign w:val="center"/>
          </w:tcPr>
          <w:p w14:paraId="7AFD9877">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废气</w:t>
            </w:r>
          </w:p>
        </w:tc>
        <w:tc>
          <w:tcPr>
            <w:tcW w:w="650" w:type="dxa"/>
            <w:vAlign w:val="center"/>
          </w:tcPr>
          <w:p w14:paraId="3533A691">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-1L</w:t>
            </w:r>
          </w:p>
        </w:tc>
        <w:tc>
          <w:tcPr>
            <w:tcW w:w="786" w:type="dxa"/>
            <w:vAlign w:val="center"/>
          </w:tcPr>
          <w:p w14:paraId="094CD855">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651" w:type="dxa"/>
            <w:vAlign w:val="center"/>
          </w:tcPr>
          <w:p w14:paraId="5B0D9487">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651" w:type="dxa"/>
            <w:vAlign w:val="center"/>
          </w:tcPr>
          <w:p w14:paraId="45F2592C">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946" w:type="dxa"/>
            <w:vAlign w:val="center"/>
          </w:tcPr>
          <w:p w14:paraId="7FCAECDF">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577" w:type="dxa"/>
            <w:vAlign w:val="center"/>
          </w:tcPr>
          <w:p w14:paraId="0B7DDB5C">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525" w:type="dxa"/>
            <w:vAlign w:val="center"/>
          </w:tcPr>
          <w:p w14:paraId="51826727">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-1L</w:t>
            </w:r>
          </w:p>
        </w:tc>
        <w:tc>
          <w:tcPr>
            <w:tcW w:w="900" w:type="dxa"/>
            <w:vAlign w:val="center"/>
          </w:tcPr>
          <w:p w14:paraId="02DF4D9A">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260" w:type="dxa"/>
            <w:vAlign w:val="center"/>
          </w:tcPr>
          <w:p w14:paraId="31481B8A">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-1L</w:t>
            </w:r>
          </w:p>
        </w:tc>
      </w:tr>
      <w:tr w14:paraId="200BCD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3" w:hRule="atLeast"/>
          <w:jc w:val="center"/>
        </w:trPr>
        <w:tc>
          <w:tcPr>
            <w:tcW w:w="916" w:type="dxa"/>
            <w:vMerge w:val="continue"/>
            <w:vAlign w:val="center"/>
          </w:tcPr>
          <w:p w14:paraId="022A8241">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913" w:type="dxa"/>
            <w:vAlign w:val="center"/>
          </w:tcPr>
          <w:p w14:paraId="1353B5A3">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废水</w:t>
            </w:r>
          </w:p>
        </w:tc>
        <w:tc>
          <w:tcPr>
            <w:tcW w:w="650" w:type="dxa"/>
            <w:vAlign w:val="center"/>
          </w:tcPr>
          <w:p w14:paraId="0E873086">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786" w:type="dxa"/>
            <w:vAlign w:val="center"/>
          </w:tcPr>
          <w:p w14:paraId="34024990">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651" w:type="dxa"/>
            <w:vAlign w:val="center"/>
          </w:tcPr>
          <w:p w14:paraId="2CA35506">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-1L</w:t>
            </w:r>
          </w:p>
        </w:tc>
        <w:tc>
          <w:tcPr>
            <w:tcW w:w="651" w:type="dxa"/>
            <w:vAlign w:val="center"/>
          </w:tcPr>
          <w:p w14:paraId="26346B77">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946" w:type="dxa"/>
            <w:vAlign w:val="center"/>
          </w:tcPr>
          <w:p w14:paraId="3242AC6F">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577" w:type="dxa"/>
            <w:vAlign w:val="center"/>
          </w:tcPr>
          <w:p w14:paraId="2CC13B3B">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525" w:type="dxa"/>
            <w:vAlign w:val="center"/>
          </w:tcPr>
          <w:p w14:paraId="023C13D4">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900" w:type="dxa"/>
            <w:vAlign w:val="center"/>
          </w:tcPr>
          <w:p w14:paraId="3422B8CF">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260" w:type="dxa"/>
            <w:vAlign w:val="center"/>
          </w:tcPr>
          <w:p w14:paraId="41600FE1">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r>
      <w:tr w14:paraId="095878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3" w:hRule="atLeast"/>
          <w:jc w:val="center"/>
        </w:trPr>
        <w:tc>
          <w:tcPr>
            <w:tcW w:w="916" w:type="dxa"/>
            <w:vMerge w:val="continue"/>
            <w:vAlign w:val="center"/>
          </w:tcPr>
          <w:p w14:paraId="3C5F1DEC">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913" w:type="dxa"/>
            <w:vAlign w:val="center"/>
          </w:tcPr>
          <w:p w14:paraId="6C1CEB9B">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废渣</w:t>
            </w:r>
          </w:p>
        </w:tc>
        <w:tc>
          <w:tcPr>
            <w:tcW w:w="650" w:type="dxa"/>
            <w:vAlign w:val="center"/>
          </w:tcPr>
          <w:p w14:paraId="54BC7D2E">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786" w:type="dxa"/>
            <w:vAlign w:val="center"/>
          </w:tcPr>
          <w:p w14:paraId="05C177C8">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651" w:type="dxa"/>
            <w:vAlign w:val="center"/>
          </w:tcPr>
          <w:p w14:paraId="2B05032B">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-1L</w:t>
            </w:r>
          </w:p>
        </w:tc>
        <w:tc>
          <w:tcPr>
            <w:tcW w:w="651" w:type="dxa"/>
            <w:vAlign w:val="center"/>
          </w:tcPr>
          <w:p w14:paraId="1A28E82A">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946" w:type="dxa"/>
            <w:vAlign w:val="center"/>
          </w:tcPr>
          <w:p w14:paraId="364F8EB2">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-1S</w:t>
            </w:r>
          </w:p>
        </w:tc>
        <w:tc>
          <w:tcPr>
            <w:tcW w:w="577" w:type="dxa"/>
            <w:vAlign w:val="center"/>
          </w:tcPr>
          <w:p w14:paraId="39857948">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525" w:type="dxa"/>
            <w:vAlign w:val="center"/>
          </w:tcPr>
          <w:p w14:paraId="20BD240C">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-1L</w:t>
            </w:r>
          </w:p>
        </w:tc>
        <w:tc>
          <w:tcPr>
            <w:tcW w:w="900" w:type="dxa"/>
            <w:vAlign w:val="center"/>
          </w:tcPr>
          <w:p w14:paraId="7792CAB6">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260" w:type="dxa"/>
            <w:vAlign w:val="center"/>
          </w:tcPr>
          <w:p w14:paraId="16E99A2B">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r>
      <w:tr w14:paraId="7FCAA4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3" w:hRule="atLeast"/>
          <w:jc w:val="center"/>
        </w:trPr>
        <w:tc>
          <w:tcPr>
            <w:tcW w:w="916" w:type="dxa"/>
            <w:vMerge w:val="continue"/>
            <w:vAlign w:val="center"/>
          </w:tcPr>
          <w:p w14:paraId="1FA1E3C1">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913" w:type="dxa"/>
            <w:vAlign w:val="center"/>
          </w:tcPr>
          <w:p w14:paraId="717071B2">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噪声</w:t>
            </w:r>
          </w:p>
        </w:tc>
        <w:tc>
          <w:tcPr>
            <w:tcW w:w="650" w:type="dxa"/>
            <w:vAlign w:val="center"/>
          </w:tcPr>
          <w:p w14:paraId="667476DE">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786" w:type="dxa"/>
            <w:vAlign w:val="center"/>
          </w:tcPr>
          <w:p w14:paraId="2EB3FF6D">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651" w:type="dxa"/>
            <w:vAlign w:val="center"/>
          </w:tcPr>
          <w:p w14:paraId="4B4D55EC">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651" w:type="dxa"/>
            <w:vAlign w:val="center"/>
          </w:tcPr>
          <w:p w14:paraId="36201701">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-1L</w:t>
            </w:r>
          </w:p>
        </w:tc>
        <w:tc>
          <w:tcPr>
            <w:tcW w:w="946" w:type="dxa"/>
            <w:vAlign w:val="center"/>
          </w:tcPr>
          <w:p w14:paraId="02FE80C9">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577" w:type="dxa"/>
            <w:vAlign w:val="center"/>
          </w:tcPr>
          <w:p w14:paraId="6C26ED2D">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525" w:type="dxa"/>
            <w:vAlign w:val="center"/>
          </w:tcPr>
          <w:p w14:paraId="0F82791C">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900" w:type="dxa"/>
            <w:vAlign w:val="center"/>
          </w:tcPr>
          <w:p w14:paraId="35D9D350">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260" w:type="dxa"/>
            <w:vAlign w:val="center"/>
          </w:tcPr>
          <w:p w14:paraId="62367A80">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-1L</w:t>
            </w:r>
          </w:p>
        </w:tc>
      </w:tr>
      <w:tr w14:paraId="57A3AA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3" w:hRule="atLeast"/>
          <w:jc w:val="center"/>
        </w:trPr>
        <w:tc>
          <w:tcPr>
            <w:tcW w:w="916" w:type="dxa"/>
            <w:vMerge w:val="continue"/>
            <w:vAlign w:val="center"/>
          </w:tcPr>
          <w:p w14:paraId="47422D58">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913" w:type="dxa"/>
            <w:vAlign w:val="center"/>
          </w:tcPr>
          <w:p w14:paraId="096FC32D">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运输</w:t>
            </w:r>
          </w:p>
        </w:tc>
        <w:tc>
          <w:tcPr>
            <w:tcW w:w="650" w:type="dxa"/>
            <w:vAlign w:val="center"/>
          </w:tcPr>
          <w:p w14:paraId="7AAE08EC">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-1L</w:t>
            </w:r>
          </w:p>
        </w:tc>
        <w:tc>
          <w:tcPr>
            <w:tcW w:w="786" w:type="dxa"/>
            <w:vAlign w:val="center"/>
          </w:tcPr>
          <w:p w14:paraId="2F7E868E">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651" w:type="dxa"/>
            <w:vAlign w:val="center"/>
          </w:tcPr>
          <w:p w14:paraId="5BB71955">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651" w:type="dxa"/>
            <w:vAlign w:val="center"/>
          </w:tcPr>
          <w:p w14:paraId="184E93D5">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-1L</w:t>
            </w:r>
          </w:p>
        </w:tc>
        <w:tc>
          <w:tcPr>
            <w:tcW w:w="946" w:type="dxa"/>
            <w:vAlign w:val="center"/>
          </w:tcPr>
          <w:p w14:paraId="2ADFAE82">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577" w:type="dxa"/>
            <w:vAlign w:val="center"/>
          </w:tcPr>
          <w:p w14:paraId="4FE9621E">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525" w:type="dxa"/>
            <w:vAlign w:val="center"/>
          </w:tcPr>
          <w:p w14:paraId="2DD4CED1">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900" w:type="dxa"/>
            <w:vAlign w:val="center"/>
          </w:tcPr>
          <w:p w14:paraId="0E477C03">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260" w:type="dxa"/>
            <w:vAlign w:val="center"/>
          </w:tcPr>
          <w:p w14:paraId="07CE9FDD">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r>
      <w:tr w14:paraId="1BC012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3" w:hRule="atLeast"/>
          <w:jc w:val="center"/>
        </w:trPr>
        <w:tc>
          <w:tcPr>
            <w:tcW w:w="916" w:type="dxa"/>
            <w:vMerge w:val="continue"/>
            <w:vAlign w:val="center"/>
          </w:tcPr>
          <w:p w14:paraId="408C23B4">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913" w:type="dxa"/>
            <w:vAlign w:val="center"/>
          </w:tcPr>
          <w:p w14:paraId="730FA28B">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产品销售</w:t>
            </w:r>
          </w:p>
        </w:tc>
        <w:tc>
          <w:tcPr>
            <w:tcW w:w="650" w:type="dxa"/>
            <w:vAlign w:val="center"/>
          </w:tcPr>
          <w:p w14:paraId="58AB9128">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786" w:type="dxa"/>
            <w:vAlign w:val="center"/>
          </w:tcPr>
          <w:p w14:paraId="14A83842">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651" w:type="dxa"/>
            <w:vAlign w:val="center"/>
          </w:tcPr>
          <w:p w14:paraId="49FFB061">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651" w:type="dxa"/>
            <w:vAlign w:val="center"/>
          </w:tcPr>
          <w:p w14:paraId="0805ADB2">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946" w:type="dxa"/>
            <w:vAlign w:val="center"/>
          </w:tcPr>
          <w:p w14:paraId="3E9D8129">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577" w:type="dxa"/>
            <w:vAlign w:val="center"/>
          </w:tcPr>
          <w:p w14:paraId="167BBC53">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525" w:type="dxa"/>
            <w:vAlign w:val="center"/>
          </w:tcPr>
          <w:p w14:paraId="41597474">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900" w:type="dxa"/>
            <w:vAlign w:val="center"/>
          </w:tcPr>
          <w:p w14:paraId="1E7BEBD0">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+2L</w:t>
            </w:r>
          </w:p>
        </w:tc>
        <w:tc>
          <w:tcPr>
            <w:tcW w:w="1260" w:type="dxa"/>
            <w:vAlign w:val="center"/>
          </w:tcPr>
          <w:p w14:paraId="04316064">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r>
      <w:tr w14:paraId="5247C2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3" w:hRule="atLeast"/>
          <w:jc w:val="center"/>
        </w:trPr>
        <w:tc>
          <w:tcPr>
            <w:tcW w:w="8775" w:type="dxa"/>
            <w:gridSpan w:val="11"/>
            <w:vAlign w:val="center"/>
          </w:tcPr>
          <w:p w14:paraId="1209C32A">
            <w:pPr>
              <w:ind w:firstLine="0" w:firstLineChars="0"/>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注：+有利影响-不利影响S短期影响L长期影响1、2影响程度由小到大</w:t>
            </w:r>
          </w:p>
        </w:tc>
      </w:tr>
    </w:tbl>
    <w:p w14:paraId="59C0D9D7">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从表2.4-1中可知，项目运行期对环境的不利影响主要是废气的影响，其次为噪声。运行期的影响为长期的直接影响，因此进行评价的主要时段是运行期，评价重点应为大气环境。</w:t>
      </w:r>
    </w:p>
    <w:p w14:paraId="411C7812">
      <w:pPr>
        <w:ind w:firstLine="482"/>
        <w:outlineLvl w:val="2"/>
        <w:rPr>
          <w:rFonts w:hint="default" w:ascii="Times New Roman" w:hAnsi="Times New Roman" w:eastAsia="宋体" w:cs="Times New Roman"/>
          <w:b/>
          <w:bCs/>
          <w:color w:val="000000" w:themeColor="text1"/>
          <w14:textFill>
            <w14:solidFill>
              <w14:schemeClr w14:val="tx1"/>
            </w14:solidFill>
          </w14:textFill>
        </w:rPr>
      </w:pPr>
      <w:bookmarkStart w:id="60" w:name="2.3.2评价因子筛选"/>
      <w:bookmarkEnd w:id="60"/>
      <w:bookmarkStart w:id="61" w:name="_Toc24592"/>
      <w:bookmarkStart w:id="62" w:name="_Toc11611"/>
      <w:r>
        <w:rPr>
          <w:rFonts w:hint="default" w:ascii="Times New Roman" w:hAnsi="Times New Roman" w:eastAsia="宋体" w:cs="Times New Roman"/>
          <w:b/>
          <w:bCs/>
          <w:color w:val="000000" w:themeColor="text1"/>
          <w14:textFill>
            <w14:solidFill>
              <w14:schemeClr w14:val="tx1"/>
            </w14:solidFill>
          </w14:textFill>
        </w:rPr>
        <w:t>2.4.2评价因子筛选</w:t>
      </w:r>
      <w:bookmarkEnd w:id="61"/>
      <w:bookmarkEnd w:id="62"/>
    </w:p>
    <w:p w14:paraId="1A9DF272">
      <w:pPr>
        <w:ind w:firstLine="480"/>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根据本项目的工程分析以及污染物排放情况的分析并结合当地的环境特点，确定评价因子，评价因子见表2.4-2。</w:t>
      </w:r>
    </w:p>
    <w:p w14:paraId="481ED45C">
      <w:pPr>
        <w:ind w:firstLine="0" w:firstLineChars="0"/>
        <w:jc w:val="center"/>
        <w:rPr>
          <w:rFonts w:hint="default" w:ascii="Times New Roman" w:hAnsi="Times New Roman" w:eastAsia="宋体" w:cs="Times New Roman"/>
          <w:b/>
          <w:bCs/>
          <w:color w:val="000000" w:themeColor="text1"/>
          <w14:textFill>
            <w14:solidFill>
              <w14:schemeClr w14:val="tx1"/>
            </w14:solidFill>
          </w14:textFill>
        </w:rPr>
      </w:pPr>
      <w:bookmarkStart w:id="63" w:name="_Toc23742"/>
      <w:bookmarkStart w:id="64" w:name="_Toc29985"/>
      <w:bookmarkStart w:id="65" w:name="_Toc12357"/>
      <w:r>
        <w:rPr>
          <w:rFonts w:hint="default" w:ascii="Times New Roman" w:hAnsi="Times New Roman" w:eastAsia="宋体" w:cs="Times New Roman"/>
          <w:b/>
          <w:bCs/>
          <w:color w:val="000000" w:themeColor="text1"/>
          <w14:textFill>
            <w14:solidFill>
              <w14:schemeClr w14:val="tx1"/>
            </w14:solidFill>
          </w14:textFill>
        </w:rPr>
        <w:t>表2.4-2项目评价因子确定表</w:t>
      </w:r>
      <w:bookmarkEnd w:id="63"/>
      <w:bookmarkEnd w:id="64"/>
      <w:bookmarkEnd w:id="65"/>
    </w:p>
    <w:tbl>
      <w:tblPr>
        <w:tblStyle w:val="29"/>
        <w:tblW w:w="901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155"/>
        <w:gridCol w:w="4890"/>
        <w:gridCol w:w="2969"/>
      </w:tblGrid>
      <w:tr w14:paraId="0E3FFB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155" w:type="dxa"/>
            <w:vAlign w:val="center"/>
          </w:tcPr>
          <w:p w14:paraId="1FA5783C">
            <w:pPr>
              <w:ind w:firstLine="0" w:firstLineChars="0"/>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环境要素</w:t>
            </w:r>
          </w:p>
        </w:tc>
        <w:tc>
          <w:tcPr>
            <w:tcW w:w="4890" w:type="dxa"/>
            <w:vAlign w:val="center"/>
          </w:tcPr>
          <w:p w14:paraId="786DBC68">
            <w:pPr>
              <w:ind w:firstLine="0" w:firstLineChars="0"/>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现状评价因子</w:t>
            </w:r>
          </w:p>
        </w:tc>
        <w:tc>
          <w:tcPr>
            <w:tcW w:w="2969" w:type="dxa"/>
            <w:vAlign w:val="center"/>
          </w:tcPr>
          <w:p w14:paraId="4FD0A704">
            <w:pPr>
              <w:ind w:firstLine="0" w:firstLineChars="0"/>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影响评价因子</w:t>
            </w:r>
          </w:p>
        </w:tc>
      </w:tr>
      <w:tr w14:paraId="1874D0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155" w:type="dxa"/>
            <w:vAlign w:val="center"/>
          </w:tcPr>
          <w:p w14:paraId="21368652">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环境空气</w:t>
            </w:r>
          </w:p>
        </w:tc>
        <w:tc>
          <w:tcPr>
            <w:tcW w:w="4890" w:type="dxa"/>
            <w:vAlign w:val="center"/>
          </w:tcPr>
          <w:p w14:paraId="47FBF1DC">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SO</w:t>
            </w:r>
            <w:r>
              <w:rPr>
                <w:rFonts w:hint="default" w:ascii="Times New Roman" w:hAnsi="Times New Roman" w:eastAsia="宋体" w:cs="Times New Roman"/>
                <w:color w:val="000000" w:themeColor="text1"/>
                <w:sz w:val="21"/>
                <w:szCs w:val="21"/>
                <w:vertAlign w:val="subscript"/>
                <w14:textFill>
                  <w14:solidFill>
                    <w14:schemeClr w14:val="tx1"/>
                  </w14:solidFill>
                </w14:textFill>
              </w:rPr>
              <w:t>2</w:t>
            </w:r>
            <w:r>
              <w:rPr>
                <w:rFonts w:hint="default" w:ascii="Times New Roman" w:hAnsi="Times New Roman" w:eastAsia="宋体" w:cs="Times New Roman"/>
                <w:color w:val="000000" w:themeColor="text1"/>
                <w:sz w:val="21"/>
                <w:szCs w:val="21"/>
                <w14:textFill>
                  <w14:solidFill>
                    <w14:schemeClr w14:val="tx1"/>
                  </w14:solidFill>
                </w14:textFill>
              </w:rPr>
              <w:t>、NO</w:t>
            </w:r>
            <w:r>
              <w:rPr>
                <w:rFonts w:hint="default" w:ascii="Times New Roman" w:hAnsi="Times New Roman" w:eastAsia="宋体" w:cs="Times New Roman"/>
                <w:color w:val="000000" w:themeColor="text1"/>
                <w:sz w:val="21"/>
                <w:szCs w:val="21"/>
                <w:vertAlign w:val="subscript"/>
                <w14:textFill>
                  <w14:solidFill>
                    <w14:schemeClr w14:val="tx1"/>
                  </w14:solidFill>
                </w14:textFill>
              </w:rPr>
              <w:t>2</w:t>
            </w:r>
            <w:r>
              <w:rPr>
                <w:rFonts w:hint="default" w:ascii="Times New Roman" w:hAnsi="Times New Roman" w:eastAsia="宋体" w:cs="Times New Roman"/>
                <w:color w:val="000000" w:themeColor="text1"/>
                <w:sz w:val="21"/>
                <w:szCs w:val="21"/>
                <w14:textFill>
                  <w14:solidFill>
                    <w14:schemeClr w14:val="tx1"/>
                  </w14:solidFill>
                </w14:textFill>
              </w:rPr>
              <w:t>、O</w:t>
            </w:r>
            <w:r>
              <w:rPr>
                <w:rFonts w:hint="default" w:ascii="Times New Roman" w:hAnsi="Times New Roman" w:eastAsia="宋体" w:cs="Times New Roman"/>
                <w:color w:val="000000" w:themeColor="text1"/>
                <w:sz w:val="21"/>
                <w:szCs w:val="21"/>
                <w:vertAlign w:val="subscript"/>
                <w14:textFill>
                  <w14:solidFill>
                    <w14:schemeClr w14:val="tx1"/>
                  </w14:solidFill>
                </w14:textFill>
              </w:rPr>
              <w:t>3</w:t>
            </w:r>
            <w:r>
              <w:rPr>
                <w:rFonts w:hint="default" w:ascii="Times New Roman" w:hAnsi="Times New Roman" w:eastAsia="宋体" w:cs="Times New Roman"/>
                <w:color w:val="000000" w:themeColor="text1"/>
                <w:sz w:val="21"/>
                <w:szCs w:val="21"/>
                <w14:textFill>
                  <w14:solidFill>
                    <w14:schemeClr w14:val="tx1"/>
                  </w14:solidFill>
                </w14:textFill>
              </w:rPr>
              <w:t>、CO、PM</w:t>
            </w:r>
            <w:r>
              <w:rPr>
                <w:rFonts w:hint="default" w:ascii="Times New Roman" w:hAnsi="Times New Roman" w:eastAsia="宋体" w:cs="Times New Roman"/>
                <w:color w:val="000000" w:themeColor="text1"/>
                <w:sz w:val="21"/>
                <w:szCs w:val="21"/>
                <w:vertAlign w:val="subscript"/>
                <w14:textFill>
                  <w14:solidFill>
                    <w14:schemeClr w14:val="tx1"/>
                  </w14:solidFill>
                </w14:textFill>
              </w:rPr>
              <w:t>10</w:t>
            </w:r>
            <w:r>
              <w:rPr>
                <w:rFonts w:hint="default" w:ascii="Times New Roman" w:hAnsi="Times New Roman" w:eastAsia="宋体" w:cs="Times New Roman"/>
                <w:color w:val="000000" w:themeColor="text1"/>
                <w:sz w:val="21"/>
                <w:szCs w:val="21"/>
                <w14:textFill>
                  <w14:solidFill>
                    <w14:schemeClr w14:val="tx1"/>
                  </w14:solidFill>
                </w14:textFill>
              </w:rPr>
              <w:t>、PM</w:t>
            </w:r>
            <w:r>
              <w:rPr>
                <w:rFonts w:hint="default" w:ascii="Times New Roman" w:hAnsi="Times New Roman" w:eastAsia="宋体" w:cs="Times New Roman"/>
                <w:color w:val="000000" w:themeColor="text1"/>
                <w:sz w:val="21"/>
                <w:szCs w:val="21"/>
                <w:vertAlign w:val="subscript"/>
                <w14:textFill>
                  <w14:solidFill>
                    <w14:schemeClr w14:val="tx1"/>
                  </w14:solidFill>
                </w14:textFill>
              </w:rPr>
              <w:t>2.5</w:t>
            </w:r>
            <w:r>
              <w:rPr>
                <w:rFonts w:hint="default" w:ascii="Times New Roman" w:hAnsi="Times New Roman" w:eastAsia="宋体" w:cs="Times New Roman"/>
                <w:color w:val="000000" w:themeColor="text1"/>
                <w:sz w:val="21"/>
                <w:szCs w:val="21"/>
                <w14:textFill>
                  <w14:solidFill>
                    <w14:schemeClr w14:val="tx1"/>
                  </w14:solidFill>
                </w14:textFill>
              </w:rPr>
              <w:t>、H</w:t>
            </w:r>
            <w:r>
              <w:rPr>
                <w:rFonts w:hint="default" w:ascii="Times New Roman" w:hAnsi="Times New Roman" w:eastAsia="宋体" w:cs="Times New Roman"/>
                <w:color w:val="000000" w:themeColor="text1"/>
                <w:sz w:val="21"/>
                <w:szCs w:val="21"/>
                <w:vertAlign w:val="subscript"/>
                <w14:textFill>
                  <w14:solidFill>
                    <w14:schemeClr w14:val="tx1"/>
                  </w14:solidFill>
                </w14:textFill>
              </w:rPr>
              <w:t>2</w:t>
            </w:r>
            <w:r>
              <w:rPr>
                <w:rFonts w:hint="default" w:ascii="Times New Roman" w:hAnsi="Times New Roman" w:eastAsia="宋体" w:cs="Times New Roman"/>
                <w:color w:val="000000" w:themeColor="text1"/>
                <w:sz w:val="21"/>
                <w:szCs w:val="21"/>
                <w14:textFill>
                  <w14:solidFill>
                    <w14:schemeClr w14:val="tx1"/>
                  </w14:solidFill>
                </w14:textFill>
              </w:rPr>
              <w:t>S、NH</w:t>
            </w:r>
            <w:r>
              <w:rPr>
                <w:rFonts w:hint="default" w:ascii="Times New Roman" w:hAnsi="Times New Roman" w:eastAsia="宋体" w:cs="Times New Roman"/>
                <w:color w:val="000000" w:themeColor="text1"/>
                <w:sz w:val="21"/>
                <w:szCs w:val="21"/>
                <w:vertAlign w:val="subscript"/>
                <w14:textFill>
                  <w14:solidFill>
                    <w14:schemeClr w14:val="tx1"/>
                  </w14:solidFill>
                </w14:textFill>
              </w:rPr>
              <w:t>3</w:t>
            </w:r>
            <w:r>
              <w:rPr>
                <w:rFonts w:hint="default" w:ascii="Times New Roman" w:hAnsi="Times New Roman" w:eastAsia="宋体" w:cs="Times New Roman"/>
                <w:color w:val="000000" w:themeColor="text1"/>
                <w:sz w:val="21"/>
                <w:szCs w:val="21"/>
                <w14:textFill>
                  <w14:solidFill>
                    <w14:schemeClr w14:val="tx1"/>
                  </w14:solidFill>
                </w14:textFill>
              </w:rPr>
              <w:t>、TSP</w:t>
            </w:r>
          </w:p>
        </w:tc>
        <w:tc>
          <w:tcPr>
            <w:tcW w:w="2969" w:type="dxa"/>
            <w:vAlign w:val="center"/>
          </w:tcPr>
          <w:p w14:paraId="249ED752">
            <w:pPr>
              <w:ind w:firstLine="0" w:firstLineChars="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H</w:t>
            </w:r>
            <w:r>
              <w:rPr>
                <w:rFonts w:hint="default" w:ascii="Times New Roman" w:hAnsi="Times New Roman" w:eastAsia="宋体" w:cs="Times New Roman"/>
                <w:color w:val="000000" w:themeColor="text1"/>
                <w:sz w:val="21"/>
                <w:szCs w:val="21"/>
                <w:vertAlign w:val="subscript"/>
                <w14:textFill>
                  <w14:solidFill>
                    <w14:schemeClr w14:val="tx1"/>
                  </w14:solidFill>
                </w14:textFill>
              </w:rPr>
              <w:t>2</w:t>
            </w:r>
            <w:r>
              <w:rPr>
                <w:rFonts w:hint="default" w:ascii="Times New Roman" w:hAnsi="Times New Roman" w:eastAsia="宋体" w:cs="Times New Roman"/>
                <w:color w:val="000000" w:themeColor="text1"/>
                <w:sz w:val="21"/>
                <w:szCs w:val="21"/>
                <w14:textFill>
                  <w14:solidFill>
                    <w14:schemeClr w14:val="tx1"/>
                  </w14:solidFill>
                </w14:textFill>
              </w:rPr>
              <w:t>S、NH</w:t>
            </w:r>
            <w:r>
              <w:rPr>
                <w:rFonts w:hint="default" w:ascii="Times New Roman" w:hAnsi="Times New Roman" w:eastAsia="宋体" w:cs="Times New Roman"/>
                <w:color w:val="000000" w:themeColor="text1"/>
                <w:sz w:val="21"/>
                <w:szCs w:val="21"/>
                <w:vertAlign w:val="subscript"/>
                <w14:textFill>
                  <w14:solidFill>
                    <w14:schemeClr w14:val="tx1"/>
                  </w14:solidFill>
                </w14:textFill>
              </w:rPr>
              <w:t>3</w:t>
            </w:r>
            <w:r>
              <w:rPr>
                <w:rFonts w:hint="default" w:ascii="Times New Roman" w:hAnsi="Times New Roman" w:eastAsia="宋体" w:cs="Times New Roman"/>
                <w:color w:val="000000" w:themeColor="text1"/>
                <w:sz w:val="21"/>
                <w:szCs w:val="21"/>
                <w14:textFill>
                  <w14:solidFill>
                    <w14:schemeClr w14:val="tx1"/>
                  </w14:solidFill>
                </w14:textFill>
              </w:rPr>
              <w:t>、TSP</w:t>
            </w:r>
            <w:r>
              <w:rPr>
                <w:rFonts w:hint="eastAsia" w:cs="Times New Roman"/>
                <w:color w:val="0000FF"/>
                <w:sz w:val="21"/>
                <w:szCs w:val="21"/>
                <w:lang w:eastAsia="zh-CN"/>
              </w:rPr>
              <w:t>、</w:t>
            </w:r>
            <w:r>
              <w:rPr>
                <w:rFonts w:hint="eastAsia" w:cs="Times New Roman"/>
                <w:color w:val="0000FF"/>
                <w:sz w:val="21"/>
                <w:szCs w:val="21"/>
                <w:lang w:val="en-US" w:eastAsia="zh-CN"/>
              </w:rPr>
              <w:t>臭气浓度</w:t>
            </w:r>
          </w:p>
        </w:tc>
      </w:tr>
      <w:tr w14:paraId="4CF1F2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155" w:type="dxa"/>
            <w:vAlign w:val="center"/>
          </w:tcPr>
          <w:p w14:paraId="557AA2AF">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地下水环境</w:t>
            </w:r>
          </w:p>
        </w:tc>
        <w:tc>
          <w:tcPr>
            <w:tcW w:w="4890" w:type="dxa"/>
            <w:vAlign w:val="center"/>
          </w:tcPr>
          <w:p w14:paraId="76621E41">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K</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、Na</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、Ca</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2+</w:t>
            </w:r>
            <w:r>
              <w:rPr>
                <w:rFonts w:hint="default" w:ascii="Times New Roman" w:hAnsi="Times New Roman" w:eastAsia="宋体" w:cs="Times New Roman"/>
                <w:color w:val="000000" w:themeColor="text1"/>
                <w:sz w:val="21"/>
                <w:szCs w:val="21"/>
                <w14:textFill>
                  <w14:solidFill>
                    <w14:schemeClr w14:val="tx1"/>
                  </w14:solidFill>
                </w14:textFill>
              </w:rPr>
              <w:t>、M</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g2+</w:t>
            </w:r>
            <w:r>
              <w:rPr>
                <w:rFonts w:hint="default" w:ascii="Times New Roman" w:hAnsi="Times New Roman" w:eastAsia="宋体" w:cs="Times New Roman"/>
                <w:color w:val="000000" w:themeColor="text1"/>
                <w:sz w:val="21"/>
                <w:szCs w:val="21"/>
                <w14:textFill>
                  <w14:solidFill>
                    <w14:schemeClr w14:val="tx1"/>
                  </w14:solidFill>
                </w14:textFill>
              </w:rPr>
              <w:t>、CO</w:t>
            </w:r>
            <w:r>
              <w:rPr>
                <w:rFonts w:hint="default" w:ascii="Times New Roman" w:hAnsi="Times New Roman" w:eastAsia="宋体" w:cs="Times New Roman"/>
                <w:color w:val="000000" w:themeColor="text1"/>
                <w:sz w:val="21"/>
                <w:szCs w:val="21"/>
                <w:vertAlign w:val="subscript"/>
                <w14:textFill>
                  <w14:solidFill>
                    <w14:schemeClr w14:val="tx1"/>
                  </w14:solidFill>
                </w14:textFill>
              </w:rPr>
              <w:t>3</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2-</w:t>
            </w:r>
            <w:r>
              <w:rPr>
                <w:rFonts w:hint="default" w:ascii="Times New Roman" w:hAnsi="Times New Roman" w:eastAsia="宋体" w:cs="Times New Roman"/>
                <w:color w:val="000000" w:themeColor="text1"/>
                <w:sz w:val="21"/>
                <w:szCs w:val="21"/>
                <w14:textFill>
                  <w14:solidFill>
                    <w14:schemeClr w14:val="tx1"/>
                  </w14:solidFill>
                </w14:textFill>
              </w:rPr>
              <w:t>、HCO</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3-</w:t>
            </w:r>
            <w:r>
              <w:rPr>
                <w:rFonts w:hint="default" w:ascii="Times New Roman" w:hAnsi="Times New Roman" w:eastAsia="宋体" w:cs="Times New Roman"/>
                <w:color w:val="000000" w:themeColor="text1"/>
                <w:sz w:val="21"/>
                <w:szCs w:val="21"/>
                <w14:textFill>
                  <w14:solidFill>
                    <w14:schemeClr w14:val="tx1"/>
                  </w14:solidFill>
                </w14:textFill>
              </w:rPr>
              <w:t>、Cl</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、SO</w:t>
            </w:r>
            <w:r>
              <w:rPr>
                <w:rFonts w:hint="default" w:ascii="Times New Roman" w:hAnsi="Times New Roman" w:eastAsia="宋体" w:cs="Times New Roman"/>
                <w:color w:val="000000" w:themeColor="text1"/>
                <w:sz w:val="21"/>
                <w:szCs w:val="21"/>
                <w:vertAlign w:val="subscript"/>
                <w14:textFill>
                  <w14:solidFill>
                    <w14:schemeClr w14:val="tx1"/>
                  </w14:solidFill>
                </w14:textFill>
              </w:rPr>
              <w:t>4</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2-</w:t>
            </w:r>
            <w:r>
              <w:rPr>
                <w:rFonts w:hint="default" w:ascii="Times New Roman" w:hAnsi="Times New Roman" w:eastAsia="宋体" w:cs="Times New Roman"/>
                <w:color w:val="000000" w:themeColor="text1"/>
                <w:sz w:val="21"/>
                <w:szCs w:val="21"/>
                <w14:textFill>
                  <w14:solidFill>
                    <w14:schemeClr w14:val="tx1"/>
                  </w14:solidFill>
                </w14:textFill>
              </w:rPr>
              <w:t>、pH值、总硬度、溶解性总固体、氨氮、硝酸盐氮亚硝酸盐氮、挥发酚、总氰化物、耗氧量、氟化物砷、硫酸盐、汞、镉、六价铬、铁、锰、细菌总数总大肠菌群</w:t>
            </w:r>
          </w:p>
        </w:tc>
        <w:tc>
          <w:tcPr>
            <w:tcW w:w="2969" w:type="dxa"/>
            <w:vAlign w:val="center"/>
          </w:tcPr>
          <w:p w14:paraId="1862C669">
            <w:pPr>
              <w:ind w:firstLine="0" w:firstLineChars="0"/>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w:t>
            </w:r>
          </w:p>
        </w:tc>
      </w:tr>
      <w:tr w14:paraId="6BDEB2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155" w:type="dxa"/>
            <w:vAlign w:val="center"/>
          </w:tcPr>
          <w:p w14:paraId="22D580DB">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声环境</w:t>
            </w:r>
          </w:p>
        </w:tc>
        <w:tc>
          <w:tcPr>
            <w:tcW w:w="4890" w:type="dxa"/>
            <w:vAlign w:val="center"/>
          </w:tcPr>
          <w:p w14:paraId="04AE4817">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等效连续声级Leq（A）</w:t>
            </w:r>
          </w:p>
        </w:tc>
        <w:tc>
          <w:tcPr>
            <w:tcW w:w="2969" w:type="dxa"/>
            <w:vAlign w:val="center"/>
          </w:tcPr>
          <w:p w14:paraId="393ACAA3">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Leq（A）</w:t>
            </w:r>
          </w:p>
        </w:tc>
      </w:tr>
      <w:tr w14:paraId="697361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155" w:type="dxa"/>
            <w:vAlign w:val="center"/>
          </w:tcPr>
          <w:p w14:paraId="415A00DA">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固体废物</w:t>
            </w:r>
          </w:p>
        </w:tc>
        <w:tc>
          <w:tcPr>
            <w:tcW w:w="4890" w:type="dxa"/>
            <w:vAlign w:val="center"/>
          </w:tcPr>
          <w:p w14:paraId="442AABAA">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p>
        </w:tc>
        <w:tc>
          <w:tcPr>
            <w:tcW w:w="2969" w:type="dxa"/>
            <w:vAlign w:val="center"/>
          </w:tcPr>
          <w:p w14:paraId="136741AA">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生活垃圾、牛粪、垫料、池体沉渣、病死畜、医疗废物</w:t>
            </w:r>
          </w:p>
        </w:tc>
      </w:tr>
      <w:tr w14:paraId="534C75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155" w:type="dxa"/>
            <w:vAlign w:val="center"/>
          </w:tcPr>
          <w:p w14:paraId="2515F21E">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土壤</w:t>
            </w:r>
          </w:p>
        </w:tc>
        <w:tc>
          <w:tcPr>
            <w:tcW w:w="4890" w:type="dxa"/>
            <w:vAlign w:val="center"/>
          </w:tcPr>
          <w:p w14:paraId="0A56A12D">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pH、镉、汞、砷、铅、铬、铜、镍、锌</w:t>
            </w:r>
          </w:p>
        </w:tc>
        <w:tc>
          <w:tcPr>
            <w:tcW w:w="2969" w:type="dxa"/>
            <w:vAlign w:val="center"/>
          </w:tcPr>
          <w:p w14:paraId="420E2C65">
            <w:pPr>
              <w:ind w:firstLine="0" w:firstLineChars="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olor w:val="0000FF"/>
                <w:lang w:val="en-US" w:eastAsia="zh-CN"/>
              </w:rPr>
              <w:t>ph</w:t>
            </w:r>
          </w:p>
        </w:tc>
      </w:tr>
      <w:tr w14:paraId="60D385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155" w:type="dxa"/>
            <w:vAlign w:val="center"/>
          </w:tcPr>
          <w:p w14:paraId="5B34015D">
            <w:pPr>
              <w:ind w:firstLine="0" w:firstLineChars="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生态</w:t>
            </w:r>
          </w:p>
        </w:tc>
        <w:tc>
          <w:tcPr>
            <w:tcW w:w="4890" w:type="dxa"/>
            <w:vAlign w:val="center"/>
          </w:tcPr>
          <w:p w14:paraId="33BC64DC">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地形地貌、土地利用、动植物现状等</w:t>
            </w:r>
          </w:p>
        </w:tc>
        <w:tc>
          <w:tcPr>
            <w:tcW w:w="2969" w:type="dxa"/>
            <w:vAlign w:val="center"/>
          </w:tcPr>
          <w:p w14:paraId="3321F799">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土地利用变化、动植物影响、景观等</w:t>
            </w:r>
          </w:p>
        </w:tc>
      </w:tr>
    </w:tbl>
    <w:p w14:paraId="5558414D">
      <w:pPr>
        <w:ind w:firstLine="0" w:firstLineChars="0"/>
        <w:outlineLvl w:val="1"/>
        <w:rPr>
          <w:rFonts w:hint="default" w:ascii="Times New Roman" w:hAnsi="Times New Roman" w:eastAsia="宋体" w:cs="Times New Roman"/>
          <w:b/>
          <w:bCs/>
          <w:color w:val="000000" w:themeColor="text1"/>
          <w:sz w:val="28"/>
          <w:szCs w:val="28"/>
          <w14:textFill>
            <w14:solidFill>
              <w14:schemeClr w14:val="tx1"/>
            </w14:solidFill>
          </w14:textFill>
        </w:rPr>
      </w:pPr>
      <w:bookmarkStart w:id="66" w:name="_Toc10774"/>
      <w:r>
        <w:rPr>
          <w:rFonts w:hint="default" w:ascii="Times New Roman" w:hAnsi="Times New Roman" w:eastAsia="宋体" w:cs="Times New Roman"/>
          <w:b/>
          <w:bCs/>
          <w:color w:val="000000" w:themeColor="text1"/>
          <w:sz w:val="28"/>
          <w:szCs w:val="28"/>
          <w14:textFill>
            <w14:solidFill>
              <w14:schemeClr w14:val="tx1"/>
            </w14:solidFill>
          </w14:textFill>
        </w:rPr>
        <w:t>2.5评价标准</w:t>
      </w:r>
      <w:bookmarkEnd w:id="66"/>
    </w:p>
    <w:p w14:paraId="34E2B587">
      <w:pPr>
        <w:pStyle w:val="11"/>
        <w:adjustRightInd w:val="0"/>
        <w:snapToGrid w:val="0"/>
        <w:ind w:firstLine="482"/>
        <w:outlineLvl w:val="2"/>
        <w:rPr>
          <w:rFonts w:hint="default" w:ascii="Times New Roman" w:hAnsi="Times New Roman" w:eastAsia="宋体" w:cs="Times New Roman"/>
          <w:b/>
          <w:color w:val="000000" w:themeColor="text1"/>
          <w14:textFill>
            <w14:solidFill>
              <w14:schemeClr w14:val="tx1"/>
            </w14:solidFill>
          </w14:textFill>
        </w:rPr>
      </w:pPr>
      <w:bookmarkStart w:id="67" w:name="_Toc32293"/>
      <w:r>
        <w:rPr>
          <w:rFonts w:hint="default" w:ascii="Times New Roman" w:hAnsi="Times New Roman" w:eastAsia="宋体" w:cs="Times New Roman"/>
          <w:b/>
          <w:color w:val="000000" w:themeColor="text1"/>
          <w14:textFill>
            <w14:solidFill>
              <w14:schemeClr w14:val="tx1"/>
            </w14:solidFill>
          </w14:textFill>
        </w:rPr>
        <w:t>2.</w:t>
      </w:r>
      <w:r>
        <w:rPr>
          <w:rFonts w:hint="default" w:ascii="Times New Roman" w:hAnsi="Times New Roman" w:eastAsia="宋体" w:cs="Times New Roman"/>
          <w:b/>
          <w:color w:val="000000" w:themeColor="text1"/>
          <w:lang w:eastAsia="zh-CN"/>
          <w14:textFill>
            <w14:solidFill>
              <w14:schemeClr w14:val="tx1"/>
            </w14:solidFill>
          </w14:textFill>
        </w:rPr>
        <w:t>5</w:t>
      </w:r>
      <w:r>
        <w:rPr>
          <w:rFonts w:hint="default" w:ascii="Times New Roman" w:hAnsi="Times New Roman" w:eastAsia="宋体" w:cs="Times New Roman"/>
          <w:b/>
          <w:color w:val="000000" w:themeColor="text1"/>
          <w14:textFill>
            <w14:solidFill>
              <w14:schemeClr w14:val="tx1"/>
            </w14:solidFill>
          </w14:textFill>
        </w:rPr>
        <w:t>.1区域环境功能区划</w:t>
      </w:r>
      <w:bookmarkEnd w:id="67"/>
    </w:p>
    <w:p w14:paraId="5719A9D3">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lang w:val="en-US" w:eastAsia="zh-CN"/>
        </w:rPr>
      </w:pPr>
      <w:r>
        <w:rPr>
          <w:rFonts w:hint="eastAsia" w:ascii="Times New Roman" w:hAnsi="Times New Roman" w:cs="Times New Roman"/>
          <w:lang w:val="en-US" w:eastAsia="zh-CN"/>
        </w:rPr>
        <w:t>（1）</w:t>
      </w:r>
      <w:r>
        <w:rPr>
          <w:rFonts w:hint="default" w:ascii="Times New Roman" w:hAnsi="Times New Roman" w:cs="Times New Roman"/>
          <w:lang w:val="en-US" w:eastAsia="zh-CN"/>
        </w:rPr>
        <w:t>环境空气功能区</w:t>
      </w:r>
    </w:p>
    <w:p w14:paraId="0C5AB439">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根据《环境空气质量标准》</w:t>
      </w:r>
      <w:r>
        <w:rPr>
          <w:rFonts w:hint="eastAsia" w:ascii="Times New Roman" w:hAnsi="Times New Roman" w:eastAsia="宋体" w:cs="Times New Roman"/>
          <w:lang w:val="en-US" w:eastAsia="zh-CN"/>
        </w:rPr>
        <w:t>（</w:t>
      </w:r>
      <w:r>
        <w:rPr>
          <w:rFonts w:hint="default" w:ascii="Times New Roman" w:hAnsi="Times New Roman" w:eastAsia="宋体" w:cs="Times New Roman"/>
          <w:lang w:val="en-US" w:eastAsia="zh-CN"/>
        </w:rPr>
        <w:t>GB3095-2012</w:t>
      </w:r>
      <w:r>
        <w:rPr>
          <w:rFonts w:hint="eastAsia" w:ascii="Times New Roman" w:hAnsi="Times New Roman" w:eastAsia="宋体" w:cs="Times New Roman"/>
          <w:lang w:val="en-US" w:eastAsia="zh-CN"/>
        </w:rPr>
        <w:t>）</w:t>
      </w:r>
      <w:r>
        <w:rPr>
          <w:rFonts w:hint="default" w:ascii="Times New Roman" w:hAnsi="Times New Roman" w:eastAsia="宋体" w:cs="Times New Roman"/>
          <w:lang w:val="en-US" w:eastAsia="zh-CN"/>
        </w:rPr>
        <w:t>中环境功能区分类</w:t>
      </w:r>
      <w:r>
        <w:rPr>
          <w:rFonts w:hint="eastAsia" w:ascii="Times New Roman" w:hAnsi="Times New Roman" w:cs="Times New Roman"/>
          <w:lang w:val="en-US" w:eastAsia="zh-CN"/>
        </w:rPr>
        <w:t>“</w:t>
      </w:r>
      <w:r>
        <w:rPr>
          <w:rFonts w:hint="default" w:ascii="Times New Roman" w:hAnsi="Times New Roman" w:eastAsia="宋体" w:cs="Times New Roman"/>
          <w:lang w:val="en-US" w:eastAsia="zh-CN"/>
        </w:rPr>
        <w:t>二类为居住区、商业交通居民混合区、文化区、工业区和农村地区</w:t>
      </w:r>
      <w:r>
        <w:rPr>
          <w:rFonts w:hint="eastAsia" w:ascii="Times New Roman" w:hAnsi="Times New Roman" w:eastAsia="宋体" w:cs="Times New Roman"/>
          <w:lang w:val="en-US" w:eastAsia="zh-CN"/>
        </w:rPr>
        <w:t>”</w:t>
      </w:r>
      <w:r>
        <w:rPr>
          <w:rFonts w:hint="default" w:ascii="Times New Roman" w:hAnsi="Times New Roman" w:eastAsia="宋体" w:cs="Times New Roman"/>
          <w:lang w:val="en-US" w:eastAsia="zh-CN"/>
        </w:rPr>
        <w:t>，本项目位于乡村，属于二类区功能区。</w:t>
      </w:r>
    </w:p>
    <w:p w14:paraId="2F73EFE3">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lang w:val="en-US" w:eastAsia="zh-CN"/>
        </w:rPr>
      </w:pPr>
      <w:r>
        <w:rPr>
          <w:rFonts w:hint="eastAsia" w:ascii="Times New Roman" w:hAnsi="Times New Roman" w:cs="Times New Roman"/>
          <w:kern w:val="2"/>
          <w:sz w:val="24"/>
          <w:szCs w:val="24"/>
          <w:lang w:val="en-US" w:eastAsia="zh-CN" w:bidi="ar-SA"/>
        </w:rPr>
        <w:t>（2）</w:t>
      </w:r>
      <w:r>
        <w:rPr>
          <w:rFonts w:hint="default" w:ascii="Times New Roman" w:hAnsi="Times New Roman" w:cs="Times New Roman"/>
          <w:lang w:val="en-US" w:eastAsia="zh-CN"/>
        </w:rPr>
        <w:t>地下水环境功能区</w:t>
      </w:r>
    </w:p>
    <w:p w14:paraId="256184C9">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根据《地下水质量标准》</w:t>
      </w:r>
      <w:r>
        <w:rPr>
          <w:rFonts w:hint="eastAsia" w:ascii="Times New Roman" w:hAnsi="Times New Roman" w:eastAsia="宋体" w:cs="Times New Roman"/>
          <w:lang w:val="en-US" w:eastAsia="zh-CN"/>
        </w:rPr>
        <w:t>（</w:t>
      </w:r>
      <w:r>
        <w:rPr>
          <w:rFonts w:hint="default" w:ascii="Times New Roman" w:hAnsi="Times New Roman" w:eastAsia="宋体" w:cs="Times New Roman"/>
          <w:lang w:val="en-US" w:eastAsia="zh-CN"/>
        </w:rPr>
        <w:t>GB/T14848-2017</w:t>
      </w:r>
      <w:r>
        <w:rPr>
          <w:rFonts w:hint="eastAsia" w:ascii="Times New Roman" w:hAnsi="Times New Roman" w:eastAsia="宋体" w:cs="Times New Roman"/>
          <w:lang w:val="en-US" w:eastAsia="zh-CN"/>
        </w:rPr>
        <w:t>）</w:t>
      </w:r>
      <w:r>
        <w:rPr>
          <w:rFonts w:hint="default" w:ascii="Times New Roman" w:hAnsi="Times New Roman" w:eastAsia="宋体" w:cs="Times New Roman"/>
          <w:lang w:val="en-US" w:eastAsia="zh-CN"/>
        </w:rPr>
        <w:t>中地下水质量分类，本项目所在地地下水环境属于</w:t>
      </w:r>
      <w:r>
        <w:rPr>
          <w:rFonts w:hint="default" w:ascii="Times New Roman" w:hAnsi="Times New Roman" w:cs="Times New Roman"/>
          <w:lang w:val="en-US" w:eastAsia="zh-CN"/>
        </w:rPr>
        <w:t>“</w:t>
      </w:r>
      <w:r>
        <w:rPr>
          <w:rFonts w:hint="default" w:ascii="Times New Roman" w:hAnsi="Times New Roman" w:eastAsia="宋体" w:cs="Times New Roman"/>
          <w:lang w:val="en-US" w:eastAsia="zh-CN"/>
        </w:rPr>
        <w:t>第Ⅲ类-地下水化学组分含量中等以GB5749-2006为依据，主要适用于集中式生活饮用水水源及工农业用水</w:t>
      </w:r>
      <w:r>
        <w:rPr>
          <w:rFonts w:hint="default" w:ascii="Times New Roman" w:hAnsi="Times New Roman" w:cs="Times New Roman"/>
          <w:lang w:val="en-US" w:eastAsia="zh-CN"/>
        </w:rPr>
        <w:t>”</w:t>
      </w:r>
      <w:r>
        <w:rPr>
          <w:rFonts w:hint="default" w:ascii="Times New Roman" w:hAnsi="Times New Roman" w:eastAsia="宋体" w:cs="Times New Roman"/>
          <w:lang w:val="en-US" w:eastAsia="zh-CN"/>
        </w:rPr>
        <w:t>，因此，本项目地下水环境功能区划为Ⅲ类功能区。</w:t>
      </w:r>
    </w:p>
    <w:p w14:paraId="3D7D598D">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lang w:val="en-US" w:eastAsia="zh-CN"/>
        </w:rPr>
      </w:pPr>
      <w:r>
        <w:rPr>
          <w:rFonts w:hint="eastAsia" w:ascii="Times New Roman" w:hAnsi="Times New Roman" w:cs="Times New Roman"/>
          <w:kern w:val="2"/>
          <w:sz w:val="24"/>
          <w:szCs w:val="24"/>
          <w:lang w:val="en-US" w:eastAsia="zh-CN" w:bidi="ar-SA"/>
        </w:rPr>
        <w:t>（3）</w:t>
      </w:r>
      <w:r>
        <w:rPr>
          <w:rFonts w:hint="default" w:ascii="Times New Roman" w:hAnsi="Times New Roman" w:cs="Times New Roman"/>
          <w:lang w:val="en-US" w:eastAsia="zh-CN"/>
        </w:rPr>
        <w:t>声环境功能区</w:t>
      </w:r>
    </w:p>
    <w:p w14:paraId="147F4830">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根据《声环境质量标准》（GB3096-2008）、《声环境功能区划分技术规范》（GB15190-2014）的规定及建设项目周围的状况，评价区声功能区为2类区。</w:t>
      </w:r>
    </w:p>
    <w:p w14:paraId="7FA5D6FB">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lang w:val="en-US" w:eastAsia="zh-CN"/>
        </w:rPr>
      </w:pPr>
      <w:r>
        <w:rPr>
          <w:rFonts w:hint="eastAsia" w:ascii="Times New Roman" w:hAnsi="Times New Roman" w:cs="Times New Roman"/>
          <w:kern w:val="2"/>
          <w:sz w:val="24"/>
          <w:szCs w:val="24"/>
          <w:lang w:val="en-US" w:eastAsia="zh-CN" w:bidi="ar-SA"/>
        </w:rPr>
        <w:t>（4）</w:t>
      </w:r>
      <w:r>
        <w:rPr>
          <w:rFonts w:hint="default" w:ascii="Times New Roman" w:hAnsi="Times New Roman" w:cs="Times New Roman"/>
          <w:lang w:val="en-US" w:eastAsia="zh-CN"/>
        </w:rPr>
        <w:t>土壤环境功能区</w:t>
      </w:r>
    </w:p>
    <w:p w14:paraId="2B903441">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000000" w:themeColor="text1"/>
          <w:spacing w:val="-6"/>
          <w:lang w:eastAsia="zh-CN"/>
          <w14:textFill>
            <w14:solidFill>
              <w14:schemeClr w14:val="tx1"/>
            </w14:solidFill>
          </w14:textFill>
        </w:rPr>
      </w:pPr>
      <w:r>
        <w:rPr>
          <w:rFonts w:hint="default" w:ascii="Times New Roman" w:hAnsi="Times New Roman" w:eastAsia="宋体" w:cs="Times New Roman"/>
          <w:lang w:val="en-US" w:eastAsia="zh-CN"/>
        </w:rPr>
        <w:t>本项目为</w:t>
      </w:r>
      <w:r>
        <w:rPr>
          <w:rFonts w:hint="eastAsia" w:ascii="Times New Roman" w:hAnsi="Times New Roman" w:eastAsia="宋体" w:cs="Times New Roman"/>
          <w:lang w:val="en-US" w:eastAsia="zh-CN"/>
        </w:rPr>
        <w:t>牲畜饲养</w:t>
      </w:r>
      <w:r>
        <w:rPr>
          <w:rFonts w:hint="default" w:ascii="Times New Roman" w:hAnsi="Times New Roman" w:eastAsia="宋体" w:cs="Times New Roman"/>
          <w:lang w:val="en-US" w:eastAsia="zh-CN"/>
        </w:rPr>
        <w:t>项目，用地性质为农用地，因此土壤环境执行《土壤环境质量农用地土壤污染风险管控标准》</w:t>
      </w:r>
      <w:r>
        <w:rPr>
          <w:rFonts w:hint="eastAsia" w:ascii="Times New Roman" w:hAnsi="Times New Roman" w:eastAsia="宋体" w:cs="Times New Roman"/>
          <w:lang w:val="en-US" w:eastAsia="zh-CN"/>
        </w:rPr>
        <w:t>（</w:t>
      </w:r>
      <w:r>
        <w:rPr>
          <w:rFonts w:hint="default" w:ascii="Times New Roman" w:hAnsi="Times New Roman" w:eastAsia="宋体" w:cs="Times New Roman"/>
          <w:lang w:val="en-US" w:eastAsia="zh-CN"/>
        </w:rPr>
        <w:t>GB15618-2018</w:t>
      </w:r>
      <w:r>
        <w:rPr>
          <w:rFonts w:hint="eastAsia" w:ascii="Times New Roman" w:hAnsi="Times New Roman" w:eastAsia="宋体" w:cs="Times New Roman"/>
          <w:lang w:val="en-US" w:eastAsia="zh-CN"/>
        </w:rPr>
        <w:t>）</w:t>
      </w:r>
      <w:r>
        <w:rPr>
          <w:rFonts w:hint="default" w:ascii="Times New Roman" w:hAnsi="Times New Roman" w:eastAsia="宋体" w:cs="Times New Roman"/>
          <w:lang w:val="en-US" w:eastAsia="zh-CN"/>
        </w:rPr>
        <w:t>表1风险筛选值标准</w:t>
      </w:r>
      <w:r>
        <w:rPr>
          <w:rFonts w:hint="default" w:ascii="Times New Roman" w:hAnsi="Times New Roman" w:eastAsia="宋体" w:cs="Times New Roman"/>
          <w:color w:val="000000" w:themeColor="text1"/>
          <w:spacing w:val="-6"/>
          <w:lang w:eastAsia="zh-CN"/>
          <w14:textFill>
            <w14:solidFill>
              <w14:schemeClr w14:val="tx1"/>
            </w14:solidFill>
          </w14:textFill>
        </w:rPr>
        <w:t>。</w:t>
      </w:r>
    </w:p>
    <w:p w14:paraId="006A4A2E">
      <w:pPr>
        <w:pStyle w:val="11"/>
        <w:adjustRightInd w:val="0"/>
        <w:snapToGrid w:val="0"/>
        <w:ind w:firstLine="482"/>
        <w:outlineLvl w:val="2"/>
        <w:rPr>
          <w:rFonts w:hint="default" w:ascii="Times New Roman" w:hAnsi="Times New Roman" w:eastAsia="宋体" w:cs="Times New Roman"/>
          <w:b/>
          <w:color w:val="000000" w:themeColor="text1"/>
          <w:lang w:eastAsia="zh-CN"/>
          <w14:textFill>
            <w14:solidFill>
              <w14:schemeClr w14:val="tx1"/>
            </w14:solidFill>
          </w14:textFill>
        </w:rPr>
      </w:pPr>
      <w:bookmarkStart w:id="68" w:name="_Toc9480"/>
      <w:r>
        <w:rPr>
          <w:rFonts w:hint="default" w:ascii="Times New Roman" w:hAnsi="Times New Roman" w:eastAsia="宋体" w:cs="Times New Roman"/>
          <w:b/>
          <w:color w:val="000000" w:themeColor="text1"/>
          <w:lang w:eastAsia="zh-CN"/>
          <w14:textFill>
            <w14:solidFill>
              <w14:schemeClr w14:val="tx1"/>
            </w14:solidFill>
          </w14:textFill>
        </w:rPr>
        <w:t>2.5.2环境质量标准</w:t>
      </w:r>
      <w:bookmarkEnd w:id="68"/>
    </w:p>
    <w:p w14:paraId="4A793A00">
      <w:pPr>
        <w:pStyle w:val="37"/>
        <w:tabs>
          <w:tab w:val="left" w:pos="980"/>
        </w:tabs>
        <w:adjustRightInd w:val="0"/>
        <w:snapToGrid w:val="0"/>
        <w:ind w:left="0" w:firstLine="482"/>
        <w:rPr>
          <w:rFonts w:hint="default" w:ascii="Times New Roman" w:hAnsi="Times New Roman" w:eastAsia="宋体" w:cs="Times New Roman"/>
          <w:b/>
          <w:color w:val="000000" w:themeColor="text1"/>
          <w14:textFill>
            <w14:solidFill>
              <w14:schemeClr w14:val="tx1"/>
            </w14:solidFill>
          </w14:textFill>
        </w:rPr>
      </w:pPr>
      <w:r>
        <w:rPr>
          <w:rFonts w:hint="default" w:ascii="Times New Roman" w:hAnsi="Times New Roman" w:eastAsia="宋体" w:cs="Times New Roman"/>
          <w:b/>
          <w:color w:val="000000" w:themeColor="text1"/>
          <w14:textFill>
            <w14:solidFill>
              <w14:schemeClr w14:val="tx1"/>
            </w14:solidFill>
          </w14:textFill>
        </w:rPr>
        <w:t>（1）环境空气质量标准</w:t>
      </w:r>
    </w:p>
    <w:p w14:paraId="61F5070E">
      <w:pPr>
        <w:pStyle w:val="11"/>
        <w:adjustRightInd w:val="0"/>
        <w:snapToGrid w:val="0"/>
        <w:ind w:firstLine="456"/>
        <w:rPr>
          <w:rFonts w:hint="default" w:ascii="Times New Roman" w:hAnsi="Times New Roman" w:eastAsia="宋体" w:cs="Times New Roman"/>
          <w:color w:val="000000" w:themeColor="text1"/>
          <w:spacing w:val="-6"/>
          <w:lang w:eastAsia="zh-CN"/>
          <w14:textFill>
            <w14:solidFill>
              <w14:schemeClr w14:val="tx1"/>
            </w14:solidFill>
          </w14:textFill>
        </w:rPr>
      </w:pPr>
      <w:bookmarkStart w:id="69" w:name="2.4.2环境质量标准"/>
      <w:bookmarkEnd w:id="69"/>
      <w:r>
        <w:rPr>
          <w:rFonts w:hint="default" w:ascii="Times New Roman" w:hAnsi="Times New Roman" w:eastAsia="宋体" w:cs="Times New Roman"/>
          <w:color w:val="000000" w:themeColor="text1"/>
          <w:spacing w:val="-6"/>
          <w:lang w:eastAsia="zh-CN"/>
          <w14:textFill>
            <w14:solidFill>
              <w14:schemeClr w14:val="tx1"/>
            </w14:solidFill>
          </w14:textFill>
        </w:rPr>
        <w:t>本次大气环境影响评价，评价区域环境空气质量因子SO</w:t>
      </w:r>
      <w:r>
        <w:rPr>
          <w:rFonts w:hint="default" w:ascii="Times New Roman" w:hAnsi="Times New Roman" w:eastAsia="宋体" w:cs="Times New Roman"/>
          <w:color w:val="000000" w:themeColor="text1"/>
          <w:spacing w:val="-6"/>
          <w:vertAlign w:val="subscript"/>
          <w:lang w:eastAsia="zh-CN"/>
          <w14:textFill>
            <w14:solidFill>
              <w14:schemeClr w14:val="tx1"/>
            </w14:solidFill>
          </w14:textFill>
        </w:rPr>
        <w:t>2</w:t>
      </w:r>
      <w:r>
        <w:rPr>
          <w:rFonts w:hint="default" w:ascii="Times New Roman" w:hAnsi="Times New Roman" w:eastAsia="宋体" w:cs="Times New Roman"/>
          <w:color w:val="000000" w:themeColor="text1"/>
          <w:spacing w:val="-6"/>
          <w:lang w:eastAsia="zh-CN"/>
          <w14:textFill>
            <w14:solidFill>
              <w14:schemeClr w14:val="tx1"/>
            </w14:solidFill>
          </w14:textFill>
        </w:rPr>
        <w:t>、NO</w:t>
      </w:r>
      <w:r>
        <w:rPr>
          <w:rFonts w:hint="default" w:ascii="Times New Roman" w:hAnsi="Times New Roman" w:eastAsia="宋体" w:cs="Times New Roman"/>
          <w:color w:val="000000" w:themeColor="text1"/>
          <w:spacing w:val="-6"/>
          <w:vertAlign w:val="subscript"/>
          <w:lang w:eastAsia="zh-CN"/>
          <w14:textFill>
            <w14:solidFill>
              <w14:schemeClr w14:val="tx1"/>
            </w14:solidFill>
          </w14:textFill>
        </w:rPr>
        <w:t>2</w:t>
      </w:r>
      <w:r>
        <w:rPr>
          <w:rFonts w:hint="default" w:ascii="Times New Roman" w:hAnsi="Times New Roman" w:eastAsia="宋体" w:cs="Times New Roman"/>
          <w:color w:val="000000" w:themeColor="text1"/>
          <w:spacing w:val="-6"/>
          <w:lang w:eastAsia="zh-CN"/>
          <w14:textFill>
            <w14:solidFill>
              <w14:schemeClr w14:val="tx1"/>
            </w14:solidFill>
          </w14:textFill>
        </w:rPr>
        <w:t>、O</w:t>
      </w:r>
      <w:r>
        <w:rPr>
          <w:rFonts w:hint="default" w:ascii="Times New Roman" w:hAnsi="Times New Roman" w:eastAsia="宋体" w:cs="Times New Roman"/>
          <w:color w:val="000000" w:themeColor="text1"/>
          <w:spacing w:val="-6"/>
          <w:vertAlign w:val="subscript"/>
          <w:lang w:eastAsia="zh-CN"/>
          <w14:textFill>
            <w14:solidFill>
              <w14:schemeClr w14:val="tx1"/>
            </w14:solidFill>
          </w14:textFill>
        </w:rPr>
        <w:t>3</w:t>
      </w:r>
      <w:r>
        <w:rPr>
          <w:rFonts w:hint="default" w:ascii="Times New Roman" w:hAnsi="Times New Roman" w:eastAsia="宋体" w:cs="Times New Roman"/>
          <w:color w:val="000000" w:themeColor="text1"/>
          <w:spacing w:val="-6"/>
          <w:lang w:eastAsia="zh-CN"/>
          <w14:textFill>
            <w14:solidFill>
              <w14:schemeClr w14:val="tx1"/>
            </w14:solidFill>
          </w14:textFill>
        </w:rPr>
        <w:t>、PM</w:t>
      </w:r>
      <w:r>
        <w:rPr>
          <w:rFonts w:hint="default" w:ascii="Times New Roman" w:hAnsi="Times New Roman" w:eastAsia="宋体" w:cs="Times New Roman"/>
          <w:color w:val="000000" w:themeColor="text1"/>
          <w:spacing w:val="-6"/>
          <w:vertAlign w:val="subscript"/>
          <w:lang w:eastAsia="zh-CN"/>
          <w14:textFill>
            <w14:solidFill>
              <w14:schemeClr w14:val="tx1"/>
            </w14:solidFill>
          </w14:textFill>
        </w:rPr>
        <w:t>2.5</w:t>
      </w:r>
      <w:r>
        <w:rPr>
          <w:rFonts w:hint="default" w:ascii="Times New Roman" w:hAnsi="Times New Roman" w:eastAsia="宋体" w:cs="Times New Roman"/>
          <w:color w:val="000000" w:themeColor="text1"/>
          <w:spacing w:val="-6"/>
          <w:lang w:eastAsia="zh-CN"/>
          <w14:textFill>
            <w14:solidFill>
              <w14:schemeClr w14:val="tx1"/>
            </w14:solidFill>
          </w14:textFill>
        </w:rPr>
        <w:t>、PM</w:t>
      </w:r>
      <w:r>
        <w:rPr>
          <w:rFonts w:hint="default" w:ascii="Times New Roman" w:hAnsi="Times New Roman" w:eastAsia="宋体" w:cs="Times New Roman"/>
          <w:color w:val="000000" w:themeColor="text1"/>
          <w:spacing w:val="-6"/>
          <w:vertAlign w:val="subscript"/>
          <w:lang w:eastAsia="zh-CN"/>
          <w14:textFill>
            <w14:solidFill>
              <w14:schemeClr w14:val="tx1"/>
            </w14:solidFill>
          </w14:textFill>
        </w:rPr>
        <w:t>10</w:t>
      </w:r>
      <w:r>
        <w:rPr>
          <w:rFonts w:hint="default" w:ascii="Times New Roman" w:hAnsi="Times New Roman" w:eastAsia="宋体" w:cs="Times New Roman"/>
          <w:color w:val="000000" w:themeColor="text1"/>
          <w:spacing w:val="-6"/>
          <w:lang w:eastAsia="zh-CN"/>
          <w14:textFill>
            <w14:solidFill>
              <w14:schemeClr w14:val="tx1"/>
            </w14:solidFill>
          </w14:textFill>
        </w:rPr>
        <w:t>、TSP、CO执行《环境空气质量标准》（GB3095-2012）二级标准及修改单，H</w:t>
      </w:r>
      <w:r>
        <w:rPr>
          <w:rFonts w:hint="default" w:ascii="Times New Roman" w:hAnsi="Times New Roman" w:eastAsia="宋体" w:cs="Times New Roman"/>
          <w:color w:val="000000" w:themeColor="text1"/>
          <w:spacing w:val="-6"/>
          <w:vertAlign w:val="subscript"/>
          <w:lang w:eastAsia="zh-CN"/>
          <w14:textFill>
            <w14:solidFill>
              <w14:schemeClr w14:val="tx1"/>
            </w14:solidFill>
          </w14:textFill>
        </w:rPr>
        <w:t>2</w:t>
      </w:r>
      <w:r>
        <w:rPr>
          <w:rFonts w:hint="default" w:ascii="Times New Roman" w:hAnsi="Times New Roman" w:eastAsia="宋体" w:cs="Times New Roman"/>
          <w:color w:val="000000" w:themeColor="text1"/>
          <w:spacing w:val="-6"/>
          <w:lang w:eastAsia="zh-CN"/>
          <w14:textFill>
            <w14:solidFill>
              <w14:schemeClr w14:val="tx1"/>
            </w14:solidFill>
          </w14:textFill>
        </w:rPr>
        <w:t>S、NH</w:t>
      </w:r>
      <w:r>
        <w:rPr>
          <w:rFonts w:hint="default" w:ascii="Times New Roman" w:hAnsi="Times New Roman" w:eastAsia="宋体" w:cs="Times New Roman"/>
          <w:color w:val="000000" w:themeColor="text1"/>
          <w:spacing w:val="-6"/>
          <w:vertAlign w:val="subscript"/>
          <w:lang w:eastAsia="zh-CN"/>
          <w14:textFill>
            <w14:solidFill>
              <w14:schemeClr w14:val="tx1"/>
            </w14:solidFill>
          </w14:textFill>
        </w:rPr>
        <w:t>3</w:t>
      </w:r>
      <w:r>
        <w:rPr>
          <w:rFonts w:hint="default" w:ascii="Times New Roman" w:hAnsi="Times New Roman" w:eastAsia="宋体" w:cs="Times New Roman"/>
          <w:color w:val="000000" w:themeColor="text1"/>
          <w:spacing w:val="-6"/>
          <w:lang w:eastAsia="zh-CN"/>
          <w14:textFill>
            <w14:solidFill>
              <w14:schemeClr w14:val="tx1"/>
            </w14:solidFill>
          </w14:textFill>
        </w:rPr>
        <w:t>参考《环境影响评价技术导则大气环境》（HJ2.2-2018）浓度值。环境空气质量评价因子执行标准见表2.5-1。</w:t>
      </w:r>
    </w:p>
    <w:p w14:paraId="7F8C8961">
      <w:pPr>
        <w:pStyle w:val="11"/>
        <w:adjustRightInd w:val="0"/>
        <w:snapToGrid w:val="0"/>
        <w:ind w:firstLine="0" w:firstLineChars="0"/>
        <w:jc w:val="center"/>
        <w:rPr>
          <w:rFonts w:hint="default" w:ascii="Times New Roman" w:hAnsi="Times New Roman" w:eastAsia="宋体" w:cs="Times New Roman"/>
          <w:b/>
          <w:color w:val="000000" w:themeColor="text1"/>
          <w:spacing w:val="-7"/>
          <w:lang w:eastAsia="zh-CN"/>
          <w14:textFill>
            <w14:solidFill>
              <w14:schemeClr w14:val="tx1"/>
            </w14:solidFill>
          </w14:textFill>
        </w:rPr>
      </w:pPr>
      <w:r>
        <w:rPr>
          <w:rFonts w:hint="default" w:ascii="Times New Roman" w:hAnsi="Times New Roman" w:eastAsia="宋体" w:cs="Times New Roman"/>
          <w:b/>
          <w:color w:val="000000" w:themeColor="text1"/>
          <w:spacing w:val="-7"/>
          <w:lang w:eastAsia="zh-CN"/>
          <w14:textFill>
            <w14:solidFill>
              <w14:schemeClr w14:val="tx1"/>
            </w14:solidFill>
          </w14:textFill>
        </w:rPr>
        <w:t>表2.5-1</w:t>
      </w:r>
      <w:r>
        <w:rPr>
          <w:rFonts w:hint="default" w:ascii="Times New Roman" w:hAnsi="Times New Roman" w:eastAsia="宋体" w:cs="Times New Roman"/>
          <w:b/>
          <w:color w:val="000000" w:themeColor="text1"/>
          <w:spacing w:val="-7"/>
          <w:lang w:eastAsia="zh-CN"/>
          <w14:textFill>
            <w14:solidFill>
              <w14:schemeClr w14:val="tx1"/>
            </w14:solidFill>
          </w14:textFill>
        </w:rPr>
        <w:tab/>
      </w:r>
      <w:r>
        <w:rPr>
          <w:rFonts w:hint="default" w:ascii="Times New Roman" w:hAnsi="Times New Roman" w:eastAsia="宋体" w:cs="Times New Roman"/>
          <w:b/>
          <w:color w:val="000000" w:themeColor="text1"/>
          <w:spacing w:val="-7"/>
          <w:lang w:eastAsia="zh-CN"/>
          <w14:textFill>
            <w14:solidFill>
              <w14:schemeClr w14:val="tx1"/>
            </w14:solidFill>
          </w14:textFill>
        </w:rPr>
        <w:t>环境空气质量评价因子执行标准一览表</w:t>
      </w:r>
    </w:p>
    <w:tbl>
      <w:tblPr>
        <w:tblStyle w:val="35"/>
        <w:tblW w:w="901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399"/>
        <w:gridCol w:w="1413"/>
        <w:gridCol w:w="1252"/>
        <w:gridCol w:w="831"/>
        <w:gridCol w:w="4119"/>
      </w:tblGrid>
      <w:tr w14:paraId="1E3BBB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399" w:type="dxa"/>
            <w:vAlign w:val="center"/>
          </w:tcPr>
          <w:p w14:paraId="38C58C68">
            <w:pPr>
              <w:pStyle w:val="36"/>
              <w:adjustRightInd w:val="0"/>
              <w:snapToGrid w:val="0"/>
              <w:ind w:firstLine="0" w:firstLineChars="0"/>
              <w:rPr>
                <w:rFonts w:hint="default" w:ascii="Times New Roman" w:hAnsi="Times New Roman" w:eastAsia="宋体" w:cs="Times New Roman"/>
                <w:b/>
                <w:color w:val="000000" w:themeColor="text1"/>
                <w:sz w:val="21"/>
                <w14:textFill>
                  <w14:solidFill>
                    <w14:schemeClr w14:val="tx1"/>
                  </w14:solidFill>
                </w14:textFill>
              </w:rPr>
            </w:pPr>
            <w:r>
              <w:rPr>
                <w:rFonts w:hint="default" w:ascii="Times New Roman" w:hAnsi="Times New Roman" w:eastAsia="宋体" w:cs="Times New Roman"/>
                <w:b/>
                <w:color w:val="000000" w:themeColor="text1"/>
                <w:sz w:val="21"/>
                <w14:textFill>
                  <w14:solidFill>
                    <w14:schemeClr w14:val="tx1"/>
                  </w14:solidFill>
                </w14:textFill>
              </w:rPr>
              <w:t>污染物名称</w:t>
            </w:r>
          </w:p>
        </w:tc>
        <w:tc>
          <w:tcPr>
            <w:tcW w:w="1413" w:type="dxa"/>
            <w:vAlign w:val="center"/>
          </w:tcPr>
          <w:p w14:paraId="18254D5D">
            <w:pPr>
              <w:pStyle w:val="36"/>
              <w:adjustRightInd w:val="0"/>
              <w:snapToGrid w:val="0"/>
              <w:ind w:firstLine="0" w:firstLineChars="0"/>
              <w:rPr>
                <w:rFonts w:hint="default" w:ascii="Times New Roman" w:hAnsi="Times New Roman" w:eastAsia="宋体" w:cs="Times New Roman"/>
                <w:b/>
                <w:color w:val="000000" w:themeColor="text1"/>
                <w:sz w:val="21"/>
                <w14:textFill>
                  <w14:solidFill>
                    <w14:schemeClr w14:val="tx1"/>
                  </w14:solidFill>
                </w14:textFill>
              </w:rPr>
            </w:pPr>
            <w:r>
              <w:rPr>
                <w:rFonts w:hint="default" w:ascii="Times New Roman" w:hAnsi="Times New Roman" w:eastAsia="宋体" w:cs="Times New Roman"/>
                <w:b/>
                <w:color w:val="000000" w:themeColor="text1"/>
                <w:sz w:val="21"/>
                <w14:textFill>
                  <w14:solidFill>
                    <w14:schemeClr w14:val="tx1"/>
                  </w14:solidFill>
                </w14:textFill>
              </w:rPr>
              <w:t>取值时间</w:t>
            </w:r>
          </w:p>
        </w:tc>
        <w:tc>
          <w:tcPr>
            <w:tcW w:w="1252" w:type="dxa"/>
            <w:vAlign w:val="center"/>
          </w:tcPr>
          <w:p w14:paraId="001CC32D">
            <w:pPr>
              <w:pStyle w:val="36"/>
              <w:adjustRightInd w:val="0"/>
              <w:snapToGrid w:val="0"/>
              <w:ind w:firstLine="0" w:firstLineChars="0"/>
              <w:rPr>
                <w:rFonts w:hint="default" w:ascii="Times New Roman" w:hAnsi="Times New Roman" w:eastAsia="宋体" w:cs="Times New Roman"/>
                <w:b/>
                <w:color w:val="000000" w:themeColor="text1"/>
                <w:sz w:val="21"/>
                <w14:textFill>
                  <w14:solidFill>
                    <w14:schemeClr w14:val="tx1"/>
                  </w14:solidFill>
                </w14:textFill>
              </w:rPr>
            </w:pPr>
            <w:r>
              <w:rPr>
                <w:rFonts w:hint="default" w:ascii="Times New Roman" w:hAnsi="Times New Roman" w:eastAsia="宋体" w:cs="Times New Roman"/>
                <w:b/>
                <w:color w:val="000000" w:themeColor="text1"/>
                <w:sz w:val="21"/>
                <w14:textFill>
                  <w14:solidFill>
                    <w14:schemeClr w14:val="tx1"/>
                  </w14:solidFill>
                </w14:textFill>
              </w:rPr>
              <w:t>浓度限值</w:t>
            </w:r>
          </w:p>
        </w:tc>
        <w:tc>
          <w:tcPr>
            <w:tcW w:w="831" w:type="dxa"/>
            <w:vAlign w:val="center"/>
          </w:tcPr>
          <w:p w14:paraId="6E842C98">
            <w:pPr>
              <w:pStyle w:val="36"/>
              <w:adjustRightInd w:val="0"/>
              <w:snapToGrid w:val="0"/>
              <w:ind w:firstLine="0" w:firstLineChars="0"/>
              <w:rPr>
                <w:rFonts w:hint="default" w:ascii="Times New Roman" w:hAnsi="Times New Roman" w:eastAsia="宋体" w:cs="Times New Roman"/>
                <w:b/>
                <w:color w:val="000000" w:themeColor="text1"/>
                <w:sz w:val="21"/>
                <w14:textFill>
                  <w14:solidFill>
                    <w14:schemeClr w14:val="tx1"/>
                  </w14:solidFill>
                </w14:textFill>
              </w:rPr>
            </w:pPr>
            <w:r>
              <w:rPr>
                <w:rFonts w:hint="default" w:ascii="Times New Roman" w:hAnsi="Times New Roman" w:eastAsia="宋体" w:cs="Times New Roman"/>
                <w:b/>
                <w:color w:val="000000" w:themeColor="text1"/>
                <w:sz w:val="21"/>
                <w14:textFill>
                  <w14:solidFill>
                    <w14:schemeClr w14:val="tx1"/>
                  </w14:solidFill>
                </w14:textFill>
              </w:rPr>
              <w:t>单位</w:t>
            </w:r>
          </w:p>
        </w:tc>
        <w:tc>
          <w:tcPr>
            <w:tcW w:w="4119" w:type="dxa"/>
            <w:vAlign w:val="center"/>
          </w:tcPr>
          <w:p w14:paraId="5063CB82">
            <w:pPr>
              <w:pStyle w:val="36"/>
              <w:adjustRightInd w:val="0"/>
              <w:snapToGrid w:val="0"/>
              <w:ind w:firstLine="0" w:firstLineChars="0"/>
              <w:rPr>
                <w:rFonts w:hint="default" w:ascii="Times New Roman" w:hAnsi="Times New Roman" w:eastAsia="宋体" w:cs="Times New Roman"/>
                <w:b/>
                <w:color w:val="000000" w:themeColor="text1"/>
                <w:sz w:val="21"/>
                <w14:textFill>
                  <w14:solidFill>
                    <w14:schemeClr w14:val="tx1"/>
                  </w14:solidFill>
                </w14:textFill>
              </w:rPr>
            </w:pPr>
            <w:r>
              <w:rPr>
                <w:rFonts w:hint="default" w:ascii="Times New Roman" w:hAnsi="Times New Roman" w:eastAsia="宋体" w:cs="Times New Roman"/>
                <w:b/>
                <w:color w:val="000000" w:themeColor="text1"/>
                <w:sz w:val="21"/>
                <w14:textFill>
                  <w14:solidFill>
                    <w14:schemeClr w14:val="tx1"/>
                  </w14:solidFill>
                </w14:textFill>
              </w:rPr>
              <w:t>标准来源</w:t>
            </w:r>
          </w:p>
        </w:tc>
      </w:tr>
      <w:tr w14:paraId="0264A2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399" w:type="dxa"/>
            <w:vMerge w:val="restart"/>
            <w:vAlign w:val="center"/>
          </w:tcPr>
          <w:p w14:paraId="2D1A38B6">
            <w:pPr>
              <w:pStyle w:val="36"/>
              <w:adjustRightInd w:val="0"/>
              <w:snapToGrid w:val="0"/>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SO</w:t>
            </w:r>
            <w:r>
              <w:rPr>
                <w:rFonts w:hint="default" w:ascii="Times New Roman" w:hAnsi="Times New Roman" w:eastAsia="宋体" w:cs="Times New Roman"/>
                <w:color w:val="000000" w:themeColor="text1"/>
                <w:sz w:val="21"/>
                <w:vertAlign w:val="subscript"/>
                <w14:textFill>
                  <w14:solidFill>
                    <w14:schemeClr w14:val="tx1"/>
                  </w14:solidFill>
                </w14:textFill>
              </w:rPr>
              <w:t>2</w:t>
            </w:r>
          </w:p>
        </w:tc>
        <w:tc>
          <w:tcPr>
            <w:tcW w:w="1413" w:type="dxa"/>
            <w:vAlign w:val="center"/>
          </w:tcPr>
          <w:p w14:paraId="62656F26">
            <w:pPr>
              <w:pStyle w:val="36"/>
              <w:adjustRightInd w:val="0"/>
              <w:snapToGrid w:val="0"/>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年均</w:t>
            </w:r>
          </w:p>
        </w:tc>
        <w:tc>
          <w:tcPr>
            <w:tcW w:w="1252" w:type="dxa"/>
            <w:vAlign w:val="center"/>
          </w:tcPr>
          <w:p w14:paraId="1021688B">
            <w:pPr>
              <w:pStyle w:val="36"/>
              <w:adjustRightInd w:val="0"/>
              <w:snapToGrid w:val="0"/>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60</w:t>
            </w:r>
          </w:p>
        </w:tc>
        <w:tc>
          <w:tcPr>
            <w:tcW w:w="831" w:type="dxa"/>
            <w:vMerge w:val="restart"/>
            <w:vAlign w:val="center"/>
          </w:tcPr>
          <w:p w14:paraId="40F8E34F">
            <w:pPr>
              <w:pStyle w:val="36"/>
              <w:adjustRightInd w:val="0"/>
              <w:snapToGrid w:val="0"/>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μg/m</w:t>
            </w:r>
            <w:r>
              <w:rPr>
                <w:rFonts w:hint="default" w:ascii="Times New Roman" w:hAnsi="Times New Roman" w:eastAsia="宋体" w:cs="Times New Roman"/>
                <w:color w:val="000000" w:themeColor="text1"/>
                <w:sz w:val="21"/>
                <w:vertAlign w:val="superscript"/>
                <w14:textFill>
                  <w14:solidFill>
                    <w14:schemeClr w14:val="tx1"/>
                  </w14:solidFill>
                </w14:textFill>
              </w:rPr>
              <w:t>3</w:t>
            </w:r>
          </w:p>
        </w:tc>
        <w:tc>
          <w:tcPr>
            <w:tcW w:w="4119" w:type="dxa"/>
            <w:vMerge w:val="restart"/>
            <w:vAlign w:val="center"/>
          </w:tcPr>
          <w:p w14:paraId="77B2C385">
            <w:pPr>
              <w:pStyle w:val="36"/>
              <w:adjustRightInd w:val="0"/>
              <w:snapToGrid w:val="0"/>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《环境空气质量标准》</w:t>
            </w:r>
          </w:p>
          <w:p w14:paraId="5F95C23C">
            <w:pPr>
              <w:pStyle w:val="36"/>
              <w:adjustRightInd w:val="0"/>
              <w:snapToGrid w:val="0"/>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pacing w:val="-1"/>
                <w:sz w:val="21"/>
                <w14:textFill>
                  <w14:solidFill>
                    <w14:schemeClr w14:val="tx1"/>
                  </w14:solidFill>
                </w14:textFill>
              </w:rPr>
              <w:t>（GB3095-2012）</w:t>
            </w:r>
            <w:r>
              <w:rPr>
                <w:rFonts w:hint="default" w:ascii="Times New Roman" w:hAnsi="Times New Roman" w:eastAsia="宋体" w:cs="Times New Roman"/>
                <w:color w:val="000000" w:themeColor="text1"/>
                <w:sz w:val="21"/>
                <w14:textFill>
                  <w14:solidFill>
                    <w14:schemeClr w14:val="tx1"/>
                  </w14:solidFill>
                </w14:textFill>
              </w:rPr>
              <w:t>二级标准及修改单</w:t>
            </w:r>
          </w:p>
        </w:tc>
      </w:tr>
      <w:tr w14:paraId="17D52D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399" w:type="dxa"/>
            <w:vMerge w:val="continue"/>
            <w:vAlign w:val="center"/>
          </w:tcPr>
          <w:p w14:paraId="69481083">
            <w:pPr>
              <w:adjustRightInd w:val="0"/>
              <w:snapToGrid w:val="0"/>
              <w:ind w:firstLine="0" w:firstLineChars="0"/>
              <w:jc w:val="center"/>
              <w:rPr>
                <w:rFonts w:hint="default" w:ascii="Times New Roman" w:hAnsi="Times New Roman" w:eastAsia="宋体" w:cs="Times New Roman"/>
                <w:color w:val="000000" w:themeColor="text1"/>
                <w:sz w:val="2"/>
                <w:szCs w:val="2"/>
                <w14:textFill>
                  <w14:solidFill>
                    <w14:schemeClr w14:val="tx1"/>
                  </w14:solidFill>
                </w14:textFill>
              </w:rPr>
            </w:pPr>
          </w:p>
        </w:tc>
        <w:tc>
          <w:tcPr>
            <w:tcW w:w="1413" w:type="dxa"/>
            <w:vAlign w:val="center"/>
          </w:tcPr>
          <w:p w14:paraId="4AFADE69">
            <w:pPr>
              <w:pStyle w:val="36"/>
              <w:adjustRightInd w:val="0"/>
              <w:snapToGrid w:val="0"/>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24小时平均</w:t>
            </w:r>
          </w:p>
        </w:tc>
        <w:tc>
          <w:tcPr>
            <w:tcW w:w="1252" w:type="dxa"/>
            <w:vAlign w:val="center"/>
          </w:tcPr>
          <w:p w14:paraId="0FFFD100">
            <w:pPr>
              <w:pStyle w:val="36"/>
              <w:adjustRightInd w:val="0"/>
              <w:snapToGrid w:val="0"/>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150</w:t>
            </w:r>
          </w:p>
        </w:tc>
        <w:tc>
          <w:tcPr>
            <w:tcW w:w="831" w:type="dxa"/>
            <w:vMerge w:val="continue"/>
            <w:vAlign w:val="center"/>
          </w:tcPr>
          <w:p w14:paraId="40086016">
            <w:pPr>
              <w:adjustRightInd w:val="0"/>
              <w:snapToGrid w:val="0"/>
              <w:ind w:firstLine="0" w:firstLineChars="0"/>
              <w:jc w:val="center"/>
              <w:rPr>
                <w:rFonts w:hint="default" w:ascii="Times New Roman" w:hAnsi="Times New Roman" w:eastAsia="宋体" w:cs="Times New Roman"/>
                <w:color w:val="000000" w:themeColor="text1"/>
                <w:sz w:val="2"/>
                <w:szCs w:val="2"/>
                <w14:textFill>
                  <w14:solidFill>
                    <w14:schemeClr w14:val="tx1"/>
                  </w14:solidFill>
                </w14:textFill>
              </w:rPr>
            </w:pPr>
          </w:p>
        </w:tc>
        <w:tc>
          <w:tcPr>
            <w:tcW w:w="4119" w:type="dxa"/>
            <w:vMerge w:val="continue"/>
            <w:vAlign w:val="center"/>
          </w:tcPr>
          <w:p w14:paraId="6AADE017">
            <w:pPr>
              <w:adjustRightInd w:val="0"/>
              <w:snapToGrid w:val="0"/>
              <w:ind w:firstLine="0" w:firstLineChars="0"/>
              <w:jc w:val="center"/>
              <w:rPr>
                <w:rFonts w:hint="default" w:ascii="Times New Roman" w:hAnsi="Times New Roman" w:eastAsia="宋体" w:cs="Times New Roman"/>
                <w:color w:val="000000" w:themeColor="text1"/>
                <w:sz w:val="2"/>
                <w:szCs w:val="2"/>
                <w14:textFill>
                  <w14:solidFill>
                    <w14:schemeClr w14:val="tx1"/>
                  </w14:solidFill>
                </w14:textFill>
              </w:rPr>
            </w:pPr>
          </w:p>
        </w:tc>
      </w:tr>
      <w:tr w14:paraId="0D44E8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399" w:type="dxa"/>
            <w:vMerge w:val="continue"/>
            <w:vAlign w:val="center"/>
          </w:tcPr>
          <w:p w14:paraId="26DBDC9B">
            <w:pPr>
              <w:adjustRightInd w:val="0"/>
              <w:snapToGrid w:val="0"/>
              <w:ind w:firstLine="0" w:firstLineChars="0"/>
              <w:jc w:val="center"/>
              <w:rPr>
                <w:rFonts w:hint="default" w:ascii="Times New Roman" w:hAnsi="Times New Roman" w:eastAsia="宋体" w:cs="Times New Roman"/>
                <w:color w:val="000000" w:themeColor="text1"/>
                <w:sz w:val="2"/>
                <w:szCs w:val="2"/>
                <w14:textFill>
                  <w14:solidFill>
                    <w14:schemeClr w14:val="tx1"/>
                  </w14:solidFill>
                </w14:textFill>
              </w:rPr>
            </w:pPr>
          </w:p>
        </w:tc>
        <w:tc>
          <w:tcPr>
            <w:tcW w:w="1413" w:type="dxa"/>
            <w:vAlign w:val="center"/>
          </w:tcPr>
          <w:p w14:paraId="24A356FC">
            <w:pPr>
              <w:pStyle w:val="36"/>
              <w:adjustRightInd w:val="0"/>
              <w:snapToGrid w:val="0"/>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小时平均</w:t>
            </w:r>
          </w:p>
        </w:tc>
        <w:tc>
          <w:tcPr>
            <w:tcW w:w="1252" w:type="dxa"/>
            <w:vAlign w:val="center"/>
          </w:tcPr>
          <w:p w14:paraId="52EE9696">
            <w:pPr>
              <w:pStyle w:val="36"/>
              <w:adjustRightInd w:val="0"/>
              <w:snapToGrid w:val="0"/>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500</w:t>
            </w:r>
          </w:p>
        </w:tc>
        <w:tc>
          <w:tcPr>
            <w:tcW w:w="831" w:type="dxa"/>
            <w:vMerge w:val="continue"/>
            <w:vAlign w:val="center"/>
          </w:tcPr>
          <w:p w14:paraId="6472D6EE">
            <w:pPr>
              <w:adjustRightInd w:val="0"/>
              <w:snapToGrid w:val="0"/>
              <w:ind w:firstLine="0" w:firstLineChars="0"/>
              <w:jc w:val="center"/>
              <w:rPr>
                <w:rFonts w:hint="default" w:ascii="Times New Roman" w:hAnsi="Times New Roman" w:eastAsia="宋体" w:cs="Times New Roman"/>
                <w:color w:val="000000" w:themeColor="text1"/>
                <w:sz w:val="2"/>
                <w:szCs w:val="2"/>
                <w14:textFill>
                  <w14:solidFill>
                    <w14:schemeClr w14:val="tx1"/>
                  </w14:solidFill>
                </w14:textFill>
              </w:rPr>
            </w:pPr>
          </w:p>
        </w:tc>
        <w:tc>
          <w:tcPr>
            <w:tcW w:w="4119" w:type="dxa"/>
            <w:vMerge w:val="continue"/>
            <w:vAlign w:val="center"/>
          </w:tcPr>
          <w:p w14:paraId="6CE55B20">
            <w:pPr>
              <w:adjustRightInd w:val="0"/>
              <w:snapToGrid w:val="0"/>
              <w:ind w:firstLine="0" w:firstLineChars="0"/>
              <w:jc w:val="center"/>
              <w:rPr>
                <w:rFonts w:hint="default" w:ascii="Times New Roman" w:hAnsi="Times New Roman" w:eastAsia="宋体" w:cs="Times New Roman"/>
                <w:color w:val="000000" w:themeColor="text1"/>
                <w:sz w:val="2"/>
                <w:szCs w:val="2"/>
                <w14:textFill>
                  <w14:solidFill>
                    <w14:schemeClr w14:val="tx1"/>
                  </w14:solidFill>
                </w14:textFill>
              </w:rPr>
            </w:pPr>
          </w:p>
        </w:tc>
      </w:tr>
      <w:tr w14:paraId="740069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399" w:type="dxa"/>
            <w:vMerge w:val="restart"/>
            <w:vAlign w:val="center"/>
          </w:tcPr>
          <w:p w14:paraId="17C60A40">
            <w:pPr>
              <w:pStyle w:val="36"/>
              <w:adjustRightInd w:val="0"/>
              <w:snapToGrid w:val="0"/>
              <w:ind w:firstLine="0" w:firstLineChars="0"/>
              <w:rPr>
                <w:rFonts w:hint="default" w:ascii="Times New Roman" w:hAnsi="Times New Roman" w:eastAsia="宋体" w:cs="Times New Roman"/>
                <w:color w:val="000000" w:themeColor="text1"/>
                <w:sz w:val="14"/>
                <w14:textFill>
                  <w14:solidFill>
                    <w14:schemeClr w14:val="tx1"/>
                  </w14:solidFill>
                </w14:textFill>
              </w:rPr>
            </w:pPr>
            <w:r>
              <w:rPr>
                <w:rFonts w:hint="default" w:ascii="Times New Roman" w:hAnsi="Times New Roman" w:eastAsia="宋体" w:cs="Times New Roman"/>
                <w:color w:val="000000" w:themeColor="text1"/>
                <w:position w:val="3"/>
                <w:sz w:val="21"/>
                <w14:textFill>
                  <w14:solidFill>
                    <w14:schemeClr w14:val="tx1"/>
                  </w14:solidFill>
                </w14:textFill>
              </w:rPr>
              <w:t>PM</w:t>
            </w:r>
            <w:r>
              <w:rPr>
                <w:rFonts w:hint="default" w:ascii="Times New Roman" w:hAnsi="Times New Roman" w:eastAsia="宋体" w:cs="Times New Roman"/>
                <w:color w:val="000000" w:themeColor="text1"/>
                <w:sz w:val="14"/>
                <w14:textFill>
                  <w14:solidFill>
                    <w14:schemeClr w14:val="tx1"/>
                  </w14:solidFill>
                </w14:textFill>
              </w:rPr>
              <w:t>2.5</w:t>
            </w:r>
          </w:p>
        </w:tc>
        <w:tc>
          <w:tcPr>
            <w:tcW w:w="1413" w:type="dxa"/>
            <w:vAlign w:val="center"/>
          </w:tcPr>
          <w:p w14:paraId="7DA0AAA4">
            <w:pPr>
              <w:pStyle w:val="36"/>
              <w:adjustRightInd w:val="0"/>
              <w:snapToGrid w:val="0"/>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年均</w:t>
            </w:r>
          </w:p>
        </w:tc>
        <w:tc>
          <w:tcPr>
            <w:tcW w:w="1252" w:type="dxa"/>
            <w:vAlign w:val="center"/>
          </w:tcPr>
          <w:p w14:paraId="2BC1CE36">
            <w:pPr>
              <w:pStyle w:val="36"/>
              <w:adjustRightInd w:val="0"/>
              <w:snapToGrid w:val="0"/>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35</w:t>
            </w:r>
          </w:p>
        </w:tc>
        <w:tc>
          <w:tcPr>
            <w:tcW w:w="831" w:type="dxa"/>
            <w:vMerge w:val="continue"/>
            <w:vAlign w:val="center"/>
          </w:tcPr>
          <w:p w14:paraId="03E04AD3">
            <w:pPr>
              <w:adjustRightInd w:val="0"/>
              <w:snapToGrid w:val="0"/>
              <w:ind w:firstLine="0" w:firstLineChars="0"/>
              <w:jc w:val="center"/>
              <w:rPr>
                <w:rFonts w:hint="default" w:ascii="Times New Roman" w:hAnsi="Times New Roman" w:eastAsia="宋体" w:cs="Times New Roman"/>
                <w:color w:val="000000" w:themeColor="text1"/>
                <w:sz w:val="2"/>
                <w:szCs w:val="2"/>
                <w14:textFill>
                  <w14:solidFill>
                    <w14:schemeClr w14:val="tx1"/>
                  </w14:solidFill>
                </w14:textFill>
              </w:rPr>
            </w:pPr>
          </w:p>
        </w:tc>
        <w:tc>
          <w:tcPr>
            <w:tcW w:w="4119" w:type="dxa"/>
            <w:vMerge w:val="continue"/>
            <w:vAlign w:val="center"/>
          </w:tcPr>
          <w:p w14:paraId="2A31FC70">
            <w:pPr>
              <w:adjustRightInd w:val="0"/>
              <w:snapToGrid w:val="0"/>
              <w:ind w:firstLine="0" w:firstLineChars="0"/>
              <w:jc w:val="center"/>
              <w:rPr>
                <w:rFonts w:hint="default" w:ascii="Times New Roman" w:hAnsi="Times New Roman" w:eastAsia="宋体" w:cs="Times New Roman"/>
                <w:color w:val="000000" w:themeColor="text1"/>
                <w:sz w:val="2"/>
                <w:szCs w:val="2"/>
                <w14:textFill>
                  <w14:solidFill>
                    <w14:schemeClr w14:val="tx1"/>
                  </w14:solidFill>
                </w14:textFill>
              </w:rPr>
            </w:pPr>
          </w:p>
        </w:tc>
      </w:tr>
      <w:tr w14:paraId="00FD02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399" w:type="dxa"/>
            <w:vMerge w:val="continue"/>
            <w:vAlign w:val="center"/>
          </w:tcPr>
          <w:p w14:paraId="32D678C8">
            <w:pPr>
              <w:adjustRightInd w:val="0"/>
              <w:snapToGrid w:val="0"/>
              <w:ind w:firstLine="0" w:firstLineChars="0"/>
              <w:jc w:val="center"/>
              <w:rPr>
                <w:rFonts w:hint="default" w:ascii="Times New Roman" w:hAnsi="Times New Roman" w:eastAsia="宋体" w:cs="Times New Roman"/>
                <w:color w:val="000000" w:themeColor="text1"/>
                <w:sz w:val="2"/>
                <w:szCs w:val="2"/>
                <w14:textFill>
                  <w14:solidFill>
                    <w14:schemeClr w14:val="tx1"/>
                  </w14:solidFill>
                </w14:textFill>
              </w:rPr>
            </w:pPr>
          </w:p>
        </w:tc>
        <w:tc>
          <w:tcPr>
            <w:tcW w:w="1413" w:type="dxa"/>
            <w:vAlign w:val="center"/>
          </w:tcPr>
          <w:p w14:paraId="564F5BFB">
            <w:pPr>
              <w:pStyle w:val="36"/>
              <w:adjustRightInd w:val="0"/>
              <w:snapToGrid w:val="0"/>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24小时平均</w:t>
            </w:r>
          </w:p>
        </w:tc>
        <w:tc>
          <w:tcPr>
            <w:tcW w:w="1252" w:type="dxa"/>
            <w:vAlign w:val="center"/>
          </w:tcPr>
          <w:p w14:paraId="11DBAEAF">
            <w:pPr>
              <w:pStyle w:val="36"/>
              <w:adjustRightInd w:val="0"/>
              <w:snapToGrid w:val="0"/>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75</w:t>
            </w:r>
          </w:p>
        </w:tc>
        <w:tc>
          <w:tcPr>
            <w:tcW w:w="831" w:type="dxa"/>
            <w:vMerge w:val="continue"/>
            <w:vAlign w:val="center"/>
          </w:tcPr>
          <w:p w14:paraId="25AAFF5D">
            <w:pPr>
              <w:adjustRightInd w:val="0"/>
              <w:snapToGrid w:val="0"/>
              <w:ind w:firstLine="0" w:firstLineChars="0"/>
              <w:jc w:val="center"/>
              <w:rPr>
                <w:rFonts w:hint="default" w:ascii="Times New Roman" w:hAnsi="Times New Roman" w:eastAsia="宋体" w:cs="Times New Roman"/>
                <w:color w:val="000000" w:themeColor="text1"/>
                <w:sz w:val="2"/>
                <w:szCs w:val="2"/>
                <w14:textFill>
                  <w14:solidFill>
                    <w14:schemeClr w14:val="tx1"/>
                  </w14:solidFill>
                </w14:textFill>
              </w:rPr>
            </w:pPr>
          </w:p>
        </w:tc>
        <w:tc>
          <w:tcPr>
            <w:tcW w:w="4119" w:type="dxa"/>
            <w:vMerge w:val="continue"/>
            <w:vAlign w:val="center"/>
          </w:tcPr>
          <w:p w14:paraId="02218D38">
            <w:pPr>
              <w:adjustRightInd w:val="0"/>
              <w:snapToGrid w:val="0"/>
              <w:ind w:firstLine="0" w:firstLineChars="0"/>
              <w:jc w:val="center"/>
              <w:rPr>
                <w:rFonts w:hint="default" w:ascii="Times New Roman" w:hAnsi="Times New Roman" w:eastAsia="宋体" w:cs="Times New Roman"/>
                <w:color w:val="000000" w:themeColor="text1"/>
                <w:sz w:val="2"/>
                <w:szCs w:val="2"/>
                <w14:textFill>
                  <w14:solidFill>
                    <w14:schemeClr w14:val="tx1"/>
                  </w14:solidFill>
                </w14:textFill>
              </w:rPr>
            </w:pPr>
          </w:p>
        </w:tc>
      </w:tr>
      <w:tr w14:paraId="0AC610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399" w:type="dxa"/>
            <w:vMerge w:val="restart"/>
            <w:vAlign w:val="center"/>
          </w:tcPr>
          <w:p w14:paraId="6BF60DBA">
            <w:pPr>
              <w:pStyle w:val="36"/>
              <w:adjustRightInd w:val="0"/>
              <w:snapToGrid w:val="0"/>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PM</w:t>
            </w:r>
            <w:r>
              <w:rPr>
                <w:rFonts w:hint="default" w:ascii="Times New Roman" w:hAnsi="Times New Roman" w:eastAsia="宋体" w:cs="Times New Roman"/>
                <w:color w:val="000000" w:themeColor="text1"/>
                <w:sz w:val="21"/>
                <w:vertAlign w:val="subscript"/>
                <w14:textFill>
                  <w14:solidFill>
                    <w14:schemeClr w14:val="tx1"/>
                  </w14:solidFill>
                </w14:textFill>
              </w:rPr>
              <w:t>10</w:t>
            </w:r>
          </w:p>
        </w:tc>
        <w:tc>
          <w:tcPr>
            <w:tcW w:w="1413" w:type="dxa"/>
            <w:vAlign w:val="center"/>
          </w:tcPr>
          <w:p w14:paraId="25AD5AB2">
            <w:pPr>
              <w:pStyle w:val="36"/>
              <w:adjustRightInd w:val="0"/>
              <w:snapToGrid w:val="0"/>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年均</w:t>
            </w:r>
          </w:p>
        </w:tc>
        <w:tc>
          <w:tcPr>
            <w:tcW w:w="1252" w:type="dxa"/>
            <w:vAlign w:val="center"/>
          </w:tcPr>
          <w:p w14:paraId="0BDA2622">
            <w:pPr>
              <w:pStyle w:val="36"/>
              <w:adjustRightInd w:val="0"/>
              <w:snapToGrid w:val="0"/>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70</w:t>
            </w:r>
          </w:p>
        </w:tc>
        <w:tc>
          <w:tcPr>
            <w:tcW w:w="831" w:type="dxa"/>
            <w:vMerge w:val="continue"/>
            <w:vAlign w:val="center"/>
          </w:tcPr>
          <w:p w14:paraId="0CE02719">
            <w:pPr>
              <w:adjustRightInd w:val="0"/>
              <w:snapToGrid w:val="0"/>
              <w:ind w:firstLine="0" w:firstLineChars="0"/>
              <w:jc w:val="center"/>
              <w:rPr>
                <w:rFonts w:hint="default" w:ascii="Times New Roman" w:hAnsi="Times New Roman" w:eastAsia="宋体" w:cs="Times New Roman"/>
                <w:color w:val="000000" w:themeColor="text1"/>
                <w:sz w:val="2"/>
                <w:szCs w:val="2"/>
                <w14:textFill>
                  <w14:solidFill>
                    <w14:schemeClr w14:val="tx1"/>
                  </w14:solidFill>
                </w14:textFill>
              </w:rPr>
            </w:pPr>
          </w:p>
        </w:tc>
        <w:tc>
          <w:tcPr>
            <w:tcW w:w="4119" w:type="dxa"/>
            <w:vMerge w:val="continue"/>
            <w:vAlign w:val="center"/>
          </w:tcPr>
          <w:p w14:paraId="08C5043C">
            <w:pPr>
              <w:adjustRightInd w:val="0"/>
              <w:snapToGrid w:val="0"/>
              <w:ind w:firstLine="0" w:firstLineChars="0"/>
              <w:jc w:val="center"/>
              <w:rPr>
                <w:rFonts w:hint="default" w:ascii="Times New Roman" w:hAnsi="Times New Roman" w:eastAsia="宋体" w:cs="Times New Roman"/>
                <w:color w:val="000000" w:themeColor="text1"/>
                <w:sz w:val="2"/>
                <w:szCs w:val="2"/>
                <w14:textFill>
                  <w14:solidFill>
                    <w14:schemeClr w14:val="tx1"/>
                  </w14:solidFill>
                </w14:textFill>
              </w:rPr>
            </w:pPr>
          </w:p>
        </w:tc>
      </w:tr>
      <w:tr w14:paraId="5E5F1C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399" w:type="dxa"/>
            <w:vMerge w:val="continue"/>
            <w:vAlign w:val="center"/>
          </w:tcPr>
          <w:p w14:paraId="172831AF">
            <w:pPr>
              <w:adjustRightInd w:val="0"/>
              <w:snapToGrid w:val="0"/>
              <w:ind w:firstLine="0" w:firstLineChars="0"/>
              <w:jc w:val="center"/>
              <w:rPr>
                <w:rFonts w:hint="default" w:ascii="Times New Roman" w:hAnsi="Times New Roman" w:eastAsia="宋体" w:cs="Times New Roman"/>
                <w:color w:val="000000" w:themeColor="text1"/>
                <w:sz w:val="2"/>
                <w:szCs w:val="2"/>
                <w14:textFill>
                  <w14:solidFill>
                    <w14:schemeClr w14:val="tx1"/>
                  </w14:solidFill>
                </w14:textFill>
              </w:rPr>
            </w:pPr>
          </w:p>
        </w:tc>
        <w:tc>
          <w:tcPr>
            <w:tcW w:w="1413" w:type="dxa"/>
            <w:vAlign w:val="center"/>
          </w:tcPr>
          <w:p w14:paraId="4591DE10">
            <w:pPr>
              <w:pStyle w:val="36"/>
              <w:adjustRightInd w:val="0"/>
              <w:snapToGrid w:val="0"/>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24小时平均</w:t>
            </w:r>
          </w:p>
        </w:tc>
        <w:tc>
          <w:tcPr>
            <w:tcW w:w="1252" w:type="dxa"/>
            <w:vAlign w:val="center"/>
          </w:tcPr>
          <w:p w14:paraId="3A922400">
            <w:pPr>
              <w:pStyle w:val="36"/>
              <w:adjustRightInd w:val="0"/>
              <w:snapToGrid w:val="0"/>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150</w:t>
            </w:r>
          </w:p>
        </w:tc>
        <w:tc>
          <w:tcPr>
            <w:tcW w:w="831" w:type="dxa"/>
            <w:vMerge w:val="continue"/>
            <w:vAlign w:val="center"/>
          </w:tcPr>
          <w:p w14:paraId="23258DF7">
            <w:pPr>
              <w:adjustRightInd w:val="0"/>
              <w:snapToGrid w:val="0"/>
              <w:ind w:firstLine="0" w:firstLineChars="0"/>
              <w:jc w:val="center"/>
              <w:rPr>
                <w:rFonts w:hint="default" w:ascii="Times New Roman" w:hAnsi="Times New Roman" w:eastAsia="宋体" w:cs="Times New Roman"/>
                <w:color w:val="000000" w:themeColor="text1"/>
                <w:sz w:val="2"/>
                <w:szCs w:val="2"/>
                <w14:textFill>
                  <w14:solidFill>
                    <w14:schemeClr w14:val="tx1"/>
                  </w14:solidFill>
                </w14:textFill>
              </w:rPr>
            </w:pPr>
          </w:p>
        </w:tc>
        <w:tc>
          <w:tcPr>
            <w:tcW w:w="4119" w:type="dxa"/>
            <w:vMerge w:val="continue"/>
            <w:vAlign w:val="center"/>
          </w:tcPr>
          <w:p w14:paraId="32FC2CBD">
            <w:pPr>
              <w:adjustRightInd w:val="0"/>
              <w:snapToGrid w:val="0"/>
              <w:ind w:firstLine="0" w:firstLineChars="0"/>
              <w:jc w:val="center"/>
              <w:rPr>
                <w:rFonts w:hint="default" w:ascii="Times New Roman" w:hAnsi="Times New Roman" w:eastAsia="宋体" w:cs="Times New Roman"/>
                <w:color w:val="000000" w:themeColor="text1"/>
                <w:sz w:val="2"/>
                <w:szCs w:val="2"/>
                <w14:textFill>
                  <w14:solidFill>
                    <w14:schemeClr w14:val="tx1"/>
                  </w14:solidFill>
                </w14:textFill>
              </w:rPr>
            </w:pPr>
          </w:p>
        </w:tc>
      </w:tr>
      <w:tr w14:paraId="1A5EAE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399" w:type="dxa"/>
            <w:vMerge w:val="restart"/>
            <w:vAlign w:val="center"/>
          </w:tcPr>
          <w:p w14:paraId="7A5406DD">
            <w:pPr>
              <w:pStyle w:val="36"/>
              <w:adjustRightInd w:val="0"/>
              <w:snapToGrid w:val="0"/>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NO</w:t>
            </w:r>
            <w:r>
              <w:rPr>
                <w:rFonts w:hint="default" w:ascii="Times New Roman" w:hAnsi="Times New Roman" w:eastAsia="宋体" w:cs="Times New Roman"/>
                <w:color w:val="000000" w:themeColor="text1"/>
                <w:sz w:val="21"/>
                <w:vertAlign w:val="subscript"/>
                <w14:textFill>
                  <w14:solidFill>
                    <w14:schemeClr w14:val="tx1"/>
                  </w14:solidFill>
                </w14:textFill>
              </w:rPr>
              <w:t>2</w:t>
            </w:r>
          </w:p>
        </w:tc>
        <w:tc>
          <w:tcPr>
            <w:tcW w:w="1413" w:type="dxa"/>
            <w:vAlign w:val="center"/>
          </w:tcPr>
          <w:p w14:paraId="13DD3B26">
            <w:pPr>
              <w:pStyle w:val="36"/>
              <w:adjustRightInd w:val="0"/>
              <w:snapToGrid w:val="0"/>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年均</w:t>
            </w:r>
          </w:p>
        </w:tc>
        <w:tc>
          <w:tcPr>
            <w:tcW w:w="1252" w:type="dxa"/>
            <w:vAlign w:val="center"/>
          </w:tcPr>
          <w:p w14:paraId="4D65029A">
            <w:pPr>
              <w:pStyle w:val="36"/>
              <w:adjustRightInd w:val="0"/>
              <w:snapToGrid w:val="0"/>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40</w:t>
            </w:r>
          </w:p>
        </w:tc>
        <w:tc>
          <w:tcPr>
            <w:tcW w:w="831" w:type="dxa"/>
            <w:vMerge w:val="continue"/>
            <w:vAlign w:val="center"/>
          </w:tcPr>
          <w:p w14:paraId="33EB1D8A">
            <w:pPr>
              <w:adjustRightInd w:val="0"/>
              <w:snapToGrid w:val="0"/>
              <w:ind w:firstLine="0" w:firstLineChars="0"/>
              <w:jc w:val="center"/>
              <w:rPr>
                <w:rFonts w:hint="default" w:ascii="Times New Roman" w:hAnsi="Times New Roman" w:eastAsia="宋体" w:cs="Times New Roman"/>
                <w:color w:val="000000" w:themeColor="text1"/>
                <w:sz w:val="2"/>
                <w:szCs w:val="2"/>
                <w14:textFill>
                  <w14:solidFill>
                    <w14:schemeClr w14:val="tx1"/>
                  </w14:solidFill>
                </w14:textFill>
              </w:rPr>
            </w:pPr>
          </w:p>
        </w:tc>
        <w:tc>
          <w:tcPr>
            <w:tcW w:w="4119" w:type="dxa"/>
            <w:vMerge w:val="continue"/>
            <w:vAlign w:val="center"/>
          </w:tcPr>
          <w:p w14:paraId="51A7B4E9">
            <w:pPr>
              <w:adjustRightInd w:val="0"/>
              <w:snapToGrid w:val="0"/>
              <w:ind w:firstLine="0" w:firstLineChars="0"/>
              <w:jc w:val="center"/>
              <w:rPr>
                <w:rFonts w:hint="default" w:ascii="Times New Roman" w:hAnsi="Times New Roman" w:eastAsia="宋体" w:cs="Times New Roman"/>
                <w:color w:val="000000" w:themeColor="text1"/>
                <w:sz w:val="2"/>
                <w:szCs w:val="2"/>
                <w14:textFill>
                  <w14:solidFill>
                    <w14:schemeClr w14:val="tx1"/>
                  </w14:solidFill>
                </w14:textFill>
              </w:rPr>
            </w:pPr>
          </w:p>
        </w:tc>
      </w:tr>
      <w:tr w14:paraId="4FF623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399" w:type="dxa"/>
            <w:vMerge w:val="continue"/>
            <w:vAlign w:val="center"/>
          </w:tcPr>
          <w:p w14:paraId="2F18B41D">
            <w:pPr>
              <w:adjustRightInd w:val="0"/>
              <w:snapToGrid w:val="0"/>
              <w:ind w:firstLine="0" w:firstLineChars="0"/>
              <w:jc w:val="center"/>
              <w:rPr>
                <w:rFonts w:hint="default" w:ascii="Times New Roman" w:hAnsi="Times New Roman" w:eastAsia="宋体" w:cs="Times New Roman"/>
                <w:color w:val="000000" w:themeColor="text1"/>
                <w:sz w:val="2"/>
                <w:szCs w:val="2"/>
                <w14:textFill>
                  <w14:solidFill>
                    <w14:schemeClr w14:val="tx1"/>
                  </w14:solidFill>
                </w14:textFill>
              </w:rPr>
            </w:pPr>
          </w:p>
        </w:tc>
        <w:tc>
          <w:tcPr>
            <w:tcW w:w="1413" w:type="dxa"/>
            <w:vAlign w:val="center"/>
          </w:tcPr>
          <w:p w14:paraId="2F863E09">
            <w:pPr>
              <w:pStyle w:val="36"/>
              <w:adjustRightInd w:val="0"/>
              <w:snapToGrid w:val="0"/>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24小时平均</w:t>
            </w:r>
          </w:p>
        </w:tc>
        <w:tc>
          <w:tcPr>
            <w:tcW w:w="1252" w:type="dxa"/>
            <w:vAlign w:val="center"/>
          </w:tcPr>
          <w:p w14:paraId="683F7CF0">
            <w:pPr>
              <w:pStyle w:val="36"/>
              <w:adjustRightInd w:val="0"/>
              <w:snapToGrid w:val="0"/>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80</w:t>
            </w:r>
          </w:p>
        </w:tc>
        <w:tc>
          <w:tcPr>
            <w:tcW w:w="831" w:type="dxa"/>
            <w:vMerge w:val="continue"/>
            <w:vAlign w:val="center"/>
          </w:tcPr>
          <w:p w14:paraId="0C117C30">
            <w:pPr>
              <w:adjustRightInd w:val="0"/>
              <w:snapToGrid w:val="0"/>
              <w:ind w:firstLine="0" w:firstLineChars="0"/>
              <w:jc w:val="center"/>
              <w:rPr>
                <w:rFonts w:hint="default" w:ascii="Times New Roman" w:hAnsi="Times New Roman" w:eastAsia="宋体" w:cs="Times New Roman"/>
                <w:color w:val="000000" w:themeColor="text1"/>
                <w:sz w:val="2"/>
                <w:szCs w:val="2"/>
                <w14:textFill>
                  <w14:solidFill>
                    <w14:schemeClr w14:val="tx1"/>
                  </w14:solidFill>
                </w14:textFill>
              </w:rPr>
            </w:pPr>
          </w:p>
        </w:tc>
        <w:tc>
          <w:tcPr>
            <w:tcW w:w="4119" w:type="dxa"/>
            <w:vMerge w:val="continue"/>
            <w:vAlign w:val="center"/>
          </w:tcPr>
          <w:p w14:paraId="437CEC56">
            <w:pPr>
              <w:adjustRightInd w:val="0"/>
              <w:snapToGrid w:val="0"/>
              <w:ind w:firstLine="0" w:firstLineChars="0"/>
              <w:jc w:val="center"/>
              <w:rPr>
                <w:rFonts w:hint="default" w:ascii="Times New Roman" w:hAnsi="Times New Roman" w:eastAsia="宋体" w:cs="Times New Roman"/>
                <w:color w:val="000000" w:themeColor="text1"/>
                <w:sz w:val="2"/>
                <w:szCs w:val="2"/>
                <w14:textFill>
                  <w14:solidFill>
                    <w14:schemeClr w14:val="tx1"/>
                  </w14:solidFill>
                </w14:textFill>
              </w:rPr>
            </w:pPr>
          </w:p>
        </w:tc>
      </w:tr>
      <w:tr w14:paraId="6B2CBA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399" w:type="dxa"/>
            <w:vMerge w:val="continue"/>
            <w:vAlign w:val="center"/>
          </w:tcPr>
          <w:p w14:paraId="63A7D633">
            <w:pPr>
              <w:adjustRightInd w:val="0"/>
              <w:snapToGrid w:val="0"/>
              <w:ind w:firstLine="0" w:firstLineChars="0"/>
              <w:jc w:val="center"/>
              <w:rPr>
                <w:rFonts w:hint="default" w:ascii="Times New Roman" w:hAnsi="Times New Roman" w:eastAsia="宋体" w:cs="Times New Roman"/>
                <w:color w:val="000000" w:themeColor="text1"/>
                <w:sz w:val="2"/>
                <w:szCs w:val="2"/>
                <w14:textFill>
                  <w14:solidFill>
                    <w14:schemeClr w14:val="tx1"/>
                  </w14:solidFill>
                </w14:textFill>
              </w:rPr>
            </w:pPr>
          </w:p>
        </w:tc>
        <w:tc>
          <w:tcPr>
            <w:tcW w:w="1413" w:type="dxa"/>
            <w:vAlign w:val="center"/>
          </w:tcPr>
          <w:p w14:paraId="070F6FE6">
            <w:pPr>
              <w:pStyle w:val="36"/>
              <w:adjustRightInd w:val="0"/>
              <w:snapToGrid w:val="0"/>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小时平均</w:t>
            </w:r>
          </w:p>
        </w:tc>
        <w:tc>
          <w:tcPr>
            <w:tcW w:w="1252" w:type="dxa"/>
            <w:vAlign w:val="center"/>
          </w:tcPr>
          <w:p w14:paraId="5C51CB82">
            <w:pPr>
              <w:pStyle w:val="36"/>
              <w:adjustRightInd w:val="0"/>
              <w:snapToGrid w:val="0"/>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200</w:t>
            </w:r>
          </w:p>
        </w:tc>
        <w:tc>
          <w:tcPr>
            <w:tcW w:w="831" w:type="dxa"/>
            <w:vMerge w:val="continue"/>
            <w:vAlign w:val="center"/>
          </w:tcPr>
          <w:p w14:paraId="17C149E5">
            <w:pPr>
              <w:adjustRightInd w:val="0"/>
              <w:snapToGrid w:val="0"/>
              <w:ind w:firstLine="0" w:firstLineChars="0"/>
              <w:jc w:val="center"/>
              <w:rPr>
                <w:rFonts w:hint="default" w:ascii="Times New Roman" w:hAnsi="Times New Roman" w:eastAsia="宋体" w:cs="Times New Roman"/>
                <w:color w:val="000000" w:themeColor="text1"/>
                <w:sz w:val="2"/>
                <w:szCs w:val="2"/>
                <w14:textFill>
                  <w14:solidFill>
                    <w14:schemeClr w14:val="tx1"/>
                  </w14:solidFill>
                </w14:textFill>
              </w:rPr>
            </w:pPr>
          </w:p>
        </w:tc>
        <w:tc>
          <w:tcPr>
            <w:tcW w:w="4119" w:type="dxa"/>
            <w:vMerge w:val="continue"/>
            <w:vAlign w:val="center"/>
          </w:tcPr>
          <w:p w14:paraId="78EFA05A">
            <w:pPr>
              <w:adjustRightInd w:val="0"/>
              <w:snapToGrid w:val="0"/>
              <w:ind w:firstLine="0" w:firstLineChars="0"/>
              <w:jc w:val="center"/>
              <w:rPr>
                <w:rFonts w:hint="default" w:ascii="Times New Roman" w:hAnsi="Times New Roman" w:eastAsia="宋体" w:cs="Times New Roman"/>
                <w:color w:val="000000" w:themeColor="text1"/>
                <w:sz w:val="2"/>
                <w:szCs w:val="2"/>
                <w14:textFill>
                  <w14:solidFill>
                    <w14:schemeClr w14:val="tx1"/>
                  </w14:solidFill>
                </w14:textFill>
              </w:rPr>
            </w:pPr>
          </w:p>
        </w:tc>
      </w:tr>
      <w:tr w14:paraId="4018E6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399" w:type="dxa"/>
            <w:vMerge w:val="restart"/>
            <w:vAlign w:val="center"/>
          </w:tcPr>
          <w:p w14:paraId="4F5CAF67">
            <w:pPr>
              <w:pStyle w:val="36"/>
              <w:adjustRightInd w:val="0"/>
              <w:snapToGrid w:val="0"/>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CO</w:t>
            </w:r>
          </w:p>
        </w:tc>
        <w:tc>
          <w:tcPr>
            <w:tcW w:w="1413" w:type="dxa"/>
            <w:vAlign w:val="center"/>
          </w:tcPr>
          <w:p w14:paraId="721BDE6D">
            <w:pPr>
              <w:pStyle w:val="36"/>
              <w:adjustRightInd w:val="0"/>
              <w:snapToGrid w:val="0"/>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24小时平均</w:t>
            </w:r>
          </w:p>
        </w:tc>
        <w:tc>
          <w:tcPr>
            <w:tcW w:w="1252" w:type="dxa"/>
            <w:vAlign w:val="center"/>
          </w:tcPr>
          <w:p w14:paraId="1BD32CFE">
            <w:pPr>
              <w:pStyle w:val="36"/>
              <w:adjustRightInd w:val="0"/>
              <w:snapToGrid w:val="0"/>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4</w:t>
            </w:r>
          </w:p>
        </w:tc>
        <w:tc>
          <w:tcPr>
            <w:tcW w:w="831" w:type="dxa"/>
            <w:vMerge w:val="restart"/>
            <w:vAlign w:val="center"/>
          </w:tcPr>
          <w:p w14:paraId="68C9D9BB">
            <w:pPr>
              <w:pStyle w:val="36"/>
              <w:adjustRightInd w:val="0"/>
              <w:snapToGrid w:val="0"/>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mg/m</w:t>
            </w:r>
            <w:r>
              <w:rPr>
                <w:rFonts w:hint="default" w:ascii="Times New Roman" w:hAnsi="Times New Roman" w:eastAsia="宋体" w:cs="Times New Roman"/>
                <w:color w:val="000000" w:themeColor="text1"/>
                <w:sz w:val="21"/>
                <w:vertAlign w:val="superscript"/>
                <w14:textFill>
                  <w14:solidFill>
                    <w14:schemeClr w14:val="tx1"/>
                  </w14:solidFill>
                </w14:textFill>
              </w:rPr>
              <w:t>3</w:t>
            </w:r>
          </w:p>
        </w:tc>
        <w:tc>
          <w:tcPr>
            <w:tcW w:w="4119" w:type="dxa"/>
            <w:vMerge w:val="continue"/>
            <w:vAlign w:val="center"/>
          </w:tcPr>
          <w:p w14:paraId="735875E7">
            <w:pPr>
              <w:adjustRightInd w:val="0"/>
              <w:snapToGrid w:val="0"/>
              <w:ind w:firstLine="0" w:firstLineChars="0"/>
              <w:jc w:val="center"/>
              <w:rPr>
                <w:rFonts w:hint="default" w:ascii="Times New Roman" w:hAnsi="Times New Roman" w:eastAsia="宋体" w:cs="Times New Roman"/>
                <w:color w:val="000000" w:themeColor="text1"/>
                <w:sz w:val="2"/>
                <w:szCs w:val="2"/>
                <w14:textFill>
                  <w14:solidFill>
                    <w14:schemeClr w14:val="tx1"/>
                  </w14:solidFill>
                </w14:textFill>
              </w:rPr>
            </w:pPr>
          </w:p>
        </w:tc>
      </w:tr>
      <w:tr w14:paraId="0ED135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399" w:type="dxa"/>
            <w:vMerge w:val="continue"/>
            <w:vAlign w:val="center"/>
          </w:tcPr>
          <w:p w14:paraId="5F990CB8">
            <w:pPr>
              <w:adjustRightInd w:val="0"/>
              <w:snapToGrid w:val="0"/>
              <w:ind w:firstLine="0" w:firstLineChars="0"/>
              <w:jc w:val="center"/>
              <w:rPr>
                <w:rFonts w:hint="default" w:ascii="Times New Roman" w:hAnsi="Times New Roman" w:eastAsia="宋体" w:cs="Times New Roman"/>
                <w:color w:val="000000" w:themeColor="text1"/>
                <w:sz w:val="2"/>
                <w:szCs w:val="2"/>
                <w14:textFill>
                  <w14:solidFill>
                    <w14:schemeClr w14:val="tx1"/>
                  </w14:solidFill>
                </w14:textFill>
              </w:rPr>
            </w:pPr>
          </w:p>
        </w:tc>
        <w:tc>
          <w:tcPr>
            <w:tcW w:w="1413" w:type="dxa"/>
            <w:vAlign w:val="center"/>
          </w:tcPr>
          <w:p w14:paraId="2313309E">
            <w:pPr>
              <w:pStyle w:val="36"/>
              <w:adjustRightInd w:val="0"/>
              <w:snapToGrid w:val="0"/>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小时平均</w:t>
            </w:r>
          </w:p>
        </w:tc>
        <w:tc>
          <w:tcPr>
            <w:tcW w:w="1252" w:type="dxa"/>
            <w:vAlign w:val="center"/>
          </w:tcPr>
          <w:p w14:paraId="65734A03">
            <w:pPr>
              <w:pStyle w:val="36"/>
              <w:adjustRightInd w:val="0"/>
              <w:snapToGrid w:val="0"/>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10</w:t>
            </w:r>
          </w:p>
        </w:tc>
        <w:tc>
          <w:tcPr>
            <w:tcW w:w="831" w:type="dxa"/>
            <w:vMerge w:val="continue"/>
            <w:vAlign w:val="center"/>
          </w:tcPr>
          <w:p w14:paraId="7F44AE18">
            <w:pPr>
              <w:adjustRightInd w:val="0"/>
              <w:snapToGrid w:val="0"/>
              <w:ind w:firstLine="0" w:firstLineChars="0"/>
              <w:jc w:val="center"/>
              <w:rPr>
                <w:rFonts w:hint="default" w:ascii="Times New Roman" w:hAnsi="Times New Roman" w:eastAsia="宋体" w:cs="Times New Roman"/>
                <w:color w:val="000000" w:themeColor="text1"/>
                <w:sz w:val="2"/>
                <w:szCs w:val="2"/>
                <w14:textFill>
                  <w14:solidFill>
                    <w14:schemeClr w14:val="tx1"/>
                  </w14:solidFill>
                </w14:textFill>
              </w:rPr>
            </w:pPr>
          </w:p>
        </w:tc>
        <w:tc>
          <w:tcPr>
            <w:tcW w:w="4119" w:type="dxa"/>
            <w:vMerge w:val="continue"/>
            <w:vAlign w:val="center"/>
          </w:tcPr>
          <w:p w14:paraId="4FDD7077">
            <w:pPr>
              <w:adjustRightInd w:val="0"/>
              <w:snapToGrid w:val="0"/>
              <w:ind w:firstLine="0" w:firstLineChars="0"/>
              <w:jc w:val="center"/>
              <w:rPr>
                <w:rFonts w:hint="default" w:ascii="Times New Roman" w:hAnsi="Times New Roman" w:eastAsia="宋体" w:cs="Times New Roman"/>
                <w:color w:val="000000" w:themeColor="text1"/>
                <w:sz w:val="2"/>
                <w:szCs w:val="2"/>
                <w14:textFill>
                  <w14:solidFill>
                    <w14:schemeClr w14:val="tx1"/>
                  </w14:solidFill>
                </w14:textFill>
              </w:rPr>
            </w:pPr>
          </w:p>
        </w:tc>
      </w:tr>
      <w:tr w14:paraId="655958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399" w:type="dxa"/>
            <w:vAlign w:val="center"/>
          </w:tcPr>
          <w:p w14:paraId="6A265C31">
            <w:pPr>
              <w:pStyle w:val="36"/>
              <w:adjustRightInd w:val="0"/>
              <w:snapToGrid w:val="0"/>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H</w:t>
            </w:r>
            <w:r>
              <w:rPr>
                <w:rFonts w:hint="default" w:ascii="Times New Roman" w:hAnsi="Times New Roman" w:eastAsia="宋体" w:cs="Times New Roman"/>
                <w:color w:val="000000" w:themeColor="text1"/>
                <w:sz w:val="21"/>
                <w:vertAlign w:val="subscript"/>
                <w14:textFill>
                  <w14:solidFill>
                    <w14:schemeClr w14:val="tx1"/>
                  </w14:solidFill>
                </w14:textFill>
              </w:rPr>
              <w:t>2</w:t>
            </w:r>
            <w:r>
              <w:rPr>
                <w:rFonts w:hint="default" w:ascii="Times New Roman" w:hAnsi="Times New Roman" w:eastAsia="宋体" w:cs="Times New Roman"/>
                <w:color w:val="000000" w:themeColor="text1"/>
                <w:sz w:val="21"/>
                <w14:textFill>
                  <w14:solidFill>
                    <w14:schemeClr w14:val="tx1"/>
                  </w14:solidFill>
                </w14:textFill>
              </w:rPr>
              <w:t>S</w:t>
            </w:r>
          </w:p>
        </w:tc>
        <w:tc>
          <w:tcPr>
            <w:tcW w:w="1413" w:type="dxa"/>
            <w:vAlign w:val="center"/>
          </w:tcPr>
          <w:p w14:paraId="030DD953">
            <w:pPr>
              <w:pStyle w:val="36"/>
              <w:adjustRightInd w:val="0"/>
              <w:snapToGrid w:val="0"/>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一次浓度值</w:t>
            </w:r>
          </w:p>
        </w:tc>
        <w:tc>
          <w:tcPr>
            <w:tcW w:w="1252" w:type="dxa"/>
            <w:vAlign w:val="center"/>
          </w:tcPr>
          <w:p w14:paraId="15C5CAB0">
            <w:pPr>
              <w:pStyle w:val="36"/>
              <w:adjustRightInd w:val="0"/>
              <w:snapToGrid w:val="0"/>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10</w:t>
            </w:r>
          </w:p>
        </w:tc>
        <w:tc>
          <w:tcPr>
            <w:tcW w:w="831" w:type="dxa"/>
            <w:vMerge w:val="restart"/>
            <w:vAlign w:val="center"/>
          </w:tcPr>
          <w:p w14:paraId="3822E1A6">
            <w:pPr>
              <w:pStyle w:val="36"/>
              <w:adjustRightInd w:val="0"/>
              <w:snapToGrid w:val="0"/>
              <w:ind w:firstLine="0" w:firstLineChars="0"/>
              <w:rPr>
                <w:rFonts w:hint="default" w:ascii="Times New Roman" w:hAnsi="Times New Roman" w:eastAsia="宋体" w:cs="Times New Roman"/>
                <w:color w:val="000000" w:themeColor="text1"/>
                <w:sz w:val="2"/>
                <w:szCs w:val="2"/>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μg/m</w:t>
            </w:r>
            <w:r>
              <w:rPr>
                <w:rFonts w:hint="default" w:ascii="Times New Roman" w:hAnsi="Times New Roman" w:eastAsia="宋体" w:cs="Times New Roman"/>
                <w:color w:val="000000" w:themeColor="text1"/>
                <w:sz w:val="21"/>
                <w:vertAlign w:val="superscript"/>
                <w14:textFill>
                  <w14:solidFill>
                    <w14:schemeClr w14:val="tx1"/>
                  </w14:solidFill>
                </w14:textFill>
              </w:rPr>
              <w:t>3</w:t>
            </w:r>
          </w:p>
        </w:tc>
        <w:tc>
          <w:tcPr>
            <w:tcW w:w="4119" w:type="dxa"/>
            <w:vMerge w:val="restart"/>
            <w:vAlign w:val="center"/>
          </w:tcPr>
          <w:p w14:paraId="2749CDF1">
            <w:pPr>
              <w:pStyle w:val="36"/>
              <w:adjustRightInd w:val="0"/>
              <w:snapToGrid w:val="0"/>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《环境影响评价技术导则大气环境》</w:t>
            </w:r>
          </w:p>
          <w:p w14:paraId="284CAF9D">
            <w:pPr>
              <w:pStyle w:val="36"/>
              <w:adjustRightInd w:val="0"/>
              <w:snapToGrid w:val="0"/>
              <w:ind w:firstLine="0" w:firstLineChars="0"/>
              <w:rPr>
                <w:rFonts w:hint="default" w:ascii="Times New Roman" w:hAnsi="Times New Roman" w:eastAsia="宋体" w:cs="Times New Roman"/>
                <w:color w:val="000000" w:themeColor="text1"/>
                <w:sz w:val="2"/>
                <w:szCs w:val="2"/>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（HJ2.2-2018）</w:t>
            </w:r>
          </w:p>
        </w:tc>
      </w:tr>
      <w:tr w14:paraId="7152E7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399" w:type="dxa"/>
            <w:vAlign w:val="center"/>
          </w:tcPr>
          <w:p w14:paraId="4DBF9A3D">
            <w:pPr>
              <w:pStyle w:val="36"/>
              <w:adjustRightInd w:val="0"/>
              <w:snapToGrid w:val="0"/>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NH</w:t>
            </w:r>
            <w:r>
              <w:rPr>
                <w:rFonts w:hint="default" w:ascii="Times New Roman" w:hAnsi="Times New Roman" w:eastAsia="宋体" w:cs="Times New Roman"/>
                <w:color w:val="000000" w:themeColor="text1"/>
                <w:sz w:val="21"/>
                <w:vertAlign w:val="subscript"/>
                <w14:textFill>
                  <w14:solidFill>
                    <w14:schemeClr w14:val="tx1"/>
                  </w14:solidFill>
                </w14:textFill>
              </w:rPr>
              <w:t>3</w:t>
            </w:r>
          </w:p>
        </w:tc>
        <w:tc>
          <w:tcPr>
            <w:tcW w:w="1413" w:type="dxa"/>
            <w:vAlign w:val="center"/>
          </w:tcPr>
          <w:p w14:paraId="17833DA7">
            <w:pPr>
              <w:pStyle w:val="36"/>
              <w:adjustRightInd w:val="0"/>
              <w:snapToGrid w:val="0"/>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一次浓度值</w:t>
            </w:r>
          </w:p>
        </w:tc>
        <w:tc>
          <w:tcPr>
            <w:tcW w:w="1252" w:type="dxa"/>
            <w:vAlign w:val="center"/>
          </w:tcPr>
          <w:p w14:paraId="350DC40B">
            <w:pPr>
              <w:pStyle w:val="36"/>
              <w:adjustRightInd w:val="0"/>
              <w:snapToGrid w:val="0"/>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200</w:t>
            </w:r>
          </w:p>
        </w:tc>
        <w:tc>
          <w:tcPr>
            <w:tcW w:w="831" w:type="dxa"/>
            <w:vMerge w:val="continue"/>
            <w:vAlign w:val="center"/>
          </w:tcPr>
          <w:p w14:paraId="6211C28D">
            <w:pPr>
              <w:pStyle w:val="36"/>
              <w:adjustRightInd w:val="0"/>
              <w:snapToGrid w:val="0"/>
              <w:ind w:firstLine="0" w:firstLineChars="0"/>
              <w:rPr>
                <w:rFonts w:hint="default" w:ascii="Times New Roman" w:hAnsi="Times New Roman" w:eastAsia="宋体" w:cs="Times New Roman"/>
                <w:color w:val="000000" w:themeColor="text1"/>
                <w:sz w:val="21"/>
                <w14:textFill>
                  <w14:solidFill>
                    <w14:schemeClr w14:val="tx1"/>
                  </w14:solidFill>
                </w14:textFill>
              </w:rPr>
            </w:pPr>
          </w:p>
        </w:tc>
        <w:tc>
          <w:tcPr>
            <w:tcW w:w="4119" w:type="dxa"/>
            <w:vMerge w:val="continue"/>
            <w:vAlign w:val="center"/>
          </w:tcPr>
          <w:p w14:paraId="3FAB5403">
            <w:pPr>
              <w:pStyle w:val="36"/>
              <w:adjustRightInd w:val="0"/>
              <w:snapToGrid w:val="0"/>
              <w:ind w:firstLine="0" w:firstLineChars="0"/>
              <w:rPr>
                <w:rFonts w:hint="default" w:ascii="Times New Roman" w:hAnsi="Times New Roman" w:eastAsia="宋体" w:cs="Times New Roman"/>
                <w:color w:val="000000" w:themeColor="text1"/>
                <w:sz w:val="21"/>
                <w14:textFill>
                  <w14:solidFill>
                    <w14:schemeClr w14:val="tx1"/>
                  </w14:solidFill>
                </w14:textFill>
              </w:rPr>
            </w:pPr>
          </w:p>
        </w:tc>
      </w:tr>
    </w:tbl>
    <w:p w14:paraId="0A6E50E4">
      <w:pPr>
        <w:pStyle w:val="37"/>
        <w:tabs>
          <w:tab w:val="left" w:pos="980"/>
        </w:tabs>
        <w:adjustRightInd w:val="0"/>
        <w:snapToGrid w:val="0"/>
        <w:ind w:left="0" w:firstLine="482"/>
        <w:rPr>
          <w:rFonts w:hint="default" w:ascii="Times New Roman" w:hAnsi="Times New Roman" w:eastAsia="宋体" w:cs="Times New Roman"/>
          <w:b/>
          <w:color w:val="000000" w:themeColor="text1"/>
          <w:lang w:eastAsia="zh-CN"/>
          <w14:textFill>
            <w14:solidFill>
              <w14:schemeClr w14:val="tx1"/>
            </w14:solidFill>
          </w14:textFill>
        </w:rPr>
      </w:pPr>
      <w:r>
        <w:rPr>
          <w:rFonts w:hint="default" w:ascii="Times New Roman" w:hAnsi="Times New Roman" w:eastAsia="宋体" w:cs="Times New Roman"/>
          <w:b/>
          <w:color w:val="000000" w:themeColor="text1"/>
          <w14:textFill>
            <w14:solidFill>
              <w14:schemeClr w14:val="tx1"/>
            </w14:solidFill>
          </w14:textFill>
        </w:rPr>
        <w:t>（2）</w:t>
      </w:r>
      <w:r>
        <w:rPr>
          <w:rFonts w:hint="default" w:ascii="Times New Roman" w:hAnsi="Times New Roman" w:eastAsia="宋体" w:cs="Times New Roman"/>
          <w:b/>
          <w:color w:val="000000" w:themeColor="text1"/>
          <w:lang w:eastAsia="zh-CN"/>
          <w14:textFill>
            <w14:solidFill>
              <w14:schemeClr w14:val="tx1"/>
            </w14:solidFill>
          </w14:textFill>
        </w:rPr>
        <w:t>地下水质量标准</w:t>
      </w:r>
    </w:p>
    <w:p w14:paraId="0C08BDCE">
      <w:pPr>
        <w:pStyle w:val="11"/>
        <w:adjustRightInd w:val="0"/>
        <w:snapToGrid w:val="0"/>
        <w:ind w:firstLine="456"/>
        <w:rPr>
          <w:rFonts w:hint="default" w:ascii="Times New Roman" w:hAnsi="Times New Roman" w:eastAsia="宋体" w:cs="Times New Roman"/>
          <w:color w:val="000000" w:themeColor="text1"/>
          <w:spacing w:val="-6"/>
          <w:lang w:eastAsia="zh-CN"/>
          <w14:textFill>
            <w14:solidFill>
              <w14:schemeClr w14:val="tx1"/>
            </w14:solidFill>
          </w14:textFill>
        </w:rPr>
      </w:pPr>
      <w:r>
        <w:rPr>
          <w:rFonts w:hint="default" w:ascii="Times New Roman" w:hAnsi="Times New Roman" w:eastAsia="宋体" w:cs="Times New Roman"/>
          <w:color w:val="000000" w:themeColor="text1"/>
          <w:spacing w:val="-6"/>
          <w:lang w:eastAsia="zh-CN"/>
          <w14:textFill>
            <w14:solidFill>
              <w14:schemeClr w14:val="tx1"/>
            </w14:solidFill>
          </w14:textFill>
        </w:rPr>
        <w:t>本次地下水环境影响评价，评价区域地下水环境质量执行《地下水质量标准》（GB/T14848-2017）Ⅲ类标准。地下水质量评价执行标准见2.5-2。</w:t>
      </w:r>
    </w:p>
    <w:p w14:paraId="64CDAE7B">
      <w:pPr>
        <w:pStyle w:val="11"/>
        <w:adjustRightInd w:val="0"/>
        <w:snapToGrid w:val="0"/>
        <w:ind w:firstLine="0" w:firstLineChars="0"/>
        <w:jc w:val="center"/>
        <w:rPr>
          <w:rFonts w:hint="default" w:ascii="Times New Roman" w:hAnsi="Times New Roman" w:eastAsia="宋体" w:cs="Times New Roman"/>
          <w:b/>
          <w:color w:val="000000" w:themeColor="text1"/>
          <w:sz w:val="21"/>
          <w:lang w:eastAsia="zh-CN"/>
          <w14:textFill>
            <w14:solidFill>
              <w14:schemeClr w14:val="tx1"/>
            </w14:solidFill>
          </w14:textFill>
        </w:rPr>
      </w:pPr>
      <w:r>
        <w:rPr>
          <w:rFonts w:hint="default" w:ascii="Times New Roman" w:hAnsi="Times New Roman" w:eastAsia="宋体" w:cs="Times New Roman"/>
          <w:b/>
          <w:color w:val="000000" w:themeColor="text1"/>
          <w:lang w:eastAsia="zh-CN"/>
          <w14:textFill>
            <w14:solidFill>
              <w14:schemeClr w14:val="tx1"/>
            </w14:solidFill>
          </w14:textFill>
        </w:rPr>
        <w:t>表2.5-2地下水质量评价执行标准限值</w:t>
      </w:r>
      <w:r>
        <w:rPr>
          <w:rFonts w:hint="default" w:ascii="Times New Roman" w:hAnsi="Times New Roman" w:eastAsia="宋体" w:cs="Times New Roman"/>
          <w:b/>
          <w:color w:val="000000" w:themeColor="text1"/>
          <w:lang w:eastAsia="zh-CN"/>
          <w14:textFill>
            <w14:solidFill>
              <w14:schemeClr w14:val="tx1"/>
            </w14:solidFill>
          </w14:textFill>
        </w:rPr>
        <w:tab/>
      </w:r>
      <w:r>
        <w:rPr>
          <w:rFonts w:hint="default" w:ascii="Times New Roman" w:hAnsi="Times New Roman" w:eastAsia="宋体" w:cs="Times New Roman"/>
          <w:b/>
          <w:color w:val="000000" w:themeColor="text1"/>
          <w:sz w:val="21"/>
          <w:lang w:eastAsia="zh-CN"/>
          <w14:textFill>
            <w14:solidFill>
              <w14:schemeClr w14:val="tx1"/>
            </w14:solidFill>
          </w14:textFill>
        </w:rPr>
        <w:t>单位：mg/L，pH</w:t>
      </w:r>
    </w:p>
    <w:tbl>
      <w:tblPr>
        <w:tblStyle w:val="35"/>
        <w:tblW w:w="901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319"/>
        <w:gridCol w:w="2468"/>
        <w:gridCol w:w="1571"/>
        <w:gridCol w:w="2101"/>
        <w:gridCol w:w="1555"/>
      </w:tblGrid>
      <w:tr w14:paraId="256A3B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319" w:type="dxa"/>
            <w:vAlign w:val="center"/>
          </w:tcPr>
          <w:p w14:paraId="1E50C8C9">
            <w:pPr>
              <w:pStyle w:val="36"/>
              <w:ind w:firstLine="0" w:firstLineChars="0"/>
              <w:rPr>
                <w:rFonts w:hint="default" w:ascii="Times New Roman" w:hAnsi="Times New Roman" w:eastAsia="宋体" w:cs="Times New Roman"/>
                <w:b/>
                <w:bCs/>
                <w:color w:val="000000" w:themeColor="text1"/>
                <w:sz w:val="21"/>
                <w14:textFill>
                  <w14:solidFill>
                    <w14:schemeClr w14:val="tx1"/>
                  </w14:solidFill>
                </w14:textFill>
              </w:rPr>
            </w:pPr>
            <w:r>
              <w:rPr>
                <w:rFonts w:hint="default" w:ascii="Times New Roman" w:hAnsi="Times New Roman" w:eastAsia="宋体" w:cs="Times New Roman"/>
                <w:b/>
                <w:bCs/>
                <w:color w:val="000000" w:themeColor="text1"/>
                <w:sz w:val="21"/>
                <w14:textFill>
                  <w14:solidFill>
                    <w14:schemeClr w14:val="tx1"/>
                  </w14:solidFill>
                </w14:textFill>
              </w:rPr>
              <w:t>环境因素</w:t>
            </w:r>
          </w:p>
        </w:tc>
        <w:tc>
          <w:tcPr>
            <w:tcW w:w="2468" w:type="dxa"/>
            <w:vAlign w:val="center"/>
          </w:tcPr>
          <w:p w14:paraId="19EA20AF">
            <w:pPr>
              <w:pStyle w:val="36"/>
              <w:ind w:firstLine="0" w:firstLineChars="0"/>
              <w:rPr>
                <w:rFonts w:hint="default" w:ascii="Times New Roman" w:hAnsi="Times New Roman" w:eastAsia="宋体" w:cs="Times New Roman"/>
                <w:b/>
                <w:bCs/>
                <w:color w:val="000000" w:themeColor="text1"/>
                <w:sz w:val="21"/>
                <w14:textFill>
                  <w14:solidFill>
                    <w14:schemeClr w14:val="tx1"/>
                  </w14:solidFill>
                </w14:textFill>
              </w:rPr>
            </w:pPr>
            <w:r>
              <w:rPr>
                <w:rFonts w:hint="default" w:ascii="Times New Roman" w:hAnsi="Times New Roman" w:eastAsia="宋体" w:cs="Times New Roman"/>
                <w:b/>
                <w:bCs/>
                <w:color w:val="000000" w:themeColor="text1"/>
                <w:sz w:val="21"/>
                <w14:textFill>
                  <w14:solidFill>
                    <w14:schemeClr w14:val="tx1"/>
                  </w14:solidFill>
                </w14:textFill>
              </w:rPr>
              <w:t>污染因</w:t>
            </w:r>
          </w:p>
        </w:tc>
        <w:tc>
          <w:tcPr>
            <w:tcW w:w="1571" w:type="dxa"/>
            <w:vAlign w:val="center"/>
          </w:tcPr>
          <w:p w14:paraId="035CE00D">
            <w:pPr>
              <w:pStyle w:val="36"/>
              <w:ind w:firstLine="0" w:firstLineChars="0"/>
              <w:rPr>
                <w:rFonts w:hint="default" w:ascii="Times New Roman" w:hAnsi="Times New Roman" w:eastAsia="宋体" w:cs="Times New Roman"/>
                <w:b/>
                <w:bCs/>
                <w:color w:val="000000" w:themeColor="text1"/>
                <w:sz w:val="21"/>
                <w14:textFill>
                  <w14:solidFill>
                    <w14:schemeClr w14:val="tx1"/>
                  </w14:solidFill>
                </w14:textFill>
              </w:rPr>
            </w:pPr>
            <w:r>
              <w:rPr>
                <w:rFonts w:hint="default" w:ascii="Times New Roman" w:hAnsi="Times New Roman" w:eastAsia="宋体" w:cs="Times New Roman"/>
                <w:b/>
                <w:bCs/>
                <w:color w:val="000000" w:themeColor="text1"/>
                <w:sz w:val="21"/>
                <w14:textFill>
                  <w14:solidFill>
                    <w14:schemeClr w14:val="tx1"/>
                  </w14:solidFill>
                </w14:textFill>
              </w:rPr>
              <w:t>标准值</w:t>
            </w:r>
          </w:p>
        </w:tc>
        <w:tc>
          <w:tcPr>
            <w:tcW w:w="2101" w:type="dxa"/>
            <w:vAlign w:val="center"/>
          </w:tcPr>
          <w:p w14:paraId="711AC63B">
            <w:pPr>
              <w:pStyle w:val="36"/>
              <w:ind w:firstLine="0" w:firstLineChars="0"/>
              <w:rPr>
                <w:rFonts w:hint="default" w:ascii="Times New Roman" w:hAnsi="Times New Roman" w:eastAsia="宋体" w:cs="Times New Roman"/>
                <w:b/>
                <w:bCs/>
                <w:color w:val="000000" w:themeColor="text1"/>
                <w:sz w:val="21"/>
                <w14:textFill>
                  <w14:solidFill>
                    <w14:schemeClr w14:val="tx1"/>
                  </w14:solidFill>
                </w14:textFill>
              </w:rPr>
            </w:pPr>
            <w:r>
              <w:rPr>
                <w:rFonts w:hint="default" w:ascii="Times New Roman" w:hAnsi="Times New Roman" w:eastAsia="宋体" w:cs="Times New Roman"/>
                <w:b/>
                <w:bCs/>
                <w:color w:val="000000" w:themeColor="text1"/>
                <w:sz w:val="21"/>
                <w14:textFill>
                  <w14:solidFill>
                    <w14:schemeClr w14:val="tx1"/>
                  </w14:solidFill>
                </w14:textFill>
              </w:rPr>
              <w:t>污染因子</w:t>
            </w:r>
          </w:p>
        </w:tc>
        <w:tc>
          <w:tcPr>
            <w:tcW w:w="1555" w:type="dxa"/>
            <w:vAlign w:val="center"/>
          </w:tcPr>
          <w:p w14:paraId="49A6C07D">
            <w:pPr>
              <w:pStyle w:val="36"/>
              <w:ind w:firstLine="0" w:firstLineChars="0"/>
              <w:rPr>
                <w:rFonts w:hint="default" w:ascii="Times New Roman" w:hAnsi="Times New Roman" w:eastAsia="宋体" w:cs="Times New Roman"/>
                <w:b/>
                <w:bCs/>
                <w:color w:val="000000" w:themeColor="text1"/>
                <w:sz w:val="21"/>
                <w14:textFill>
                  <w14:solidFill>
                    <w14:schemeClr w14:val="tx1"/>
                  </w14:solidFill>
                </w14:textFill>
              </w:rPr>
            </w:pPr>
            <w:r>
              <w:rPr>
                <w:rFonts w:hint="default" w:ascii="Times New Roman" w:hAnsi="Times New Roman" w:eastAsia="宋体" w:cs="Times New Roman"/>
                <w:b/>
                <w:bCs/>
                <w:color w:val="000000" w:themeColor="text1"/>
                <w:sz w:val="21"/>
                <w14:textFill>
                  <w14:solidFill>
                    <w14:schemeClr w14:val="tx1"/>
                  </w14:solidFill>
                </w14:textFill>
              </w:rPr>
              <w:t>标准值</w:t>
            </w:r>
          </w:p>
        </w:tc>
      </w:tr>
      <w:tr w14:paraId="5E0FE0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6" w:hRule="atLeast"/>
          <w:jc w:val="center"/>
        </w:trPr>
        <w:tc>
          <w:tcPr>
            <w:tcW w:w="1319" w:type="dxa"/>
            <w:vMerge w:val="restart"/>
            <w:vAlign w:val="center"/>
          </w:tcPr>
          <w:p w14:paraId="55FE948C">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地下水</w:t>
            </w:r>
          </w:p>
        </w:tc>
        <w:tc>
          <w:tcPr>
            <w:tcW w:w="2468" w:type="dxa"/>
            <w:vAlign w:val="center"/>
          </w:tcPr>
          <w:p w14:paraId="1331A5D5">
            <w:pPr>
              <w:pStyle w:val="36"/>
              <w:ind w:firstLine="0" w:firstLineChars="0"/>
              <w:rPr>
                <w:rFonts w:hint="default" w:ascii="Times New Roman" w:hAnsi="Times New Roman" w:eastAsia="宋体" w:cs="Times New Roman"/>
                <w:color w:val="000000" w:themeColor="text1"/>
                <w:sz w:val="21"/>
                <w:lang w:val="en-US"/>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pH（</w:t>
            </w:r>
            <w:r>
              <w:rPr>
                <w:rFonts w:hint="default" w:ascii="Times New Roman" w:hAnsi="Times New Roman" w:eastAsia="宋体" w:cs="Times New Roman"/>
                <w:bCs/>
                <w:color w:val="000000" w:themeColor="text1"/>
                <w:sz w:val="21"/>
                <w14:textFill>
                  <w14:solidFill>
                    <w14:schemeClr w14:val="tx1"/>
                  </w14:solidFill>
                </w14:textFill>
              </w:rPr>
              <w:t>无量纲</w:t>
            </w:r>
            <w:r>
              <w:rPr>
                <w:rFonts w:hint="default" w:ascii="Times New Roman" w:hAnsi="Times New Roman" w:eastAsia="宋体" w:cs="Times New Roman"/>
                <w:color w:val="000000" w:themeColor="text1"/>
                <w:sz w:val="21"/>
                <w14:textFill>
                  <w14:solidFill>
                    <w14:schemeClr w14:val="tx1"/>
                  </w14:solidFill>
                </w14:textFill>
              </w:rPr>
              <w:t>）</w:t>
            </w:r>
          </w:p>
        </w:tc>
        <w:tc>
          <w:tcPr>
            <w:tcW w:w="1571" w:type="dxa"/>
            <w:vAlign w:val="center"/>
          </w:tcPr>
          <w:p w14:paraId="478652B8">
            <w:pPr>
              <w:pStyle w:val="36"/>
              <w:ind w:firstLine="0" w:firstLineChars="0"/>
              <w:rPr>
                <w:rFonts w:hint="default" w:ascii="Times New Roman" w:hAnsi="Times New Roman" w:eastAsia="宋体" w:cs="Times New Roman"/>
                <w:bCs/>
                <w:color w:val="000000" w:themeColor="text1"/>
                <w:sz w:val="21"/>
                <w14:textFill>
                  <w14:solidFill>
                    <w14:schemeClr w14:val="tx1"/>
                  </w14:solidFill>
                </w14:textFill>
              </w:rPr>
            </w:pPr>
            <w:r>
              <w:rPr>
                <w:rFonts w:hint="default" w:ascii="Times New Roman" w:hAnsi="Times New Roman" w:eastAsia="宋体" w:cs="Times New Roman"/>
                <w:bCs/>
                <w:color w:val="000000" w:themeColor="text1"/>
                <w:sz w:val="21"/>
                <w14:textFill>
                  <w14:solidFill>
                    <w14:schemeClr w14:val="tx1"/>
                  </w14:solidFill>
                </w14:textFill>
              </w:rPr>
              <w:t>6.5～8.5</w:t>
            </w:r>
          </w:p>
        </w:tc>
        <w:tc>
          <w:tcPr>
            <w:tcW w:w="2101" w:type="dxa"/>
            <w:vAlign w:val="center"/>
          </w:tcPr>
          <w:p w14:paraId="0FBF246B">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氨氮</w:t>
            </w:r>
          </w:p>
        </w:tc>
        <w:tc>
          <w:tcPr>
            <w:tcW w:w="1555" w:type="dxa"/>
            <w:vAlign w:val="center"/>
          </w:tcPr>
          <w:p w14:paraId="0A2DE852">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≤0.5mg/l</w:t>
            </w:r>
          </w:p>
        </w:tc>
      </w:tr>
      <w:tr w14:paraId="5D5A20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319" w:type="dxa"/>
            <w:vMerge w:val="continue"/>
            <w:vAlign w:val="center"/>
          </w:tcPr>
          <w:p w14:paraId="76C11AD7">
            <w:pPr>
              <w:ind w:firstLine="0" w:firstLineChars="0"/>
              <w:jc w:val="center"/>
              <w:rPr>
                <w:rFonts w:hint="default" w:ascii="Times New Roman" w:hAnsi="Times New Roman" w:eastAsia="宋体" w:cs="Times New Roman"/>
                <w:color w:val="000000" w:themeColor="text1"/>
                <w:sz w:val="2"/>
                <w:szCs w:val="2"/>
                <w14:textFill>
                  <w14:solidFill>
                    <w14:schemeClr w14:val="tx1"/>
                  </w14:solidFill>
                </w14:textFill>
              </w:rPr>
            </w:pPr>
          </w:p>
        </w:tc>
        <w:tc>
          <w:tcPr>
            <w:tcW w:w="2468" w:type="dxa"/>
            <w:vAlign w:val="center"/>
          </w:tcPr>
          <w:p w14:paraId="35A6A928">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总硬度（以CaCO</w:t>
            </w:r>
            <w:r>
              <w:rPr>
                <w:rFonts w:hint="default" w:ascii="Times New Roman" w:hAnsi="Times New Roman" w:eastAsia="宋体" w:cs="Times New Roman"/>
                <w:color w:val="000000" w:themeColor="text1"/>
                <w:sz w:val="21"/>
                <w:vertAlign w:val="subscript"/>
                <w14:textFill>
                  <w14:solidFill>
                    <w14:schemeClr w14:val="tx1"/>
                  </w14:solidFill>
                </w14:textFill>
              </w:rPr>
              <w:t>3</w:t>
            </w:r>
            <w:r>
              <w:rPr>
                <w:rFonts w:hint="default" w:ascii="Times New Roman" w:hAnsi="Times New Roman" w:eastAsia="宋体" w:cs="Times New Roman"/>
                <w:color w:val="000000" w:themeColor="text1"/>
                <w:sz w:val="21"/>
                <w14:textFill>
                  <w14:solidFill>
                    <w14:schemeClr w14:val="tx1"/>
                  </w14:solidFill>
                </w14:textFill>
              </w:rPr>
              <w:t>计）</w:t>
            </w:r>
          </w:p>
        </w:tc>
        <w:tc>
          <w:tcPr>
            <w:tcW w:w="1571" w:type="dxa"/>
            <w:vAlign w:val="center"/>
          </w:tcPr>
          <w:p w14:paraId="0988D184">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≤450mg/l</w:t>
            </w:r>
          </w:p>
        </w:tc>
        <w:tc>
          <w:tcPr>
            <w:tcW w:w="2101" w:type="dxa"/>
            <w:vAlign w:val="center"/>
          </w:tcPr>
          <w:p w14:paraId="2330EC56">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铅</w:t>
            </w:r>
          </w:p>
        </w:tc>
        <w:tc>
          <w:tcPr>
            <w:tcW w:w="1555" w:type="dxa"/>
            <w:vAlign w:val="center"/>
          </w:tcPr>
          <w:p w14:paraId="5FCB111E">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≤0.01mg/l</w:t>
            </w:r>
          </w:p>
        </w:tc>
      </w:tr>
      <w:tr w14:paraId="6FE603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6" w:hRule="atLeast"/>
          <w:jc w:val="center"/>
        </w:trPr>
        <w:tc>
          <w:tcPr>
            <w:tcW w:w="1319" w:type="dxa"/>
            <w:vMerge w:val="continue"/>
            <w:vAlign w:val="center"/>
          </w:tcPr>
          <w:p w14:paraId="2EE3BCD0">
            <w:pPr>
              <w:ind w:firstLine="0" w:firstLineChars="0"/>
              <w:jc w:val="center"/>
              <w:rPr>
                <w:rFonts w:hint="default" w:ascii="Times New Roman" w:hAnsi="Times New Roman" w:eastAsia="宋体" w:cs="Times New Roman"/>
                <w:color w:val="000000" w:themeColor="text1"/>
                <w:sz w:val="2"/>
                <w:szCs w:val="2"/>
                <w14:textFill>
                  <w14:solidFill>
                    <w14:schemeClr w14:val="tx1"/>
                  </w14:solidFill>
                </w14:textFill>
              </w:rPr>
            </w:pPr>
          </w:p>
        </w:tc>
        <w:tc>
          <w:tcPr>
            <w:tcW w:w="2468" w:type="dxa"/>
            <w:vAlign w:val="center"/>
          </w:tcPr>
          <w:p w14:paraId="4DB74A8D">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溶解性总固体</w:t>
            </w:r>
          </w:p>
        </w:tc>
        <w:tc>
          <w:tcPr>
            <w:tcW w:w="1571" w:type="dxa"/>
            <w:vAlign w:val="center"/>
          </w:tcPr>
          <w:p w14:paraId="4C61A35A">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≤1000mg/l</w:t>
            </w:r>
          </w:p>
        </w:tc>
        <w:tc>
          <w:tcPr>
            <w:tcW w:w="2101" w:type="dxa"/>
            <w:vAlign w:val="center"/>
          </w:tcPr>
          <w:p w14:paraId="2BC21084">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砷</w:t>
            </w:r>
          </w:p>
        </w:tc>
        <w:tc>
          <w:tcPr>
            <w:tcW w:w="1555" w:type="dxa"/>
            <w:vAlign w:val="center"/>
          </w:tcPr>
          <w:p w14:paraId="13A64ED8">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≤0.01mg/l</w:t>
            </w:r>
          </w:p>
        </w:tc>
      </w:tr>
      <w:tr w14:paraId="7825A7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6" w:hRule="atLeast"/>
          <w:jc w:val="center"/>
        </w:trPr>
        <w:tc>
          <w:tcPr>
            <w:tcW w:w="1319" w:type="dxa"/>
            <w:vMerge w:val="continue"/>
            <w:vAlign w:val="center"/>
          </w:tcPr>
          <w:p w14:paraId="480375B8">
            <w:pPr>
              <w:ind w:firstLine="0" w:firstLineChars="0"/>
              <w:jc w:val="center"/>
              <w:rPr>
                <w:rFonts w:hint="default" w:ascii="Times New Roman" w:hAnsi="Times New Roman" w:eastAsia="宋体" w:cs="Times New Roman"/>
                <w:color w:val="000000" w:themeColor="text1"/>
                <w:sz w:val="2"/>
                <w:szCs w:val="2"/>
                <w14:textFill>
                  <w14:solidFill>
                    <w14:schemeClr w14:val="tx1"/>
                  </w14:solidFill>
                </w14:textFill>
              </w:rPr>
            </w:pPr>
          </w:p>
        </w:tc>
        <w:tc>
          <w:tcPr>
            <w:tcW w:w="2468" w:type="dxa"/>
            <w:vAlign w:val="center"/>
          </w:tcPr>
          <w:p w14:paraId="1BC5F43D">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耗氧量</w:t>
            </w:r>
          </w:p>
        </w:tc>
        <w:tc>
          <w:tcPr>
            <w:tcW w:w="1571" w:type="dxa"/>
            <w:vAlign w:val="center"/>
          </w:tcPr>
          <w:p w14:paraId="51724519">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≤3.0mg/l</w:t>
            </w:r>
          </w:p>
        </w:tc>
        <w:tc>
          <w:tcPr>
            <w:tcW w:w="2101" w:type="dxa"/>
            <w:vAlign w:val="center"/>
          </w:tcPr>
          <w:p w14:paraId="42C36B4E">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锌</w:t>
            </w:r>
          </w:p>
        </w:tc>
        <w:tc>
          <w:tcPr>
            <w:tcW w:w="1555" w:type="dxa"/>
            <w:vAlign w:val="center"/>
          </w:tcPr>
          <w:p w14:paraId="2F7DE937">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≤1.0mg/l</w:t>
            </w:r>
          </w:p>
        </w:tc>
      </w:tr>
      <w:tr w14:paraId="58E2AD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6" w:hRule="atLeast"/>
          <w:jc w:val="center"/>
        </w:trPr>
        <w:tc>
          <w:tcPr>
            <w:tcW w:w="1319" w:type="dxa"/>
            <w:vMerge w:val="continue"/>
            <w:vAlign w:val="center"/>
          </w:tcPr>
          <w:p w14:paraId="6BD43EE7">
            <w:pPr>
              <w:ind w:firstLine="0" w:firstLineChars="0"/>
              <w:jc w:val="center"/>
              <w:rPr>
                <w:rFonts w:hint="default" w:ascii="Times New Roman" w:hAnsi="Times New Roman" w:eastAsia="宋体" w:cs="Times New Roman"/>
                <w:color w:val="000000" w:themeColor="text1"/>
                <w:sz w:val="2"/>
                <w:szCs w:val="2"/>
                <w14:textFill>
                  <w14:solidFill>
                    <w14:schemeClr w14:val="tx1"/>
                  </w14:solidFill>
                </w14:textFill>
              </w:rPr>
            </w:pPr>
          </w:p>
        </w:tc>
        <w:tc>
          <w:tcPr>
            <w:tcW w:w="2468" w:type="dxa"/>
            <w:vAlign w:val="center"/>
          </w:tcPr>
          <w:p w14:paraId="4ABA3F0E">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硫酸盐</w:t>
            </w:r>
          </w:p>
        </w:tc>
        <w:tc>
          <w:tcPr>
            <w:tcW w:w="1571" w:type="dxa"/>
            <w:vAlign w:val="center"/>
          </w:tcPr>
          <w:p w14:paraId="6B25A53B">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≤250mg/l</w:t>
            </w:r>
          </w:p>
        </w:tc>
        <w:tc>
          <w:tcPr>
            <w:tcW w:w="2101" w:type="dxa"/>
            <w:vAlign w:val="center"/>
          </w:tcPr>
          <w:p w14:paraId="12FB8FE6">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六价铬Cr</w:t>
            </w:r>
            <w:r>
              <w:rPr>
                <w:rFonts w:hint="default" w:ascii="Times New Roman" w:hAnsi="Times New Roman" w:eastAsia="宋体" w:cs="Times New Roman"/>
                <w:color w:val="000000" w:themeColor="text1"/>
                <w:sz w:val="21"/>
                <w:vertAlign w:val="superscript"/>
                <w14:textFill>
                  <w14:solidFill>
                    <w14:schemeClr w14:val="tx1"/>
                  </w14:solidFill>
                </w14:textFill>
              </w:rPr>
              <w:t>6+</w:t>
            </w:r>
          </w:p>
        </w:tc>
        <w:tc>
          <w:tcPr>
            <w:tcW w:w="1555" w:type="dxa"/>
            <w:vAlign w:val="center"/>
          </w:tcPr>
          <w:p w14:paraId="687EDC1D">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≤0.05mg/l</w:t>
            </w:r>
          </w:p>
        </w:tc>
      </w:tr>
      <w:tr w14:paraId="3AFC61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6" w:hRule="atLeast"/>
          <w:jc w:val="center"/>
        </w:trPr>
        <w:tc>
          <w:tcPr>
            <w:tcW w:w="1319" w:type="dxa"/>
            <w:vMerge w:val="continue"/>
            <w:vAlign w:val="center"/>
          </w:tcPr>
          <w:p w14:paraId="074F415B">
            <w:pPr>
              <w:ind w:firstLine="0" w:firstLineChars="0"/>
              <w:jc w:val="center"/>
              <w:rPr>
                <w:rFonts w:hint="default" w:ascii="Times New Roman" w:hAnsi="Times New Roman" w:eastAsia="宋体" w:cs="Times New Roman"/>
                <w:color w:val="000000" w:themeColor="text1"/>
                <w:sz w:val="2"/>
                <w:szCs w:val="2"/>
                <w14:textFill>
                  <w14:solidFill>
                    <w14:schemeClr w14:val="tx1"/>
                  </w14:solidFill>
                </w14:textFill>
              </w:rPr>
            </w:pPr>
          </w:p>
        </w:tc>
        <w:tc>
          <w:tcPr>
            <w:tcW w:w="2468" w:type="dxa"/>
            <w:vAlign w:val="center"/>
          </w:tcPr>
          <w:p w14:paraId="0287373E">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氟化物</w:t>
            </w:r>
          </w:p>
        </w:tc>
        <w:tc>
          <w:tcPr>
            <w:tcW w:w="1571" w:type="dxa"/>
            <w:vAlign w:val="center"/>
          </w:tcPr>
          <w:p w14:paraId="15B78B48">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≤1.0mg/l</w:t>
            </w:r>
          </w:p>
        </w:tc>
        <w:tc>
          <w:tcPr>
            <w:tcW w:w="2101" w:type="dxa"/>
            <w:vAlign w:val="center"/>
          </w:tcPr>
          <w:p w14:paraId="63DDBA73">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铁</w:t>
            </w:r>
          </w:p>
        </w:tc>
        <w:tc>
          <w:tcPr>
            <w:tcW w:w="1555" w:type="dxa"/>
            <w:vAlign w:val="center"/>
          </w:tcPr>
          <w:p w14:paraId="5F146F2D">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≤0.3mg/l</w:t>
            </w:r>
          </w:p>
        </w:tc>
      </w:tr>
      <w:tr w14:paraId="51DF79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6" w:hRule="atLeast"/>
          <w:jc w:val="center"/>
        </w:trPr>
        <w:tc>
          <w:tcPr>
            <w:tcW w:w="1319" w:type="dxa"/>
            <w:vMerge w:val="continue"/>
            <w:vAlign w:val="center"/>
          </w:tcPr>
          <w:p w14:paraId="0FF84117">
            <w:pPr>
              <w:ind w:firstLine="0" w:firstLineChars="0"/>
              <w:jc w:val="center"/>
              <w:rPr>
                <w:rFonts w:hint="default" w:ascii="Times New Roman" w:hAnsi="Times New Roman" w:eastAsia="宋体" w:cs="Times New Roman"/>
                <w:color w:val="000000" w:themeColor="text1"/>
                <w:sz w:val="2"/>
                <w:szCs w:val="2"/>
                <w14:textFill>
                  <w14:solidFill>
                    <w14:schemeClr w14:val="tx1"/>
                  </w14:solidFill>
                </w14:textFill>
              </w:rPr>
            </w:pPr>
          </w:p>
        </w:tc>
        <w:tc>
          <w:tcPr>
            <w:tcW w:w="2468" w:type="dxa"/>
            <w:vAlign w:val="center"/>
          </w:tcPr>
          <w:p w14:paraId="79410EC4">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氯化物</w:t>
            </w:r>
          </w:p>
        </w:tc>
        <w:tc>
          <w:tcPr>
            <w:tcW w:w="1571" w:type="dxa"/>
            <w:vAlign w:val="center"/>
          </w:tcPr>
          <w:p w14:paraId="7501B120">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≤250mg/l</w:t>
            </w:r>
          </w:p>
        </w:tc>
        <w:tc>
          <w:tcPr>
            <w:tcW w:w="2101" w:type="dxa"/>
            <w:vAlign w:val="center"/>
          </w:tcPr>
          <w:p w14:paraId="7F8AACF6">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铜</w:t>
            </w:r>
          </w:p>
        </w:tc>
        <w:tc>
          <w:tcPr>
            <w:tcW w:w="1555" w:type="dxa"/>
            <w:vAlign w:val="center"/>
          </w:tcPr>
          <w:p w14:paraId="123D0780">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≤1.0mg/l</w:t>
            </w:r>
          </w:p>
        </w:tc>
      </w:tr>
      <w:tr w14:paraId="2D598A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8" w:hRule="atLeast"/>
          <w:jc w:val="center"/>
        </w:trPr>
        <w:tc>
          <w:tcPr>
            <w:tcW w:w="1319" w:type="dxa"/>
            <w:vMerge w:val="continue"/>
            <w:vAlign w:val="center"/>
          </w:tcPr>
          <w:p w14:paraId="15143ABF">
            <w:pPr>
              <w:ind w:firstLine="0" w:firstLineChars="0"/>
              <w:jc w:val="center"/>
              <w:rPr>
                <w:rFonts w:hint="default" w:ascii="Times New Roman" w:hAnsi="Times New Roman" w:eastAsia="宋体" w:cs="Times New Roman"/>
                <w:color w:val="000000" w:themeColor="text1"/>
                <w:sz w:val="2"/>
                <w:szCs w:val="2"/>
                <w14:textFill>
                  <w14:solidFill>
                    <w14:schemeClr w14:val="tx1"/>
                  </w14:solidFill>
                </w14:textFill>
              </w:rPr>
            </w:pPr>
          </w:p>
        </w:tc>
        <w:tc>
          <w:tcPr>
            <w:tcW w:w="2468" w:type="dxa"/>
            <w:vAlign w:val="center"/>
          </w:tcPr>
          <w:p w14:paraId="1A8649EF">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硫化物</w:t>
            </w:r>
          </w:p>
        </w:tc>
        <w:tc>
          <w:tcPr>
            <w:tcW w:w="1571" w:type="dxa"/>
            <w:vAlign w:val="center"/>
          </w:tcPr>
          <w:p w14:paraId="342295EA">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≤0.02mg/l</w:t>
            </w:r>
          </w:p>
        </w:tc>
        <w:tc>
          <w:tcPr>
            <w:tcW w:w="2101" w:type="dxa"/>
            <w:vAlign w:val="center"/>
          </w:tcPr>
          <w:p w14:paraId="13EDE31F">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钠</w:t>
            </w:r>
          </w:p>
        </w:tc>
        <w:tc>
          <w:tcPr>
            <w:tcW w:w="1555" w:type="dxa"/>
            <w:vAlign w:val="center"/>
          </w:tcPr>
          <w:p w14:paraId="1914D372">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≤200mg/l</w:t>
            </w:r>
          </w:p>
        </w:tc>
      </w:tr>
      <w:tr w14:paraId="3A6BA9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6" w:hRule="atLeast"/>
          <w:jc w:val="center"/>
        </w:trPr>
        <w:tc>
          <w:tcPr>
            <w:tcW w:w="1319" w:type="dxa"/>
            <w:vMerge w:val="continue"/>
            <w:vAlign w:val="center"/>
          </w:tcPr>
          <w:p w14:paraId="506221BC">
            <w:pPr>
              <w:ind w:firstLine="0" w:firstLineChars="0"/>
              <w:jc w:val="center"/>
              <w:rPr>
                <w:rFonts w:hint="default" w:ascii="Times New Roman" w:hAnsi="Times New Roman" w:eastAsia="宋体" w:cs="Times New Roman"/>
                <w:color w:val="000000" w:themeColor="text1"/>
                <w:sz w:val="2"/>
                <w:szCs w:val="2"/>
                <w14:textFill>
                  <w14:solidFill>
                    <w14:schemeClr w14:val="tx1"/>
                  </w14:solidFill>
                </w14:textFill>
              </w:rPr>
            </w:pPr>
          </w:p>
        </w:tc>
        <w:tc>
          <w:tcPr>
            <w:tcW w:w="2468" w:type="dxa"/>
            <w:vAlign w:val="center"/>
          </w:tcPr>
          <w:p w14:paraId="4E179DD4">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重碳酸盐</w:t>
            </w:r>
          </w:p>
        </w:tc>
        <w:tc>
          <w:tcPr>
            <w:tcW w:w="1571" w:type="dxa"/>
            <w:vAlign w:val="center"/>
          </w:tcPr>
          <w:p w14:paraId="4988BBF6">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w:t>
            </w:r>
          </w:p>
        </w:tc>
        <w:tc>
          <w:tcPr>
            <w:tcW w:w="2101" w:type="dxa"/>
            <w:vAlign w:val="center"/>
          </w:tcPr>
          <w:p w14:paraId="65DCE2BF">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钙</w:t>
            </w:r>
          </w:p>
        </w:tc>
        <w:tc>
          <w:tcPr>
            <w:tcW w:w="1555" w:type="dxa"/>
            <w:vAlign w:val="center"/>
          </w:tcPr>
          <w:p w14:paraId="53E5387F">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w:t>
            </w:r>
          </w:p>
        </w:tc>
      </w:tr>
      <w:tr w14:paraId="02038C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6" w:hRule="atLeast"/>
          <w:jc w:val="center"/>
        </w:trPr>
        <w:tc>
          <w:tcPr>
            <w:tcW w:w="1319" w:type="dxa"/>
            <w:vMerge w:val="continue"/>
            <w:vAlign w:val="center"/>
          </w:tcPr>
          <w:p w14:paraId="2A014FA3">
            <w:pPr>
              <w:ind w:firstLine="0" w:firstLineChars="0"/>
              <w:jc w:val="center"/>
              <w:rPr>
                <w:rFonts w:hint="default" w:ascii="Times New Roman" w:hAnsi="Times New Roman" w:eastAsia="宋体" w:cs="Times New Roman"/>
                <w:color w:val="000000" w:themeColor="text1"/>
                <w:sz w:val="2"/>
                <w:szCs w:val="2"/>
                <w14:textFill>
                  <w14:solidFill>
                    <w14:schemeClr w14:val="tx1"/>
                  </w14:solidFill>
                </w14:textFill>
              </w:rPr>
            </w:pPr>
          </w:p>
        </w:tc>
        <w:tc>
          <w:tcPr>
            <w:tcW w:w="2468" w:type="dxa"/>
            <w:vAlign w:val="center"/>
          </w:tcPr>
          <w:p w14:paraId="46D99B04">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碳酸盐</w:t>
            </w:r>
          </w:p>
        </w:tc>
        <w:tc>
          <w:tcPr>
            <w:tcW w:w="1571" w:type="dxa"/>
            <w:vAlign w:val="center"/>
          </w:tcPr>
          <w:p w14:paraId="5C789784">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w:t>
            </w:r>
          </w:p>
        </w:tc>
        <w:tc>
          <w:tcPr>
            <w:tcW w:w="2101" w:type="dxa"/>
            <w:vAlign w:val="center"/>
          </w:tcPr>
          <w:p w14:paraId="39B9CD4F">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镁</w:t>
            </w:r>
          </w:p>
        </w:tc>
        <w:tc>
          <w:tcPr>
            <w:tcW w:w="1555" w:type="dxa"/>
            <w:vAlign w:val="center"/>
          </w:tcPr>
          <w:p w14:paraId="18573F47">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w:t>
            </w:r>
          </w:p>
        </w:tc>
      </w:tr>
      <w:tr w14:paraId="459B38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6" w:hRule="atLeast"/>
          <w:jc w:val="center"/>
        </w:trPr>
        <w:tc>
          <w:tcPr>
            <w:tcW w:w="1319" w:type="dxa"/>
            <w:vMerge w:val="continue"/>
            <w:vAlign w:val="center"/>
          </w:tcPr>
          <w:p w14:paraId="70DE9C4B">
            <w:pPr>
              <w:ind w:firstLine="0" w:firstLineChars="0"/>
              <w:jc w:val="center"/>
              <w:rPr>
                <w:rFonts w:hint="default" w:ascii="Times New Roman" w:hAnsi="Times New Roman" w:eastAsia="宋体" w:cs="Times New Roman"/>
                <w:color w:val="000000" w:themeColor="text1"/>
                <w:sz w:val="2"/>
                <w:szCs w:val="2"/>
                <w14:textFill>
                  <w14:solidFill>
                    <w14:schemeClr w14:val="tx1"/>
                  </w14:solidFill>
                </w14:textFill>
              </w:rPr>
            </w:pPr>
          </w:p>
        </w:tc>
        <w:tc>
          <w:tcPr>
            <w:tcW w:w="2468" w:type="dxa"/>
            <w:vAlign w:val="center"/>
          </w:tcPr>
          <w:p w14:paraId="2B1FF17D">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硝酸盐氮</w:t>
            </w:r>
          </w:p>
        </w:tc>
        <w:tc>
          <w:tcPr>
            <w:tcW w:w="1571" w:type="dxa"/>
            <w:vAlign w:val="center"/>
          </w:tcPr>
          <w:p w14:paraId="281CCE08">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≤20mg/l</w:t>
            </w:r>
          </w:p>
        </w:tc>
        <w:tc>
          <w:tcPr>
            <w:tcW w:w="2101" w:type="dxa"/>
            <w:vAlign w:val="center"/>
          </w:tcPr>
          <w:p w14:paraId="4EC73034">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氰化物</w:t>
            </w:r>
          </w:p>
        </w:tc>
        <w:tc>
          <w:tcPr>
            <w:tcW w:w="1555" w:type="dxa"/>
            <w:vAlign w:val="center"/>
          </w:tcPr>
          <w:p w14:paraId="71304896">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≤0.05mg/l</w:t>
            </w:r>
          </w:p>
        </w:tc>
      </w:tr>
      <w:tr w14:paraId="091E1A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6" w:hRule="atLeast"/>
          <w:jc w:val="center"/>
        </w:trPr>
        <w:tc>
          <w:tcPr>
            <w:tcW w:w="1319" w:type="dxa"/>
            <w:vMerge w:val="continue"/>
            <w:vAlign w:val="center"/>
          </w:tcPr>
          <w:p w14:paraId="66B51762">
            <w:pPr>
              <w:ind w:firstLine="0" w:firstLineChars="0"/>
              <w:jc w:val="center"/>
              <w:rPr>
                <w:rFonts w:hint="default" w:ascii="Times New Roman" w:hAnsi="Times New Roman" w:eastAsia="宋体" w:cs="Times New Roman"/>
                <w:color w:val="000000" w:themeColor="text1"/>
                <w:sz w:val="2"/>
                <w:szCs w:val="2"/>
                <w14:textFill>
                  <w14:solidFill>
                    <w14:schemeClr w14:val="tx1"/>
                  </w14:solidFill>
                </w14:textFill>
              </w:rPr>
            </w:pPr>
          </w:p>
        </w:tc>
        <w:tc>
          <w:tcPr>
            <w:tcW w:w="2468" w:type="dxa"/>
            <w:vAlign w:val="center"/>
          </w:tcPr>
          <w:p w14:paraId="44E8BBA3">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亚硝酸盐氮</w:t>
            </w:r>
          </w:p>
        </w:tc>
        <w:tc>
          <w:tcPr>
            <w:tcW w:w="1571" w:type="dxa"/>
            <w:vAlign w:val="center"/>
          </w:tcPr>
          <w:p w14:paraId="6AD437EC">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≤1.0mg/l</w:t>
            </w:r>
          </w:p>
        </w:tc>
        <w:tc>
          <w:tcPr>
            <w:tcW w:w="2101" w:type="dxa"/>
            <w:vAlign w:val="center"/>
          </w:tcPr>
          <w:p w14:paraId="52FD2662">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总大肠菌群</w:t>
            </w:r>
          </w:p>
        </w:tc>
        <w:tc>
          <w:tcPr>
            <w:tcW w:w="1555" w:type="dxa"/>
            <w:vAlign w:val="center"/>
          </w:tcPr>
          <w:p w14:paraId="3BCEFF5A">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≤3CFU/100mL</w:t>
            </w:r>
          </w:p>
        </w:tc>
      </w:tr>
      <w:tr w14:paraId="2D19C9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6" w:hRule="atLeast"/>
          <w:jc w:val="center"/>
        </w:trPr>
        <w:tc>
          <w:tcPr>
            <w:tcW w:w="1319" w:type="dxa"/>
            <w:vMerge w:val="continue"/>
            <w:vAlign w:val="center"/>
          </w:tcPr>
          <w:p w14:paraId="1BDD8D1D">
            <w:pPr>
              <w:ind w:firstLine="0" w:firstLineChars="0"/>
              <w:jc w:val="center"/>
              <w:rPr>
                <w:rFonts w:hint="default" w:ascii="Times New Roman" w:hAnsi="Times New Roman" w:eastAsia="宋体" w:cs="Times New Roman"/>
                <w:color w:val="000000" w:themeColor="text1"/>
                <w:sz w:val="2"/>
                <w:szCs w:val="2"/>
                <w14:textFill>
                  <w14:solidFill>
                    <w14:schemeClr w14:val="tx1"/>
                  </w14:solidFill>
                </w14:textFill>
              </w:rPr>
            </w:pPr>
          </w:p>
        </w:tc>
        <w:tc>
          <w:tcPr>
            <w:tcW w:w="2468" w:type="dxa"/>
            <w:vAlign w:val="center"/>
          </w:tcPr>
          <w:p w14:paraId="717C536C">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挥发性酚类（以苯酚计）</w:t>
            </w:r>
          </w:p>
        </w:tc>
        <w:tc>
          <w:tcPr>
            <w:tcW w:w="1571" w:type="dxa"/>
            <w:vAlign w:val="center"/>
          </w:tcPr>
          <w:p w14:paraId="32F31FE7">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≤0.002mg/l</w:t>
            </w:r>
          </w:p>
        </w:tc>
        <w:tc>
          <w:tcPr>
            <w:tcW w:w="2101" w:type="dxa"/>
            <w:vAlign w:val="center"/>
          </w:tcPr>
          <w:p w14:paraId="2C3AFCD9">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汞</w:t>
            </w:r>
          </w:p>
        </w:tc>
        <w:tc>
          <w:tcPr>
            <w:tcW w:w="1555" w:type="dxa"/>
            <w:vAlign w:val="center"/>
          </w:tcPr>
          <w:p w14:paraId="45430589">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≤0.001mg/l</w:t>
            </w:r>
          </w:p>
        </w:tc>
      </w:tr>
      <w:tr w14:paraId="5EB2E3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319" w:type="dxa"/>
            <w:vMerge w:val="continue"/>
            <w:vAlign w:val="center"/>
          </w:tcPr>
          <w:p w14:paraId="40498346">
            <w:pPr>
              <w:ind w:firstLine="0" w:firstLineChars="0"/>
              <w:jc w:val="center"/>
              <w:rPr>
                <w:rFonts w:hint="default" w:ascii="Times New Roman" w:hAnsi="Times New Roman" w:eastAsia="宋体" w:cs="Times New Roman"/>
                <w:color w:val="000000" w:themeColor="text1"/>
                <w:sz w:val="2"/>
                <w:szCs w:val="2"/>
                <w14:textFill>
                  <w14:solidFill>
                    <w14:schemeClr w14:val="tx1"/>
                  </w14:solidFill>
                </w14:textFill>
              </w:rPr>
            </w:pPr>
          </w:p>
        </w:tc>
        <w:tc>
          <w:tcPr>
            <w:tcW w:w="2468" w:type="dxa"/>
            <w:vAlign w:val="center"/>
          </w:tcPr>
          <w:p w14:paraId="505F942D">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镉</w:t>
            </w:r>
          </w:p>
        </w:tc>
        <w:tc>
          <w:tcPr>
            <w:tcW w:w="1571" w:type="dxa"/>
            <w:vAlign w:val="center"/>
          </w:tcPr>
          <w:p w14:paraId="1F5D48A9">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≤0.005mg/l</w:t>
            </w:r>
          </w:p>
        </w:tc>
        <w:tc>
          <w:tcPr>
            <w:tcW w:w="2101" w:type="dxa"/>
            <w:vAlign w:val="center"/>
          </w:tcPr>
          <w:p w14:paraId="0A12A9A9">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锰</w:t>
            </w:r>
          </w:p>
        </w:tc>
        <w:tc>
          <w:tcPr>
            <w:tcW w:w="1555" w:type="dxa"/>
            <w:vAlign w:val="center"/>
          </w:tcPr>
          <w:p w14:paraId="7DA6C015">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≤0.1mg/l</w:t>
            </w:r>
          </w:p>
        </w:tc>
      </w:tr>
      <w:tr w14:paraId="671ABB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6" w:hRule="atLeast"/>
          <w:jc w:val="center"/>
        </w:trPr>
        <w:tc>
          <w:tcPr>
            <w:tcW w:w="1319" w:type="dxa"/>
            <w:vMerge w:val="continue"/>
            <w:vAlign w:val="center"/>
          </w:tcPr>
          <w:p w14:paraId="52337556">
            <w:pPr>
              <w:ind w:firstLine="0" w:firstLineChars="0"/>
              <w:jc w:val="center"/>
              <w:rPr>
                <w:rFonts w:hint="default" w:ascii="Times New Roman" w:hAnsi="Times New Roman" w:eastAsia="宋体" w:cs="Times New Roman"/>
                <w:color w:val="000000" w:themeColor="text1"/>
                <w:sz w:val="2"/>
                <w:szCs w:val="2"/>
                <w14:textFill>
                  <w14:solidFill>
                    <w14:schemeClr w14:val="tx1"/>
                  </w14:solidFill>
                </w14:textFill>
              </w:rPr>
            </w:pPr>
          </w:p>
        </w:tc>
        <w:tc>
          <w:tcPr>
            <w:tcW w:w="2468" w:type="dxa"/>
            <w:vAlign w:val="center"/>
          </w:tcPr>
          <w:p w14:paraId="4E6E67D4">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细菌总数</w:t>
            </w:r>
          </w:p>
        </w:tc>
        <w:tc>
          <w:tcPr>
            <w:tcW w:w="1571" w:type="dxa"/>
            <w:vAlign w:val="center"/>
          </w:tcPr>
          <w:p w14:paraId="320B403B">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≤100CFU/mL</w:t>
            </w:r>
          </w:p>
        </w:tc>
        <w:tc>
          <w:tcPr>
            <w:tcW w:w="2101" w:type="dxa"/>
            <w:vAlign w:val="center"/>
          </w:tcPr>
          <w:p w14:paraId="410858B9">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硒</w:t>
            </w:r>
          </w:p>
        </w:tc>
        <w:tc>
          <w:tcPr>
            <w:tcW w:w="1555" w:type="dxa"/>
            <w:vAlign w:val="center"/>
          </w:tcPr>
          <w:p w14:paraId="7AFEBC7F">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≤0.01mg/l</w:t>
            </w:r>
          </w:p>
        </w:tc>
      </w:tr>
      <w:tr w14:paraId="1861E2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6" w:hRule="atLeast"/>
          <w:jc w:val="center"/>
        </w:trPr>
        <w:tc>
          <w:tcPr>
            <w:tcW w:w="1319" w:type="dxa"/>
            <w:vMerge w:val="continue"/>
            <w:vAlign w:val="center"/>
          </w:tcPr>
          <w:p w14:paraId="1E35AE44">
            <w:pPr>
              <w:ind w:firstLine="0" w:firstLineChars="0"/>
              <w:jc w:val="center"/>
              <w:rPr>
                <w:rFonts w:hint="default" w:ascii="Times New Roman" w:hAnsi="Times New Roman" w:eastAsia="宋体" w:cs="Times New Roman"/>
                <w:color w:val="000000" w:themeColor="text1"/>
                <w:sz w:val="2"/>
                <w:szCs w:val="2"/>
                <w14:textFill>
                  <w14:solidFill>
                    <w14:schemeClr w14:val="tx1"/>
                  </w14:solidFill>
                </w14:textFill>
              </w:rPr>
            </w:pPr>
          </w:p>
        </w:tc>
        <w:tc>
          <w:tcPr>
            <w:tcW w:w="2468" w:type="dxa"/>
            <w:vAlign w:val="center"/>
          </w:tcPr>
          <w:p w14:paraId="76136782">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阴离子洗涤剂</w:t>
            </w:r>
          </w:p>
        </w:tc>
        <w:tc>
          <w:tcPr>
            <w:tcW w:w="1571" w:type="dxa"/>
            <w:vAlign w:val="center"/>
          </w:tcPr>
          <w:p w14:paraId="2586EBD3">
            <w:pPr>
              <w:pStyle w:val="36"/>
              <w:ind w:firstLine="0" w:firstLineChars="0"/>
              <w:rPr>
                <w:rFonts w:hint="default" w:ascii="Times New Roman" w:hAnsi="Times New Roman" w:eastAsia="宋体" w:cs="Times New Roman"/>
                <w:color w:val="000000" w:themeColor="text1"/>
                <w:sz w:val="20"/>
                <w14:textFill>
                  <w14:solidFill>
                    <w14:schemeClr w14:val="tx1"/>
                  </w14:solidFill>
                </w14:textFill>
              </w:rPr>
            </w:pPr>
          </w:p>
        </w:tc>
        <w:tc>
          <w:tcPr>
            <w:tcW w:w="2101" w:type="dxa"/>
            <w:vAlign w:val="center"/>
          </w:tcPr>
          <w:p w14:paraId="418A7C9E">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铝</w:t>
            </w:r>
          </w:p>
        </w:tc>
        <w:tc>
          <w:tcPr>
            <w:tcW w:w="1555" w:type="dxa"/>
            <w:vAlign w:val="center"/>
          </w:tcPr>
          <w:p w14:paraId="00EC3940">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≤0.02mg/l</w:t>
            </w:r>
          </w:p>
        </w:tc>
      </w:tr>
      <w:tr w14:paraId="3A9B0A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6" w:hRule="atLeast"/>
          <w:jc w:val="center"/>
        </w:trPr>
        <w:tc>
          <w:tcPr>
            <w:tcW w:w="1319" w:type="dxa"/>
            <w:vMerge w:val="continue"/>
            <w:vAlign w:val="center"/>
          </w:tcPr>
          <w:p w14:paraId="6354895D">
            <w:pPr>
              <w:ind w:firstLine="0" w:firstLineChars="0"/>
              <w:jc w:val="center"/>
              <w:rPr>
                <w:rFonts w:hint="default" w:ascii="Times New Roman" w:hAnsi="Times New Roman" w:eastAsia="宋体" w:cs="Times New Roman"/>
                <w:color w:val="000000" w:themeColor="text1"/>
                <w:sz w:val="2"/>
                <w:szCs w:val="2"/>
                <w14:textFill>
                  <w14:solidFill>
                    <w14:schemeClr w14:val="tx1"/>
                  </w14:solidFill>
                </w14:textFill>
              </w:rPr>
            </w:pPr>
          </w:p>
        </w:tc>
        <w:tc>
          <w:tcPr>
            <w:tcW w:w="2468" w:type="dxa"/>
            <w:vAlign w:val="center"/>
          </w:tcPr>
          <w:p w14:paraId="1E78C723">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钾</w:t>
            </w:r>
          </w:p>
        </w:tc>
        <w:tc>
          <w:tcPr>
            <w:tcW w:w="1571" w:type="dxa"/>
            <w:vAlign w:val="center"/>
          </w:tcPr>
          <w:p w14:paraId="68D995F6">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w:t>
            </w:r>
          </w:p>
        </w:tc>
        <w:tc>
          <w:tcPr>
            <w:tcW w:w="2101" w:type="dxa"/>
            <w:vAlign w:val="center"/>
          </w:tcPr>
          <w:p w14:paraId="2A3E9EBF">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碘化物</w:t>
            </w:r>
          </w:p>
        </w:tc>
        <w:tc>
          <w:tcPr>
            <w:tcW w:w="1555" w:type="dxa"/>
            <w:vAlign w:val="center"/>
          </w:tcPr>
          <w:p w14:paraId="75378FA4">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≤0.08mg/l</w:t>
            </w:r>
          </w:p>
        </w:tc>
      </w:tr>
      <w:tr w14:paraId="1A791C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6" w:hRule="atLeast"/>
          <w:jc w:val="center"/>
        </w:trPr>
        <w:tc>
          <w:tcPr>
            <w:tcW w:w="1319" w:type="dxa"/>
            <w:vMerge w:val="continue"/>
            <w:vAlign w:val="center"/>
          </w:tcPr>
          <w:p w14:paraId="0BDA974B">
            <w:pPr>
              <w:ind w:firstLine="0" w:firstLineChars="0"/>
              <w:jc w:val="center"/>
              <w:rPr>
                <w:rFonts w:hint="default" w:ascii="Times New Roman" w:hAnsi="Times New Roman" w:eastAsia="宋体" w:cs="Times New Roman"/>
                <w:color w:val="000000" w:themeColor="text1"/>
                <w:sz w:val="2"/>
                <w:szCs w:val="2"/>
                <w14:textFill>
                  <w14:solidFill>
                    <w14:schemeClr w14:val="tx1"/>
                  </w14:solidFill>
                </w14:textFill>
              </w:rPr>
            </w:pPr>
          </w:p>
        </w:tc>
        <w:tc>
          <w:tcPr>
            <w:tcW w:w="2468" w:type="dxa"/>
            <w:vAlign w:val="center"/>
          </w:tcPr>
          <w:p w14:paraId="1B9C74F8">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色度</w:t>
            </w:r>
          </w:p>
        </w:tc>
        <w:tc>
          <w:tcPr>
            <w:tcW w:w="1571" w:type="dxa"/>
            <w:vAlign w:val="center"/>
          </w:tcPr>
          <w:p w14:paraId="2C9087FD">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≤15</w:t>
            </w:r>
          </w:p>
        </w:tc>
        <w:tc>
          <w:tcPr>
            <w:tcW w:w="2101" w:type="dxa"/>
            <w:vAlign w:val="center"/>
          </w:tcPr>
          <w:p w14:paraId="6863380D">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浑浊度</w:t>
            </w:r>
          </w:p>
        </w:tc>
        <w:tc>
          <w:tcPr>
            <w:tcW w:w="1555" w:type="dxa"/>
            <w:vAlign w:val="center"/>
          </w:tcPr>
          <w:p w14:paraId="45CEF420">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≤3</w:t>
            </w:r>
          </w:p>
        </w:tc>
      </w:tr>
      <w:tr w14:paraId="6FEA16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6" w:hRule="atLeast"/>
          <w:jc w:val="center"/>
        </w:trPr>
        <w:tc>
          <w:tcPr>
            <w:tcW w:w="1319" w:type="dxa"/>
            <w:vMerge w:val="continue"/>
            <w:vAlign w:val="center"/>
          </w:tcPr>
          <w:p w14:paraId="6863575F">
            <w:pPr>
              <w:ind w:firstLine="0" w:firstLineChars="0"/>
              <w:jc w:val="center"/>
              <w:rPr>
                <w:rFonts w:hint="default" w:ascii="Times New Roman" w:hAnsi="Times New Roman" w:eastAsia="宋体" w:cs="Times New Roman"/>
                <w:color w:val="000000" w:themeColor="text1"/>
                <w:sz w:val="2"/>
                <w:szCs w:val="2"/>
                <w14:textFill>
                  <w14:solidFill>
                    <w14:schemeClr w14:val="tx1"/>
                  </w14:solidFill>
                </w14:textFill>
              </w:rPr>
            </w:pPr>
          </w:p>
        </w:tc>
        <w:tc>
          <w:tcPr>
            <w:tcW w:w="2468" w:type="dxa"/>
            <w:vAlign w:val="center"/>
          </w:tcPr>
          <w:p w14:paraId="52E91342">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臭和味</w:t>
            </w:r>
          </w:p>
        </w:tc>
        <w:tc>
          <w:tcPr>
            <w:tcW w:w="1571" w:type="dxa"/>
            <w:vAlign w:val="center"/>
          </w:tcPr>
          <w:p w14:paraId="21BE5BD1">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无</w:t>
            </w:r>
          </w:p>
        </w:tc>
        <w:tc>
          <w:tcPr>
            <w:tcW w:w="2101" w:type="dxa"/>
            <w:vAlign w:val="center"/>
          </w:tcPr>
          <w:p w14:paraId="58F38358">
            <w:pPr>
              <w:pStyle w:val="36"/>
              <w:ind w:firstLine="0" w:firstLineChars="0"/>
              <w:rPr>
                <w:rFonts w:hint="default" w:ascii="Times New Roman" w:hAnsi="Times New Roman" w:eastAsia="宋体" w:cs="Times New Roman"/>
                <w:color w:val="000000" w:themeColor="text1"/>
                <w:sz w:val="20"/>
                <w14:textFill>
                  <w14:solidFill>
                    <w14:schemeClr w14:val="tx1"/>
                  </w14:solidFill>
                </w14:textFill>
              </w:rPr>
            </w:pPr>
          </w:p>
        </w:tc>
        <w:tc>
          <w:tcPr>
            <w:tcW w:w="1555" w:type="dxa"/>
            <w:vAlign w:val="center"/>
          </w:tcPr>
          <w:p w14:paraId="249F81E5">
            <w:pPr>
              <w:pStyle w:val="36"/>
              <w:ind w:firstLine="0" w:firstLineChars="0"/>
              <w:rPr>
                <w:rFonts w:hint="default" w:ascii="Times New Roman" w:hAnsi="Times New Roman" w:eastAsia="宋体" w:cs="Times New Roman"/>
                <w:color w:val="000000" w:themeColor="text1"/>
                <w:sz w:val="20"/>
                <w14:textFill>
                  <w14:solidFill>
                    <w14:schemeClr w14:val="tx1"/>
                  </w14:solidFill>
                </w14:textFill>
              </w:rPr>
            </w:pPr>
          </w:p>
        </w:tc>
      </w:tr>
      <w:tr w14:paraId="7B658E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8" w:hRule="atLeast"/>
          <w:jc w:val="center"/>
        </w:trPr>
        <w:tc>
          <w:tcPr>
            <w:tcW w:w="9014" w:type="dxa"/>
            <w:gridSpan w:val="5"/>
            <w:vAlign w:val="center"/>
          </w:tcPr>
          <w:p w14:paraId="7F70A691">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《地下水质量标准》（GB/T14848-2017）Ⅲ类标准</w:t>
            </w:r>
          </w:p>
        </w:tc>
      </w:tr>
    </w:tbl>
    <w:p w14:paraId="1604B339">
      <w:pPr>
        <w:pStyle w:val="37"/>
        <w:tabs>
          <w:tab w:val="left" w:pos="980"/>
        </w:tabs>
        <w:adjustRightInd w:val="0"/>
        <w:snapToGrid w:val="0"/>
        <w:ind w:left="0" w:firstLine="482"/>
        <w:rPr>
          <w:rFonts w:hint="default" w:ascii="Times New Roman" w:hAnsi="Times New Roman" w:eastAsia="宋体" w:cs="Times New Roman"/>
          <w:b/>
          <w:color w:val="000000" w:themeColor="text1"/>
          <w14:textFill>
            <w14:solidFill>
              <w14:schemeClr w14:val="tx1"/>
            </w14:solidFill>
          </w14:textFill>
        </w:rPr>
      </w:pPr>
      <w:r>
        <w:rPr>
          <w:rFonts w:hint="default" w:ascii="Times New Roman" w:hAnsi="Times New Roman" w:eastAsia="宋体" w:cs="Times New Roman"/>
          <w:b/>
          <w:color w:val="000000" w:themeColor="text1"/>
          <w14:textFill>
            <w14:solidFill>
              <w14:schemeClr w14:val="tx1"/>
            </w14:solidFill>
          </w14:textFill>
        </w:rPr>
        <w:t>（3）声环境质量标准</w:t>
      </w:r>
    </w:p>
    <w:p w14:paraId="0676F218">
      <w:pPr>
        <w:pStyle w:val="11"/>
        <w:adjustRightInd w:val="0"/>
        <w:snapToGrid w:val="0"/>
        <w:ind w:firstLine="456"/>
        <w:rPr>
          <w:rFonts w:hint="default" w:ascii="Times New Roman" w:hAnsi="Times New Roman" w:eastAsia="宋体" w:cs="Times New Roman"/>
          <w:color w:val="000000" w:themeColor="text1"/>
          <w:spacing w:val="-6"/>
          <w:lang w:eastAsia="zh-CN"/>
          <w14:textFill>
            <w14:solidFill>
              <w14:schemeClr w14:val="tx1"/>
            </w14:solidFill>
          </w14:textFill>
        </w:rPr>
      </w:pPr>
      <w:r>
        <w:rPr>
          <w:rFonts w:hint="default" w:ascii="Times New Roman" w:hAnsi="Times New Roman" w:eastAsia="宋体" w:cs="Times New Roman"/>
          <w:color w:val="000000" w:themeColor="text1"/>
          <w:spacing w:val="-6"/>
          <w:lang w:eastAsia="zh-CN"/>
          <w14:textFill>
            <w14:solidFill>
              <w14:schemeClr w14:val="tx1"/>
            </w14:solidFill>
          </w14:textFill>
        </w:rPr>
        <w:t>声环境质量执行《声环境质量标准》（GB3096-2008）2类区标准。声环境质量评价因子执行标准见表2.4-3。</w:t>
      </w:r>
    </w:p>
    <w:p w14:paraId="6CEB186C">
      <w:pPr>
        <w:pStyle w:val="11"/>
        <w:adjustRightInd w:val="0"/>
        <w:snapToGrid w:val="0"/>
        <w:ind w:firstLine="0" w:firstLineChars="0"/>
        <w:jc w:val="center"/>
        <w:rPr>
          <w:rFonts w:hint="default" w:ascii="Times New Roman" w:hAnsi="Times New Roman" w:eastAsia="宋体" w:cs="Times New Roman"/>
          <w:b/>
          <w:color w:val="000000" w:themeColor="text1"/>
          <w:spacing w:val="-7"/>
          <w:lang w:eastAsia="zh-CN"/>
          <w14:textFill>
            <w14:solidFill>
              <w14:schemeClr w14:val="tx1"/>
            </w14:solidFill>
          </w14:textFill>
        </w:rPr>
      </w:pPr>
      <w:r>
        <w:rPr>
          <w:rFonts w:hint="default" w:ascii="Times New Roman" w:hAnsi="Times New Roman" w:eastAsia="宋体" w:cs="Times New Roman"/>
          <w:b/>
          <w:color w:val="000000" w:themeColor="text1"/>
          <w:spacing w:val="-7"/>
          <w:lang w:eastAsia="zh-CN"/>
          <w14:textFill>
            <w14:solidFill>
              <w14:schemeClr w14:val="tx1"/>
            </w14:solidFill>
          </w14:textFill>
        </w:rPr>
        <w:t>表2.5-3</w:t>
      </w:r>
      <w:r>
        <w:rPr>
          <w:rFonts w:hint="default" w:ascii="Times New Roman" w:hAnsi="Times New Roman" w:eastAsia="宋体" w:cs="Times New Roman"/>
          <w:b/>
          <w:color w:val="000000" w:themeColor="text1"/>
          <w:spacing w:val="-7"/>
          <w:lang w:eastAsia="zh-CN"/>
          <w14:textFill>
            <w14:solidFill>
              <w14:schemeClr w14:val="tx1"/>
            </w14:solidFill>
          </w14:textFill>
        </w:rPr>
        <w:tab/>
      </w:r>
      <w:r>
        <w:rPr>
          <w:rFonts w:hint="default" w:ascii="Times New Roman" w:hAnsi="Times New Roman" w:eastAsia="宋体" w:cs="Times New Roman"/>
          <w:b/>
          <w:color w:val="000000" w:themeColor="text1"/>
          <w:spacing w:val="-7"/>
          <w:lang w:eastAsia="zh-CN"/>
          <w14:textFill>
            <w14:solidFill>
              <w14:schemeClr w14:val="tx1"/>
            </w14:solidFill>
          </w14:textFill>
        </w:rPr>
        <w:t>声环境质量执行标准单位：dB（A）</w:t>
      </w:r>
    </w:p>
    <w:tbl>
      <w:tblPr>
        <w:tblStyle w:val="35"/>
        <w:tblW w:w="901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2254"/>
        <w:gridCol w:w="2000"/>
        <w:gridCol w:w="2064"/>
        <w:gridCol w:w="2696"/>
      </w:tblGrid>
      <w:tr w14:paraId="3AC918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2254" w:type="dxa"/>
            <w:vAlign w:val="center"/>
          </w:tcPr>
          <w:p w14:paraId="2C2D7A13">
            <w:pPr>
              <w:pStyle w:val="36"/>
              <w:ind w:firstLine="0" w:firstLineChars="0"/>
              <w:rPr>
                <w:rFonts w:hint="default" w:ascii="Times New Roman" w:hAnsi="Times New Roman" w:eastAsia="宋体" w:cs="Times New Roman"/>
                <w:b/>
                <w:color w:val="000000" w:themeColor="text1"/>
                <w:sz w:val="21"/>
                <w14:textFill>
                  <w14:solidFill>
                    <w14:schemeClr w14:val="tx1"/>
                  </w14:solidFill>
                </w14:textFill>
              </w:rPr>
            </w:pPr>
            <w:r>
              <w:rPr>
                <w:rFonts w:hint="default" w:ascii="Times New Roman" w:hAnsi="Times New Roman" w:eastAsia="宋体" w:cs="Times New Roman"/>
                <w:b/>
                <w:color w:val="000000" w:themeColor="text1"/>
                <w:sz w:val="21"/>
                <w14:textFill>
                  <w14:solidFill>
                    <w14:schemeClr w14:val="tx1"/>
                  </w14:solidFill>
                </w14:textFill>
              </w:rPr>
              <w:t>评价时段</w:t>
            </w:r>
          </w:p>
        </w:tc>
        <w:tc>
          <w:tcPr>
            <w:tcW w:w="2000" w:type="dxa"/>
            <w:vAlign w:val="center"/>
          </w:tcPr>
          <w:p w14:paraId="64FFBC96">
            <w:pPr>
              <w:pStyle w:val="36"/>
              <w:ind w:firstLine="0" w:firstLineChars="0"/>
              <w:rPr>
                <w:rFonts w:hint="default" w:ascii="Times New Roman" w:hAnsi="Times New Roman" w:eastAsia="宋体" w:cs="Times New Roman"/>
                <w:b/>
                <w:color w:val="000000" w:themeColor="text1"/>
                <w:sz w:val="21"/>
                <w14:textFill>
                  <w14:solidFill>
                    <w14:schemeClr w14:val="tx1"/>
                  </w14:solidFill>
                </w14:textFill>
              </w:rPr>
            </w:pPr>
            <w:r>
              <w:rPr>
                <w:rFonts w:hint="default" w:ascii="Times New Roman" w:hAnsi="Times New Roman" w:eastAsia="宋体" w:cs="Times New Roman"/>
                <w:b/>
                <w:color w:val="000000" w:themeColor="text1"/>
                <w:sz w:val="21"/>
                <w14:textFill>
                  <w14:solidFill>
                    <w14:schemeClr w14:val="tx1"/>
                  </w14:solidFill>
                </w14:textFill>
              </w:rPr>
              <w:t>评价因子</w:t>
            </w:r>
          </w:p>
        </w:tc>
        <w:tc>
          <w:tcPr>
            <w:tcW w:w="2064" w:type="dxa"/>
            <w:vAlign w:val="center"/>
          </w:tcPr>
          <w:p w14:paraId="1729AE5D">
            <w:pPr>
              <w:pStyle w:val="36"/>
              <w:ind w:firstLine="0" w:firstLineChars="0"/>
              <w:rPr>
                <w:rFonts w:hint="default" w:ascii="Times New Roman" w:hAnsi="Times New Roman" w:eastAsia="宋体" w:cs="Times New Roman"/>
                <w:b/>
                <w:color w:val="000000" w:themeColor="text1"/>
                <w:sz w:val="21"/>
                <w14:textFill>
                  <w14:solidFill>
                    <w14:schemeClr w14:val="tx1"/>
                  </w14:solidFill>
                </w14:textFill>
              </w:rPr>
            </w:pPr>
            <w:r>
              <w:rPr>
                <w:rFonts w:hint="default" w:ascii="Times New Roman" w:hAnsi="Times New Roman" w:eastAsia="宋体" w:cs="Times New Roman"/>
                <w:b/>
                <w:color w:val="000000" w:themeColor="text1"/>
                <w:sz w:val="21"/>
                <w14:textFill>
                  <w14:solidFill>
                    <w14:schemeClr w14:val="tx1"/>
                  </w14:solidFill>
                </w14:textFill>
              </w:rPr>
              <w:t>标准限值</w:t>
            </w:r>
          </w:p>
        </w:tc>
        <w:tc>
          <w:tcPr>
            <w:tcW w:w="2696" w:type="dxa"/>
            <w:vAlign w:val="center"/>
          </w:tcPr>
          <w:p w14:paraId="2F56C07B">
            <w:pPr>
              <w:pStyle w:val="36"/>
              <w:ind w:firstLine="0" w:firstLineChars="0"/>
              <w:rPr>
                <w:rFonts w:hint="default" w:ascii="Times New Roman" w:hAnsi="Times New Roman" w:eastAsia="宋体" w:cs="Times New Roman"/>
                <w:b/>
                <w:color w:val="000000" w:themeColor="text1"/>
                <w:sz w:val="21"/>
                <w14:textFill>
                  <w14:solidFill>
                    <w14:schemeClr w14:val="tx1"/>
                  </w14:solidFill>
                </w14:textFill>
              </w:rPr>
            </w:pPr>
            <w:r>
              <w:rPr>
                <w:rFonts w:hint="default" w:ascii="Times New Roman" w:hAnsi="Times New Roman" w:eastAsia="宋体" w:cs="Times New Roman"/>
                <w:b/>
                <w:color w:val="000000" w:themeColor="text1"/>
                <w:sz w:val="21"/>
                <w14:textFill>
                  <w14:solidFill>
                    <w14:schemeClr w14:val="tx1"/>
                  </w14:solidFill>
                </w14:textFill>
              </w:rPr>
              <w:t>标准来源</w:t>
            </w:r>
          </w:p>
        </w:tc>
      </w:tr>
      <w:tr w14:paraId="14D823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2254" w:type="dxa"/>
            <w:vAlign w:val="center"/>
          </w:tcPr>
          <w:p w14:paraId="06710CE1">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昼间</w:t>
            </w:r>
          </w:p>
        </w:tc>
        <w:tc>
          <w:tcPr>
            <w:tcW w:w="2000" w:type="dxa"/>
            <w:vAlign w:val="center"/>
          </w:tcPr>
          <w:p w14:paraId="171BC5C7">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L</w:t>
            </w:r>
            <w:r>
              <w:rPr>
                <w:rFonts w:hint="default" w:ascii="Times New Roman" w:hAnsi="Times New Roman" w:eastAsia="宋体" w:cs="Times New Roman"/>
                <w:color w:val="000000" w:themeColor="text1"/>
                <w:sz w:val="21"/>
                <w:vertAlign w:val="subscript"/>
                <w14:textFill>
                  <w14:solidFill>
                    <w14:schemeClr w14:val="tx1"/>
                  </w14:solidFill>
                </w14:textFill>
              </w:rPr>
              <w:t>d</w:t>
            </w:r>
          </w:p>
        </w:tc>
        <w:tc>
          <w:tcPr>
            <w:tcW w:w="2064" w:type="dxa"/>
            <w:vAlign w:val="center"/>
          </w:tcPr>
          <w:p w14:paraId="699BD920">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60</w:t>
            </w:r>
          </w:p>
        </w:tc>
        <w:tc>
          <w:tcPr>
            <w:tcW w:w="2696" w:type="dxa"/>
            <w:vMerge w:val="restart"/>
            <w:vAlign w:val="center"/>
          </w:tcPr>
          <w:p w14:paraId="37C521F7">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《声环境质量标准》</w:t>
            </w:r>
          </w:p>
          <w:p w14:paraId="4BB2DDF1">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（GB3096-2008）2类区标准</w:t>
            </w:r>
          </w:p>
        </w:tc>
      </w:tr>
      <w:tr w14:paraId="27F1D3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2254" w:type="dxa"/>
            <w:vAlign w:val="center"/>
          </w:tcPr>
          <w:p w14:paraId="56055B3F">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夜间</w:t>
            </w:r>
          </w:p>
        </w:tc>
        <w:tc>
          <w:tcPr>
            <w:tcW w:w="2000" w:type="dxa"/>
            <w:vAlign w:val="center"/>
          </w:tcPr>
          <w:p w14:paraId="6C02A147">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L</w:t>
            </w:r>
            <w:r>
              <w:rPr>
                <w:rFonts w:hint="default" w:ascii="Times New Roman" w:hAnsi="Times New Roman" w:eastAsia="宋体" w:cs="Times New Roman"/>
                <w:color w:val="000000" w:themeColor="text1"/>
                <w:sz w:val="21"/>
                <w:vertAlign w:val="subscript"/>
                <w14:textFill>
                  <w14:solidFill>
                    <w14:schemeClr w14:val="tx1"/>
                  </w14:solidFill>
                </w14:textFill>
              </w:rPr>
              <w:t>n</w:t>
            </w:r>
          </w:p>
        </w:tc>
        <w:tc>
          <w:tcPr>
            <w:tcW w:w="2064" w:type="dxa"/>
            <w:vAlign w:val="center"/>
          </w:tcPr>
          <w:p w14:paraId="5CA7EDEB">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50</w:t>
            </w:r>
          </w:p>
        </w:tc>
        <w:tc>
          <w:tcPr>
            <w:tcW w:w="2696" w:type="dxa"/>
            <w:vMerge w:val="continue"/>
            <w:vAlign w:val="center"/>
          </w:tcPr>
          <w:p w14:paraId="44A08415">
            <w:pPr>
              <w:ind w:firstLine="0" w:firstLineChars="0"/>
              <w:jc w:val="center"/>
              <w:rPr>
                <w:rFonts w:hint="default" w:ascii="Times New Roman" w:hAnsi="Times New Roman" w:eastAsia="宋体" w:cs="Times New Roman"/>
                <w:color w:val="000000" w:themeColor="text1"/>
                <w:sz w:val="2"/>
                <w:szCs w:val="2"/>
                <w14:textFill>
                  <w14:solidFill>
                    <w14:schemeClr w14:val="tx1"/>
                  </w14:solidFill>
                </w14:textFill>
              </w:rPr>
            </w:pPr>
          </w:p>
        </w:tc>
      </w:tr>
    </w:tbl>
    <w:p w14:paraId="136B9DF1">
      <w:pPr>
        <w:pStyle w:val="37"/>
        <w:tabs>
          <w:tab w:val="left" w:pos="980"/>
        </w:tabs>
        <w:adjustRightInd w:val="0"/>
        <w:snapToGrid w:val="0"/>
        <w:ind w:left="0" w:firstLine="482"/>
        <w:rPr>
          <w:rFonts w:hint="default" w:ascii="Times New Roman" w:hAnsi="Times New Roman" w:eastAsia="宋体" w:cs="Times New Roman"/>
          <w:b/>
          <w:color w:val="000000" w:themeColor="text1"/>
          <w14:textFill>
            <w14:solidFill>
              <w14:schemeClr w14:val="tx1"/>
            </w14:solidFill>
          </w14:textFill>
        </w:rPr>
      </w:pPr>
      <w:r>
        <w:rPr>
          <w:rFonts w:hint="default" w:ascii="Times New Roman" w:hAnsi="Times New Roman" w:eastAsia="宋体" w:cs="Times New Roman"/>
          <w:b/>
          <w:color w:val="000000" w:themeColor="text1"/>
          <w14:textFill>
            <w14:solidFill>
              <w14:schemeClr w14:val="tx1"/>
            </w14:solidFill>
          </w14:textFill>
        </w:rPr>
        <w:t>（3）土壤环境质量标准</w:t>
      </w:r>
    </w:p>
    <w:p w14:paraId="6FB275F5">
      <w:pPr>
        <w:pStyle w:val="11"/>
        <w:adjustRightInd w:val="0"/>
        <w:snapToGrid w:val="0"/>
        <w:ind w:firstLine="456"/>
        <w:rPr>
          <w:rFonts w:hint="default" w:ascii="Times New Roman" w:hAnsi="Times New Roman" w:eastAsia="宋体" w:cs="Times New Roman"/>
          <w:color w:val="000000" w:themeColor="text1"/>
          <w:spacing w:val="-6"/>
          <w:lang w:eastAsia="zh-CN"/>
          <w14:textFill>
            <w14:solidFill>
              <w14:schemeClr w14:val="tx1"/>
            </w14:solidFill>
          </w14:textFill>
        </w:rPr>
      </w:pPr>
      <w:r>
        <w:rPr>
          <w:rFonts w:hint="default" w:ascii="Times New Roman" w:hAnsi="Times New Roman" w:eastAsia="宋体" w:cs="Times New Roman"/>
          <w:color w:val="000000" w:themeColor="text1"/>
          <w:spacing w:val="-6"/>
          <w:lang w:eastAsia="zh-CN"/>
          <w14:textFill>
            <w14:solidFill>
              <w14:schemeClr w14:val="tx1"/>
            </w14:solidFill>
          </w14:textFill>
        </w:rPr>
        <w:t>本次土壤环境影响评价，评价区域土壤环境质量执行《土壤环境质量农用地土壤污染风险管控标准》（GB15618-2018）风险筛选值。土壤环境质量评价因子执行标准见表2.5-4。</w:t>
      </w:r>
    </w:p>
    <w:p w14:paraId="1EC2B1C8">
      <w:pPr>
        <w:tabs>
          <w:tab w:val="left" w:pos="2771"/>
          <w:tab w:val="left" w:pos="6612"/>
        </w:tabs>
        <w:adjustRightInd w:val="0"/>
        <w:snapToGrid w:val="0"/>
        <w:ind w:firstLine="0" w:firstLineChars="0"/>
        <w:jc w:val="center"/>
        <w:rPr>
          <w:rFonts w:hint="default" w:ascii="Times New Roman" w:hAnsi="Times New Roman" w:eastAsia="宋体" w:cs="Times New Roman"/>
          <w:b/>
          <w:color w:val="000000" w:themeColor="text1"/>
          <w14:textFill>
            <w14:solidFill>
              <w14:schemeClr w14:val="tx1"/>
            </w14:solidFill>
          </w14:textFill>
        </w:rPr>
      </w:pPr>
      <w:r>
        <w:rPr>
          <w:rFonts w:hint="default" w:ascii="Times New Roman" w:hAnsi="Times New Roman" w:eastAsia="宋体" w:cs="Times New Roman"/>
          <w:b/>
          <w:color w:val="000000" w:themeColor="text1"/>
          <w14:textFill>
            <w14:solidFill>
              <w14:schemeClr w14:val="tx1"/>
            </w14:solidFill>
          </w14:textFill>
        </w:rPr>
        <w:t>表2.5-4土壤环境质量评价执行标准（mg/kg）</w:t>
      </w:r>
    </w:p>
    <w:tbl>
      <w:tblPr>
        <w:tblStyle w:val="35"/>
        <w:tblW w:w="901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77"/>
        <w:gridCol w:w="1973"/>
        <w:gridCol w:w="1048"/>
        <w:gridCol w:w="1355"/>
        <w:gridCol w:w="1354"/>
        <w:gridCol w:w="1354"/>
        <w:gridCol w:w="1353"/>
      </w:tblGrid>
      <w:tr w14:paraId="27050C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77" w:type="dxa"/>
            <w:vMerge w:val="restart"/>
            <w:vAlign w:val="center"/>
          </w:tcPr>
          <w:p w14:paraId="519DEFC2">
            <w:pPr>
              <w:pStyle w:val="36"/>
              <w:ind w:firstLine="0" w:firstLineChars="0"/>
              <w:rPr>
                <w:rFonts w:hint="default" w:ascii="Times New Roman" w:hAnsi="Times New Roman" w:eastAsia="宋体" w:cs="Times New Roman"/>
                <w:b/>
                <w:bCs/>
                <w:color w:val="000000" w:themeColor="text1"/>
                <w:sz w:val="21"/>
                <w14:textFill>
                  <w14:solidFill>
                    <w14:schemeClr w14:val="tx1"/>
                  </w14:solidFill>
                </w14:textFill>
              </w:rPr>
            </w:pPr>
            <w:r>
              <w:rPr>
                <w:rFonts w:hint="default" w:ascii="Times New Roman" w:hAnsi="Times New Roman" w:eastAsia="宋体" w:cs="Times New Roman"/>
                <w:b/>
                <w:bCs/>
                <w:color w:val="000000" w:themeColor="text1"/>
                <w:sz w:val="21"/>
                <w14:textFill>
                  <w14:solidFill>
                    <w14:schemeClr w14:val="tx1"/>
                  </w14:solidFill>
                </w14:textFill>
              </w:rPr>
              <w:t>土壤环境</w:t>
            </w:r>
          </w:p>
        </w:tc>
        <w:tc>
          <w:tcPr>
            <w:tcW w:w="1973" w:type="dxa"/>
            <w:vMerge w:val="restart"/>
            <w:vAlign w:val="center"/>
          </w:tcPr>
          <w:p w14:paraId="48258A45">
            <w:pPr>
              <w:pStyle w:val="36"/>
              <w:ind w:firstLine="0" w:firstLineChars="0"/>
              <w:rPr>
                <w:rFonts w:hint="default" w:ascii="Times New Roman" w:hAnsi="Times New Roman" w:eastAsia="宋体" w:cs="Times New Roman"/>
                <w:b/>
                <w:bCs/>
                <w:color w:val="000000" w:themeColor="text1"/>
                <w:sz w:val="21"/>
                <w14:textFill>
                  <w14:solidFill>
                    <w14:schemeClr w14:val="tx1"/>
                  </w14:solidFill>
                </w14:textFill>
              </w:rPr>
            </w:pPr>
            <w:r>
              <w:rPr>
                <w:rFonts w:hint="default" w:ascii="Times New Roman" w:hAnsi="Times New Roman" w:eastAsia="宋体" w:cs="Times New Roman"/>
                <w:b/>
                <w:bCs/>
                <w:color w:val="000000" w:themeColor="text1"/>
                <w:sz w:val="21"/>
                <w14:textFill>
                  <w14:solidFill>
                    <w14:schemeClr w14:val="tx1"/>
                  </w14:solidFill>
                </w14:textFill>
              </w:rPr>
              <w:t>《土壤环境质量</w:t>
            </w:r>
            <w:r>
              <w:rPr>
                <w:rFonts w:hint="default" w:ascii="Times New Roman" w:hAnsi="Times New Roman" w:eastAsia="宋体" w:cs="Times New Roman"/>
                <w:b/>
                <w:bCs/>
                <w:color w:val="000000" w:themeColor="text1"/>
                <w:spacing w:val="-3"/>
                <w:sz w:val="21"/>
                <w14:textFill>
                  <w14:solidFill>
                    <w14:schemeClr w14:val="tx1"/>
                  </w14:solidFill>
                </w14:textFill>
              </w:rPr>
              <w:t>农用地土壤污染风</w:t>
            </w:r>
            <w:r>
              <w:rPr>
                <w:rFonts w:hint="default" w:ascii="Times New Roman" w:hAnsi="Times New Roman" w:eastAsia="宋体" w:cs="Times New Roman"/>
                <w:b/>
                <w:bCs/>
                <w:color w:val="000000" w:themeColor="text1"/>
                <w:sz w:val="21"/>
                <w14:textFill>
                  <w14:solidFill>
                    <w14:schemeClr w14:val="tx1"/>
                  </w14:solidFill>
                </w14:textFill>
              </w:rPr>
              <w:t>险管控标准》（GB15618-2018）风险筛选值</w:t>
            </w:r>
          </w:p>
        </w:tc>
        <w:tc>
          <w:tcPr>
            <w:tcW w:w="1048" w:type="dxa"/>
            <w:vMerge w:val="restart"/>
            <w:vAlign w:val="center"/>
          </w:tcPr>
          <w:p w14:paraId="2EE0D1FA">
            <w:pPr>
              <w:pStyle w:val="36"/>
              <w:ind w:firstLine="0" w:firstLineChars="0"/>
              <w:rPr>
                <w:rFonts w:hint="default" w:ascii="Times New Roman" w:hAnsi="Times New Roman" w:eastAsia="宋体" w:cs="Times New Roman"/>
                <w:b/>
                <w:bCs/>
                <w:color w:val="000000" w:themeColor="text1"/>
                <w:sz w:val="21"/>
                <w14:textFill>
                  <w14:solidFill>
                    <w14:schemeClr w14:val="tx1"/>
                  </w14:solidFill>
                </w14:textFill>
              </w:rPr>
            </w:pPr>
            <w:r>
              <w:rPr>
                <w:rFonts w:hint="default" w:ascii="Times New Roman" w:hAnsi="Times New Roman" w:eastAsia="宋体" w:cs="Times New Roman"/>
                <w:b/>
                <w:bCs/>
                <w:color w:val="000000" w:themeColor="text1"/>
                <w:sz w:val="21"/>
                <w14:textFill>
                  <w14:solidFill>
                    <w14:schemeClr w14:val="tx1"/>
                  </w14:solidFill>
                </w14:textFill>
              </w:rPr>
              <w:t>污染因子</w:t>
            </w:r>
          </w:p>
        </w:tc>
        <w:tc>
          <w:tcPr>
            <w:tcW w:w="5416" w:type="dxa"/>
            <w:gridSpan w:val="4"/>
            <w:vAlign w:val="center"/>
          </w:tcPr>
          <w:p w14:paraId="2E5A35F7">
            <w:pPr>
              <w:pStyle w:val="36"/>
              <w:ind w:firstLine="0" w:firstLineChars="0"/>
              <w:rPr>
                <w:rFonts w:hint="default" w:ascii="Times New Roman" w:hAnsi="Times New Roman" w:eastAsia="宋体" w:cs="Times New Roman"/>
                <w:b/>
                <w:bCs/>
                <w:color w:val="000000" w:themeColor="text1"/>
                <w:sz w:val="21"/>
                <w14:textFill>
                  <w14:solidFill>
                    <w14:schemeClr w14:val="tx1"/>
                  </w14:solidFill>
                </w14:textFill>
              </w:rPr>
            </w:pPr>
            <w:r>
              <w:rPr>
                <w:rFonts w:hint="default" w:ascii="Times New Roman" w:hAnsi="Times New Roman" w:eastAsia="宋体" w:cs="Times New Roman"/>
                <w:b/>
                <w:bCs/>
                <w:color w:val="000000" w:themeColor="text1"/>
                <w:sz w:val="21"/>
                <w14:textFill>
                  <w14:solidFill>
                    <w14:schemeClr w14:val="tx1"/>
                  </w14:solidFill>
                </w14:textFill>
              </w:rPr>
              <w:t>风险筛选值</w:t>
            </w:r>
          </w:p>
        </w:tc>
      </w:tr>
      <w:tr w14:paraId="38E014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77" w:type="dxa"/>
            <w:vMerge w:val="continue"/>
            <w:vAlign w:val="center"/>
          </w:tcPr>
          <w:p w14:paraId="2EAD8754">
            <w:pPr>
              <w:ind w:firstLine="0" w:firstLineChars="0"/>
              <w:jc w:val="center"/>
              <w:rPr>
                <w:rFonts w:hint="default" w:ascii="Times New Roman" w:hAnsi="Times New Roman" w:eastAsia="宋体" w:cs="Times New Roman"/>
                <w:color w:val="000000" w:themeColor="text1"/>
                <w:sz w:val="2"/>
                <w:szCs w:val="2"/>
                <w14:textFill>
                  <w14:solidFill>
                    <w14:schemeClr w14:val="tx1"/>
                  </w14:solidFill>
                </w14:textFill>
              </w:rPr>
            </w:pPr>
          </w:p>
        </w:tc>
        <w:tc>
          <w:tcPr>
            <w:tcW w:w="1973" w:type="dxa"/>
            <w:vMerge w:val="continue"/>
            <w:vAlign w:val="center"/>
          </w:tcPr>
          <w:p w14:paraId="25E6888C">
            <w:pPr>
              <w:ind w:firstLine="0" w:firstLineChars="0"/>
              <w:jc w:val="center"/>
              <w:rPr>
                <w:rFonts w:hint="default" w:ascii="Times New Roman" w:hAnsi="Times New Roman" w:eastAsia="宋体" w:cs="Times New Roman"/>
                <w:color w:val="000000" w:themeColor="text1"/>
                <w:sz w:val="2"/>
                <w:szCs w:val="2"/>
                <w14:textFill>
                  <w14:solidFill>
                    <w14:schemeClr w14:val="tx1"/>
                  </w14:solidFill>
                </w14:textFill>
              </w:rPr>
            </w:pPr>
          </w:p>
        </w:tc>
        <w:tc>
          <w:tcPr>
            <w:tcW w:w="1048" w:type="dxa"/>
            <w:vMerge w:val="continue"/>
            <w:vAlign w:val="center"/>
          </w:tcPr>
          <w:p w14:paraId="4D1878E1">
            <w:pPr>
              <w:ind w:firstLine="0" w:firstLineChars="0"/>
              <w:jc w:val="center"/>
              <w:rPr>
                <w:rFonts w:hint="default" w:ascii="Times New Roman" w:hAnsi="Times New Roman" w:eastAsia="宋体" w:cs="Times New Roman"/>
                <w:color w:val="000000" w:themeColor="text1"/>
                <w:sz w:val="2"/>
                <w:szCs w:val="2"/>
                <w14:textFill>
                  <w14:solidFill>
                    <w14:schemeClr w14:val="tx1"/>
                  </w14:solidFill>
                </w14:textFill>
              </w:rPr>
            </w:pPr>
          </w:p>
        </w:tc>
        <w:tc>
          <w:tcPr>
            <w:tcW w:w="1355" w:type="dxa"/>
            <w:vAlign w:val="center"/>
          </w:tcPr>
          <w:p w14:paraId="57F32965">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pH≤5.5</w:t>
            </w:r>
          </w:p>
        </w:tc>
        <w:tc>
          <w:tcPr>
            <w:tcW w:w="1354" w:type="dxa"/>
            <w:vAlign w:val="center"/>
          </w:tcPr>
          <w:p w14:paraId="0AA63128">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5.5＜pH≤6.5</w:t>
            </w:r>
          </w:p>
        </w:tc>
        <w:tc>
          <w:tcPr>
            <w:tcW w:w="1354" w:type="dxa"/>
            <w:vAlign w:val="center"/>
          </w:tcPr>
          <w:p w14:paraId="5CC1A304">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6.5＜pH≤7.5</w:t>
            </w:r>
          </w:p>
        </w:tc>
        <w:tc>
          <w:tcPr>
            <w:tcW w:w="1353" w:type="dxa"/>
            <w:vAlign w:val="center"/>
          </w:tcPr>
          <w:p w14:paraId="1C41D295">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pH＞7.5</w:t>
            </w:r>
          </w:p>
        </w:tc>
      </w:tr>
      <w:tr w14:paraId="13EB2E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77" w:type="dxa"/>
            <w:vMerge w:val="continue"/>
            <w:vAlign w:val="center"/>
          </w:tcPr>
          <w:p w14:paraId="1116FCC3">
            <w:pPr>
              <w:ind w:firstLine="0" w:firstLineChars="0"/>
              <w:jc w:val="center"/>
              <w:rPr>
                <w:rFonts w:hint="default" w:ascii="Times New Roman" w:hAnsi="Times New Roman" w:eastAsia="宋体" w:cs="Times New Roman"/>
                <w:color w:val="000000" w:themeColor="text1"/>
                <w:sz w:val="2"/>
                <w:szCs w:val="2"/>
                <w14:textFill>
                  <w14:solidFill>
                    <w14:schemeClr w14:val="tx1"/>
                  </w14:solidFill>
                </w14:textFill>
              </w:rPr>
            </w:pPr>
          </w:p>
        </w:tc>
        <w:tc>
          <w:tcPr>
            <w:tcW w:w="1973" w:type="dxa"/>
            <w:vMerge w:val="continue"/>
            <w:vAlign w:val="center"/>
          </w:tcPr>
          <w:p w14:paraId="377AA6D3">
            <w:pPr>
              <w:ind w:firstLine="0" w:firstLineChars="0"/>
              <w:jc w:val="center"/>
              <w:rPr>
                <w:rFonts w:hint="default" w:ascii="Times New Roman" w:hAnsi="Times New Roman" w:eastAsia="宋体" w:cs="Times New Roman"/>
                <w:color w:val="000000" w:themeColor="text1"/>
                <w:sz w:val="2"/>
                <w:szCs w:val="2"/>
                <w14:textFill>
                  <w14:solidFill>
                    <w14:schemeClr w14:val="tx1"/>
                  </w14:solidFill>
                </w14:textFill>
              </w:rPr>
            </w:pPr>
          </w:p>
        </w:tc>
        <w:tc>
          <w:tcPr>
            <w:tcW w:w="1048" w:type="dxa"/>
            <w:vAlign w:val="center"/>
          </w:tcPr>
          <w:p w14:paraId="6494FADF">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镉</w:t>
            </w:r>
          </w:p>
        </w:tc>
        <w:tc>
          <w:tcPr>
            <w:tcW w:w="1355" w:type="dxa"/>
            <w:vAlign w:val="center"/>
          </w:tcPr>
          <w:p w14:paraId="02BB960D">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0.3</w:t>
            </w:r>
          </w:p>
        </w:tc>
        <w:tc>
          <w:tcPr>
            <w:tcW w:w="1354" w:type="dxa"/>
            <w:vAlign w:val="center"/>
          </w:tcPr>
          <w:p w14:paraId="02F25DB5">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0.3</w:t>
            </w:r>
          </w:p>
        </w:tc>
        <w:tc>
          <w:tcPr>
            <w:tcW w:w="1354" w:type="dxa"/>
            <w:vAlign w:val="center"/>
          </w:tcPr>
          <w:p w14:paraId="011E4ED0">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0.3</w:t>
            </w:r>
          </w:p>
        </w:tc>
        <w:tc>
          <w:tcPr>
            <w:tcW w:w="1353" w:type="dxa"/>
            <w:vAlign w:val="center"/>
          </w:tcPr>
          <w:p w14:paraId="3CADCE19">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0.6</w:t>
            </w:r>
          </w:p>
        </w:tc>
      </w:tr>
      <w:tr w14:paraId="36F14D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77" w:type="dxa"/>
            <w:vMerge w:val="continue"/>
            <w:vAlign w:val="center"/>
          </w:tcPr>
          <w:p w14:paraId="296B9E1C">
            <w:pPr>
              <w:ind w:firstLine="0" w:firstLineChars="0"/>
              <w:jc w:val="center"/>
              <w:rPr>
                <w:rFonts w:hint="default" w:ascii="Times New Roman" w:hAnsi="Times New Roman" w:eastAsia="宋体" w:cs="Times New Roman"/>
                <w:color w:val="000000" w:themeColor="text1"/>
                <w:sz w:val="2"/>
                <w:szCs w:val="2"/>
                <w14:textFill>
                  <w14:solidFill>
                    <w14:schemeClr w14:val="tx1"/>
                  </w14:solidFill>
                </w14:textFill>
              </w:rPr>
            </w:pPr>
          </w:p>
        </w:tc>
        <w:tc>
          <w:tcPr>
            <w:tcW w:w="1973" w:type="dxa"/>
            <w:vMerge w:val="continue"/>
            <w:vAlign w:val="center"/>
          </w:tcPr>
          <w:p w14:paraId="1FA7A838">
            <w:pPr>
              <w:ind w:firstLine="0" w:firstLineChars="0"/>
              <w:jc w:val="center"/>
              <w:rPr>
                <w:rFonts w:hint="default" w:ascii="Times New Roman" w:hAnsi="Times New Roman" w:eastAsia="宋体" w:cs="Times New Roman"/>
                <w:color w:val="000000" w:themeColor="text1"/>
                <w:sz w:val="2"/>
                <w:szCs w:val="2"/>
                <w14:textFill>
                  <w14:solidFill>
                    <w14:schemeClr w14:val="tx1"/>
                  </w14:solidFill>
                </w14:textFill>
              </w:rPr>
            </w:pPr>
          </w:p>
        </w:tc>
        <w:tc>
          <w:tcPr>
            <w:tcW w:w="1048" w:type="dxa"/>
            <w:vAlign w:val="center"/>
          </w:tcPr>
          <w:p w14:paraId="0EFFA4D3">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汞</w:t>
            </w:r>
          </w:p>
        </w:tc>
        <w:tc>
          <w:tcPr>
            <w:tcW w:w="1355" w:type="dxa"/>
            <w:vAlign w:val="center"/>
          </w:tcPr>
          <w:p w14:paraId="550F62E3">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1.3</w:t>
            </w:r>
          </w:p>
        </w:tc>
        <w:tc>
          <w:tcPr>
            <w:tcW w:w="1354" w:type="dxa"/>
            <w:vAlign w:val="center"/>
          </w:tcPr>
          <w:p w14:paraId="6722EC82">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1.8</w:t>
            </w:r>
          </w:p>
        </w:tc>
        <w:tc>
          <w:tcPr>
            <w:tcW w:w="1354" w:type="dxa"/>
            <w:vAlign w:val="center"/>
          </w:tcPr>
          <w:p w14:paraId="4B1F67F6">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2.4</w:t>
            </w:r>
          </w:p>
        </w:tc>
        <w:tc>
          <w:tcPr>
            <w:tcW w:w="1353" w:type="dxa"/>
            <w:vAlign w:val="center"/>
          </w:tcPr>
          <w:p w14:paraId="7E650F27">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3.4</w:t>
            </w:r>
          </w:p>
        </w:tc>
      </w:tr>
      <w:tr w14:paraId="263152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77" w:type="dxa"/>
            <w:vMerge w:val="continue"/>
            <w:vAlign w:val="center"/>
          </w:tcPr>
          <w:p w14:paraId="4D0912DB">
            <w:pPr>
              <w:ind w:firstLine="0" w:firstLineChars="0"/>
              <w:jc w:val="center"/>
              <w:rPr>
                <w:rFonts w:hint="default" w:ascii="Times New Roman" w:hAnsi="Times New Roman" w:eastAsia="宋体" w:cs="Times New Roman"/>
                <w:color w:val="000000" w:themeColor="text1"/>
                <w:sz w:val="2"/>
                <w:szCs w:val="2"/>
                <w14:textFill>
                  <w14:solidFill>
                    <w14:schemeClr w14:val="tx1"/>
                  </w14:solidFill>
                </w14:textFill>
              </w:rPr>
            </w:pPr>
          </w:p>
        </w:tc>
        <w:tc>
          <w:tcPr>
            <w:tcW w:w="1973" w:type="dxa"/>
            <w:vMerge w:val="continue"/>
            <w:vAlign w:val="center"/>
          </w:tcPr>
          <w:p w14:paraId="1576986F">
            <w:pPr>
              <w:ind w:firstLine="0" w:firstLineChars="0"/>
              <w:jc w:val="center"/>
              <w:rPr>
                <w:rFonts w:hint="default" w:ascii="Times New Roman" w:hAnsi="Times New Roman" w:eastAsia="宋体" w:cs="Times New Roman"/>
                <w:color w:val="000000" w:themeColor="text1"/>
                <w:sz w:val="2"/>
                <w:szCs w:val="2"/>
                <w14:textFill>
                  <w14:solidFill>
                    <w14:schemeClr w14:val="tx1"/>
                  </w14:solidFill>
                </w14:textFill>
              </w:rPr>
            </w:pPr>
          </w:p>
        </w:tc>
        <w:tc>
          <w:tcPr>
            <w:tcW w:w="1048" w:type="dxa"/>
            <w:vAlign w:val="center"/>
          </w:tcPr>
          <w:p w14:paraId="5E0646C9">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砷</w:t>
            </w:r>
          </w:p>
        </w:tc>
        <w:tc>
          <w:tcPr>
            <w:tcW w:w="1355" w:type="dxa"/>
            <w:vAlign w:val="center"/>
          </w:tcPr>
          <w:p w14:paraId="10C54F61">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40</w:t>
            </w:r>
          </w:p>
        </w:tc>
        <w:tc>
          <w:tcPr>
            <w:tcW w:w="1354" w:type="dxa"/>
            <w:vAlign w:val="center"/>
          </w:tcPr>
          <w:p w14:paraId="529F9FC3">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40</w:t>
            </w:r>
          </w:p>
        </w:tc>
        <w:tc>
          <w:tcPr>
            <w:tcW w:w="1354" w:type="dxa"/>
            <w:vAlign w:val="center"/>
          </w:tcPr>
          <w:p w14:paraId="76C55EEE">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30</w:t>
            </w:r>
          </w:p>
        </w:tc>
        <w:tc>
          <w:tcPr>
            <w:tcW w:w="1353" w:type="dxa"/>
            <w:vAlign w:val="center"/>
          </w:tcPr>
          <w:p w14:paraId="7DAEFEE9">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25</w:t>
            </w:r>
          </w:p>
        </w:tc>
      </w:tr>
      <w:tr w14:paraId="63A310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77" w:type="dxa"/>
            <w:vMerge w:val="continue"/>
            <w:vAlign w:val="center"/>
          </w:tcPr>
          <w:p w14:paraId="60AB73D5">
            <w:pPr>
              <w:ind w:firstLine="0" w:firstLineChars="0"/>
              <w:jc w:val="center"/>
              <w:rPr>
                <w:rFonts w:hint="default" w:ascii="Times New Roman" w:hAnsi="Times New Roman" w:eastAsia="宋体" w:cs="Times New Roman"/>
                <w:color w:val="000000" w:themeColor="text1"/>
                <w:sz w:val="2"/>
                <w:szCs w:val="2"/>
                <w14:textFill>
                  <w14:solidFill>
                    <w14:schemeClr w14:val="tx1"/>
                  </w14:solidFill>
                </w14:textFill>
              </w:rPr>
            </w:pPr>
          </w:p>
        </w:tc>
        <w:tc>
          <w:tcPr>
            <w:tcW w:w="1973" w:type="dxa"/>
            <w:vMerge w:val="continue"/>
            <w:vAlign w:val="center"/>
          </w:tcPr>
          <w:p w14:paraId="251EE6D5">
            <w:pPr>
              <w:ind w:firstLine="0" w:firstLineChars="0"/>
              <w:jc w:val="center"/>
              <w:rPr>
                <w:rFonts w:hint="default" w:ascii="Times New Roman" w:hAnsi="Times New Roman" w:eastAsia="宋体" w:cs="Times New Roman"/>
                <w:color w:val="000000" w:themeColor="text1"/>
                <w:sz w:val="2"/>
                <w:szCs w:val="2"/>
                <w14:textFill>
                  <w14:solidFill>
                    <w14:schemeClr w14:val="tx1"/>
                  </w14:solidFill>
                </w14:textFill>
              </w:rPr>
            </w:pPr>
          </w:p>
        </w:tc>
        <w:tc>
          <w:tcPr>
            <w:tcW w:w="1048" w:type="dxa"/>
            <w:vAlign w:val="center"/>
          </w:tcPr>
          <w:p w14:paraId="5AE4FD3D">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铅</w:t>
            </w:r>
          </w:p>
        </w:tc>
        <w:tc>
          <w:tcPr>
            <w:tcW w:w="1355" w:type="dxa"/>
            <w:vAlign w:val="center"/>
          </w:tcPr>
          <w:p w14:paraId="30F6DE49">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70</w:t>
            </w:r>
          </w:p>
        </w:tc>
        <w:tc>
          <w:tcPr>
            <w:tcW w:w="1354" w:type="dxa"/>
            <w:vAlign w:val="center"/>
          </w:tcPr>
          <w:p w14:paraId="7E966857">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90</w:t>
            </w:r>
          </w:p>
        </w:tc>
        <w:tc>
          <w:tcPr>
            <w:tcW w:w="1354" w:type="dxa"/>
            <w:vAlign w:val="center"/>
          </w:tcPr>
          <w:p w14:paraId="1A079B05">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120</w:t>
            </w:r>
          </w:p>
        </w:tc>
        <w:tc>
          <w:tcPr>
            <w:tcW w:w="1353" w:type="dxa"/>
            <w:vAlign w:val="center"/>
          </w:tcPr>
          <w:p w14:paraId="220AC07E">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170</w:t>
            </w:r>
          </w:p>
        </w:tc>
      </w:tr>
      <w:tr w14:paraId="6C6E82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77" w:type="dxa"/>
            <w:vMerge w:val="continue"/>
            <w:vAlign w:val="center"/>
          </w:tcPr>
          <w:p w14:paraId="249BEEC4">
            <w:pPr>
              <w:ind w:firstLine="0" w:firstLineChars="0"/>
              <w:jc w:val="center"/>
              <w:rPr>
                <w:rFonts w:hint="default" w:ascii="Times New Roman" w:hAnsi="Times New Roman" w:eastAsia="宋体" w:cs="Times New Roman"/>
                <w:color w:val="000000" w:themeColor="text1"/>
                <w:sz w:val="2"/>
                <w:szCs w:val="2"/>
                <w14:textFill>
                  <w14:solidFill>
                    <w14:schemeClr w14:val="tx1"/>
                  </w14:solidFill>
                </w14:textFill>
              </w:rPr>
            </w:pPr>
          </w:p>
        </w:tc>
        <w:tc>
          <w:tcPr>
            <w:tcW w:w="1973" w:type="dxa"/>
            <w:vMerge w:val="continue"/>
            <w:vAlign w:val="center"/>
          </w:tcPr>
          <w:p w14:paraId="2FCA22C6">
            <w:pPr>
              <w:ind w:firstLine="0" w:firstLineChars="0"/>
              <w:jc w:val="center"/>
              <w:rPr>
                <w:rFonts w:hint="default" w:ascii="Times New Roman" w:hAnsi="Times New Roman" w:eastAsia="宋体" w:cs="Times New Roman"/>
                <w:color w:val="000000" w:themeColor="text1"/>
                <w:sz w:val="2"/>
                <w:szCs w:val="2"/>
                <w14:textFill>
                  <w14:solidFill>
                    <w14:schemeClr w14:val="tx1"/>
                  </w14:solidFill>
                </w14:textFill>
              </w:rPr>
            </w:pPr>
          </w:p>
        </w:tc>
        <w:tc>
          <w:tcPr>
            <w:tcW w:w="1048" w:type="dxa"/>
            <w:vAlign w:val="center"/>
          </w:tcPr>
          <w:p w14:paraId="63D12566">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铬</w:t>
            </w:r>
          </w:p>
        </w:tc>
        <w:tc>
          <w:tcPr>
            <w:tcW w:w="1355" w:type="dxa"/>
            <w:vAlign w:val="center"/>
          </w:tcPr>
          <w:p w14:paraId="360D061C">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150</w:t>
            </w:r>
          </w:p>
        </w:tc>
        <w:tc>
          <w:tcPr>
            <w:tcW w:w="1354" w:type="dxa"/>
            <w:vAlign w:val="center"/>
          </w:tcPr>
          <w:p w14:paraId="1B2EAFC9">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150</w:t>
            </w:r>
          </w:p>
        </w:tc>
        <w:tc>
          <w:tcPr>
            <w:tcW w:w="1354" w:type="dxa"/>
            <w:vAlign w:val="center"/>
          </w:tcPr>
          <w:p w14:paraId="41122A7D">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200</w:t>
            </w:r>
          </w:p>
        </w:tc>
        <w:tc>
          <w:tcPr>
            <w:tcW w:w="1353" w:type="dxa"/>
            <w:vAlign w:val="center"/>
          </w:tcPr>
          <w:p w14:paraId="5D6D73E5">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250</w:t>
            </w:r>
          </w:p>
        </w:tc>
      </w:tr>
      <w:tr w14:paraId="5C4EEA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77" w:type="dxa"/>
            <w:vMerge w:val="continue"/>
            <w:vAlign w:val="center"/>
          </w:tcPr>
          <w:p w14:paraId="28D2D8F2">
            <w:pPr>
              <w:ind w:firstLine="0" w:firstLineChars="0"/>
              <w:jc w:val="center"/>
              <w:rPr>
                <w:rFonts w:hint="default" w:ascii="Times New Roman" w:hAnsi="Times New Roman" w:eastAsia="宋体" w:cs="Times New Roman"/>
                <w:color w:val="000000" w:themeColor="text1"/>
                <w:sz w:val="2"/>
                <w:szCs w:val="2"/>
                <w14:textFill>
                  <w14:solidFill>
                    <w14:schemeClr w14:val="tx1"/>
                  </w14:solidFill>
                </w14:textFill>
              </w:rPr>
            </w:pPr>
          </w:p>
        </w:tc>
        <w:tc>
          <w:tcPr>
            <w:tcW w:w="1973" w:type="dxa"/>
            <w:vMerge w:val="continue"/>
            <w:vAlign w:val="center"/>
          </w:tcPr>
          <w:p w14:paraId="32C0A7F7">
            <w:pPr>
              <w:ind w:firstLine="0" w:firstLineChars="0"/>
              <w:jc w:val="center"/>
              <w:rPr>
                <w:rFonts w:hint="default" w:ascii="Times New Roman" w:hAnsi="Times New Roman" w:eastAsia="宋体" w:cs="Times New Roman"/>
                <w:color w:val="000000" w:themeColor="text1"/>
                <w:sz w:val="2"/>
                <w:szCs w:val="2"/>
                <w14:textFill>
                  <w14:solidFill>
                    <w14:schemeClr w14:val="tx1"/>
                  </w14:solidFill>
                </w14:textFill>
              </w:rPr>
            </w:pPr>
          </w:p>
        </w:tc>
        <w:tc>
          <w:tcPr>
            <w:tcW w:w="1048" w:type="dxa"/>
            <w:vAlign w:val="center"/>
          </w:tcPr>
          <w:p w14:paraId="5FFCC834">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铜</w:t>
            </w:r>
          </w:p>
        </w:tc>
        <w:tc>
          <w:tcPr>
            <w:tcW w:w="1355" w:type="dxa"/>
            <w:vAlign w:val="center"/>
          </w:tcPr>
          <w:p w14:paraId="4C7226CC">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50</w:t>
            </w:r>
          </w:p>
        </w:tc>
        <w:tc>
          <w:tcPr>
            <w:tcW w:w="1354" w:type="dxa"/>
            <w:vAlign w:val="center"/>
          </w:tcPr>
          <w:p w14:paraId="67CB7B43">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50</w:t>
            </w:r>
          </w:p>
        </w:tc>
        <w:tc>
          <w:tcPr>
            <w:tcW w:w="1354" w:type="dxa"/>
            <w:vAlign w:val="center"/>
          </w:tcPr>
          <w:p w14:paraId="306BF9F6">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100</w:t>
            </w:r>
          </w:p>
        </w:tc>
        <w:tc>
          <w:tcPr>
            <w:tcW w:w="1353" w:type="dxa"/>
            <w:vAlign w:val="center"/>
          </w:tcPr>
          <w:p w14:paraId="47CA8CCC">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100</w:t>
            </w:r>
          </w:p>
        </w:tc>
      </w:tr>
      <w:tr w14:paraId="4E9DEC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77" w:type="dxa"/>
            <w:vMerge w:val="continue"/>
            <w:vAlign w:val="center"/>
          </w:tcPr>
          <w:p w14:paraId="60F560AA">
            <w:pPr>
              <w:ind w:firstLine="0" w:firstLineChars="0"/>
              <w:jc w:val="center"/>
              <w:rPr>
                <w:rFonts w:hint="default" w:ascii="Times New Roman" w:hAnsi="Times New Roman" w:eastAsia="宋体" w:cs="Times New Roman"/>
                <w:color w:val="000000" w:themeColor="text1"/>
                <w:sz w:val="2"/>
                <w:szCs w:val="2"/>
                <w14:textFill>
                  <w14:solidFill>
                    <w14:schemeClr w14:val="tx1"/>
                  </w14:solidFill>
                </w14:textFill>
              </w:rPr>
            </w:pPr>
          </w:p>
        </w:tc>
        <w:tc>
          <w:tcPr>
            <w:tcW w:w="1973" w:type="dxa"/>
            <w:vMerge w:val="continue"/>
            <w:vAlign w:val="center"/>
          </w:tcPr>
          <w:p w14:paraId="5B68EE92">
            <w:pPr>
              <w:ind w:firstLine="0" w:firstLineChars="0"/>
              <w:jc w:val="center"/>
              <w:rPr>
                <w:rFonts w:hint="default" w:ascii="Times New Roman" w:hAnsi="Times New Roman" w:eastAsia="宋体" w:cs="Times New Roman"/>
                <w:color w:val="000000" w:themeColor="text1"/>
                <w:sz w:val="2"/>
                <w:szCs w:val="2"/>
                <w14:textFill>
                  <w14:solidFill>
                    <w14:schemeClr w14:val="tx1"/>
                  </w14:solidFill>
                </w14:textFill>
              </w:rPr>
            </w:pPr>
          </w:p>
        </w:tc>
        <w:tc>
          <w:tcPr>
            <w:tcW w:w="1048" w:type="dxa"/>
            <w:vAlign w:val="center"/>
          </w:tcPr>
          <w:p w14:paraId="1E081BBD">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镍</w:t>
            </w:r>
          </w:p>
        </w:tc>
        <w:tc>
          <w:tcPr>
            <w:tcW w:w="1355" w:type="dxa"/>
            <w:vAlign w:val="center"/>
          </w:tcPr>
          <w:p w14:paraId="4502D4A6">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60</w:t>
            </w:r>
          </w:p>
        </w:tc>
        <w:tc>
          <w:tcPr>
            <w:tcW w:w="1354" w:type="dxa"/>
            <w:vAlign w:val="center"/>
          </w:tcPr>
          <w:p w14:paraId="5EE49CCC">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70</w:t>
            </w:r>
          </w:p>
        </w:tc>
        <w:tc>
          <w:tcPr>
            <w:tcW w:w="1354" w:type="dxa"/>
            <w:vAlign w:val="center"/>
          </w:tcPr>
          <w:p w14:paraId="50D1749D">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100</w:t>
            </w:r>
          </w:p>
        </w:tc>
        <w:tc>
          <w:tcPr>
            <w:tcW w:w="1353" w:type="dxa"/>
            <w:vAlign w:val="center"/>
          </w:tcPr>
          <w:p w14:paraId="48CA6898">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190</w:t>
            </w:r>
          </w:p>
        </w:tc>
      </w:tr>
      <w:tr w14:paraId="2CF5E3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77" w:type="dxa"/>
            <w:vMerge w:val="continue"/>
            <w:vAlign w:val="center"/>
          </w:tcPr>
          <w:p w14:paraId="3F95FE7F">
            <w:pPr>
              <w:ind w:firstLine="0" w:firstLineChars="0"/>
              <w:jc w:val="center"/>
              <w:rPr>
                <w:rFonts w:hint="default" w:ascii="Times New Roman" w:hAnsi="Times New Roman" w:eastAsia="宋体" w:cs="Times New Roman"/>
                <w:color w:val="000000" w:themeColor="text1"/>
                <w:sz w:val="2"/>
                <w:szCs w:val="2"/>
                <w14:textFill>
                  <w14:solidFill>
                    <w14:schemeClr w14:val="tx1"/>
                  </w14:solidFill>
                </w14:textFill>
              </w:rPr>
            </w:pPr>
          </w:p>
        </w:tc>
        <w:tc>
          <w:tcPr>
            <w:tcW w:w="1973" w:type="dxa"/>
            <w:vMerge w:val="continue"/>
            <w:vAlign w:val="center"/>
          </w:tcPr>
          <w:p w14:paraId="2634C629">
            <w:pPr>
              <w:ind w:firstLine="0" w:firstLineChars="0"/>
              <w:jc w:val="center"/>
              <w:rPr>
                <w:rFonts w:hint="default" w:ascii="Times New Roman" w:hAnsi="Times New Roman" w:eastAsia="宋体" w:cs="Times New Roman"/>
                <w:color w:val="000000" w:themeColor="text1"/>
                <w:sz w:val="2"/>
                <w:szCs w:val="2"/>
                <w14:textFill>
                  <w14:solidFill>
                    <w14:schemeClr w14:val="tx1"/>
                  </w14:solidFill>
                </w14:textFill>
              </w:rPr>
            </w:pPr>
          </w:p>
        </w:tc>
        <w:tc>
          <w:tcPr>
            <w:tcW w:w="1048" w:type="dxa"/>
            <w:vAlign w:val="center"/>
          </w:tcPr>
          <w:p w14:paraId="724E9FBD">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锌</w:t>
            </w:r>
          </w:p>
        </w:tc>
        <w:tc>
          <w:tcPr>
            <w:tcW w:w="1355" w:type="dxa"/>
            <w:vAlign w:val="center"/>
          </w:tcPr>
          <w:p w14:paraId="249A0AE2">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200</w:t>
            </w:r>
          </w:p>
        </w:tc>
        <w:tc>
          <w:tcPr>
            <w:tcW w:w="1354" w:type="dxa"/>
            <w:vAlign w:val="center"/>
          </w:tcPr>
          <w:p w14:paraId="6940FF0C">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200</w:t>
            </w:r>
          </w:p>
        </w:tc>
        <w:tc>
          <w:tcPr>
            <w:tcW w:w="1354" w:type="dxa"/>
            <w:vAlign w:val="center"/>
          </w:tcPr>
          <w:p w14:paraId="09161330">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250</w:t>
            </w:r>
          </w:p>
        </w:tc>
        <w:tc>
          <w:tcPr>
            <w:tcW w:w="1353" w:type="dxa"/>
            <w:vAlign w:val="center"/>
          </w:tcPr>
          <w:p w14:paraId="3F440DE6">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300</w:t>
            </w:r>
          </w:p>
        </w:tc>
      </w:tr>
    </w:tbl>
    <w:p w14:paraId="139EFC6D">
      <w:pPr>
        <w:pStyle w:val="11"/>
        <w:adjustRightInd w:val="0"/>
        <w:snapToGrid w:val="0"/>
        <w:ind w:firstLine="482"/>
        <w:outlineLvl w:val="2"/>
        <w:rPr>
          <w:rFonts w:hint="default" w:ascii="Times New Roman" w:hAnsi="Times New Roman" w:eastAsia="宋体" w:cs="Times New Roman"/>
          <w:b/>
          <w:color w:val="000000" w:themeColor="text1"/>
          <w14:textFill>
            <w14:solidFill>
              <w14:schemeClr w14:val="tx1"/>
            </w14:solidFill>
          </w14:textFill>
        </w:rPr>
      </w:pPr>
      <w:bookmarkStart w:id="70" w:name="_Toc23259"/>
      <w:r>
        <w:rPr>
          <w:rFonts w:hint="default" w:ascii="Times New Roman" w:hAnsi="Times New Roman" w:eastAsia="宋体" w:cs="Times New Roman"/>
          <w:b/>
          <w:color w:val="000000" w:themeColor="text1"/>
          <w14:textFill>
            <w14:solidFill>
              <w14:schemeClr w14:val="tx1"/>
            </w14:solidFill>
          </w14:textFill>
        </w:rPr>
        <w:t>2.</w:t>
      </w:r>
      <w:r>
        <w:rPr>
          <w:rFonts w:hint="default" w:ascii="Times New Roman" w:hAnsi="Times New Roman" w:eastAsia="宋体" w:cs="Times New Roman"/>
          <w:b/>
          <w:color w:val="000000" w:themeColor="text1"/>
          <w:lang w:eastAsia="zh-CN"/>
          <w14:textFill>
            <w14:solidFill>
              <w14:schemeClr w14:val="tx1"/>
            </w14:solidFill>
          </w14:textFill>
        </w:rPr>
        <w:t>5</w:t>
      </w:r>
      <w:r>
        <w:rPr>
          <w:rFonts w:hint="default" w:ascii="Times New Roman" w:hAnsi="Times New Roman" w:eastAsia="宋体" w:cs="Times New Roman"/>
          <w:b/>
          <w:color w:val="000000" w:themeColor="text1"/>
          <w14:textFill>
            <w14:solidFill>
              <w14:schemeClr w14:val="tx1"/>
            </w14:solidFill>
          </w14:textFill>
        </w:rPr>
        <w:t>.3污染物排放标准</w:t>
      </w:r>
      <w:bookmarkEnd w:id="70"/>
    </w:p>
    <w:p w14:paraId="30B6BDE3">
      <w:pPr>
        <w:adjustRightInd w:val="0"/>
        <w:snapToGrid w:val="0"/>
        <w:ind w:firstLine="482"/>
        <w:rPr>
          <w:rFonts w:hint="default" w:ascii="Times New Roman" w:hAnsi="Times New Roman" w:eastAsia="宋体" w:cs="Times New Roman"/>
          <w:b/>
          <w:color w:val="000000" w:themeColor="text1"/>
          <w14:textFill>
            <w14:solidFill>
              <w14:schemeClr w14:val="tx1"/>
            </w14:solidFill>
          </w14:textFill>
        </w:rPr>
      </w:pPr>
      <w:r>
        <w:rPr>
          <w:rFonts w:hint="default" w:ascii="Times New Roman" w:hAnsi="Times New Roman" w:eastAsia="宋体" w:cs="Times New Roman"/>
          <w:b/>
          <w:color w:val="000000" w:themeColor="text1"/>
          <w14:textFill>
            <w14:solidFill>
              <w14:schemeClr w14:val="tx1"/>
            </w14:solidFill>
          </w14:textFill>
        </w:rPr>
        <w:t>（1）废气</w:t>
      </w:r>
    </w:p>
    <w:p w14:paraId="4032CADA">
      <w:pPr>
        <w:pStyle w:val="11"/>
        <w:adjustRightInd w:val="0"/>
        <w:snapToGrid w:val="0"/>
        <w:ind w:firstLine="480"/>
        <w:rPr>
          <w:rFonts w:hint="default" w:ascii="Times New Roman" w:hAnsi="Times New Roman" w:eastAsia="宋体" w:cs="Times New Roman"/>
          <w:color w:val="0000FF"/>
          <w:lang w:eastAsia="zh-CN"/>
        </w:rPr>
      </w:pPr>
      <w:r>
        <w:rPr>
          <w:rFonts w:hint="eastAsia" w:ascii="Times New Roman" w:hAnsi="Times New Roman" w:cs="Times New Roman"/>
          <w:color w:val="000000" w:themeColor="text1"/>
          <w:lang w:val="en-US" w:eastAsia="zh-CN"/>
          <w14:textFill>
            <w14:solidFill>
              <w14:schemeClr w14:val="tx1"/>
            </w14:solidFill>
          </w14:textFill>
        </w:rPr>
        <w:t>项目</w:t>
      </w:r>
      <w:r>
        <w:rPr>
          <w:rFonts w:hint="default" w:ascii="Times New Roman" w:hAnsi="Times New Roman" w:eastAsia="宋体" w:cs="Times New Roman"/>
        </w:rPr>
        <w:t>施工期排放的扬尘</w:t>
      </w:r>
      <w:r>
        <w:rPr>
          <w:rFonts w:hint="eastAsia" w:ascii="Times New Roman" w:hAnsi="Times New Roman" w:eastAsia="宋体" w:cs="Times New Roman"/>
          <w:lang w:val="en-US" w:eastAsia="zh-CN"/>
        </w:rPr>
        <w:t>以及</w:t>
      </w:r>
      <w:r>
        <w:rPr>
          <w:rFonts w:hint="default" w:ascii="Times New Roman" w:hAnsi="Times New Roman" w:eastAsia="宋体" w:cs="Times New Roman"/>
        </w:rPr>
        <w:t>污染物</w:t>
      </w:r>
      <w:r>
        <w:rPr>
          <w:rFonts w:hint="default" w:ascii="Times New Roman" w:hAnsi="Times New Roman" w:eastAsia="宋体" w:cs="Times New Roman"/>
          <w:color w:val="000000" w:themeColor="text1"/>
          <w:lang w:val="en-US" w:eastAsia="zh-CN"/>
          <w14:textFill>
            <w14:solidFill>
              <w14:schemeClr w14:val="tx1"/>
            </w14:solidFill>
          </w14:textFill>
        </w:rPr>
        <w:t>运营期</w:t>
      </w:r>
      <w:r>
        <w:rPr>
          <w:rFonts w:hint="default" w:ascii="Times New Roman" w:hAnsi="Times New Roman" w:eastAsia="宋体" w:cs="Times New Roman"/>
          <w:lang w:val="en-US" w:eastAsia="zh-CN"/>
        </w:rPr>
        <w:t>饲料加工配制排放的</w:t>
      </w:r>
      <w:r>
        <w:rPr>
          <w:rFonts w:hint="eastAsia" w:ascii="Times New Roman" w:hAnsi="Times New Roman" w:cs="Times New Roman"/>
          <w:color w:val="000000" w:themeColor="text1"/>
          <w:lang w:val="en-US" w:eastAsia="zh-CN"/>
          <w14:textFill>
            <w14:solidFill>
              <w14:schemeClr w14:val="tx1"/>
            </w14:solidFill>
          </w14:textFill>
        </w:rPr>
        <w:t>颗粒物</w:t>
      </w:r>
      <w:r>
        <w:rPr>
          <w:rFonts w:hint="default" w:ascii="Times New Roman" w:hAnsi="Times New Roman" w:eastAsia="宋体" w:cs="Times New Roman"/>
          <w:color w:val="000000" w:themeColor="text1"/>
          <w:lang w:eastAsia="zh-CN"/>
          <w14:textFill>
            <w14:solidFill>
              <w14:schemeClr w14:val="tx1"/>
            </w14:solidFill>
          </w14:textFill>
        </w:rPr>
        <w:t>排放执行《大气污染物综合排放标准》（GB16297-1996）</w:t>
      </w:r>
      <w:r>
        <w:rPr>
          <w:rFonts w:hint="default" w:ascii="Times New Roman" w:hAnsi="Times New Roman" w:eastAsia="宋体" w:cs="Times New Roman"/>
          <w:color w:val="000000" w:themeColor="text1"/>
          <w:spacing w:val="-8"/>
          <w:lang w:eastAsia="zh-CN"/>
          <w14:textFill>
            <w14:solidFill>
              <w14:schemeClr w14:val="tx1"/>
            </w14:solidFill>
          </w14:textFill>
        </w:rPr>
        <w:t>表</w:t>
      </w:r>
      <w:r>
        <w:rPr>
          <w:rFonts w:hint="default" w:ascii="Times New Roman" w:hAnsi="Times New Roman" w:eastAsia="宋体" w:cs="Times New Roman"/>
          <w:color w:val="000000" w:themeColor="text1"/>
          <w:lang w:eastAsia="zh-CN"/>
          <w14:textFill>
            <w14:solidFill>
              <w14:schemeClr w14:val="tx1"/>
            </w14:solidFill>
          </w14:textFill>
        </w:rPr>
        <w:t>2</w:t>
      </w:r>
      <w:bookmarkStart w:id="71" w:name="2.4.3污染物排放标准"/>
      <w:bookmarkEnd w:id="71"/>
      <w:r>
        <w:rPr>
          <w:rFonts w:hint="default" w:ascii="Times New Roman" w:hAnsi="Times New Roman" w:eastAsia="宋体" w:cs="Times New Roman"/>
          <w:color w:val="000000" w:themeColor="text1"/>
          <w:lang w:eastAsia="zh-CN"/>
          <w14:textFill>
            <w14:solidFill>
              <w14:schemeClr w14:val="tx1"/>
            </w14:solidFill>
          </w14:textFill>
        </w:rPr>
        <w:t>中二级标准；</w:t>
      </w:r>
      <w:r>
        <w:rPr>
          <w:rFonts w:hint="eastAsia" w:ascii="Times New Roman" w:hAnsi="Times New Roman" w:cs="Times New Roman"/>
          <w:color w:val="0000FF"/>
          <w:lang w:val="en-US" w:eastAsia="zh-CN"/>
        </w:rPr>
        <w:t>运营期养殖区恶臭气体中NH</w:t>
      </w:r>
      <w:r>
        <w:rPr>
          <w:rFonts w:hint="eastAsia" w:ascii="Times New Roman" w:hAnsi="Times New Roman" w:cs="Times New Roman"/>
          <w:color w:val="0000FF"/>
          <w:vertAlign w:val="subscript"/>
          <w:lang w:val="en-US" w:eastAsia="zh-CN"/>
        </w:rPr>
        <w:t>3</w:t>
      </w:r>
      <w:r>
        <w:rPr>
          <w:rFonts w:hint="eastAsia" w:ascii="Times New Roman" w:hAnsi="Times New Roman" w:cs="Times New Roman"/>
          <w:color w:val="0000FF"/>
          <w:lang w:val="en-US" w:eastAsia="zh-CN"/>
        </w:rPr>
        <w:t>、H</w:t>
      </w:r>
      <w:r>
        <w:rPr>
          <w:rFonts w:hint="eastAsia" w:ascii="Times New Roman" w:hAnsi="Times New Roman" w:cs="Times New Roman"/>
          <w:color w:val="0000FF"/>
          <w:vertAlign w:val="subscript"/>
          <w:lang w:val="en-US" w:eastAsia="zh-CN"/>
        </w:rPr>
        <w:t>2</w:t>
      </w:r>
      <w:r>
        <w:rPr>
          <w:rFonts w:hint="eastAsia" w:ascii="Times New Roman" w:hAnsi="Times New Roman" w:cs="Times New Roman"/>
          <w:color w:val="0000FF"/>
          <w:lang w:val="en-US" w:eastAsia="zh-CN"/>
        </w:rPr>
        <w:t>S执行《恶臭污染物排放标准》（GB14554-93）表1二级新改扩建标准值、臭气浓度执行《畜禽养殖业污染物排放标准》（GB18596-2001）</w:t>
      </w:r>
      <w:r>
        <w:rPr>
          <w:rFonts w:hint="default" w:ascii="Times New Roman" w:hAnsi="Times New Roman" w:eastAsia="宋体" w:cs="Times New Roman"/>
          <w:color w:val="0000FF"/>
          <w:lang w:eastAsia="zh-CN"/>
        </w:rPr>
        <w:t>。</w:t>
      </w:r>
      <w:r>
        <w:rPr>
          <w:rFonts w:hint="default" w:ascii="Times New Roman" w:hAnsi="Times New Roman" w:eastAsia="宋体" w:cs="Times New Roman"/>
          <w:color w:val="0000FF"/>
          <w:spacing w:val="-7"/>
          <w:lang w:eastAsia="zh-CN"/>
        </w:rPr>
        <w:t>标准值见表</w:t>
      </w:r>
      <w:r>
        <w:rPr>
          <w:rFonts w:hint="default" w:ascii="Times New Roman" w:hAnsi="Times New Roman" w:eastAsia="宋体" w:cs="Times New Roman"/>
          <w:color w:val="0000FF"/>
          <w:lang w:eastAsia="zh-CN"/>
        </w:rPr>
        <w:t>2.5-5</w:t>
      </w:r>
      <w:r>
        <w:rPr>
          <w:rFonts w:hint="default" w:ascii="Times New Roman" w:hAnsi="Times New Roman" w:eastAsia="宋体" w:cs="Times New Roman"/>
          <w:color w:val="0000FF"/>
          <w:spacing w:val="-21"/>
          <w:lang w:eastAsia="zh-CN"/>
        </w:rPr>
        <w:t>、表</w:t>
      </w:r>
      <w:r>
        <w:rPr>
          <w:rFonts w:hint="default" w:ascii="Times New Roman" w:hAnsi="Times New Roman" w:eastAsia="宋体" w:cs="Times New Roman"/>
          <w:color w:val="0000FF"/>
          <w:lang w:eastAsia="zh-CN"/>
        </w:rPr>
        <w:t>2.5-6。</w:t>
      </w:r>
    </w:p>
    <w:p w14:paraId="304885D3">
      <w:pPr>
        <w:tabs>
          <w:tab w:val="left" w:pos="2125"/>
        </w:tabs>
        <w:spacing w:before="143"/>
        <w:ind w:right="18" w:firstLine="0" w:firstLineChars="0"/>
        <w:jc w:val="center"/>
        <w:rPr>
          <w:rFonts w:hint="default" w:ascii="Times New Roman" w:hAnsi="Times New Roman" w:eastAsia="宋体" w:cs="Times New Roman"/>
          <w:b/>
          <w:color w:val="000000" w:themeColor="text1"/>
          <w14:textFill>
            <w14:solidFill>
              <w14:schemeClr w14:val="tx1"/>
            </w14:solidFill>
          </w14:textFill>
        </w:rPr>
      </w:pPr>
      <w:r>
        <w:rPr>
          <w:rFonts w:hint="default" w:ascii="Times New Roman" w:hAnsi="Times New Roman" w:eastAsia="宋体" w:cs="Times New Roman"/>
          <w:b/>
          <w:color w:val="000000" w:themeColor="text1"/>
          <w14:textFill>
            <w14:solidFill>
              <w14:schemeClr w14:val="tx1"/>
            </w14:solidFill>
          </w14:textFill>
        </w:rPr>
        <w:t>表2.5-5</w:t>
      </w:r>
      <w:r>
        <w:rPr>
          <w:rFonts w:hint="eastAsia" w:cs="Times New Roman"/>
          <w:b/>
          <w:color w:val="000000" w:themeColor="text1"/>
          <w:lang w:val="en-US" w:eastAsia="zh-CN"/>
          <w14:textFill>
            <w14:solidFill>
              <w14:schemeClr w14:val="tx1"/>
            </w14:solidFill>
          </w14:textFill>
        </w:rPr>
        <w:t>颗粒物</w:t>
      </w:r>
      <w:r>
        <w:rPr>
          <w:rFonts w:hint="default" w:ascii="Times New Roman" w:hAnsi="Times New Roman" w:eastAsia="宋体" w:cs="Times New Roman"/>
          <w:b/>
          <w:color w:val="000000" w:themeColor="text1"/>
          <w14:textFill>
            <w14:solidFill>
              <w14:schemeClr w14:val="tx1"/>
            </w14:solidFill>
          </w14:textFill>
        </w:rPr>
        <w:t>排放标准</w:t>
      </w:r>
    </w:p>
    <w:tbl>
      <w:tblPr>
        <w:tblStyle w:val="35"/>
        <w:tblW w:w="878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397"/>
        <w:gridCol w:w="2764"/>
        <w:gridCol w:w="1568"/>
        <w:gridCol w:w="3058"/>
      </w:tblGrid>
      <w:tr w14:paraId="3FCF3E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397" w:type="dxa"/>
            <w:vAlign w:val="center"/>
          </w:tcPr>
          <w:p w14:paraId="1D3447E2">
            <w:pPr>
              <w:ind w:firstLine="0" w:firstLineChars="0"/>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控制项目</w:t>
            </w:r>
          </w:p>
        </w:tc>
        <w:tc>
          <w:tcPr>
            <w:tcW w:w="4332" w:type="dxa"/>
            <w:gridSpan w:val="2"/>
            <w:vAlign w:val="center"/>
          </w:tcPr>
          <w:p w14:paraId="4D8F6271">
            <w:pPr>
              <w:ind w:firstLine="0" w:firstLineChars="0"/>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标准值</w:t>
            </w:r>
          </w:p>
        </w:tc>
        <w:tc>
          <w:tcPr>
            <w:tcW w:w="3058" w:type="dxa"/>
            <w:vAlign w:val="center"/>
          </w:tcPr>
          <w:p w14:paraId="2B29ED9C">
            <w:pPr>
              <w:ind w:firstLine="0" w:firstLineChars="0"/>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标准来源</w:t>
            </w:r>
          </w:p>
        </w:tc>
      </w:tr>
      <w:tr w14:paraId="0662BB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4" w:hRule="atLeast"/>
          <w:jc w:val="center"/>
        </w:trPr>
        <w:tc>
          <w:tcPr>
            <w:tcW w:w="1397" w:type="dxa"/>
            <w:vAlign w:val="center"/>
          </w:tcPr>
          <w:p w14:paraId="7BC065C6">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颗粒物</w:t>
            </w:r>
          </w:p>
        </w:tc>
        <w:tc>
          <w:tcPr>
            <w:tcW w:w="2764" w:type="dxa"/>
            <w:vAlign w:val="center"/>
          </w:tcPr>
          <w:p w14:paraId="6E59AD4D">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无组织排放监控浓度限值</w:t>
            </w:r>
          </w:p>
        </w:tc>
        <w:tc>
          <w:tcPr>
            <w:tcW w:w="1568" w:type="dxa"/>
            <w:vAlign w:val="center"/>
          </w:tcPr>
          <w:p w14:paraId="6AC7C991">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1.0mg/m</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3</w:t>
            </w:r>
          </w:p>
        </w:tc>
        <w:tc>
          <w:tcPr>
            <w:tcW w:w="3058" w:type="dxa"/>
            <w:vAlign w:val="center"/>
          </w:tcPr>
          <w:p w14:paraId="6F0C5FED">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《大气污染物综合排放标准》（GB16297-1996）</w:t>
            </w:r>
          </w:p>
        </w:tc>
      </w:tr>
    </w:tbl>
    <w:p w14:paraId="47F66B44">
      <w:pPr>
        <w:tabs>
          <w:tab w:val="left" w:pos="2125"/>
        </w:tabs>
        <w:spacing w:before="143"/>
        <w:ind w:right="18" w:firstLine="0" w:firstLineChars="0"/>
        <w:jc w:val="center"/>
        <w:rPr>
          <w:rFonts w:hint="default" w:ascii="Times New Roman" w:hAnsi="Times New Roman" w:eastAsia="宋体" w:cs="Times New Roman"/>
          <w:b/>
          <w:color w:val="000000" w:themeColor="text1"/>
          <w:sz w:val="6"/>
          <w14:textFill>
            <w14:solidFill>
              <w14:schemeClr w14:val="tx1"/>
            </w14:solidFill>
          </w14:textFill>
        </w:rPr>
      </w:pPr>
      <w:r>
        <w:rPr>
          <w:rFonts w:hint="default" w:ascii="Times New Roman" w:hAnsi="Times New Roman" w:eastAsia="宋体" w:cs="Times New Roman"/>
          <w:b/>
          <w:color w:val="000000" w:themeColor="text1"/>
          <w14:textFill>
            <w14:solidFill>
              <w14:schemeClr w14:val="tx1"/>
            </w14:solidFill>
          </w14:textFill>
        </w:rPr>
        <w:t>表2.5-6恶臭污染物排放标准</w:t>
      </w:r>
    </w:p>
    <w:tbl>
      <w:tblPr>
        <w:tblStyle w:val="35"/>
        <w:tblW w:w="851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207"/>
        <w:gridCol w:w="1199"/>
        <w:gridCol w:w="2194"/>
        <w:gridCol w:w="1333"/>
        <w:gridCol w:w="2584"/>
      </w:tblGrid>
      <w:tr w14:paraId="14C148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2" w:hRule="atLeast"/>
          <w:jc w:val="center"/>
        </w:trPr>
        <w:tc>
          <w:tcPr>
            <w:tcW w:w="2406" w:type="dxa"/>
            <w:gridSpan w:val="2"/>
            <w:vAlign w:val="center"/>
          </w:tcPr>
          <w:p w14:paraId="0F6A5974">
            <w:pPr>
              <w:pStyle w:val="36"/>
              <w:ind w:firstLine="0" w:firstLineChars="0"/>
              <w:rPr>
                <w:rFonts w:hint="default" w:ascii="Times New Roman" w:hAnsi="Times New Roman" w:eastAsia="宋体" w:cs="Times New Roman"/>
                <w:b/>
                <w:bCs/>
                <w:color w:val="000000" w:themeColor="text1"/>
                <w:sz w:val="21"/>
                <w14:textFill>
                  <w14:solidFill>
                    <w14:schemeClr w14:val="tx1"/>
                  </w14:solidFill>
                </w14:textFill>
              </w:rPr>
            </w:pPr>
            <w:r>
              <w:rPr>
                <w:rFonts w:hint="default" w:ascii="Times New Roman" w:hAnsi="Times New Roman" w:eastAsia="宋体" w:cs="Times New Roman"/>
                <w:b/>
                <w:bCs/>
                <w:color w:val="000000" w:themeColor="text1"/>
                <w:sz w:val="21"/>
                <w14:textFill>
                  <w14:solidFill>
                    <w14:schemeClr w14:val="tx1"/>
                  </w14:solidFill>
                </w14:textFill>
              </w:rPr>
              <w:t>控制项目</w:t>
            </w:r>
          </w:p>
        </w:tc>
        <w:tc>
          <w:tcPr>
            <w:tcW w:w="2194" w:type="dxa"/>
            <w:vAlign w:val="center"/>
          </w:tcPr>
          <w:p w14:paraId="5858C860">
            <w:pPr>
              <w:pStyle w:val="36"/>
              <w:ind w:firstLine="0" w:firstLineChars="0"/>
              <w:rPr>
                <w:rFonts w:hint="default" w:ascii="Times New Roman" w:hAnsi="Times New Roman" w:eastAsia="宋体" w:cs="Times New Roman"/>
                <w:b/>
                <w:bCs/>
                <w:color w:val="000000" w:themeColor="text1"/>
                <w:sz w:val="21"/>
                <w14:textFill>
                  <w14:solidFill>
                    <w14:schemeClr w14:val="tx1"/>
                  </w14:solidFill>
                </w14:textFill>
              </w:rPr>
            </w:pPr>
            <w:r>
              <w:rPr>
                <w:rFonts w:hint="default" w:ascii="Times New Roman" w:hAnsi="Times New Roman" w:eastAsia="宋体" w:cs="Times New Roman"/>
                <w:b/>
                <w:bCs/>
                <w:color w:val="000000" w:themeColor="text1"/>
                <w:sz w:val="21"/>
                <w14:textFill>
                  <w14:solidFill>
                    <w14:schemeClr w14:val="tx1"/>
                  </w14:solidFill>
                </w14:textFill>
              </w:rPr>
              <w:t>标准值</w:t>
            </w:r>
          </w:p>
        </w:tc>
        <w:tc>
          <w:tcPr>
            <w:tcW w:w="1333" w:type="dxa"/>
            <w:vAlign w:val="center"/>
          </w:tcPr>
          <w:p w14:paraId="02267F41">
            <w:pPr>
              <w:pStyle w:val="36"/>
              <w:ind w:firstLine="0" w:firstLineChars="0"/>
              <w:rPr>
                <w:rFonts w:hint="default" w:ascii="Times New Roman" w:hAnsi="Times New Roman" w:eastAsia="宋体" w:cs="Times New Roman"/>
                <w:b/>
                <w:bCs/>
                <w:color w:val="000000" w:themeColor="text1"/>
                <w:sz w:val="21"/>
                <w14:textFill>
                  <w14:solidFill>
                    <w14:schemeClr w14:val="tx1"/>
                  </w14:solidFill>
                </w14:textFill>
              </w:rPr>
            </w:pPr>
            <w:r>
              <w:rPr>
                <w:rFonts w:hint="default" w:ascii="Times New Roman" w:hAnsi="Times New Roman" w:eastAsia="宋体" w:cs="Times New Roman"/>
                <w:b/>
                <w:bCs/>
                <w:color w:val="000000" w:themeColor="text1"/>
                <w:sz w:val="21"/>
                <w14:textFill>
                  <w14:solidFill>
                    <w14:schemeClr w14:val="tx1"/>
                  </w14:solidFill>
                </w14:textFill>
              </w:rPr>
              <w:t>单位</w:t>
            </w:r>
          </w:p>
        </w:tc>
        <w:tc>
          <w:tcPr>
            <w:tcW w:w="2584" w:type="dxa"/>
            <w:vAlign w:val="center"/>
          </w:tcPr>
          <w:p w14:paraId="0F20AE14">
            <w:pPr>
              <w:pStyle w:val="36"/>
              <w:ind w:firstLine="0" w:firstLineChars="0"/>
              <w:rPr>
                <w:rFonts w:hint="default" w:ascii="Times New Roman" w:hAnsi="Times New Roman" w:eastAsia="宋体" w:cs="Times New Roman"/>
                <w:b/>
                <w:bCs/>
                <w:color w:val="000000" w:themeColor="text1"/>
                <w:sz w:val="21"/>
                <w:lang w:val="en-US" w:eastAsia="zh-CN"/>
                <w14:textFill>
                  <w14:solidFill>
                    <w14:schemeClr w14:val="tx1"/>
                  </w14:solidFill>
                </w14:textFill>
              </w:rPr>
            </w:pPr>
            <w:r>
              <w:rPr>
                <w:rFonts w:hint="eastAsia" w:ascii="Times New Roman" w:hAnsi="Times New Roman" w:cs="Times New Roman"/>
                <w:b/>
                <w:bCs/>
                <w:color w:val="000000" w:themeColor="text1"/>
                <w:sz w:val="21"/>
                <w:lang w:val="en-US" w:eastAsia="zh-CN"/>
                <w14:textFill>
                  <w14:solidFill>
                    <w14:schemeClr w14:val="tx1"/>
                  </w14:solidFill>
                </w14:textFill>
              </w:rPr>
              <w:t>标准来源</w:t>
            </w:r>
          </w:p>
        </w:tc>
      </w:tr>
      <w:tr w14:paraId="1C98E0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2" w:hRule="atLeast"/>
          <w:jc w:val="center"/>
        </w:trPr>
        <w:tc>
          <w:tcPr>
            <w:tcW w:w="1207" w:type="dxa"/>
            <w:vMerge w:val="restart"/>
            <w:vAlign w:val="center"/>
          </w:tcPr>
          <w:p w14:paraId="705ED5B4">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恶臭污染物</w:t>
            </w:r>
          </w:p>
        </w:tc>
        <w:tc>
          <w:tcPr>
            <w:tcW w:w="1199" w:type="dxa"/>
            <w:vAlign w:val="center"/>
          </w:tcPr>
          <w:p w14:paraId="698CF9BA">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NH</w:t>
            </w:r>
            <w:r>
              <w:rPr>
                <w:rFonts w:hint="default" w:ascii="Times New Roman" w:hAnsi="Times New Roman" w:eastAsia="宋体" w:cs="Times New Roman"/>
                <w:color w:val="000000" w:themeColor="text1"/>
                <w:sz w:val="21"/>
                <w:vertAlign w:val="subscript"/>
                <w14:textFill>
                  <w14:solidFill>
                    <w14:schemeClr w14:val="tx1"/>
                  </w14:solidFill>
                </w14:textFill>
              </w:rPr>
              <w:t>3</w:t>
            </w:r>
          </w:p>
        </w:tc>
        <w:tc>
          <w:tcPr>
            <w:tcW w:w="2194" w:type="dxa"/>
            <w:vAlign w:val="center"/>
          </w:tcPr>
          <w:p w14:paraId="18BB5703">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1.5（厂界）</w:t>
            </w:r>
          </w:p>
        </w:tc>
        <w:tc>
          <w:tcPr>
            <w:tcW w:w="1333" w:type="dxa"/>
            <w:vAlign w:val="center"/>
          </w:tcPr>
          <w:p w14:paraId="070E784C">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mg/m</w:t>
            </w:r>
            <w:r>
              <w:rPr>
                <w:rFonts w:hint="default" w:ascii="Times New Roman" w:hAnsi="Times New Roman" w:eastAsia="宋体" w:cs="Times New Roman"/>
                <w:color w:val="000000" w:themeColor="text1"/>
                <w:sz w:val="21"/>
                <w:vertAlign w:val="superscript"/>
                <w14:textFill>
                  <w14:solidFill>
                    <w14:schemeClr w14:val="tx1"/>
                  </w14:solidFill>
                </w14:textFill>
              </w:rPr>
              <w:t>3</w:t>
            </w:r>
          </w:p>
        </w:tc>
        <w:tc>
          <w:tcPr>
            <w:tcW w:w="2584" w:type="dxa"/>
            <w:vMerge w:val="restart"/>
            <w:vAlign w:val="center"/>
          </w:tcPr>
          <w:p w14:paraId="00669AF1">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lang w:val="en-US" w:eastAsia="zh-CN"/>
                <w14:textFill>
                  <w14:solidFill>
                    <w14:schemeClr w14:val="tx1"/>
                  </w14:solidFill>
                </w14:textFill>
              </w:rPr>
              <w:t>《恶臭污染物排放标准》（GB14554-93）</w:t>
            </w:r>
          </w:p>
        </w:tc>
      </w:tr>
      <w:tr w14:paraId="2FC3AD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2" w:hRule="atLeast"/>
          <w:jc w:val="center"/>
        </w:trPr>
        <w:tc>
          <w:tcPr>
            <w:tcW w:w="1207" w:type="dxa"/>
            <w:vMerge w:val="continue"/>
            <w:vAlign w:val="center"/>
          </w:tcPr>
          <w:p w14:paraId="7B97BDF5">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p>
        </w:tc>
        <w:tc>
          <w:tcPr>
            <w:tcW w:w="1199" w:type="dxa"/>
            <w:vAlign w:val="center"/>
          </w:tcPr>
          <w:p w14:paraId="10A97322">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H</w:t>
            </w:r>
            <w:r>
              <w:rPr>
                <w:rFonts w:hint="default" w:ascii="Times New Roman" w:hAnsi="Times New Roman" w:eastAsia="宋体" w:cs="Times New Roman"/>
                <w:color w:val="000000" w:themeColor="text1"/>
                <w:sz w:val="21"/>
                <w:vertAlign w:val="subscript"/>
                <w14:textFill>
                  <w14:solidFill>
                    <w14:schemeClr w14:val="tx1"/>
                  </w14:solidFill>
                </w14:textFill>
              </w:rPr>
              <w:t>2</w:t>
            </w:r>
            <w:r>
              <w:rPr>
                <w:rFonts w:hint="default" w:ascii="Times New Roman" w:hAnsi="Times New Roman" w:eastAsia="宋体" w:cs="Times New Roman"/>
                <w:color w:val="000000" w:themeColor="text1"/>
                <w:sz w:val="21"/>
                <w14:textFill>
                  <w14:solidFill>
                    <w14:schemeClr w14:val="tx1"/>
                  </w14:solidFill>
                </w14:textFill>
              </w:rPr>
              <w:t>S</w:t>
            </w:r>
          </w:p>
        </w:tc>
        <w:tc>
          <w:tcPr>
            <w:tcW w:w="2194" w:type="dxa"/>
            <w:vAlign w:val="center"/>
          </w:tcPr>
          <w:p w14:paraId="5046BB3B">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0.06（厂界）</w:t>
            </w:r>
          </w:p>
        </w:tc>
        <w:tc>
          <w:tcPr>
            <w:tcW w:w="1333" w:type="dxa"/>
            <w:vAlign w:val="center"/>
          </w:tcPr>
          <w:p w14:paraId="0FAA319C">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mg/m</w:t>
            </w:r>
            <w:r>
              <w:rPr>
                <w:rFonts w:hint="default" w:ascii="Times New Roman" w:hAnsi="Times New Roman" w:eastAsia="宋体" w:cs="Times New Roman"/>
                <w:color w:val="000000" w:themeColor="text1"/>
                <w:sz w:val="21"/>
                <w:vertAlign w:val="superscript"/>
                <w14:textFill>
                  <w14:solidFill>
                    <w14:schemeClr w14:val="tx1"/>
                  </w14:solidFill>
                </w14:textFill>
              </w:rPr>
              <w:t>3</w:t>
            </w:r>
          </w:p>
        </w:tc>
        <w:tc>
          <w:tcPr>
            <w:tcW w:w="2584" w:type="dxa"/>
            <w:vMerge w:val="continue"/>
            <w:vAlign w:val="center"/>
          </w:tcPr>
          <w:p w14:paraId="5105B3E6">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p>
        </w:tc>
      </w:tr>
      <w:tr w14:paraId="254A8E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85" w:hRule="atLeast"/>
          <w:jc w:val="center"/>
        </w:trPr>
        <w:tc>
          <w:tcPr>
            <w:tcW w:w="1207" w:type="dxa"/>
            <w:vMerge w:val="continue"/>
            <w:vAlign w:val="center"/>
          </w:tcPr>
          <w:p w14:paraId="5F8FA424">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p>
        </w:tc>
        <w:tc>
          <w:tcPr>
            <w:tcW w:w="1199" w:type="dxa"/>
            <w:vAlign w:val="center"/>
          </w:tcPr>
          <w:p w14:paraId="1BFD21FC">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臭气浓度</w:t>
            </w:r>
          </w:p>
        </w:tc>
        <w:tc>
          <w:tcPr>
            <w:tcW w:w="2194" w:type="dxa"/>
            <w:vAlign w:val="center"/>
          </w:tcPr>
          <w:p w14:paraId="67BCA633">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eastAsia" w:ascii="Times New Roman" w:hAnsi="Times New Roman" w:cs="Times New Roman"/>
                <w:color w:val="000000" w:themeColor="text1"/>
                <w:sz w:val="21"/>
                <w:lang w:val="en-US" w:eastAsia="zh-CN"/>
                <w14:textFill>
                  <w14:solidFill>
                    <w14:schemeClr w14:val="tx1"/>
                  </w14:solidFill>
                </w14:textFill>
              </w:rPr>
              <w:t>70</w:t>
            </w:r>
            <w:r>
              <w:rPr>
                <w:rFonts w:hint="default" w:ascii="Times New Roman" w:hAnsi="Times New Roman" w:eastAsia="宋体" w:cs="Times New Roman"/>
                <w:color w:val="000000" w:themeColor="text1"/>
                <w:sz w:val="21"/>
                <w14:textFill>
                  <w14:solidFill>
                    <w14:schemeClr w14:val="tx1"/>
                  </w14:solidFill>
                </w14:textFill>
              </w:rPr>
              <w:t>（厂界）</w:t>
            </w:r>
          </w:p>
        </w:tc>
        <w:tc>
          <w:tcPr>
            <w:tcW w:w="1333" w:type="dxa"/>
            <w:vAlign w:val="center"/>
          </w:tcPr>
          <w:p w14:paraId="7E0AB4D7">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无量纲</w:t>
            </w:r>
          </w:p>
        </w:tc>
        <w:tc>
          <w:tcPr>
            <w:tcW w:w="2584" w:type="dxa"/>
            <w:vAlign w:val="center"/>
          </w:tcPr>
          <w:p w14:paraId="4BDD3BB4">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lang w:val="en-US" w:eastAsia="zh-CN"/>
                <w14:textFill>
                  <w14:solidFill>
                    <w14:schemeClr w14:val="tx1"/>
                  </w14:solidFill>
                </w14:textFill>
              </w:rPr>
              <w:t>《畜禽养殖业污染物排放标准》（GB18596-2001）</w:t>
            </w:r>
          </w:p>
        </w:tc>
      </w:tr>
    </w:tbl>
    <w:p w14:paraId="3E3BADBD">
      <w:pPr>
        <w:adjustRightInd w:val="0"/>
        <w:snapToGrid w:val="0"/>
        <w:ind w:firstLine="482"/>
        <w:rPr>
          <w:rFonts w:hint="default" w:ascii="Times New Roman" w:hAnsi="Times New Roman" w:eastAsia="宋体" w:cs="Times New Roman"/>
          <w:b/>
          <w:color w:val="000000" w:themeColor="text1"/>
          <w14:textFill>
            <w14:solidFill>
              <w14:schemeClr w14:val="tx1"/>
            </w14:solidFill>
          </w14:textFill>
        </w:rPr>
      </w:pPr>
      <w:r>
        <w:rPr>
          <w:rFonts w:hint="default" w:ascii="Times New Roman" w:hAnsi="Times New Roman" w:eastAsia="宋体" w:cs="Times New Roman"/>
          <w:b/>
          <w:color w:val="000000" w:themeColor="text1"/>
          <w14:textFill>
            <w14:solidFill>
              <w14:schemeClr w14:val="tx1"/>
            </w14:solidFill>
          </w14:textFill>
        </w:rPr>
        <w:t>（2）废水</w:t>
      </w:r>
    </w:p>
    <w:p w14:paraId="36646F09">
      <w:pPr>
        <w:pStyle w:val="11"/>
        <w:adjustRightInd w:val="0"/>
        <w:snapToGrid w:val="0"/>
        <w:ind w:firstLine="480"/>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eastAsia="宋体" w:cs="Times New Roman"/>
          <w:color w:val="000000" w:themeColor="text1"/>
          <w:lang w:eastAsia="zh-CN"/>
          <w14:textFill>
            <w14:solidFill>
              <w14:schemeClr w14:val="tx1"/>
            </w14:solidFill>
          </w14:textFill>
        </w:rPr>
        <w:t>根据《畜禽规模养殖污染防治条例》（国务院第26次常务会议，2014年1月1日实施）中的“第十六条国家鼓励和支持采取种植和养殖相结合的方式消纳利用畜禽养殖废弃物，促进畜禽粪便、污水等废弃物就地就近利用”。同时依据《农业农村部办公厅、生态环境部办公厅关于进一步明确畜禽粪污还田利用要求强化养殖污染监管的通知》（农办牧〔2020〕23号）中的还田利用标准规范。</w:t>
      </w:r>
    </w:p>
    <w:p w14:paraId="2A438DA5">
      <w:pPr>
        <w:pStyle w:val="11"/>
        <w:adjustRightInd w:val="0"/>
        <w:snapToGrid w:val="0"/>
        <w:ind w:firstLine="480"/>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eastAsia="宋体" w:cs="Times New Roman"/>
          <w:color w:val="000000" w:themeColor="text1"/>
          <w:lang w:eastAsia="zh-CN"/>
          <w14:textFill>
            <w14:solidFill>
              <w14:schemeClr w14:val="tx1"/>
            </w14:solidFill>
          </w14:textFill>
        </w:rPr>
        <w:t>本项目运营期牛养殖产生的粪污、及生活污水经混合均质</w:t>
      </w:r>
      <w:r>
        <w:rPr>
          <w:rFonts w:hint="eastAsia" w:ascii="Times New Roman" w:hAnsi="Times New Roman" w:cs="Times New Roman"/>
          <w:color w:val="000000" w:themeColor="text1"/>
          <w:lang w:val="en-US" w:eastAsia="zh-CN"/>
          <w14:textFill>
            <w14:solidFill>
              <w14:schemeClr w14:val="tx1"/>
            </w14:solidFill>
          </w14:textFill>
        </w:rPr>
        <w:t>经</w:t>
      </w:r>
      <w:r>
        <w:rPr>
          <w:rFonts w:hint="default" w:ascii="Times New Roman" w:hAnsi="Times New Roman" w:eastAsia="宋体" w:cs="Times New Roman"/>
          <w:color w:val="000000" w:themeColor="text1"/>
          <w:lang w:eastAsia="zh-CN"/>
          <w14:textFill>
            <w14:solidFill>
              <w14:schemeClr w14:val="tx1"/>
            </w14:solidFill>
          </w14:textFill>
        </w:rPr>
        <w:t>固液分离后排入项目自建氧化塘进行微生物降解处理，经处理后作为液肥用于周边农田施肥。其各项指标参照执行《畜禽粪便无害化处理技术规范》（GB/T36195-2018）表2相关限值要求，具体限值见表2.5-</w:t>
      </w:r>
      <w:r>
        <w:rPr>
          <w:rFonts w:hint="default" w:ascii="Times New Roman" w:hAnsi="Times New Roman" w:eastAsia="宋体" w:cs="Times New Roman"/>
          <w:color w:val="000000" w:themeColor="text1"/>
          <w:lang w:val="en-US" w:eastAsia="zh-CN"/>
          <w14:textFill>
            <w14:solidFill>
              <w14:schemeClr w14:val="tx1"/>
            </w14:solidFill>
          </w14:textFill>
        </w:rPr>
        <w:t>7</w:t>
      </w:r>
      <w:r>
        <w:rPr>
          <w:rFonts w:hint="default" w:ascii="Times New Roman" w:hAnsi="Times New Roman" w:eastAsia="宋体" w:cs="Times New Roman"/>
          <w:color w:val="000000" w:themeColor="text1"/>
          <w:lang w:eastAsia="zh-CN"/>
          <w14:textFill>
            <w14:solidFill>
              <w14:schemeClr w14:val="tx1"/>
            </w14:solidFill>
          </w14:textFill>
        </w:rPr>
        <w:t>。</w:t>
      </w:r>
    </w:p>
    <w:p w14:paraId="724C3553">
      <w:pPr>
        <w:pStyle w:val="11"/>
        <w:adjustRightInd w:val="0"/>
        <w:snapToGrid w:val="0"/>
        <w:ind w:firstLine="0" w:firstLineChars="0"/>
        <w:jc w:val="center"/>
        <w:rPr>
          <w:rFonts w:hint="default" w:ascii="Times New Roman" w:hAnsi="Times New Roman" w:eastAsia="宋体" w:cs="Times New Roman"/>
          <w:b/>
          <w:color w:val="000000" w:themeColor="text1"/>
          <w:lang w:eastAsia="zh-CN"/>
          <w14:textFill>
            <w14:solidFill>
              <w14:schemeClr w14:val="tx1"/>
            </w14:solidFill>
          </w14:textFill>
        </w:rPr>
      </w:pPr>
      <w:r>
        <w:rPr>
          <w:rFonts w:hint="default" w:ascii="Times New Roman" w:hAnsi="Times New Roman" w:eastAsia="宋体" w:cs="Times New Roman"/>
          <w:b/>
          <w:color w:val="000000" w:themeColor="text1"/>
          <w:lang w:eastAsia="zh-CN"/>
          <w14:textFill>
            <w14:solidFill>
              <w14:schemeClr w14:val="tx1"/>
            </w14:solidFill>
          </w14:textFill>
        </w:rPr>
        <w:t>表2.5-</w:t>
      </w:r>
      <w:r>
        <w:rPr>
          <w:rFonts w:hint="default" w:ascii="Times New Roman" w:hAnsi="Times New Roman" w:eastAsia="宋体" w:cs="Times New Roman"/>
          <w:b/>
          <w:color w:val="000000" w:themeColor="text1"/>
          <w:lang w:val="en-US" w:eastAsia="zh-CN"/>
          <w14:textFill>
            <w14:solidFill>
              <w14:schemeClr w14:val="tx1"/>
            </w14:solidFill>
          </w14:textFill>
        </w:rPr>
        <w:t>7</w:t>
      </w:r>
      <w:r>
        <w:rPr>
          <w:rFonts w:hint="default" w:ascii="Times New Roman" w:hAnsi="Times New Roman" w:eastAsia="宋体" w:cs="Times New Roman"/>
          <w:b/>
          <w:color w:val="000000" w:themeColor="text1"/>
          <w:lang w:eastAsia="zh-CN"/>
          <w14:textFill>
            <w14:solidFill>
              <w14:schemeClr w14:val="tx1"/>
            </w14:solidFill>
          </w14:textFill>
        </w:rPr>
        <w:t>《畜禽粪便无害化处理技术规范》（GB/T36195-2018）表2</w:t>
      </w:r>
    </w:p>
    <w:tbl>
      <w:tblPr>
        <w:tblStyle w:val="30"/>
        <w:tblW w:w="901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89"/>
        <w:gridCol w:w="6925"/>
      </w:tblGrid>
      <w:tr w14:paraId="203F7B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35" w:type="dxa"/>
            <w:vAlign w:val="center"/>
          </w:tcPr>
          <w:p w14:paraId="784BE24B">
            <w:pPr>
              <w:pStyle w:val="11"/>
              <w:adjustRightInd w:val="0"/>
              <w:snapToGrid w:val="0"/>
              <w:ind w:firstLine="0" w:firstLineChars="0"/>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项目</w:t>
            </w:r>
          </w:p>
        </w:tc>
        <w:tc>
          <w:tcPr>
            <w:tcW w:w="7551" w:type="dxa"/>
            <w:vAlign w:val="center"/>
          </w:tcPr>
          <w:p w14:paraId="252D8395">
            <w:pPr>
              <w:pStyle w:val="11"/>
              <w:adjustRightInd w:val="0"/>
              <w:snapToGrid w:val="0"/>
              <w:ind w:firstLine="0" w:firstLineChars="0"/>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卫生学要求</w:t>
            </w:r>
          </w:p>
        </w:tc>
      </w:tr>
      <w:tr w14:paraId="696AD4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35" w:type="dxa"/>
            <w:vAlign w:val="center"/>
          </w:tcPr>
          <w:p w14:paraId="6B1A4BC4">
            <w:pPr>
              <w:pStyle w:val="11"/>
              <w:adjustRightInd w:val="0"/>
              <w:snapToGrid w:val="0"/>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蛔虫卵</w:t>
            </w:r>
          </w:p>
        </w:tc>
        <w:tc>
          <w:tcPr>
            <w:tcW w:w="7551" w:type="dxa"/>
            <w:vAlign w:val="center"/>
          </w:tcPr>
          <w:p w14:paraId="5A1E5251">
            <w:pPr>
              <w:pStyle w:val="11"/>
              <w:adjustRightInd w:val="0"/>
              <w:snapToGrid w:val="0"/>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死亡率≥95%</w:t>
            </w:r>
          </w:p>
        </w:tc>
      </w:tr>
      <w:tr w14:paraId="551874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35" w:type="dxa"/>
            <w:vAlign w:val="center"/>
          </w:tcPr>
          <w:p w14:paraId="46157934">
            <w:pPr>
              <w:pStyle w:val="11"/>
              <w:adjustRightInd w:val="0"/>
              <w:snapToGrid w:val="0"/>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钩虫卵</w:t>
            </w:r>
          </w:p>
        </w:tc>
        <w:tc>
          <w:tcPr>
            <w:tcW w:w="7551" w:type="dxa"/>
            <w:vAlign w:val="center"/>
          </w:tcPr>
          <w:p w14:paraId="75ED3E87">
            <w:pPr>
              <w:pStyle w:val="11"/>
              <w:adjustRightInd w:val="0"/>
              <w:snapToGrid w:val="0"/>
              <w:ind w:firstLine="0" w:firstLineChars="0"/>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在使用粪液中不得检出活的钩虫卵</w:t>
            </w:r>
          </w:p>
        </w:tc>
      </w:tr>
      <w:tr w14:paraId="183F41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35" w:type="dxa"/>
            <w:vAlign w:val="center"/>
          </w:tcPr>
          <w:p w14:paraId="172CA0AE">
            <w:pPr>
              <w:pStyle w:val="11"/>
              <w:adjustRightInd w:val="0"/>
              <w:snapToGrid w:val="0"/>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粪大肠菌群落</w:t>
            </w:r>
          </w:p>
        </w:tc>
        <w:tc>
          <w:tcPr>
            <w:tcW w:w="7551" w:type="dxa"/>
            <w:vAlign w:val="center"/>
          </w:tcPr>
          <w:p w14:paraId="5C9CC081">
            <w:pPr>
              <w:pStyle w:val="11"/>
              <w:adjustRightInd w:val="0"/>
              <w:snapToGrid w:val="0"/>
              <w:ind w:firstLine="0" w:firstLineChars="0"/>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常温发酵≤10</w:t>
            </w:r>
            <w:r>
              <w:rPr>
                <w:rFonts w:hint="default" w:ascii="Times New Roman" w:hAnsi="Times New Roman" w:eastAsia="宋体" w:cs="Times New Roman"/>
                <w:color w:val="000000" w:themeColor="text1"/>
                <w:sz w:val="21"/>
                <w:szCs w:val="21"/>
                <w:vertAlign w:val="superscript"/>
                <w:lang w:eastAsia="zh-CN"/>
                <w14:textFill>
                  <w14:solidFill>
                    <w14:schemeClr w14:val="tx1"/>
                  </w14:solidFill>
                </w14:textFill>
              </w:rPr>
              <w:t>5</w:t>
            </w:r>
            <w:r>
              <w:rPr>
                <w:rFonts w:hint="default" w:ascii="Times New Roman" w:hAnsi="Times New Roman" w:eastAsia="宋体" w:cs="Times New Roman"/>
                <w:color w:val="000000" w:themeColor="text1"/>
                <w:sz w:val="21"/>
                <w:szCs w:val="21"/>
                <w:lang w:eastAsia="zh-CN"/>
                <w14:textFill>
                  <w14:solidFill>
                    <w14:schemeClr w14:val="tx1"/>
                  </w14:solidFill>
                </w14:textFill>
              </w:rPr>
              <w:t>个/L，高温发酵≤100个/L</w:t>
            </w:r>
          </w:p>
        </w:tc>
      </w:tr>
      <w:tr w14:paraId="25AE5A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35" w:type="dxa"/>
            <w:vAlign w:val="center"/>
          </w:tcPr>
          <w:p w14:paraId="4700467B">
            <w:pPr>
              <w:pStyle w:val="11"/>
              <w:adjustRightInd w:val="0"/>
              <w:snapToGrid w:val="0"/>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蚊子、苍蝇</w:t>
            </w:r>
          </w:p>
        </w:tc>
        <w:tc>
          <w:tcPr>
            <w:tcW w:w="7551" w:type="dxa"/>
            <w:vAlign w:val="center"/>
          </w:tcPr>
          <w:p w14:paraId="075759A2">
            <w:pPr>
              <w:pStyle w:val="11"/>
              <w:adjustRightInd w:val="0"/>
              <w:snapToGrid w:val="0"/>
              <w:ind w:firstLine="0" w:firstLineChars="0"/>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粪液中不应有蚊蝇幼虫，池的周围不应有活的蛆、蛹或新羽化的成蝇</w:t>
            </w:r>
          </w:p>
        </w:tc>
      </w:tr>
      <w:tr w14:paraId="06372C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35" w:type="dxa"/>
            <w:vAlign w:val="center"/>
          </w:tcPr>
          <w:p w14:paraId="61F272D9">
            <w:pPr>
              <w:pStyle w:val="11"/>
              <w:adjustRightInd w:val="0"/>
              <w:snapToGrid w:val="0"/>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氧化塘</w:t>
            </w:r>
            <w:r>
              <w:rPr>
                <w:rFonts w:hint="default" w:ascii="Times New Roman" w:hAnsi="Times New Roman" w:eastAsia="宋体" w:cs="Times New Roman"/>
                <w:color w:val="000000" w:themeColor="text1"/>
                <w:sz w:val="21"/>
                <w:szCs w:val="21"/>
                <w14:textFill>
                  <w14:solidFill>
                    <w14:schemeClr w14:val="tx1"/>
                  </w14:solidFill>
                </w14:textFill>
              </w:rPr>
              <w:t>粪渣</w:t>
            </w:r>
          </w:p>
        </w:tc>
        <w:tc>
          <w:tcPr>
            <w:tcW w:w="7551" w:type="dxa"/>
            <w:vAlign w:val="center"/>
          </w:tcPr>
          <w:p w14:paraId="0D1308C6">
            <w:pPr>
              <w:pStyle w:val="11"/>
              <w:adjustRightInd w:val="0"/>
              <w:snapToGrid w:val="0"/>
              <w:ind w:firstLine="0" w:firstLineChars="0"/>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达到表1要求后方可用作农肥</w:t>
            </w:r>
          </w:p>
        </w:tc>
      </w:tr>
    </w:tbl>
    <w:p w14:paraId="1E20F2D5">
      <w:pPr>
        <w:adjustRightInd w:val="0"/>
        <w:snapToGrid w:val="0"/>
        <w:ind w:firstLine="482"/>
        <w:rPr>
          <w:rFonts w:hint="default" w:ascii="Times New Roman" w:hAnsi="Times New Roman" w:eastAsia="宋体" w:cs="Times New Roman"/>
          <w:b/>
          <w:color w:val="000000" w:themeColor="text1"/>
          <w14:textFill>
            <w14:solidFill>
              <w14:schemeClr w14:val="tx1"/>
            </w14:solidFill>
          </w14:textFill>
        </w:rPr>
      </w:pPr>
      <w:r>
        <w:rPr>
          <w:rFonts w:hint="default" w:ascii="Times New Roman" w:hAnsi="Times New Roman" w:eastAsia="宋体" w:cs="Times New Roman"/>
          <w:b/>
          <w:color w:val="000000" w:themeColor="text1"/>
          <w14:textFill>
            <w14:solidFill>
              <w14:schemeClr w14:val="tx1"/>
            </w14:solidFill>
          </w14:textFill>
        </w:rPr>
        <w:t>（3）噪声</w:t>
      </w:r>
    </w:p>
    <w:p w14:paraId="141192CC">
      <w:pPr>
        <w:pStyle w:val="11"/>
        <w:adjustRightInd w:val="0"/>
        <w:snapToGrid w:val="0"/>
        <w:ind w:firstLine="480"/>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eastAsia="宋体" w:cs="Times New Roman"/>
          <w:color w:val="000000" w:themeColor="text1"/>
          <w:lang w:eastAsia="zh-CN"/>
          <w14:textFill>
            <w14:solidFill>
              <w14:schemeClr w14:val="tx1"/>
            </w14:solidFill>
          </w14:textFill>
        </w:rPr>
        <w:t>项目厂界噪声排放执行《工业企业厂界环境噪声排放标准》（GB12348-2008）2类标准，标准值见表2.5-</w:t>
      </w:r>
      <w:r>
        <w:rPr>
          <w:rFonts w:hint="default" w:ascii="Times New Roman" w:hAnsi="Times New Roman" w:eastAsia="宋体" w:cs="Times New Roman"/>
          <w:color w:val="000000" w:themeColor="text1"/>
          <w:lang w:val="en-US" w:eastAsia="zh-CN"/>
          <w14:textFill>
            <w14:solidFill>
              <w14:schemeClr w14:val="tx1"/>
            </w14:solidFill>
          </w14:textFill>
        </w:rPr>
        <w:t>8</w:t>
      </w:r>
      <w:r>
        <w:rPr>
          <w:rFonts w:hint="default" w:ascii="Times New Roman" w:hAnsi="Times New Roman" w:eastAsia="宋体" w:cs="Times New Roman"/>
          <w:color w:val="000000" w:themeColor="text1"/>
          <w:lang w:eastAsia="zh-CN"/>
          <w14:textFill>
            <w14:solidFill>
              <w14:schemeClr w14:val="tx1"/>
            </w14:solidFill>
          </w14:textFill>
        </w:rPr>
        <w:t>。</w:t>
      </w:r>
    </w:p>
    <w:p w14:paraId="2305646E">
      <w:pPr>
        <w:tabs>
          <w:tab w:val="left" w:pos="2771"/>
          <w:tab w:val="left" w:pos="6612"/>
        </w:tabs>
        <w:adjustRightInd w:val="0"/>
        <w:snapToGrid w:val="0"/>
        <w:spacing w:line="240" w:lineRule="atLeast"/>
        <w:ind w:firstLine="0" w:firstLineChars="0"/>
        <w:jc w:val="center"/>
        <w:rPr>
          <w:rFonts w:hint="default" w:ascii="Times New Roman" w:hAnsi="Times New Roman" w:eastAsia="宋体" w:cs="Times New Roman"/>
          <w:b/>
          <w:color w:val="000000" w:themeColor="text1"/>
          <w14:textFill>
            <w14:solidFill>
              <w14:schemeClr w14:val="tx1"/>
            </w14:solidFill>
          </w14:textFill>
        </w:rPr>
      </w:pPr>
      <w:r>
        <w:rPr>
          <w:rFonts w:hint="default" w:ascii="Times New Roman" w:hAnsi="Times New Roman" w:eastAsia="宋体" w:cs="Times New Roman"/>
          <w:b/>
          <w:color w:val="000000" w:themeColor="text1"/>
          <w14:textFill>
            <w14:solidFill>
              <w14:schemeClr w14:val="tx1"/>
            </w14:solidFill>
          </w14:textFill>
        </w:rPr>
        <w:t>表2.5-</w:t>
      </w:r>
      <w:r>
        <w:rPr>
          <w:rFonts w:hint="default" w:ascii="Times New Roman" w:hAnsi="Times New Roman" w:eastAsia="宋体" w:cs="Times New Roman"/>
          <w:b/>
          <w:color w:val="000000" w:themeColor="text1"/>
          <w:lang w:val="en-US" w:eastAsia="zh-CN"/>
          <w14:textFill>
            <w14:solidFill>
              <w14:schemeClr w14:val="tx1"/>
            </w14:solidFill>
          </w14:textFill>
        </w:rPr>
        <w:t>8</w:t>
      </w:r>
      <w:r>
        <w:rPr>
          <w:rFonts w:hint="default" w:ascii="Times New Roman" w:hAnsi="Times New Roman" w:eastAsia="宋体" w:cs="Times New Roman"/>
          <w:b/>
          <w:color w:val="000000" w:themeColor="text1"/>
          <w14:textFill>
            <w14:solidFill>
              <w14:schemeClr w14:val="tx1"/>
            </w14:solidFill>
          </w14:textFill>
        </w:rPr>
        <w:t>工业企业厂界环境噪声排放标准</w:t>
      </w:r>
    </w:p>
    <w:tbl>
      <w:tblPr>
        <w:tblStyle w:val="35"/>
        <w:tblW w:w="9014" w:type="dxa"/>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2563"/>
        <w:gridCol w:w="3519"/>
        <w:gridCol w:w="2932"/>
      </w:tblGrid>
      <w:tr w14:paraId="1804392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6" w:hRule="atLeast"/>
          <w:jc w:val="center"/>
        </w:trPr>
        <w:tc>
          <w:tcPr>
            <w:tcW w:w="2563" w:type="dxa"/>
            <w:vMerge w:val="restart"/>
            <w:vAlign w:val="center"/>
          </w:tcPr>
          <w:p w14:paraId="03AA35D2">
            <w:pPr>
              <w:pStyle w:val="36"/>
              <w:ind w:firstLine="0" w:firstLineChars="0"/>
              <w:rPr>
                <w:rFonts w:hint="default" w:ascii="Times New Roman" w:hAnsi="Times New Roman" w:eastAsia="宋体" w:cs="Times New Roman"/>
                <w:b/>
                <w:color w:val="000000" w:themeColor="text1"/>
                <w:sz w:val="21"/>
                <w:szCs w:val="21"/>
                <w14:textFill>
                  <w14:solidFill>
                    <w14:schemeClr w14:val="tx1"/>
                  </w14:solidFill>
                </w14:textFill>
              </w:rPr>
            </w:pPr>
            <w:r>
              <w:rPr>
                <w:rFonts w:hint="default" w:ascii="Times New Roman" w:hAnsi="Times New Roman" w:eastAsia="宋体" w:cs="Times New Roman"/>
                <w:b/>
                <w:color w:val="000000" w:themeColor="text1"/>
                <w:sz w:val="21"/>
                <w:szCs w:val="21"/>
                <w14:textFill>
                  <w14:solidFill>
                    <w14:schemeClr w14:val="tx1"/>
                  </w14:solidFill>
                </w14:textFill>
              </w:rPr>
              <w:t>类别</w:t>
            </w:r>
          </w:p>
        </w:tc>
        <w:tc>
          <w:tcPr>
            <w:tcW w:w="6451" w:type="dxa"/>
            <w:gridSpan w:val="2"/>
            <w:vAlign w:val="center"/>
          </w:tcPr>
          <w:p w14:paraId="41025F95">
            <w:pPr>
              <w:tabs>
                <w:tab w:val="left" w:pos="2771"/>
                <w:tab w:val="left" w:pos="6612"/>
              </w:tabs>
              <w:adjustRightInd w:val="0"/>
              <w:snapToGrid w:val="0"/>
              <w:spacing w:line="240" w:lineRule="atLeast"/>
              <w:ind w:firstLine="0" w:firstLineChars="0"/>
              <w:jc w:val="center"/>
              <w:rPr>
                <w:rFonts w:hint="default" w:ascii="Times New Roman" w:hAnsi="Times New Roman" w:eastAsia="宋体" w:cs="Times New Roman"/>
                <w:b/>
                <w:color w:val="000000" w:themeColor="text1"/>
                <w:sz w:val="21"/>
                <w:szCs w:val="21"/>
                <w14:textFill>
                  <w14:solidFill>
                    <w14:schemeClr w14:val="tx1"/>
                  </w14:solidFill>
                </w14:textFill>
              </w:rPr>
            </w:pPr>
            <w:r>
              <w:rPr>
                <w:rFonts w:hint="default" w:ascii="Times New Roman" w:hAnsi="Times New Roman" w:eastAsia="宋体" w:cs="Times New Roman"/>
                <w:b/>
                <w:color w:val="000000" w:themeColor="text1"/>
                <w:sz w:val="21"/>
                <w:szCs w:val="21"/>
                <w14:textFill>
                  <w14:solidFill>
                    <w14:schemeClr w14:val="tx1"/>
                  </w14:solidFill>
                </w14:textFill>
              </w:rPr>
              <w:t>噪声限值</w:t>
            </w:r>
          </w:p>
          <w:p w14:paraId="7EC41E0F">
            <w:pPr>
              <w:tabs>
                <w:tab w:val="left" w:pos="2771"/>
                <w:tab w:val="left" w:pos="6612"/>
              </w:tabs>
              <w:adjustRightInd w:val="0"/>
              <w:snapToGrid w:val="0"/>
              <w:spacing w:line="240" w:lineRule="atLeast"/>
              <w:ind w:firstLine="0" w:firstLineChars="0"/>
              <w:jc w:val="center"/>
              <w:rPr>
                <w:rFonts w:hint="default" w:ascii="Times New Roman" w:hAnsi="Times New Roman" w:eastAsia="宋体" w:cs="Times New Roman"/>
                <w:b/>
                <w:color w:val="000000" w:themeColor="text1"/>
                <w:sz w:val="21"/>
                <w:szCs w:val="21"/>
                <w14:textFill>
                  <w14:solidFill>
                    <w14:schemeClr w14:val="tx1"/>
                  </w14:solidFill>
                </w14:textFill>
              </w:rPr>
            </w:pPr>
            <w:r>
              <w:rPr>
                <w:rFonts w:hint="default" w:ascii="Times New Roman" w:hAnsi="Times New Roman" w:eastAsia="宋体" w:cs="Times New Roman"/>
                <w:b/>
                <w:color w:val="000000" w:themeColor="text1"/>
                <w:sz w:val="21"/>
                <w:szCs w:val="21"/>
                <w14:textFill>
                  <w14:solidFill>
                    <w14:schemeClr w14:val="tx1"/>
                  </w14:solidFill>
                </w14:textFill>
              </w:rPr>
              <w:t>单位：dB（A）</w:t>
            </w:r>
          </w:p>
        </w:tc>
      </w:tr>
      <w:tr w14:paraId="494B9E9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6" w:hRule="atLeast"/>
          <w:jc w:val="center"/>
        </w:trPr>
        <w:tc>
          <w:tcPr>
            <w:tcW w:w="2563" w:type="dxa"/>
            <w:vMerge w:val="continue"/>
            <w:vAlign w:val="center"/>
          </w:tcPr>
          <w:p w14:paraId="5F45BCCA">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3519" w:type="dxa"/>
            <w:vAlign w:val="center"/>
          </w:tcPr>
          <w:p w14:paraId="6BD1B4E2">
            <w:pPr>
              <w:pStyle w:val="36"/>
              <w:ind w:firstLine="0" w:firstLineChars="0"/>
              <w:rPr>
                <w:rFonts w:hint="default" w:ascii="Times New Roman" w:hAnsi="Times New Roman" w:eastAsia="宋体" w:cs="Times New Roman"/>
                <w:b/>
                <w:color w:val="000000" w:themeColor="text1"/>
                <w:sz w:val="21"/>
                <w:szCs w:val="21"/>
                <w14:textFill>
                  <w14:solidFill>
                    <w14:schemeClr w14:val="tx1"/>
                  </w14:solidFill>
                </w14:textFill>
              </w:rPr>
            </w:pPr>
            <w:r>
              <w:rPr>
                <w:rFonts w:hint="default" w:ascii="Times New Roman" w:hAnsi="Times New Roman" w:eastAsia="宋体" w:cs="Times New Roman"/>
                <w:b/>
                <w:color w:val="000000" w:themeColor="text1"/>
                <w:sz w:val="21"/>
                <w:szCs w:val="21"/>
                <w14:textFill>
                  <w14:solidFill>
                    <w14:schemeClr w14:val="tx1"/>
                  </w14:solidFill>
                </w14:textFill>
              </w:rPr>
              <w:t>昼间</w:t>
            </w:r>
          </w:p>
        </w:tc>
        <w:tc>
          <w:tcPr>
            <w:tcW w:w="2932" w:type="dxa"/>
            <w:vAlign w:val="center"/>
          </w:tcPr>
          <w:p w14:paraId="6B2C3A2D">
            <w:pPr>
              <w:pStyle w:val="36"/>
              <w:ind w:firstLine="0" w:firstLineChars="0"/>
              <w:rPr>
                <w:rFonts w:hint="default" w:ascii="Times New Roman" w:hAnsi="Times New Roman" w:eastAsia="宋体" w:cs="Times New Roman"/>
                <w:b/>
                <w:color w:val="000000" w:themeColor="text1"/>
                <w:sz w:val="21"/>
                <w:szCs w:val="21"/>
                <w14:textFill>
                  <w14:solidFill>
                    <w14:schemeClr w14:val="tx1"/>
                  </w14:solidFill>
                </w14:textFill>
              </w:rPr>
            </w:pPr>
            <w:r>
              <w:rPr>
                <w:rFonts w:hint="default" w:ascii="Times New Roman" w:hAnsi="Times New Roman" w:eastAsia="宋体" w:cs="Times New Roman"/>
                <w:b/>
                <w:color w:val="000000" w:themeColor="text1"/>
                <w:sz w:val="21"/>
                <w:szCs w:val="21"/>
                <w14:textFill>
                  <w14:solidFill>
                    <w14:schemeClr w14:val="tx1"/>
                  </w14:solidFill>
                </w14:textFill>
              </w:rPr>
              <w:t>夜间</w:t>
            </w:r>
          </w:p>
        </w:tc>
      </w:tr>
      <w:tr w14:paraId="01F7CCC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6" w:hRule="atLeast"/>
          <w:jc w:val="center"/>
        </w:trPr>
        <w:tc>
          <w:tcPr>
            <w:tcW w:w="2563" w:type="dxa"/>
            <w:vAlign w:val="center"/>
          </w:tcPr>
          <w:p w14:paraId="6EFC1468">
            <w:pPr>
              <w:pStyle w:val="36"/>
              <w:ind w:firstLine="0" w:firstLineChars="0"/>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w:t>
            </w:r>
          </w:p>
        </w:tc>
        <w:tc>
          <w:tcPr>
            <w:tcW w:w="3519" w:type="dxa"/>
            <w:vAlign w:val="center"/>
          </w:tcPr>
          <w:p w14:paraId="02EB5FD4">
            <w:pPr>
              <w:pStyle w:val="36"/>
              <w:ind w:firstLine="0" w:firstLineChars="0"/>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60</w:t>
            </w:r>
          </w:p>
        </w:tc>
        <w:tc>
          <w:tcPr>
            <w:tcW w:w="2932" w:type="dxa"/>
            <w:vAlign w:val="center"/>
          </w:tcPr>
          <w:p w14:paraId="55CE275B">
            <w:pPr>
              <w:pStyle w:val="36"/>
              <w:ind w:firstLine="0" w:firstLineChars="0"/>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50</w:t>
            </w:r>
          </w:p>
        </w:tc>
      </w:tr>
    </w:tbl>
    <w:p w14:paraId="77FA52BF">
      <w:pPr>
        <w:pStyle w:val="11"/>
        <w:adjustRightInd w:val="0"/>
        <w:snapToGrid w:val="0"/>
        <w:ind w:firstLine="480"/>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eastAsia="宋体" w:cs="Times New Roman"/>
          <w:color w:val="000000" w:themeColor="text1"/>
          <w:lang w:eastAsia="zh-CN"/>
          <w14:textFill>
            <w14:solidFill>
              <w14:schemeClr w14:val="tx1"/>
            </w14:solidFill>
          </w14:textFill>
        </w:rPr>
        <w:t>项目施工期建筑施工场界噪声排放执行《建筑施工场界环境噪声排放标准》（GB12523-2011）标准限值。标准值见表2.5-</w:t>
      </w:r>
      <w:r>
        <w:rPr>
          <w:rFonts w:hint="default" w:ascii="Times New Roman" w:hAnsi="Times New Roman" w:eastAsia="宋体" w:cs="Times New Roman"/>
          <w:color w:val="000000" w:themeColor="text1"/>
          <w:lang w:val="en-US" w:eastAsia="zh-CN"/>
          <w14:textFill>
            <w14:solidFill>
              <w14:schemeClr w14:val="tx1"/>
            </w14:solidFill>
          </w14:textFill>
        </w:rPr>
        <w:t>9</w:t>
      </w:r>
      <w:r>
        <w:rPr>
          <w:rFonts w:hint="default" w:ascii="Times New Roman" w:hAnsi="Times New Roman" w:eastAsia="宋体" w:cs="Times New Roman"/>
          <w:color w:val="000000" w:themeColor="text1"/>
          <w:lang w:eastAsia="zh-CN"/>
          <w14:textFill>
            <w14:solidFill>
              <w14:schemeClr w14:val="tx1"/>
            </w14:solidFill>
          </w14:textFill>
        </w:rPr>
        <w:t>。</w:t>
      </w:r>
    </w:p>
    <w:p w14:paraId="36F51318">
      <w:pPr>
        <w:tabs>
          <w:tab w:val="left" w:pos="2771"/>
          <w:tab w:val="left" w:pos="6612"/>
        </w:tabs>
        <w:adjustRightInd w:val="0"/>
        <w:snapToGrid w:val="0"/>
        <w:spacing w:line="240" w:lineRule="atLeast"/>
        <w:ind w:firstLine="0" w:firstLineChars="0"/>
        <w:jc w:val="center"/>
        <w:rPr>
          <w:rFonts w:hint="default" w:ascii="Times New Roman" w:hAnsi="Times New Roman" w:eastAsia="宋体" w:cs="Times New Roman"/>
          <w:b/>
          <w:color w:val="000000" w:themeColor="text1"/>
          <w:sz w:val="20"/>
          <w14:textFill>
            <w14:solidFill>
              <w14:schemeClr w14:val="tx1"/>
            </w14:solidFill>
          </w14:textFill>
        </w:rPr>
      </w:pPr>
      <w:r>
        <w:rPr>
          <w:rFonts w:hint="default" w:ascii="Times New Roman" w:hAnsi="Times New Roman" w:eastAsia="宋体" w:cs="Times New Roman"/>
          <w:b/>
          <w:color w:val="000000" w:themeColor="text1"/>
          <w14:textFill>
            <w14:solidFill>
              <w14:schemeClr w14:val="tx1"/>
            </w14:solidFill>
          </w14:textFill>
        </w:rPr>
        <w:t>表2.5-</w:t>
      </w:r>
      <w:r>
        <w:rPr>
          <w:rFonts w:hint="default" w:ascii="Times New Roman" w:hAnsi="Times New Roman" w:eastAsia="宋体" w:cs="Times New Roman"/>
          <w:b/>
          <w:color w:val="000000" w:themeColor="text1"/>
          <w:lang w:val="en-US" w:eastAsia="zh-CN"/>
          <w14:textFill>
            <w14:solidFill>
              <w14:schemeClr w14:val="tx1"/>
            </w14:solidFill>
          </w14:textFill>
        </w:rPr>
        <w:t>9</w:t>
      </w:r>
      <w:r>
        <w:rPr>
          <w:rFonts w:hint="default" w:ascii="Times New Roman" w:hAnsi="Times New Roman" w:eastAsia="宋体" w:cs="Times New Roman"/>
          <w:b/>
          <w:color w:val="000000" w:themeColor="text1"/>
          <w14:textFill>
            <w14:solidFill>
              <w14:schemeClr w14:val="tx1"/>
            </w14:solidFill>
          </w14:textFill>
        </w:rPr>
        <w:t>建筑施工场界环境噪声排放标准</w:t>
      </w:r>
    </w:p>
    <w:tbl>
      <w:tblPr>
        <w:tblStyle w:val="29"/>
        <w:tblW w:w="901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2705"/>
        <w:gridCol w:w="2978"/>
        <w:gridCol w:w="3331"/>
      </w:tblGrid>
      <w:tr w14:paraId="02CA17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2705" w:type="dxa"/>
            <w:vAlign w:val="center"/>
          </w:tcPr>
          <w:p w14:paraId="7294BE7E">
            <w:pPr>
              <w:pStyle w:val="11"/>
              <w:ind w:firstLine="0" w:firstLineChars="0"/>
              <w:jc w:val="center"/>
              <w:rPr>
                <w:rFonts w:hint="default" w:ascii="Times New Roman" w:hAnsi="Times New Roman" w:eastAsia="宋体" w:cs="Times New Roman"/>
                <w:b/>
                <w:bCs w:val="0"/>
                <w:color w:val="000000" w:themeColor="text1"/>
                <w:sz w:val="21"/>
                <w:szCs w:val="21"/>
                <w14:textFill>
                  <w14:solidFill>
                    <w14:schemeClr w14:val="tx1"/>
                  </w14:solidFill>
                </w14:textFill>
              </w:rPr>
            </w:pPr>
            <w:r>
              <w:rPr>
                <w:rFonts w:hint="default" w:ascii="Times New Roman" w:hAnsi="Times New Roman" w:eastAsia="宋体" w:cs="Times New Roman"/>
                <w:b/>
                <w:bCs w:val="0"/>
                <w:color w:val="000000" w:themeColor="text1"/>
                <w:sz w:val="21"/>
                <w:szCs w:val="21"/>
                <w14:textFill>
                  <w14:solidFill>
                    <w14:schemeClr w14:val="tx1"/>
                  </w14:solidFill>
                </w14:textFill>
              </w:rPr>
              <w:t>单位</w:t>
            </w:r>
          </w:p>
        </w:tc>
        <w:tc>
          <w:tcPr>
            <w:tcW w:w="2978" w:type="dxa"/>
            <w:vAlign w:val="center"/>
          </w:tcPr>
          <w:p w14:paraId="3644CF71">
            <w:pPr>
              <w:pStyle w:val="11"/>
              <w:ind w:firstLine="0" w:firstLineChars="0"/>
              <w:jc w:val="center"/>
              <w:rPr>
                <w:rFonts w:hint="default" w:ascii="Times New Roman" w:hAnsi="Times New Roman" w:eastAsia="宋体" w:cs="Times New Roman"/>
                <w:b/>
                <w:bCs w:val="0"/>
                <w:color w:val="000000" w:themeColor="text1"/>
                <w:sz w:val="21"/>
                <w:szCs w:val="21"/>
                <w14:textFill>
                  <w14:solidFill>
                    <w14:schemeClr w14:val="tx1"/>
                  </w14:solidFill>
                </w14:textFill>
              </w:rPr>
            </w:pPr>
            <w:r>
              <w:rPr>
                <w:rFonts w:hint="default" w:ascii="Times New Roman" w:hAnsi="Times New Roman" w:eastAsia="宋体" w:cs="Times New Roman"/>
                <w:b/>
                <w:bCs w:val="0"/>
                <w:color w:val="000000" w:themeColor="text1"/>
                <w:sz w:val="21"/>
                <w:szCs w:val="21"/>
                <w14:textFill>
                  <w14:solidFill>
                    <w14:schemeClr w14:val="tx1"/>
                  </w14:solidFill>
                </w14:textFill>
              </w:rPr>
              <w:t>昼间</w:t>
            </w:r>
          </w:p>
        </w:tc>
        <w:tc>
          <w:tcPr>
            <w:tcW w:w="3331" w:type="dxa"/>
            <w:vAlign w:val="center"/>
          </w:tcPr>
          <w:p w14:paraId="5BBF6B6A">
            <w:pPr>
              <w:pStyle w:val="11"/>
              <w:ind w:firstLine="0" w:firstLineChars="0"/>
              <w:jc w:val="center"/>
              <w:rPr>
                <w:rFonts w:hint="default" w:ascii="Times New Roman" w:hAnsi="Times New Roman" w:eastAsia="宋体" w:cs="Times New Roman"/>
                <w:b/>
                <w:bCs w:val="0"/>
                <w:color w:val="000000" w:themeColor="text1"/>
                <w:sz w:val="21"/>
                <w:szCs w:val="21"/>
                <w14:textFill>
                  <w14:solidFill>
                    <w14:schemeClr w14:val="tx1"/>
                  </w14:solidFill>
                </w14:textFill>
              </w:rPr>
            </w:pPr>
            <w:r>
              <w:rPr>
                <w:rFonts w:hint="default" w:ascii="Times New Roman" w:hAnsi="Times New Roman" w:eastAsia="宋体" w:cs="Times New Roman"/>
                <w:b/>
                <w:bCs w:val="0"/>
                <w:color w:val="000000" w:themeColor="text1"/>
                <w:sz w:val="21"/>
                <w:szCs w:val="21"/>
                <w14:textFill>
                  <w14:solidFill>
                    <w14:schemeClr w14:val="tx1"/>
                  </w14:solidFill>
                </w14:textFill>
              </w:rPr>
              <w:t>夜间</w:t>
            </w:r>
          </w:p>
        </w:tc>
      </w:tr>
      <w:tr w14:paraId="3506EF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2705" w:type="dxa"/>
            <w:vAlign w:val="center"/>
          </w:tcPr>
          <w:p w14:paraId="5E9FA2F1">
            <w:pPr>
              <w:pStyle w:val="11"/>
              <w:ind w:firstLine="0" w:firstLineChars="0"/>
              <w:jc w:val="center"/>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dB（A）</w:t>
            </w:r>
          </w:p>
        </w:tc>
        <w:tc>
          <w:tcPr>
            <w:tcW w:w="2978" w:type="dxa"/>
            <w:vAlign w:val="center"/>
          </w:tcPr>
          <w:p w14:paraId="1C0A2718">
            <w:pPr>
              <w:pStyle w:val="11"/>
              <w:ind w:firstLine="0" w:firstLineChars="0"/>
              <w:jc w:val="center"/>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70</w:t>
            </w:r>
          </w:p>
        </w:tc>
        <w:tc>
          <w:tcPr>
            <w:tcW w:w="3331" w:type="dxa"/>
            <w:vAlign w:val="center"/>
          </w:tcPr>
          <w:p w14:paraId="018E4E6B">
            <w:pPr>
              <w:pStyle w:val="11"/>
              <w:ind w:firstLine="0" w:firstLineChars="0"/>
              <w:jc w:val="center"/>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55</w:t>
            </w:r>
          </w:p>
        </w:tc>
      </w:tr>
    </w:tbl>
    <w:p w14:paraId="535EDE32">
      <w:pPr>
        <w:adjustRightInd w:val="0"/>
        <w:snapToGrid w:val="0"/>
        <w:ind w:firstLine="482"/>
        <w:rPr>
          <w:rFonts w:hint="default" w:ascii="Times New Roman" w:hAnsi="Times New Roman" w:eastAsia="宋体" w:cs="Times New Roman"/>
          <w:b/>
          <w:color w:val="000000" w:themeColor="text1"/>
          <w14:textFill>
            <w14:solidFill>
              <w14:schemeClr w14:val="tx1"/>
            </w14:solidFill>
          </w14:textFill>
        </w:rPr>
      </w:pPr>
      <w:r>
        <w:rPr>
          <w:rFonts w:hint="default" w:ascii="Times New Roman" w:hAnsi="Times New Roman" w:eastAsia="宋体" w:cs="Times New Roman"/>
          <w:b/>
          <w:color w:val="000000" w:themeColor="text1"/>
          <w14:textFill>
            <w14:solidFill>
              <w14:schemeClr w14:val="tx1"/>
            </w14:solidFill>
          </w14:textFill>
        </w:rPr>
        <w:t>（4）固废</w:t>
      </w:r>
    </w:p>
    <w:p w14:paraId="41B74FAC">
      <w:pPr>
        <w:pStyle w:val="11"/>
        <w:adjustRightInd w:val="0"/>
        <w:snapToGrid w:val="0"/>
        <w:ind w:firstLine="480"/>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eastAsia="宋体" w:cs="Times New Roman"/>
          <w:color w:val="000000" w:themeColor="text1"/>
          <w:lang w:eastAsia="zh-CN"/>
          <w14:textFill>
            <w14:solidFill>
              <w14:schemeClr w14:val="tx1"/>
            </w14:solidFill>
          </w14:textFill>
        </w:rPr>
        <w:t>根据2020年10月20日部长信箱关于“畜禽养殖业资源化利用”执行标准问题的回复，本项目粪便经过堆肥处理后还田应执行《畜禽粪便无害化处理技术规范》（GB/T36195-2018）和《畜禽粪便还田技术规范》（GB/T25246-2010）相关标准要求，具体数值见表2.</w:t>
      </w:r>
      <w:r>
        <w:rPr>
          <w:rFonts w:hint="eastAsia" w:ascii="Times New Roman" w:hAnsi="Times New Roman" w:cs="Times New Roman"/>
          <w:color w:val="000000" w:themeColor="text1"/>
          <w:lang w:val="en-US" w:eastAsia="zh-CN"/>
          <w14:textFill>
            <w14:solidFill>
              <w14:schemeClr w14:val="tx1"/>
            </w14:solidFill>
          </w14:textFill>
        </w:rPr>
        <w:t>5-10</w:t>
      </w:r>
      <w:r>
        <w:rPr>
          <w:rFonts w:hint="default" w:ascii="Times New Roman" w:hAnsi="Times New Roman" w:eastAsia="宋体" w:cs="Times New Roman"/>
          <w:color w:val="000000" w:themeColor="text1"/>
          <w:lang w:eastAsia="zh-CN"/>
          <w14:textFill>
            <w14:solidFill>
              <w14:schemeClr w14:val="tx1"/>
            </w14:solidFill>
          </w14:textFill>
        </w:rPr>
        <w:t>和表2.</w:t>
      </w:r>
      <w:r>
        <w:rPr>
          <w:rFonts w:hint="eastAsia" w:ascii="Times New Roman" w:hAnsi="Times New Roman" w:cs="Times New Roman"/>
          <w:color w:val="000000" w:themeColor="text1"/>
          <w:lang w:val="en-US" w:eastAsia="zh-CN"/>
          <w14:textFill>
            <w14:solidFill>
              <w14:schemeClr w14:val="tx1"/>
            </w14:solidFill>
          </w14:textFill>
        </w:rPr>
        <w:t>5-11</w:t>
      </w:r>
      <w:r>
        <w:rPr>
          <w:rFonts w:hint="default" w:ascii="Times New Roman" w:hAnsi="Times New Roman" w:eastAsia="宋体" w:cs="Times New Roman"/>
          <w:color w:val="000000" w:themeColor="text1"/>
          <w:lang w:eastAsia="zh-CN"/>
          <w14:textFill>
            <w14:solidFill>
              <w14:schemeClr w14:val="tx1"/>
            </w14:solidFill>
          </w14:textFill>
        </w:rPr>
        <w:t>。</w:t>
      </w:r>
    </w:p>
    <w:p w14:paraId="6827E5B9">
      <w:pPr>
        <w:pStyle w:val="11"/>
        <w:adjustRightInd w:val="0"/>
        <w:snapToGrid w:val="0"/>
        <w:ind w:firstLine="480"/>
        <w:jc w:val="center"/>
        <w:rPr>
          <w:rFonts w:hint="default" w:ascii="Times New Roman" w:hAnsi="Times New Roman" w:eastAsia="宋体" w:cs="Times New Roman"/>
          <w:b/>
          <w:bCs/>
          <w:color w:val="000000" w:themeColor="text1"/>
          <w:lang w:eastAsia="zh-CN"/>
          <w14:textFill>
            <w14:solidFill>
              <w14:schemeClr w14:val="tx1"/>
            </w14:solidFill>
          </w14:textFill>
        </w:rPr>
      </w:pPr>
      <w:r>
        <w:rPr>
          <w:rFonts w:hint="default" w:ascii="Times New Roman" w:hAnsi="Times New Roman" w:eastAsia="宋体" w:cs="Times New Roman"/>
          <w:b/>
          <w:bCs/>
          <w:color w:val="000000" w:themeColor="text1"/>
          <w:lang w:eastAsia="zh-CN"/>
          <w14:textFill>
            <w14:solidFill>
              <w14:schemeClr w14:val="tx1"/>
            </w14:solidFill>
          </w14:textFill>
        </w:rPr>
        <w:t>表2.</w:t>
      </w:r>
      <w:r>
        <w:rPr>
          <w:rFonts w:hint="eastAsia" w:ascii="Times New Roman" w:hAnsi="Times New Roman" w:cs="Times New Roman"/>
          <w:b/>
          <w:bCs/>
          <w:color w:val="000000" w:themeColor="text1"/>
          <w:lang w:val="en-US" w:eastAsia="zh-CN"/>
          <w14:textFill>
            <w14:solidFill>
              <w14:schemeClr w14:val="tx1"/>
            </w14:solidFill>
          </w14:textFill>
        </w:rPr>
        <w:t>5-10</w:t>
      </w:r>
      <w:r>
        <w:rPr>
          <w:rFonts w:hint="default" w:ascii="Times New Roman" w:hAnsi="Times New Roman" w:eastAsia="宋体" w:cs="Times New Roman"/>
          <w:b/>
          <w:bCs/>
          <w:color w:val="000000" w:themeColor="text1"/>
          <w:lang w:eastAsia="zh-CN"/>
          <w14:textFill>
            <w14:solidFill>
              <w14:schemeClr w14:val="tx1"/>
            </w14:solidFill>
          </w14:textFill>
        </w:rPr>
        <w:t>畜禽粪便无害化处理技术规范（固体）</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2103"/>
        <w:gridCol w:w="6257"/>
      </w:tblGrid>
      <w:tr w14:paraId="5C9E17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454" w:hRule="exact"/>
          <w:jc w:val="center"/>
        </w:trPr>
        <w:tc>
          <w:tcPr>
            <w:tcW w:w="1258" w:type="pct"/>
            <w:vAlign w:val="center"/>
          </w:tcPr>
          <w:p w14:paraId="7A4FFF94">
            <w:pPr>
              <w:pStyle w:val="11"/>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项目</w:t>
            </w:r>
          </w:p>
        </w:tc>
        <w:tc>
          <w:tcPr>
            <w:tcW w:w="3742" w:type="pct"/>
            <w:vAlign w:val="center"/>
          </w:tcPr>
          <w:p w14:paraId="78403A17">
            <w:pPr>
              <w:pStyle w:val="11"/>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卫生学要求</w:t>
            </w:r>
          </w:p>
        </w:tc>
      </w:tr>
      <w:tr w14:paraId="100B22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454" w:hRule="exact"/>
          <w:jc w:val="center"/>
        </w:trPr>
        <w:tc>
          <w:tcPr>
            <w:tcW w:w="1258" w:type="pct"/>
            <w:vAlign w:val="center"/>
          </w:tcPr>
          <w:p w14:paraId="2E15F052">
            <w:pPr>
              <w:pStyle w:val="11"/>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蛔虫卵</w:t>
            </w:r>
          </w:p>
        </w:tc>
        <w:tc>
          <w:tcPr>
            <w:tcW w:w="3742" w:type="pct"/>
            <w:vAlign w:val="center"/>
          </w:tcPr>
          <w:p w14:paraId="5E61DED8">
            <w:pPr>
              <w:pStyle w:val="11"/>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死亡率≥95%</w:t>
            </w:r>
          </w:p>
        </w:tc>
      </w:tr>
      <w:tr w14:paraId="74DDCF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454" w:hRule="exact"/>
          <w:jc w:val="center"/>
        </w:trPr>
        <w:tc>
          <w:tcPr>
            <w:tcW w:w="1258" w:type="pct"/>
            <w:vAlign w:val="center"/>
          </w:tcPr>
          <w:p w14:paraId="404E3023">
            <w:pPr>
              <w:pStyle w:val="11"/>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粪大肠菌群数</w:t>
            </w:r>
          </w:p>
        </w:tc>
        <w:tc>
          <w:tcPr>
            <w:tcW w:w="3742" w:type="pct"/>
            <w:vAlign w:val="center"/>
          </w:tcPr>
          <w:p w14:paraId="46770B81">
            <w:pPr>
              <w:pStyle w:val="11"/>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≤105个/kg</w:t>
            </w:r>
          </w:p>
        </w:tc>
      </w:tr>
      <w:tr w14:paraId="0C4354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454" w:hRule="exact"/>
          <w:jc w:val="center"/>
        </w:trPr>
        <w:tc>
          <w:tcPr>
            <w:tcW w:w="1258" w:type="pct"/>
            <w:vAlign w:val="center"/>
          </w:tcPr>
          <w:p w14:paraId="4CA44000">
            <w:pPr>
              <w:pStyle w:val="11"/>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苍蝇</w:t>
            </w:r>
          </w:p>
        </w:tc>
        <w:tc>
          <w:tcPr>
            <w:tcW w:w="3742" w:type="pct"/>
            <w:vAlign w:val="center"/>
          </w:tcPr>
          <w:p w14:paraId="1B101CDB">
            <w:pPr>
              <w:pStyle w:val="11"/>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堆体周围不应有活的蛆、蛹或新羽化的成蝇</w:t>
            </w:r>
          </w:p>
        </w:tc>
      </w:tr>
    </w:tbl>
    <w:p w14:paraId="44830C70">
      <w:pPr>
        <w:pStyle w:val="11"/>
        <w:adjustRightInd w:val="0"/>
        <w:snapToGrid w:val="0"/>
        <w:ind w:firstLine="480"/>
        <w:jc w:val="center"/>
        <w:rPr>
          <w:rFonts w:hint="default" w:ascii="Times New Roman" w:hAnsi="Times New Roman" w:eastAsia="宋体" w:cs="Times New Roman"/>
          <w:b/>
          <w:bCs/>
          <w:color w:val="000000" w:themeColor="text1"/>
          <w:lang w:eastAsia="zh-CN"/>
          <w14:textFill>
            <w14:solidFill>
              <w14:schemeClr w14:val="tx1"/>
            </w14:solidFill>
          </w14:textFill>
        </w:rPr>
      </w:pPr>
      <w:r>
        <w:rPr>
          <w:rFonts w:hint="default" w:ascii="Times New Roman" w:hAnsi="Times New Roman" w:eastAsia="宋体" w:cs="Times New Roman"/>
          <w:b/>
          <w:bCs/>
          <w:color w:val="000000" w:themeColor="text1"/>
          <w:lang w:eastAsia="zh-CN"/>
          <w14:textFill>
            <w14:solidFill>
              <w14:schemeClr w14:val="tx1"/>
            </w14:solidFill>
          </w14:textFill>
        </w:rPr>
        <w:t>表2.</w:t>
      </w:r>
      <w:r>
        <w:rPr>
          <w:rFonts w:hint="eastAsia" w:ascii="Times New Roman" w:hAnsi="Times New Roman" w:cs="Times New Roman"/>
          <w:b/>
          <w:bCs/>
          <w:color w:val="000000" w:themeColor="text1"/>
          <w:lang w:val="en-US" w:eastAsia="zh-CN"/>
          <w14:textFill>
            <w14:solidFill>
              <w14:schemeClr w14:val="tx1"/>
            </w14:solidFill>
          </w14:textFill>
        </w:rPr>
        <w:t>5-11</w:t>
      </w:r>
      <w:r>
        <w:rPr>
          <w:rFonts w:hint="default" w:ascii="Times New Roman" w:hAnsi="Times New Roman" w:eastAsia="宋体" w:cs="Times New Roman"/>
          <w:b/>
          <w:bCs/>
          <w:color w:val="000000" w:themeColor="text1"/>
          <w:lang w:eastAsia="zh-CN"/>
          <w14:textFill>
            <w14:solidFill>
              <w14:schemeClr w14:val="tx1"/>
            </w14:solidFill>
          </w14:textFill>
        </w:rPr>
        <w:t>畜禽粪便还田技术规范（猪粪还田限量）　单位：t/hm</w:t>
      </w:r>
      <w:r>
        <w:rPr>
          <w:rFonts w:hint="default" w:ascii="Times New Roman" w:hAnsi="Times New Roman" w:eastAsia="宋体" w:cs="Times New Roman"/>
          <w:b/>
          <w:bCs/>
          <w:color w:val="000000" w:themeColor="text1"/>
          <w:vertAlign w:val="superscript"/>
          <w:lang w:eastAsia="zh-CN"/>
          <w14:textFill>
            <w14:solidFill>
              <w14:schemeClr w14:val="tx1"/>
            </w14:solidFill>
          </w14:textFill>
        </w:rPr>
        <w:t>2</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92"/>
        <w:gridCol w:w="1808"/>
        <w:gridCol w:w="1810"/>
        <w:gridCol w:w="1810"/>
      </w:tblGrid>
      <w:tr w14:paraId="4F3EBB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815" w:type="pct"/>
            <w:vAlign w:val="center"/>
          </w:tcPr>
          <w:p w14:paraId="74E7A4AD">
            <w:pPr>
              <w:pStyle w:val="11"/>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农田本底肥力水平</w:t>
            </w:r>
          </w:p>
        </w:tc>
        <w:tc>
          <w:tcPr>
            <w:tcW w:w="1061" w:type="pct"/>
            <w:vAlign w:val="center"/>
          </w:tcPr>
          <w:p w14:paraId="595172D9">
            <w:pPr>
              <w:pStyle w:val="11"/>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Ⅰ</w:t>
            </w:r>
          </w:p>
        </w:tc>
        <w:tc>
          <w:tcPr>
            <w:tcW w:w="1062" w:type="pct"/>
            <w:vAlign w:val="center"/>
          </w:tcPr>
          <w:p w14:paraId="2F8211BE">
            <w:pPr>
              <w:pStyle w:val="11"/>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Ⅱ</w:t>
            </w:r>
          </w:p>
        </w:tc>
        <w:tc>
          <w:tcPr>
            <w:tcW w:w="1061" w:type="pct"/>
            <w:vAlign w:val="center"/>
          </w:tcPr>
          <w:p w14:paraId="11951C05">
            <w:pPr>
              <w:pStyle w:val="11"/>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Ⅲ</w:t>
            </w:r>
          </w:p>
        </w:tc>
      </w:tr>
      <w:tr w14:paraId="430166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815" w:type="pct"/>
            <w:vAlign w:val="center"/>
          </w:tcPr>
          <w:p w14:paraId="2F60F218">
            <w:pPr>
              <w:pStyle w:val="11"/>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麦和玉米田施用限量</w:t>
            </w:r>
          </w:p>
        </w:tc>
        <w:tc>
          <w:tcPr>
            <w:tcW w:w="1061" w:type="pct"/>
            <w:vAlign w:val="center"/>
          </w:tcPr>
          <w:p w14:paraId="7AEA22E0">
            <w:pPr>
              <w:pStyle w:val="11"/>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19</w:t>
            </w:r>
          </w:p>
        </w:tc>
        <w:tc>
          <w:tcPr>
            <w:tcW w:w="1062" w:type="pct"/>
            <w:vAlign w:val="center"/>
          </w:tcPr>
          <w:p w14:paraId="7152D0CC">
            <w:pPr>
              <w:pStyle w:val="11"/>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16</w:t>
            </w:r>
          </w:p>
        </w:tc>
        <w:tc>
          <w:tcPr>
            <w:tcW w:w="1061" w:type="pct"/>
            <w:vAlign w:val="center"/>
          </w:tcPr>
          <w:p w14:paraId="3AE6AD8D">
            <w:pPr>
              <w:pStyle w:val="11"/>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14</w:t>
            </w:r>
          </w:p>
        </w:tc>
      </w:tr>
      <w:tr w14:paraId="57AAEB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815" w:type="pct"/>
            <w:vAlign w:val="center"/>
          </w:tcPr>
          <w:p w14:paraId="5A534888">
            <w:pPr>
              <w:pStyle w:val="11"/>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稻田施用限量</w:t>
            </w:r>
          </w:p>
        </w:tc>
        <w:tc>
          <w:tcPr>
            <w:tcW w:w="1061" w:type="pct"/>
            <w:vAlign w:val="center"/>
          </w:tcPr>
          <w:p w14:paraId="62B96B5B">
            <w:pPr>
              <w:pStyle w:val="11"/>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22</w:t>
            </w:r>
          </w:p>
        </w:tc>
        <w:tc>
          <w:tcPr>
            <w:tcW w:w="1062" w:type="pct"/>
            <w:vAlign w:val="center"/>
          </w:tcPr>
          <w:p w14:paraId="77ABD026">
            <w:pPr>
              <w:pStyle w:val="11"/>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18</w:t>
            </w:r>
          </w:p>
        </w:tc>
        <w:tc>
          <w:tcPr>
            <w:tcW w:w="1061" w:type="pct"/>
            <w:vAlign w:val="center"/>
          </w:tcPr>
          <w:p w14:paraId="36151489">
            <w:pPr>
              <w:pStyle w:val="11"/>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16</w:t>
            </w:r>
          </w:p>
        </w:tc>
      </w:tr>
      <w:tr w14:paraId="43BBB3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2" w:hRule="exact"/>
          <w:jc w:val="center"/>
        </w:trPr>
        <w:tc>
          <w:tcPr>
            <w:tcW w:w="5000" w:type="pct"/>
            <w:gridSpan w:val="4"/>
            <w:vAlign w:val="center"/>
          </w:tcPr>
          <w:p w14:paraId="048DBF24">
            <w:pPr>
              <w:pStyle w:val="11"/>
              <w:adjustRightInd w:val="0"/>
              <w:snapToGrid w:val="0"/>
              <w:ind w:firstLine="480"/>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注:以上限值均指在不施用化肥情况下，以干物质计算的猪粪肥料的使用限量。如果施用牛粪、鸡粪、羊粪等肥料可根据猪粪换算，其换算系数为：牛粪(0.8 )，鸡粪( 1.6 )，羊粪( 1.0 )。</w:t>
            </w:r>
          </w:p>
        </w:tc>
      </w:tr>
    </w:tbl>
    <w:p w14:paraId="1A1D7D4F">
      <w:pPr>
        <w:pStyle w:val="11"/>
        <w:adjustRightInd w:val="0"/>
        <w:snapToGrid w:val="0"/>
        <w:ind w:firstLine="480"/>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eastAsia="宋体" w:cs="Times New Roman"/>
          <w:color w:val="000000" w:themeColor="text1"/>
          <w:lang w:eastAsia="zh-CN"/>
          <w14:textFill>
            <w14:solidFill>
              <w14:schemeClr w14:val="tx1"/>
            </w14:solidFill>
          </w14:textFill>
        </w:rPr>
        <w:t>一般固废执行《一般工业固体废物贮存和填埋污染控制标准》(GB18599-2020)；危险废物执行《危险废物贮存污染控制标准》(GB18597-20</w:t>
      </w:r>
      <w:r>
        <w:rPr>
          <w:rFonts w:hint="eastAsia" w:ascii="Times New Roman" w:hAnsi="Times New Roman" w:cs="Times New Roman"/>
          <w:color w:val="000000" w:themeColor="text1"/>
          <w:lang w:val="en-US" w:eastAsia="zh-CN"/>
          <w14:textFill>
            <w14:solidFill>
              <w14:schemeClr w14:val="tx1"/>
            </w14:solidFill>
          </w14:textFill>
        </w:rPr>
        <w:t>23</w:t>
      </w:r>
      <w:r>
        <w:rPr>
          <w:rFonts w:hint="default" w:ascii="Times New Roman" w:hAnsi="Times New Roman" w:eastAsia="宋体" w:cs="Times New Roman"/>
          <w:color w:val="000000" w:themeColor="text1"/>
          <w:lang w:eastAsia="zh-CN"/>
          <w14:textFill>
            <w14:solidFill>
              <w14:schemeClr w14:val="tx1"/>
            </w14:solidFill>
          </w14:textFill>
        </w:rPr>
        <w:t>)。</w:t>
      </w:r>
    </w:p>
    <w:p w14:paraId="7C083455">
      <w:pPr>
        <w:pStyle w:val="11"/>
        <w:adjustRightInd w:val="0"/>
        <w:snapToGrid w:val="0"/>
        <w:ind w:firstLine="480"/>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eastAsia="宋体" w:cs="Times New Roman"/>
          <w:color w:val="000000" w:themeColor="text1"/>
          <w:lang w:eastAsia="zh-CN"/>
          <w14:textFill>
            <w14:solidFill>
              <w14:schemeClr w14:val="tx1"/>
            </w14:solidFill>
          </w14:textFill>
        </w:rPr>
        <w:t>病疫死牛和分娩胎衣同时参照《畜禽养殖业污染治理工程技术规范》（HJ497-2009）、《病害动物和病害动物产品生物安全处理规程》（GB16548-2006）以及《病死及病害动物无害化处理技术规范》（农医发[2017]25号）中的相关规定进行处置。</w:t>
      </w:r>
    </w:p>
    <w:p w14:paraId="44EE4F28">
      <w:pPr>
        <w:ind w:firstLine="0" w:firstLineChars="0"/>
        <w:outlineLvl w:val="1"/>
        <w:rPr>
          <w:rFonts w:hint="default" w:ascii="Times New Roman" w:hAnsi="Times New Roman" w:eastAsia="宋体" w:cs="Times New Roman"/>
          <w:b/>
          <w:bCs/>
          <w:color w:val="000000" w:themeColor="text1"/>
          <w:sz w:val="28"/>
          <w:szCs w:val="28"/>
          <w14:textFill>
            <w14:solidFill>
              <w14:schemeClr w14:val="tx1"/>
            </w14:solidFill>
          </w14:textFill>
        </w:rPr>
      </w:pPr>
      <w:bookmarkStart w:id="72" w:name="_Toc16092"/>
      <w:r>
        <w:rPr>
          <w:rFonts w:hint="default" w:ascii="Times New Roman" w:hAnsi="Times New Roman" w:eastAsia="宋体" w:cs="Times New Roman"/>
          <w:b/>
          <w:bCs/>
          <w:color w:val="000000" w:themeColor="text1"/>
          <w:sz w:val="28"/>
          <w:szCs w:val="28"/>
          <w14:textFill>
            <w14:solidFill>
              <w14:schemeClr w14:val="tx1"/>
            </w14:solidFill>
          </w14:textFill>
        </w:rPr>
        <w:t>2.6评价工作等级及评价范围</w:t>
      </w:r>
      <w:bookmarkEnd w:id="72"/>
    </w:p>
    <w:p w14:paraId="0B496CF0">
      <w:pPr>
        <w:pStyle w:val="11"/>
        <w:adjustRightInd w:val="0"/>
        <w:snapToGrid w:val="0"/>
        <w:ind w:firstLine="482"/>
        <w:outlineLvl w:val="2"/>
        <w:rPr>
          <w:rFonts w:hint="default" w:ascii="Times New Roman" w:hAnsi="Times New Roman" w:eastAsia="宋体" w:cs="Times New Roman"/>
          <w:b/>
          <w:color w:val="000000" w:themeColor="text1"/>
          <w:lang w:eastAsia="zh-CN"/>
          <w14:textFill>
            <w14:solidFill>
              <w14:schemeClr w14:val="tx1"/>
            </w14:solidFill>
          </w14:textFill>
        </w:rPr>
      </w:pPr>
      <w:bookmarkStart w:id="73" w:name="_Toc13209"/>
      <w:r>
        <w:rPr>
          <w:rFonts w:hint="default" w:ascii="Times New Roman" w:hAnsi="Times New Roman" w:eastAsia="宋体" w:cs="Times New Roman"/>
          <w:b/>
          <w:color w:val="000000" w:themeColor="text1"/>
          <w:lang w:eastAsia="zh-CN"/>
          <w14:textFill>
            <w14:solidFill>
              <w14:schemeClr w14:val="tx1"/>
            </w14:solidFill>
          </w14:textFill>
        </w:rPr>
        <w:t>2.6.1环境空气</w:t>
      </w:r>
      <w:bookmarkEnd w:id="73"/>
    </w:p>
    <w:p w14:paraId="5C090A4E">
      <w:pPr>
        <w:ind w:firstLine="482"/>
        <w:rPr>
          <w:rFonts w:hint="default" w:ascii="Times New Roman" w:hAnsi="Times New Roman" w:eastAsia="宋体" w:cs="Times New Roman"/>
          <w:b/>
          <w:color w:val="000000" w:themeColor="text1"/>
          <w14:textFill>
            <w14:solidFill>
              <w14:schemeClr w14:val="tx1"/>
            </w14:solidFill>
          </w14:textFill>
        </w:rPr>
      </w:pPr>
      <w:r>
        <w:rPr>
          <w:rFonts w:hint="default" w:ascii="Times New Roman" w:hAnsi="Times New Roman" w:eastAsia="宋体" w:cs="Times New Roman"/>
          <w:b/>
          <w:color w:val="000000" w:themeColor="text1"/>
          <w14:textFill>
            <w14:solidFill>
              <w14:schemeClr w14:val="tx1"/>
            </w14:solidFill>
          </w14:textFill>
        </w:rPr>
        <w:t>（</w:t>
      </w:r>
      <w:r>
        <w:rPr>
          <w:rFonts w:hint="eastAsia" w:ascii="Times New Roman" w:hAnsi="Times New Roman" w:eastAsia="宋体" w:cs="Times New Roman"/>
          <w:b/>
          <w:color w:val="000000" w:themeColor="text1"/>
          <w:lang w:val="en-US" w:eastAsia="zh-CN"/>
          <w14:textFill>
            <w14:solidFill>
              <w14:schemeClr w14:val="tx1"/>
            </w14:solidFill>
          </w14:textFill>
        </w:rPr>
        <w:t>1</w:t>
      </w:r>
      <w:r>
        <w:rPr>
          <w:rFonts w:hint="default" w:ascii="Times New Roman" w:hAnsi="Times New Roman" w:eastAsia="宋体" w:cs="Times New Roman"/>
          <w:b/>
          <w:color w:val="000000" w:themeColor="text1"/>
          <w14:textFill>
            <w14:solidFill>
              <w14:schemeClr w14:val="tx1"/>
            </w14:solidFill>
          </w14:textFill>
        </w:rPr>
        <w:t>）评价工作等级判定</w:t>
      </w:r>
    </w:p>
    <w:p w14:paraId="1551597E">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rPr>
      </w:pPr>
      <w:r>
        <w:rPr>
          <w:rFonts w:hint="default" w:ascii="Times New Roman" w:hAnsi="Times New Roman" w:eastAsia="宋体" w:cs="Times New Roman"/>
        </w:rPr>
        <w:t>根据《环境影响评价技术导则大气环境》</w:t>
      </w:r>
      <w:r>
        <w:rPr>
          <w:rFonts w:hint="eastAsia" w:cs="Times New Roman"/>
          <w:lang w:val="en-US" w:eastAsia="zh-CN"/>
        </w:rPr>
        <w:t>（</w:t>
      </w:r>
      <w:r>
        <w:rPr>
          <w:rFonts w:hint="default" w:ascii="Times New Roman" w:hAnsi="Times New Roman" w:eastAsia="宋体" w:cs="Times New Roman"/>
        </w:rPr>
        <w:t>HJ2.2-2018</w:t>
      </w:r>
      <w:r>
        <w:rPr>
          <w:rFonts w:hint="eastAsia" w:cs="Times New Roman"/>
          <w:lang w:val="en-US" w:eastAsia="zh-CN"/>
        </w:rPr>
        <w:t>）</w:t>
      </w:r>
      <w:r>
        <w:rPr>
          <w:rFonts w:hint="default" w:ascii="Times New Roman" w:hAnsi="Times New Roman" w:eastAsia="宋体" w:cs="Times New Roman"/>
        </w:rPr>
        <w:t>中关于评价项目分级判据的规定及</w:t>
      </w:r>
      <w:r>
        <w:rPr>
          <w:rFonts w:hint="default" w:ascii="Times New Roman" w:hAnsi="Times New Roman" w:eastAsia="宋体" w:cs="Times New Roman"/>
          <w:lang w:val="en-US" w:eastAsia="zh-CN"/>
        </w:rPr>
        <w:t>建设</w:t>
      </w:r>
      <w:r>
        <w:rPr>
          <w:rFonts w:hint="default" w:ascii="Times New Roman" w:hAnsi="Times New Roman" w:eastAsia="宋体" w:cs="Times New Roman"/>
        </w:rPr>
        <w:t>单位提供的技术资料，结合初步工程分析，选择主要污染因子为：氨气、硫化氢、</w:t>
      </w:r>
      <w:r>
        <w:rPr>
          <w:rFonts w:hint="default" w:ascii="Times New Roman" w:hAnsi="Times New Roman" w:eastAsia="宋体" w:cs="Times New Roman"/>
          <w:lang w:val="en-US" w:eastAsia="zh-CN"/>
        </w:rPr>
        <w:t>TSP</w:t>
      </w:r>
      <w:r>
        <w:rPr>
          <w:rFonts w:hint="default" w:ascii="Times New Roman" w:hAnsi="Times New Roman" w:eastAsia="宋体" w:cs="Times New Roman"/>
        </w:rPr>
        <w:t>，选择推荐模式中的估算模式对项目的大气环境影响评价工作进行分级。</w:t>
      </w:r>
      <w:r>
        <w:rPr>
          <w:rFonts w:hint="default" w:ascii="Times New Roman" w:hAnsi="Times New Roman" w:cs="Times New Roman"/>
          <w:lang w:val="en-US" w:eastAsia="zh-CN"/>
        </w:rPr>
        <w:t>根据</w:t>
      </w:r>
      <w:r>
        <w:rPr>
          <w:rFonts w:hint="default" w:ascii="Times New Roman" w:hAnsi="Times New Roman" w:eastAsia="宋体" w:cs="Times New Roman"/>
        </w:rPr>
        <w:t>生产环节正常排放的主要污染物及排放参数，分别计算每一种污染物的最大地面浓度占标率P</w:t>
      </w:r>
      <w:r>
        <w:rPr>
          <w:rFonts w:hint="default" w:ascii="Times New Roman" w:hAnsi="Times New Roman" w:eastAsia="宋体" w:cs="Times New Roman"/>
          <w:vertAlign w:val="subscript"/>
        </w:rPr>
        <w:t>i</w:t>
      </w:r>
      <w:r>
        <w:rPr>
          <w:rFonts w:hint="default" w:ascii="Times New Roman" w:hAnsi="Times New Roman" w:eastAsia="宋体" w:cs="Times New Roman"/>
        </w:rPr>
        <w:t>及第i个污染物的地面浓度达标准限值10%时所对应的最远距离D</w:t>
      </w:r>
      <w:r>
        <w:rPr>
          <w:rFonts w:hint="default" w:ascii="Times New Roman" w:hAnsi="Times New Roman" w:eastAsia="宋体" w:cs="Times New Roman"/>
          <w:vertAlign w:val="subscript"/>
        </w:rPr>
        <w:t>10%</w:t>
      </w:r>
      <w:r>
        <w:rPr>
          <w:rFonts w:hint="default" w:ascii="Times New Roman" w:hAnsi="Times New Roman" w:eastAsia="宋体" w:cs="Times New Roman"/>
        </w:rPr>
        <w:t>，其中P</w:t>
      </w:r>
      <w:r>
        <w:rPr>
          <w:rFonts w:hint="default" w:ascii="Times New Roman" w:hAnsi="Times New Roman" w:eastAsia="宋体" w:cs="Times New Roman"/>
          <w:vertAlign w:val="subscript"/>
        </w:rPr>
        <w:t>i</w:t>
      </w:r>
      <w:r>
        <w:rPr>
          <w:rFonts w:hint="default" w:ascii="Times New Roman" w:hAnsi="Times New Roman" w:eastAsia="宋体" w:cs="Times New Roman"/>
        </w:rPr>
        <w:t>定义为：</w:t>
      </w:r>
    </w:p>
    <w:p w14:paraId="3BF3B9B0">
      <w:pPr>
        <w:pStyle w:val="11"/>
        <w:ind w:firstLine="480"/>
        <w:jc w:val="center"/>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object>
          <v:shape id="_x0000_i1025" o:spt="75" type="#_x0000_t75" style="height:36.4pt;width:102.3pt;" o:ole="t" filled="f" o:preferrelative="t" stroked="f" coordsize="21600,21600">
            <v:path/>
            <v:fill on="f" focussize="0,0"/>
            <v:stroke on="f" joinstyle="miter"/>
            <v:imagedata r:id="rId34" embosscolor="#FFFFFF" o:title=""/>
            <o:lock v:ext="edit" aspectratio="t"/>
            <w10:wrap type="none"/>
            <w10:anchorlock/>
          </v:shape>
          <o:OLEObject Type="Embed" ProgID="Equation.3" ShapeID="_x0000_i1025" DrawAspect="Content" ObjectID="_1468075725" r:id="rId33">
            <o:LockedField>false</o:LockedField>
          </o:OLEObject>
        </w:object>
      </w:r>
    </w:p>
    <w:p w14:paraId="38DD3DEB">
      <w:pPr>
        <w:pageBreakBefore w:val="0"/>
        <w:tabs>
          <w:tab w:val="left" w:pos="0"/>
        </w:tabs>
        <w:kinsoku/>
        <w:bidi w:val="0"/>
        <w:adjustRightInd w:val="0"/>
        <w:snapToGrid w:val="0"/>
        <w:spacing w:line="360" w:lineRule="auto"/>
        <w:contextualSpacing/>
        <w:rPr>
          <w:rFonts w:ascii="Times New Roman" w:hAnsi="Times New Roman" w:eastAsia="宋体"/>
          <w:spacing w:val="0"/>
          <w:w w:val="100"/>
          <w:position w:val="0"/>
          <w:highlight w:val="none"/>
        </w:rPr>
      </w:pPr>
      <w:r>
        <w:rPr>
          <w:rFonts w:hint="default" w:ascii="Times New Roman" w:hAnsi="Times New Roman" w:eastAsia="宋体" w:cs="Times New Roman"/>
          <w:color w:val="000000" w:themeColor="text1"/>
          <w:lang w:eastAsia="zh-CN"/>
          <w14:textFill>
            <w14:solidFill>
              <w14:schemeClr w14:val="tx1"/>
            </w14:solidFill>
          </w14:textFill>
        </w:rPr>
        <w:t>式中：</w:t>
      </w:r>
      <w:bookmarkStart w:id="74" w:name="_Toc442167666"/>
      <w:r>
        <w:rPr>
          <w:rFonts w:ascii="Times New Roman" w:hAnsi="Times New Roman" w:eastAsia="宋体"/>
          <w:i/>
          <w:spacing w:val="0"/>
          <w:w w:val="100"/>
          <w:position w:val="0"/>
          <w:highlight w:val="none"/>
        </w:rPr>
        <w:t>P</w:t>
      </w:r>
      <w:r>
        <w:rPr>
          <w:rFonts w:ascii="Times New Roman" w:hAnsi="Times New Roman" w:eastAsia="宋体"/>
          <w:i/>
          <w:spacing w:val="0"/>
          <w:w w:val="100"/>
          <w:position w:val="0"/>
          <w:highlight w:val="none"/>
          <w:vertAlign w:val="subscript"/>
        </w:rPr>
        <w:t>i</w:t>
      </w:r>
      <w:r>
        <w:rPr>
          <w:rFonts w:ascii="Times New Roman" w:hAnsi="Times New Roman" w:eastAsia="宋体"/>
          <w:spacing w:val="0"/>
          <w:w w:val="100"/>
          <w:position w:val="0"/>
          <w:highlight w:val="none"/>
        </w:rPr>
        <w:t>—第</w:t>
      </w:r>
      <w:r>
        <w:rPr>
          <w:rFonts w:ascii="Times New Roman" w:hAnsi="Times New Roman" w:eastAsia="宋体"/>
          <w:i/>
          <w:spacing w:val="0"/>
          <w:w w:val="100"/>
          <w:position w:val="0"/>
          <w:highlight w:val="none"/>
        </w:rPr>
        <w:t>i</w:t>
      </w:r>
      <w:r>
        <w:rPr>
          <w:rFonts w:ascii="Times New Roman" w:hAnsi="Times New Roman" w:eastAsia="宋体"/>
          <w:spacing w:val="0"/>
          <w:w w:val="100"/>
          <w:position w:val="0"/>
          <w:highlight w:val="none"/>
        </w:rPr>
        <w:t>个污染物的最大地面浓度占标率，%；</w:t>
      </w:r>
      <w:bookmarkEnd w:id="74"/>
    </w:p>
    <w:p w14:paraId="789C3D1F">
      <w:pPr>
        <w:pageBreakBefore w:val="0"/>
        <w:tabs>
          <w:tab w:val="left" w:pos="0"/>
        </w:tabs>
        <w:kinsoku/>
        <w:bidi w:val="0"/>
        <w:adjustRightInd w:val="0"/>
        <w:snapToGrid w:val="0"/>
        <w:spacing w:line="360" w:lineRule="auto"/>
        <w:ind w:firstLine="1200" w:firstLineChars="500"/>
        <w:contextualSpacing/>
        <w:rPr>
          <w:rFonts w:ascii="Times New Roman" w:hAnsi="Times New Roman" w:eastAsia="宋体"/>
          <w:spacing w:val="0"/>
          <w:w w:val="100"/>
          <w:position w:val="0"/>
          <w:highlight w:val="none"/>
        </w:rPr>
      </w:pPr>
      <w:r>
        <w:rPr>
          <w:rFonts w:ascii="Times New Roman" w:hAnsi="Times New Roman" w:eastAsia="宋体"/>
          <w:i/>
          <w:spacing w:val="0"/>
          <w:w w:val="100"/>
          <w:position w:val="0"/>
          <w:highlight w:val="none"/>
        </w:rPr>
        <w:t>C</w:t>
      </w:r>
      <w:r>
        <w:rPr>
          <w:rFonts w:ascii="Times New Roman" w:hAnsi="Times New Roman" w:eastAsia="宋体"/>
          <w:i/>
          <w:spacing w:val="0"/>
          <w:w w:val="100"/>
          <w:position w:val="0"/>
          <w:highlight w:val="none"/>
          <w:vertAlign w:val="subscript"/>
        </w:rPr>
        <w:t>i</w:t>
      </w:r>
      <w:r>
        <w:rPr>
          <w:rFonts w:ascii="Times New Roman" w:hAnsi="Times New Roman" w:eastAsia="宋体"/>
          <w:spacing w:val="0"/>
          <w:w w:val="100"/>
          <w:position w:val="0"/>
          <w:highlight w:val="none"/>
        </w:rPr>
        <w:t>—采用估算模式计算出的第</w:t>
      </w:r>
      <w:r>
        <w:rPr>
          <w:rFonts w:ascii="Times New Roman" w:hAnsi="Times New Roman" w:eastAsia="宋体"/>
          <w:i/>
          <w:spacing w:val="0"/>
          <w:w w:val="100"/>
          <w:position w:val="0"/>
          <w:highlight w:val="none"/>
        </w:rPr>
        <w:t>i</w:t>
      </w:r>
      <w:r>
        <w:rPr>
          <w:rFonts w:ascii="Times New Roman" w:hAnsi="Times New Roman" w:eastAsia="宋体"/>
          <w:spacing w:val="0"/>
          <w:w w:val="100"/>
          <w:position w:val="0"/>
          <w:highlight w:val="none"/>
        </w:rPr>
        <w:t>个污染物的最大地面浓度，mg/m</w:t>
      </w:r>
      <w:r>
        <w:rPr>
          <w:rFonts w:ascii="Times New Roman" w:hAnsi="Times New Roman" w:eastAsia="宋体"/>
          <w:spacing w:val="0"/>
          <w:w w:val="100"/>
          <w:position w:val="0"/>
          <w:highlight w:val="none"/>
          <w:vertAlign w:val="superscript"/>
        </w:rPr>
        <w:t>3</w:t>
      </w:r>
      <w:r>
        <w:rPr>
          <w:rFonts w:ascii="Times New Roman" w:hAnsi="Times New Roman" w:eastAsia="宋体"/>
          <w:spacing w:val="0"/>
          <w:w w:val="100"/>
          <w:position w:val="0"/>
          <w:highlight w:val="none"/>
        </w:rPr>
        <w:t>；</w:t>
      </w:r>
    </w:p>
    <w:p w14:paraId="441C2384">
      <w:pPr>
        <w:pageBreakBefore w:val="0"/>
        <w:tabs>
          <w:tab w:val="left" w:pos="0"/>
        </w:tabs>
        <w:kinsoku/>
        <w:bidi w:val="0"/>
        <w:adjustRightInd w:val="0"/>
        <w:snapToGrid w:val="0"/>
        <w:spacing w:line="360" w:lineRule="auto"/>
        <w:ind w:firstLine="1200" w:firstLineChars="500"/>
        <w:contextualSpacing/>
        <w:rPr>
          <w:rFonts w:hint="default" w:ascii="Times New Roman" w:hAnsi="Times New Roman" w:eastAsia="宋体"/>
          <w:spacing w:val="0"/>
          <w:w w:val="100"/>
          <w:position w:val="0"/>
          <w:highlight w:val="none"/>
          <w:lang w:val="en-US" w:eastAsia="zh-CN"/>
        </w:rPr>
      </w:pPr>
      <w:r>
        <w:rPr>
          <w:rFonts w:ascii="Times New Roman" w:hAnsi="Times New Roman" w:eastAsia="宋体"/>
          <w:i/>
          <w:spacing w:val="0"/>
          <w:w w:val="100"/>
          <w:position w:val="0"/>
          <w:highlight w:val="none"/>
        </w:rPr>
        <w:t>C</w:t>
      </w:r>
      <w:r>
        <w:rPr>
          <w:rFonts w:ascii="Times New Roman" w:hAnsi="Times New Roman" w:eastAsia="宋体"/>
          <w:i/>
          <w:spacing w:val="0"/>
          <w:w w:val="100"/>
          <w:position w:val="0"/>
          <w:highlight w:val="none"/>
          <w:vertAlign w:val="subscript"/>
        </w:rPr>
        <w:t>0i</w:t>
      </w:r>
      <w:r>
        <w:rPr>
          <w:rFonts w:ascii="Times New Roman" w:hAnsi="Times New Roman" w:eastAsia="宋体"/>
          <w:spacing w:val="0"/>
          <w:w w:val="100"/>
          <w:position w:val="0"/>
          <w:highlight w:val="none"/>
        </w:rPr>
        <w:t>—第</w:t>
      </w:r>
      <w:r>
        <w:rPr>
          <w:rFonts w:ascii="Times New Roman" w:hAnsi="Times New Roman" w:eastAsia="宋体"/>
          <w:i/>
          <w:spacing w:val="0"/>
          <w:w w:val="100"/>
          <w:position w:val="0"/>
          <w:highlight w:val="none"/>
        </w:rPr>
        <w:t>i</w:t>
      </w:r>
      <w:r>
        <w:rPr>
          <w:rFonts w:ascii="Times New Roman" w:hAnsi="Times New Roman" w:eastAsia="宋体"/>
          <w:spacing w:val="0"/>
          <w:w w:val="100"/>
          <w:position w:val="0"/>
          <w:highlight w:val="none"/>
        </w:rPr>
        <w:t>个污染物的环境空气质量标准，mg/m</w:t>
      </w:r>
      <w:r>
        <w:rPr>
          <w:rFonts w:ascii="Times New Roman" w:hAnsi="Times New Roman" w:eastAsia="宋体"/>
          <w:spacing w:val="0"/>
          <w:w w:val="100"/>
          <w:position w:val="0"/>
          <w:highlight w:val="none"/>
          <w:vertAlign w:val="superscript"/>
        </w:rPr>
        <w:t>3</w:t>
      </w:r>
      <w:r>
        <w:rPr>
          <w:rFonts w:ascii="Times New Roman" w:hAnsi="Times New Roman" w:eastAsia="宋体"/>
          <w:spacing w:val="0"/>
          <w:w w:val="100"/>
          <w:position w:val="0"/>
          <w:highlight w:val="none"/>
        </w:rPr>
        <w:t>。</w:t>
      </w:r>
      <w:r>
        <w:rPr>
          <w:rFonts w:hint="default" w:ascii="Times New Roman" w:hAnsi="Times New Roman" w:eastAsia="宋体"/>
          <w:spacing w:val="0"/>
          <w:w w:val="100"/>
          <w:position w:val="0"/>
          <w:highlight w:val="none"/>
          <w:lang w:val="en-US" w:eastAsia="zh-CN"/>
        </w:rPr>
        <w:t>一般选用《环境空气质量标准》</w:t>
      </w:r>
      <w:r>
        <w:rPr>
          <w:rFonts w:hint="eastAsia"/>
          <w:spacing w:val="0"/>
          <w:w w:val="100"/>
          <w:position w:val="0"/>
          <w:highlight w:val="none"/>
          <w:lang w:val="en-US" w:eastAsia="zh-CN"/>
        </w:rPr>
        <w:t>（</w:t>
      </w:r>
      <w:r>
        <w:rPr>
          <w:rFonts w:hint="default" w:ascii="Times New Roman" w:hAnsi="Times New Roman" w:eastAsia="宋体"/>
          <w:spacing w:val="0"/>
          <w:w w:val="100"/>
          <w:position w:val="0"/>
          <w:highlight w:val="none"/>
          <w:lang w:val="en-US" w:eastAsia="zh-CN"/>
        </w:rPr>
        <w:t>GB3095-2012</w:t>
      </w:r>
      <w:r>
        <w:rPr>
          <w:rFonts w:hint="eastAsia"/>
          <w:spacing w:val="0"/>
          <w:w w:val="100"/>
          <w:position w:val="0"/>
          <w:highlight w:val="none"/>
          <w:lang w:val="en-US" w:eastAsia="zh-CN"/>
        </w:rPr>
        <w:t>）</w:t>
      </w:r>
      <w:r>
        <w:rPr>
          <w:rFonts w:hint="default" w:ascii="Times New Roman" w:hAnsi="Times New Roman" w:eastAsia="宋体"/>
          <w:spacing w:val="0"/>
          <w:w w:val="100"/>
          <w:position w:val="0"/>
          <w:highlight w:val="none"/>
          <w:lang w:val="en-US" w:eastAsia="zh-CN"/>
        </w:rPr>
        <w:t>中1h平均质量浓度的二级浓度限值，如项目位于一类环境空气功能区，应选择相应的一级浓度限值；对该标准中未包含的污染物，使用导则中确定的各评价因子1h平均质量浓度限值。对仅有8h平均质量浓度限值、日平均质量浓度限值或年平均质量浓度限值的，可分别按2倍、3倍、6倍折算为1h平均质量浓度限值。</w:t>
      </w:r>
    </w:p>
    <w:p w14:paraId="40724A75">
      <w:pPr>
        <w:pageBreakBefore w:val="0"/>
        <w:tabs>
          <w:tab w:val="left" w:pos="0"/>
        </w:tabs>
        <w:kinsoku/>
        <w:bidi w:val="0"/>
        <w:adjustRightInd w:val="0"/>
        <w:snapToGrid w:val="0"/>
        <w:spacing w:line="360" w:lineRule="auto"/>
        <w:contextualSpacing/>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eastAsia="宋体"/>
          <w:spacing w:val="0"/>
          <w:w w:val="100"/>
          <w:position w:val="0"/>
          <w:highlight w:val="none"/>
        </w:rPr>
        <w:t>根据《环境影响评价技术导则大气环境》</w:t>
      </w:r>
      <w:r>
        <w:rPr>
          <w:rFonts w:hint="eastAsia" w:ascii="Times New Roman" w:hAnsi="Times New Roman" w:eastAsia="宋体"/>
          <w:spacing w:val="0"/>
          <w:w w:val="100"/>
          <w:position w:val="0"/>
          <w:highlight w:val="none"/>
          <w:lang w:val="en-US" w:eastAsia="zh-CN"/>
        </w:rPr>
        <w:t>（</w:t>
      </w:r>
      <w:r>
        <w:rPr>
          <w:rFonts w:hint="default" w:ascii="Times New Roman" w:hAnsi="Times New Roman" w:eastAsia="宋体"/>
          <w:spacing w:val="0"/>
          <w:w w:val="100"/>
          <w:position w:val="0"/>
          <w:highlight w:val="none"/>
        </w:rPr>
        <w:t>HJ2.2-2018</w:t>
      </w:r>
      <w:r>
        <w:rPr>
          <w:rFonts w:hint="eastAsia" w:ascii="Times New Roman" w:hAnsi="Times New Roman" w:eastAsia="宋体"/>
          <w:spacing w:val="0"/>
          <w:w w:val="100"/>
          <w:position w:val="0"/>
          <w:highlight w:val="none"/>
          <w:lang w:val="en-US" w:eastAsia="zh-CN"/>
        </w:rPr>
        <w:t>）</w:t>
      </w:r>
      <w:r>
        <w:rPr>
          <w:rFonts w:hint="default" w:ascii="Times New Roman" w:hAnsi="Times New Roman" w:eastAsia="宋体"/>
          <w:spacing w:val="0"/>
          <w:w w:val="100"/>
          <w:position w:val="0"/>
          <w:highlight w:val="none"/>
        </w:rPr>
        <w:t>中环境影响评价工作等级判据及推荐模式清单中估算模式，分别计算不同污染源的下风向轴线浓度，并计算相应占标率。</w:t>
      </w:r>
    </w:p>
    <w:p w14:paraId="6AEAE984">
      <w:pPr>
        <w:pStyle w:val="11"/>
        <w:ind w:firstLine="480"/>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eastAsia="宋体" w:cs="Times New Roman"/>
          <w:color w:val="000000" w:themeColor="text1"/>
          <w:lang w:eastAsia="zh-CN"/>
          <w14:textFill>
            <w14:solidFill>
              <w14:schemeClr w14:val="tx1"/>
            </w14:solidFill>
          </w14:textFill>
        </w:rPr>
        <w:t>评价工作等级按表2.6-1的分级判据进行划分。</w:t>
      </w:r>
    </w:p>
    <w:p w14:paraId="4F700673">
      <w:pPr>
        <w:tabs>
          <w:tab w:val="left" w:pos="2771"/>
          <w:tab w:val="left" w:pos="6612"/>
        </w:tabs>
        <w:adjustRightInd w:val="0"/>
        <w:snapToGrid w:val="0"/>
        <w:spacing w:line="240" w:lineRule="atLeast"/>
        <w:ind w:firstLine="482"/>
        <w:jc w:val="center"/>
        <w:rPr>
          <w:rFonts w:hint="default" w:ascii="Times New Roman" w:hAnsi="Times New Roman" w:eastAsia="宋体" w:cs="Times New Roman"/>
          <w:b/>
          <w:color w:val="000000" w:themeColor="text1"/>
          <w:sz w:val="12"/>
          <w14:textFill>
            <w14:solidFill>
              <w14:schemeClr w14:val="tx1"/>
            </w14:solidFill>
          </w14:textFill>
        </w:rPr>
      </w:pPr>
      <w:r>
        <w:rPr>
          <w:rFonts w:hint="default" w:ascii="Times New Roman" w:hAnsi="Times New Roman" w:eastAsia="宋体" w:cs="Times New Roman"/>
          <w:b/>
          <w:color w:val="000000" w:themeColor="text1"/>
          <w14:textFill>
            <w14:solidFill>
              <w14:schemeClr w14:val="tx1"/>
            </w14:solidFill>
          </w14:textFill>
        </w:rPr>
        <w:t>表2.6-1评价工作等级</w:t>
      </w:r>
    </w:p>
    <w:tbl>
      <w:tblPr>
        <w:tblStyle w:val="3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3319"/>
        <w:gridCol w:w="4995"/>
      </w:tblGrid>
      <w:tr w14:paraId="1F8CF6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996" w:type="pct"/>
          </w:tcPr>
          <w:p w14:paraId="6548109C">
            <w:pPr>
              <w:pStyle w:val="36"/>
              <w:ind w:firstLine="0" w:firstLineChars="0"/>
              <w:rPr>
                <w:rFonts w:hint="default" w:ascii="Times New Roman" w:hAnsi="Times New Roman" w:eastAsia="宋体" w:cs="Times New Roman"/>
                <w:b/>
                <w:bCs/>
                <w:color w:val="000000" w:themeColor="text1"/>
                <w:sz w:val="21"/>
                <w14:textFill>
                  <w14:solidFill>
                    <w14:schemeClr w14:val="tx1"/>
                  </w14:solidFill>
                </w14:textFill>
              </w:rPr>
            </w:pPr>
            <w:r>
              <w:rPr>
                <w:rFonts w:hint="default" w:ascii="Times New Roman" w:hAnsi="Times New Roman" w:eastAsia="宋体" w:cs="Times New Roman"/>
                <w:b/>
                <w:bCs/>
                <w:color w:val="000000" w:themeColor="text1"/>
                <w:sz w:val="21"/>
                <w14:textFill>
                  <w14:solidFill>
                    <w14:schemeClr w14:val="tx1"/>
                  </w14:solidFill>
                </w14:textFill>
              </w:rPr>
              <w:t>评价工作等级</w:t>
            </w:r>
          </w:p>
        </w:tc>
        <w:tc>
          <w:tcPr>
            <w:tcW w:w="3004" w:type="pct"/>
          </w:tcPr>
          <w:p w14:paraId="2FB64AAC">
            <w:pPr>
              <w:pStyle w:val="36"/>
              <w:ind w:firstLine="0" w:firstLineChars="0"/>
              <w:rPr>
                <w:rFonts w:hint="default" w:ascii="Times New Roman" w:hAnsi="Times New Roman" w:eastAsia="宋体" w:cs="Times New Roman"/>
                <w:b/>
                <w:bCs/>
                <w:color w:val="000000" w:themeColor="text1"/>
                <w:sz w:val="21"/>
                <w14:textFill>
                  <w14:solidFill>
                    <w14:schemeClr w14:val="tx1"/>
                  </w14:solidFill>
                </w14:textFill>
              </w:rPr>
            </w:pPr>
            <w:r>
              <w:rPr>
                <w:rFonts w:hint="default" w:ascii="Times New Roman" w:hAnsi="Times New Roman" w:eastAsia="宋体" w:cs="Times New Roman"/>
                <w:b/>
                <w:bCs/>
                <w:color w:val="000000" w:themeColor="text1"/>
                <w:sz w:val="21"/>
                <w14:textFill>
                  <w14:solidFill>
                    <w14:schemeClr w14:val="tx1"/>
                  </w14:solidFill>
                </w14:textFill>
              </w:rPr>
              <w:t>评价工作分级判据</w:t>
            </w:r>
          </w:p>
        </w:tc>
      </w:tr>
      <w:tr w14:paraId="07E21E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9" w:hRule="atLeast"/>
          <w:jc w:val="center"/>
        </w:trPr>
        <w:tc>
          <w:tcPr>
            <w:tcW w:w="1996" w:type="pct"/>
          </w:tcPr>
          <w:p w14:paraId="22796799">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一级</w:t>
            </w:r>
          </w:p>
        </w:tc>
        <w:tc>
          <w:tcPr>
            <w:tcW w:w="3004" w:type="pct"/>
          </w:tcPr>
          <w:p w14:paraId="26748B43">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P</w:t>
            </w:r>
            <w:r>
              <w:rPr>
                <w:rFonts w:hint="default" w:ascii="Times New Roman" w:hAnsi="Times New Roman" w:eastAsia="宋体" w:cs="Times New Roman"/>
                <w:color w:val="000000" w:themeColor="text1"/>
                <w:sz w:val="21"/>
                <w:vertAlign w:val="subscript"/>
                <w14:textFill>
                  <w14:solidFill>
                    <w14:schemeClr w14:val="tx1"/>
                  </w14:solidFill>
                </w14:textFill>
              </w:rPr>
              <w:t>max</w:t>
            </w:r>
            <w:r>
              <w:rPr>
                <w:rFonts w:hint="default" w:ascii="Times New Roman" w:hAnsi="Times New Roman" w:eastAsia="宋体" w:cs="Times New Roman"/>
                <w:color w:val="000000" w:themeColor="text1"/>
                <w:sz w:val="21"/>
                <w14:textFill>
                  <w14:solidFill>
                    <w14:schemeClr w14:val="tx1"/>
                  </w14:solidFill>
                </w14:textFill>
              </w:rPr>
              <w:t>≥10%，</w:t>
            </w:r>
          </w:p>
        </w:tc>
      </w:tr>
      <w:tr w14:paraId="75A56B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996" w:type="pct"/>
          </w:tcPr>
          <w:p w14:paraId="45249639">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二级</w:t>
            </w:r>
          </w:p>
        </w:tc>
        <w:tc>
          <w:tcPr>
            <w:tcW w:w="3004" w:type="pct"/>
          </w:tcPr>
          <w:p w14:paraId="2642AD0A">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1%≤P</w:t>
            </w:r>
            <w:r>
              <w:rPr>
                <w:rFonts w:hint="default" w:ascii="Times New Roman" w:hAnsi="Times New Roman" w:eastAsia="宋体" w:cs="Times New Roman"/>
                <w:color w:val="000000" w:themeColor="text1"/>
                <w:sz w:val="21"/>
                <w:vertAlign w:val="subscript"/>
                <w14:textFill>
                  <w14:solidFill>
                    <w14:schemeClr w14:val="tx1"/>
                  </w14:solidFill>
                </w14:textFill>
              </w:rPr>
              <w:t>max</w:t>
            </w:r>
            <w:r>
              <w:rPr>
                <w:rFonts w:hint="default" w:ascii="Times New Roman" w:hAnsi="Times New Roman" w:eastAsia="宋体" w:cs="Times New Roman"/>
                <w:color w:val="000000" w:themeColor="text1"/>
                <w:sz w:val="21"/>
                <w14:textFill>
                  <w14:solidFill>
                    <w14:schemeClr w14:val="tx1"/>
                  </w14:solidFill>
                </w14:textFill>
              </w:rPr>
              <w:t>＜10%</w:t>
            </w:r>
          </w:p>
        </w:tc>
      </w:tr>
      <w:tr w14:paraId="0B4DA3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996" w:type="pct"/>
          </w:tcPr>
          <w:p w14:paraId="5BA39FCF">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三级</w:t>
            </w:r>
          </w:p>
        </w:tc>
        <w:tc>
          <w:tcPr>
            <w:tcW w:w="3004" w:type="pct"/>
          </w:tcPr>
          <w:p w14:paraId="52D9EA6B">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P</w:t>
            </w:r>
            <w:r>
              <w:rPr>
                <w:rFonts w:hint="default" w:ascii="Times New Roman" w:hAnsi="Times New Roman" w:eastAsia="宋体" w:cs="Times New Roman"/>
                <w:color w:val="000000" w:themeColor="text1"/>
                <w:sz w:val="21"/>
                <w:vertAlign w:val="subscript"/>
                <w14:textFill>
                  <w14:solidFill>
                    <w14:schemeClr w14:val="tx1"/>
                  </w14:solidFill>
                </w14:textFill>
              </w:rPr>
              <w:t>max</w:t>
            </w:r>
            <w:r>
              <w:rPr>
                <w:rFonts w:hint="default" w:ascii="Times New Roman" w:hAnsi="Times New Roman" w:eastAsia="宋体" w:cs="Times New Roman"/>
                <w:color w:val="000000" w:themeColor="text1"/>
                <w:sz w:val="21"/>
                <w14:textFill>
                  <w14:solidFill>
                    <w14:schemeClr w14:val="tx1"/>
                  </w14:solidFill>
                </w14:textFill>
              </w:rPr>
              <w:t>＜1</w:t>
            </w:r>
          </w:p>
        </w:tc>
      </w:tr>
    </w:tbl>
    <w:p w14:paraId="1D95B28B">
      <w:pPr>
        <w:tabs>
          <w:tab w:val="left" w:pos="1387"/>
        </w:tabs>
        <w:adjustRightInd w:val="0"/>
        <w:snapToGrid w:val="0"/>
        <w:ind w:firstLine="482"/>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w:t>
      </w:r>
      <w:r>
        <w:rPr>
          <w:rFonts w:hint="eastAsia" w:cs="Times New Roman"/>
          <w:b/>
          <w:bCs/>
          <w:color w:val="000000" w:themeColor="text1"/>
          <w:lang w:val="en-US" w:eastAsia="zh-CN"/>
          <w14:textFill>
            <w14:solidFill>
              <w14:schemeClr w14:val="tx1"/>
            </w14:solidFill>
          </w14:textFill>
        </w:rPr>
        <w:t>2</w:t>
      </w:r>
      <w:r>
        <w:rPr>
          <w:rFonts w:hint="default" w:ascii="Times New Roman" w:hAnsi="Times New Roman" w:eastAsia="宋体" w:cs="Times New Roman"/>
          <w:b/>
          <w:bCs/>
          <w:color w:val="000000" w:themeColor="text1"/>
          <w14:textFill>
            <w14:solidFill>
              <w14:schemeClr w14:val="tx1"/>
            </w14:solidFill>
          </w14:textFill>
        </w:rPr>
        <w:t>）评价等级和评价标准</w:t>
      </w:r>
    </w:p>
    <w:p w14:paraId="05B8E3DB">
      <w:pPr>
        <w:pStyle w:val="11"/>
        <w:adjustRightInd w:val="0"/>
        <w:snapToGrid w:val="0"/>
        <w:ind w:firstLine="480"/>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eastAsia="宋体" w:cs="Times New Roman"/>
          <w:color w:val="000000" w:themeColor="text1"/>
          <w:lang w:eastAsia="zh-CN"/>
          <w14:textFill>
            <w14:solidFill>
              <w14:schemeClr w14:val="tx1"/>
            </w14:solidFill>
          </w14:textFill>
        </w:rPr>
        <w:t>评价因子和评价标准见表2.6-2。</w:t>
      </w:r>
    </w:p>
    <w:p w14:paraId="2BAF3263">
      <w:pPr>
        <w:tabs>
          <w:tab w:val="left" w:pos="2771"/>
          <w:tab w:val="left" w:pos="6612"/>
        </w:tabs>
        <w:adjustRightInd w:val="0"/>
        <w:snapToGrid w:val="0"/>
        <w:spacing w:line="240" w:lineRule="atLeast"/>
        <w:ind w:firstLine="482"/>
        <w:jc w:val="center"/>
        <w:rPr>
          <w:rFonts w:hint="default" w:ascii="Times New Roman" w:hAnsi="Times New Roman" w:eastAsia="宋体" w:cs="Times New Roman"/>
          <w:b/>
          <w:color w:val="000000" w:themeColor="text1"/>
          <w14:textFill>
            <w14:solidFill>
              <w14:schemeClr w14:val="tx1"/>
            </w14:solidFill>
          </w14:textFill>
        </w:rPr>
      </w:pPr>
      <w:r>
        <w:rPr>
          <w:rFonts w:hint="default" w:ascii="Times New Roman" w:hAnsi="Times New Roman" w:eastAsia="宋体" w:cs="Times New Roman"/>
          <w:b/>
          <w:color w:val="000000" w:themeColor="text1"/>
          <w14:textFill>
            <w14:solidFill>
              <w14:schemeClr w14:val="tx1"/>
            </w14:solidFill>
          </w14:textFill>
        </w:rPr>
        <w:t>表2.6-2评价因子及评价标准</w:t>
      </w:r>
    </w:p>
    <w:tbl>
      <w:tblPr>
        <w:tblStyle w:val="35"/>
        <w:tblW w:w="503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359"/>
        <w:gridCol w:w="1468"/>
        <w:gridCol w:w="1337"/>
        <w:gridCol w:w="1437"/>
        <w:gridCol w:w="2773"/>
      </w:tblGrid>
      <w:tr w14:paraId="33AB6F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0" w:hRule="atLeast"/>
        </w:trPr>
        <w:tc>
          <w:tcPr>
            <w:tcW w:w="811" w:type="pct"/>
            <w:vMerge w:val="restart"/>
            <w:vAlign w:val="center"/>
          </w:tcPr>
          <w:p w14:paraId="46CB3B0D">
            <w:pPr>
              <w:pStyle w:val="36"/>
              <w:adjustRightInd w:val="0"/>
              <w:snapToGrid w:val="0"/>
              <w:ind w:firstLine="0" w:firstLineChars="0"/>
              <w:rPr>
                <w:rFonts w:hint="default" w:ascii="Times New Roman" w:hAnsi="Times New Roman" w:eastAsia="宋体" w:cs="Times New Roman"/>
                <w:b/>
                <w:bCs/>
                <w:color w:val="000000" w:themeColor="text1"/>
                <w:sz w:val="21"/>
                <w14:textFill>
                  <w14:solidFill>
                    <w14:schemeClr w14:val="tx1"/>
                  </w14:solidFill>
                </w14:textFill>
              </w:rPr>
            </w:pPr>
            <w:r>
              <w:rPr>
                <w:rFonts w:hint="default" w:ascii="Times New Roman" w:hAnsi="Times New Roman" w:eastAsia="宋体" w:cs="Times New Roman"/>
                <w:b/>
                <w:bCs/>
                <w:color w:val="000000" w:themeColor="text1"/>
                <w:sz w:val="21"/>
                <w14:textFill>
                  <w14:solidFill>
                    <w14:schemeClr w14:val="tx1"/>
                  </w14:solidFill>
                </w14:textFill>
              </w:rPr>
              <w:t>评价因子</w:t>
            </w:r>
          </w:p>
        </w:tc>
        <w:tc>
          <w:tcPr>
            <w:tcW w:w="876" w:type="pct"/>
            <w:vMerge w:val="restart"/>
            <w:vAlign w:val="center"/>
          </w:tcPr>
          <w:p w14:paraId="31E21B48">
            <w:pPr>
              <w:pStyle w:val="36"/>
              <w:adjustRightInd w:val="0"/>
              <w:snapToGrid w:val="0"/>
              <w:ind w:firstLine="0" w:firstLineChars="0"/>
              <w:rPr>
                <w:rFonts w:hint="default" w:ascii="Times New Roman" w:hAnsi="Times New Roman" w:eastAsia="宋体" w:cs="Times New Roman"/>
                <w:b/>
                <w:bCs/>
                <w:color w:val="000000" w:themeColor="text1"/>
                <w:sz w:val="21"/>
                <w14:textFill>
                  <w14:solidFill>
                    <w14:schemeClr w14:val="tx1"/>
                  </w14:solidFill>
                </w14:textFill>
              </w:rPr>
            </w:pPr>
            <w:r>
              <w:rPr>
                <w:rFonts w:hint="default" w:ascii="Times New Roman" w:hAnsi="Times New Roman" w:eastAsia="宋体" w:cs="Times New Roman"/>
                <w:b/>
                <w:bCs/>
                <w:color w:val="000000" w:themeColor="text1"/>
                <w:sz w:val="21"/>
                <w14:textFill>
                  <w14:solidFill>
                    <w14:schemeClr w14:val="tx1"/>
                  </w14:solidFill>
                </w14:textFill>
              </w:rPr>
              <w:t>评价时段</w:t>
            </w:r>
          </w:p>
        </w:tc>
        <w:tc>
          <w:tcPr>
            <w:tcW w:w="1656" w:type="pct"/>
            <w:gridSpan w:val="2"/>
            <w:vAlign w:val="center"/>
          </w:tcPr>
          <w:p w14:paraId="62E95EA6">
            <w:pPr>
              <w:pStyle w:val="36"/>
              <w:adjustRightInd w:val="0"/>
              <w:snapToGrid w:val="0"/>
              <w:ind w:firstLine="0" w:firstLineChars="0"/>
              <w:rPr>
                <w:rFonts w:hint="default" w:ascii="Times New Roman" w:hAnsi="Times New Roman" w:eastAsia="宋体" w:cs="Times New Roman"/>
                <w:b/>
                <w:bCs/>
                <w:color w:val="000000" w:themeColor="text1"/>
                <w:sz w:val="21"/>
                <w14:textFill>
                  <w14:solidFill>
                    <w14:schemeClr w14:val="tx1"/>
                  </w14:solidFill>
                </w14:textFill>
              </w:rPr>
            </w:pPr>
            <w:r>
              <w:rPr>
                <w:rFonts w:hint="default" w:ascii="Times New Roman" w:hAnsi="Times New Roman" w:eastAsia="宋体" w:cs="Times New Roman"/>
                <w:b/>
                <w:bCs/>
                <w:color w:val="000000" w:themeColor="text1"/>
                <w:sz w:val="21"/>
                <w14:textFill>
                  <w14:solidFill>
                    <w14:schemeClr w14:val="tx1"/>
                  </w14:solidFill>
                </w14:textFill>
              </w:rPr>
              <w:t>标准值（</w:t>
            </w:r>
            <w:r>
              <w:rPr>
                <w:rFonts w:hint="eastAsia" w:ascii="Times New Roman" w:hAnsi="Times New Roman" w:cs="Times New Roman"/>
                <w:b/>
                <w:bCs/>
                <w:color w:val="000000" w:themeColor="text1"/>
                <w:sz w:val="21"/>
                <w:lang w:val="en-US" w:eastAsia="zh-CN"/>
                <w14:textFill>
                  <w14:solidFill>
                    <w14:schemeClr w14:val="tx1"/>
                  </w14:solidFill>
                </w14:textFill>
              </w:rPr>
              <w:t>m</w:t>
            </w:r>
            <w:r>
              <w:rPr>
                <w:rFonts w:hint="default" w:ascii="Times New Roman" w:hAnsi="Times New Roman" w:eastAsia="宋体" w:cs="Times New Roman"/>
                <w:b/>
                <w:bCs/>
                <w:color w:val="000000" w:themeColor="text1"/>
                <w:sz w:val="21"/>
                <w14:textFill>
                  <w14:solidFill>
                    <w14:schemeClr w14:val="tx1"/>
                  </w14:solidFill>
                </w14:textFill>
              </w:rPr>
              <w:t>g/m</w:t>
            </w:r>
            <w:r>
              <w:rPr>
                <w:rFonts w:hint="default" w:ascii="Times New Roman" w:hAnsi="Times New Roman" w:eastAsia="宋体" w:cs="Times New Roman"/>
                <w:b/>
                <w:bCs/>
                <w:color w:val="000000" w:themeColor="text1"/>
                <w:sz w:val="21"/>
                <w:vertAlign w:val="superscript"/>
                <w14:textFill>
                  <w14:solidFill>
                    <w14:schemeClr w14:val="tx1"/>
                  </w14:solidFill>
                </w14:textFill>
              </w:rPr>
              <w:t>3</w:t>
            </w:r>
            <w:r>
              <w:rPr>
                <w:rFonts w:hint="default" w:ascii="Times New Roman" w:hAnsi="Times New Roman" w:eastAsia="宋体" w:cs="Times New Roman"/>
                <w:b/>
                <w:bCs/>
                <w:color w:val="000000" w:themeColor="text1"/>
                <w:sz w:val="21"/>
                <w14:textFill>
                  <w14:solidFill>
                    <w14:schemeClr w14:val="tx1"/>
                  </w14:solidFill>
                </w14:textFill>
              </w:rPr>
              <w:t>）</w:t>
            </w:r>
          </w:p>
        </w:tc>
        <w:tc>
          <w:tcPr>
            <w:tcW w:w="1655" w:type="pct"/>
            <w:vMerge w:val="restart"/>
            <w:vAlign w:val="center"/>
          </w:tcPr>
          <w:p w14:paraId="2DA2518C">
            <w:pPr>
              <w:pStyle w:val="36"/>
              <w:adjustRightInd w:val="0"/>
              <w:snapToGrid w:val="0"/>
              <w:ind w:firstLine="0" w:firstLineChars="0"/>
              <w:rPr>
                <w:rFonts w:hint="default" w:ascii="Times New Roman" w:hAnsi="Times New Roman" w:eastAsia="宋体" w:cs="Times New Roman"/>
                <w:b/>
                <w:bCs/>
                <w:color w:val="000000" w:themeColor="text1"/>
                <w:sz w:val="21"/>
                <w14:textFill>
                  <w14:solidFill>
                    <w14:schemeClr w14:val="tx1"/>
                  </w14:solidFill>
                </w14:textFill>
              </w:rPr>
            </w:pPr>
            <w:r>
              <w:rPr>
                <w:rFonts w:hint="default" w:ascii="Times New Roman" w:hAnsi="Times New Roman" w:eastAsia="宋体" w:cs="Times New Roman"/>
                <w:b/>
                <w:bCs/>
                <w:color w:val="000000" w:themeColor="text1"/>
                <w:sz w:val="21"/>
                <w14:textFill>
                  <w14:solidFill>
                    <w14:schemeClr w14:val="tx1"/>
                  </w14:solidFill>
                </w14:textFill>
              </w:rPr>
              <w:t>标准来源</w:t>
            </w:r>
          </w:p>
        </w:tc>
      </w:tr>
      <w:tr w14:paraId="1AB7D2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44" w:hRule="atLeast"/>
        </w:trPr>
        <w:tc>
          <w:tcPr>
            <w:tcW w:w="811" w:type="pct"/>
            <w:vMerge w:val="continue"/>
            <w:vAlign w:val="center"/>
          </w:tcPr>
          <w:p w14:paraId="5AC44F61">
            <w:pPr>
              <w:pStyle w:val="36"/>
              <w:adjustRightInd w:val="0"/>
              <w:snapToGrid w:val="0"/>
              <w:ind w:firstLine="0" w:firstLineChars="0"/>
              <w:rPr>
                <w:rFonts w:hint="default" w:ascii="Times New Roman" w:hAnsi="Times New Roman" w:eastAsia="宋体" w:cs="Times New Roman"/>
                <w:color w:val="000000" w:themeColor="text1"/>
                <w:sz w:val="21"/>
                <w14:textFill>
                  <w14:solidFill>
                    <w14:schemeClr w14:val="tx1"/>
                  </w14:solidFill>
                </w14:textFill>
              </w:rPr>
            </w:pPr>
          </w:p>
        </w:tc>
        <w:tc>
          <w:tcPr>
            <w:tcW w:w="876" w:type="pct"/>
            <w:vMerge w:val="continue"/>
            <w:vAlign w:val="center"/>
          </w:tcPr>
          <w:p w14:paraId="56626DDE">
            <w:pPr>
              <w:pStyle w:val="36"/>
              <w:adjustRightInd w:val="0"/>
              <w:snapToGrid w:val="0"/>
              <w:ind w:firstLine="0" w:firstLineChars="0"/>
              <w:rPr>
                <w:rFonts w:hint="default" w:ascii="Times New Roman" w:hAnsi="Times New Roman" w:eastAsia="宋体" w:cs="Times New Roman"/>
                <w:color w:val="000000" w:themeColor="text1"/>
                <w:sz w:val="21"/>
                <w14:textFill>
                  <w14:solidFill>
                    <w14:schemeClr w14:val="tx1"/>
                  </w14:solidFill>
                </w14:textFill>
              </w:rPr>
            </w:pPr>
          </w:p>
        </w:tc>
        <w:tc>
          <w:tcPr>
            <w:tcW w:w="798" w:type="pct"/>
            <w:vAlign w:val="center"/>
          </w:tcPr>
          <w:p w14:paraId="40BA8805">
            <w:pPr>
              <w:pStyle w:val="36"/>
              <w:adjustRightInd w:val="0"/>
              <w:snapToGrid w:val="0"/>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24h值</w:t>
            </w:r>
          </w:p>
        </w:tc>
        <w:tc>
          <w:tcPr>
            <w:tcW w:w="858" w:type="pct"/>
            <w:vAlign w:val="center"/>
          </w:tcPr>
          <w:p w14:paraId="1DC8CDC5">
            <w:pPr>
              <w:pStyle w:val="36"/>
              <w:adjustRightInd w:val="0"/>
              <w:snapToGrid w:val="0"/>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折算为1h值</w:t>
            </w:r>
          </w:p>
        </w:tc>
        <w:tc>
          <w:tcPr>
            <w:tcW w:w="1655" w:type="pct"/>
            <w:vMerge w:val="continue"/>
            <w:vAlign w:val="center"/>
          </w:tcPr>
          <w:p w14:paraId="44DEFFD7">
            <w:pPr>
              <w:pStyle w:val="36"/>
              <w:adjustRightInd w:val="0"/>
              <w:snapToGrid w:val="0"/>
              <w:ind w:firstLine="0" w:firstLineChars="0"/>
              <w:rPr>
                <w:rFonts w:hint="default" w:ascii="Times New Roman" w:hAnsi="Times New Roman" w:eastAsia="宋体" w:cs="Times New Roman"/>
                <w:color w:val="000000" w:themeColor="text1"/>
                <w:sz w:val="21"/>
                <w14:textFill>
                  <w14:solidFill>
                    <w14:schemeClr w14:val="tx1"/>
                  </w14:solidFill>
                </w14:textFill>
              </w:rPr>
            </w:pPr>
          </w:p>
        </w:tc>
      </w:tr>
      <w:tr w14:paraId="1F133F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4" w:hRule="atLeast"/>
        </w:trPr>
        <w:tc>
          <w:tcPr>
            <w:tcW w:w="811" w:type="pct"/>
            <w:vAlign w:val="center"/>
          </w:tcPr>
          <w:p w14:paraId="0EDD1601">
            <w:pPr>
              <w:pStyle w:val="36"/>
              <w:adjustRightInd w:val="0"/>
              <w:snapToGrid w:val="0"/>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TSP</w:t>
            </w:r>
          </w:p>
        </w:tc>
        <w:tc>
          <w:tcPr>
            <w:tcW w:w="876" w:type="pct"/>
            <w:vAlign w:val="center"/>
          </w:tcPr>
          <w:p w14:paraId="3B82374C">
            <w:pPr>
              <w:pStyle w:val="36"/>
              <w:adjustRightInd w:val="0"/>
              <w:snapToGrid w:val="0"/>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运营期</w:t>
            </w:r>
          </w:p>
        </w:tc>
        <w:tc>
          <w:tcPr>
            <w:tcW w:w="798" w:type="pct"/>
            <w:vAlign w:val="center"/>
          </w:tcPr>
          <w:p w14:paraId="4D3A2A3D">
            <w:pPr>
              <w:pStyle w:val="36"/>
              <w:adjustRightInd w:val="0"/>
              <w:snapToGrid w:val="0"/>
              <w:ind w:firstLine="0" w:firstLineChars="0"/>
              <w:rPr>
                <w:rFonts w:hint="default" w:ascii="Times New Roman" w:hAnsi="Times New Roman" w:eastAsia="宋体" w:cs="Times New Roman"/>
                <w:color w:val="000000" w:themeColor="text1"/>
                <w:sz w:val="21"/>
                <w:lang w:val="en-US" w:eastAsia="zh-CN"/>
                <w14:textFill>
                  <w14:solidFill>
                    <w14:schemeClr w14:val="tx1"/>
                  </w14:solidFill>
                </w14:textFill>
              </w:rPr>
            </w:pPr>
            <w:r>
              <w:rPr>
                <w:rFonts w:hint="eastAsia" w:ascii="Times New Roman" w:hAnsi="Times New Roman" w:cs="Times New Roman"/>
                <w:color w:val="000000" w:themeColor="text1"/>
                <w:sz w:val="21"/>
                <w:lang w:val="en-US" w:eastAsia="zh-CN"/>
                <w14:textFill>
                  <w14:solidFill>
                    <w14:schemeClr w14:val="tx1"/>
                  </w14:solidFill>
                </w14:textFill>
              </w:rPr>
              <w:t>0.3</w:t>
            </w:r>
          </w:p>
        </w:tc>
        <w:tc>
          <w:tcPr>
            <w:tcW w:w="858" w:type="pct"/>
            <w:vAlign w:val="center"/>
          </w:tcPr>
          <w:p w14:paraId="01F15458">
            <w:pPr>
              <w:pStyle w:val="36"/>
              <w:adjustRightInd w:val="0"/>
              <w:snapToGrid w:val="0"/>
              <w:ind w:firstLine="0" w:firstLineChars="0"/>
              <w:rPr>
                <w:rFonts w:hint="default" w:ascii="Times New Roman" w:hAnsi="Times New Roman" w:eastAsia="宋体" w:cs="Times New Roman"/>
                <w:color w:val="000000" w:themeColor="text1"/>
                <w:sz w:val="21"/>
                <w:lang w:val="en-US" w:eastAsia="zh-CN"/>
                <w14:textFill>
                  <w14:solidFill>
                    <w14:schemeClr w14:val="tx1"/>
                  </w14:solidFill>
                </w14:textFill>
              </w:rPr>
            </w:pPr>
            <w:r>
              <w:rPr>
                <w:rFonts w:hint="eastAsia" w:ascii="Times New Roman" w:hAnsi="Times New Roman" w:cs="Times New Roman"/>
                <w:color w:val="000000" w:themeColor="text1"/>
                <w:sz w:val="21"/>
                <w:lang w:val="en-US" w:eastAsia="zh-CN"/>
                <w14:textFill>
                  <w14:solidFill>
                    <w14:schemeClr w14:val="tx1"/>
                  </w14:solidFill>
                </w14:textFill>
              </w:rPr>
              <w:t>0.9</w:t>
            </w:r>
          </w:p>
        </w:tc>
        <w:tc>
          <w:tcPr>
            <w:tcW w:w="1655" w:type="pct"/>
            <w:vAlign w:val="center"/>
          </w:tcPr>
          <w:p w14:paraId="38D5BF48">
            <w:pPr>
              <w:pStyle w:val="36"/>
              <w:adjustRightInd w:val="0"/>
              <w:snapToGrid w:val="0"/>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《环境空气质量标准》</w:t>
            </w:r>
          </w:p>
          <w:p w14:paraId="05B09A68">
            <w:pPr>
              <w:pStyle w:val="36"/>
              <w:adjustRightInd w:val="0"/>
              <w:snapToGrid w:val="0"/>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（GB3095-2012）二级标准</w:t>
            </w:r>
          </w:p>
        </w:tc>
      </w:tr>
      <w:tr w14:paraId="456A5A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8" w:hRule="atLeast"/>
        </w:trPr>
        <w:tc>
          <w:tcPr>
            <w:tcW w:w="811" w:type="pct"/>
            <w:vAlign w:val="center"/>
          </w:tcPr>
          <w:p w14:paraId="1C855B98">
            <w:pPr>
              <w:pStyle w:val="36"/>
              <w:adjustRightInd w:val="0"/>
              <w:snapToGrid w:val="0"/>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H</w:t>
            </w:r>
            <w:r>
              <w:rPr>
                <w:rFonts w:hint="default" w:ascii="Times New Roman" w:hAnsi="Times New Roman" w:eastAsia="宋体" w:cs="Times New Roman"/>
                <w:color w:val="000000" w:themeColor="text1"/>
                <w:sz w:val="21"/>
                <w:vertAlign w:val="subscript"/>
                <w14:textFill>
                  <w14:solidFill>
                    <w14:schemeClr w14:val="tx1"/>
                  </w14:solidFill>
                </w14:textFill>
              </w:rPr>
              <w:t>2</w:t>
            </w:r>
            <w:r>
              <w:rPr>
                <w:rFonts w:hint="default" w:ascii="Times New Roman" w:hAnsi="Times New Roman" w:eastAsia="宋体" w:cs="Times New Roman"/>
                <w:color w:val="000000" w:themeColor="text1"/>
                <w:sz w:val="21"/>
                <w14:textFill>
                  <w14:solidFill>
                    <w14:schemeClr w14:val="tx1"/>
                  </w14:solidFill>
                </w14:textFill>
              </w:rPr>
              <w:t>S</w:t>
            </w:r>
          </w:p>
        </w:tc>
        <w:tc>
          <w:tcPr>
            <w:tcW w:w="876" w:type="pct"/>
            <w:vAlign w:val="center"/>
          </w:tcPr>
          <w:p w14:paraId="58A61735">
            <w:pPr>
              <w:pStyle w:val="36"/>
              <w:adjustRightInd w:val="0"/>
              <w:snapToGrid w:val="0"/>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运营期</w:t>
            </w:r>
          </w:p>
        </w:tc>
        <w:tc>
          <w:tcPr>
            <w:tcW w:w="798" w:type="pct"/>
            <w:vAlign w:val="center"/>
          </w:tcPr>
          <w:p w14:paraId="029416EC">
            <w:pPr>
              <w:pStyle w:val="36"/>
              <w:adjustRightInd w:val="0"/>
              <w:snapToGrid w:val="0"/>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w:t>
            </w:r>
          </w:p>
        </w:tc>
        <w:tc>
          <w:tcPr>
            <w:tcW w:w="858" w:type="pct"/>
            <w:vAlign w:val="center"/>
          </w:tcPr>
          <w:p w14:paraId="233C16D3">
            <w:pPr>
              <w:pStyle w:val="36"/>
              <w:adjustRightInd w:val="0"/>
              <w:snapToGrid w:val="0"/>
              <w:ind w:firstLine="0" w:firstLineChars="0"/>
              <w:rPr>
                <w:rFonts w:hint="default" w:ascii="Times New Roman" w:hAnsi="Times New Roman" w:eastAsia="宋体" w:cs="Times New Roman"/>
                <w:color w:val="000000" w:themeColor="text1"/>
                <w:sz w:val="21"/>
                <w:lang w:val="en-US" w:eastAsia="zh-CN"/>
                <w14:textFill>
                  <w14:solidFill>
                    <w14:schemeClr w14:val="tx1"/>
                  </w14:solidFill>
                </w14:textFill>
              </w:rPr>
            </w:pPr>
            <w:r>
              <w:rPr>
                <w:rFonts w:hint="eastAsia" w:ascii="Times New Roman" w:hAnsi="Times New Roman" w:cs="Times New Roman"/>
                <w:color w:val="000000" w:themeColor="text1"/>
                <w:sz w:val="21"/>
                <w:lang w:val="en-US" w:eastAsia="zh-CN"/>
                <w14:textFill>
                  <w14:solidFill>
                    <w14:schemeClr w14:val="tx1"/>
                  </w14:solidFill>
                </w14:textFill>
              </w:rPr>
              <w:t>0.01</w:t>
            </w:r>
          </w:p>
        </w:tc>
        <w:tc>
          <w:tcPr>
            <w:tcW w:w="1655" w:type="pct"/>
            <w:vMerge w:val="restart"/>
            <w:vAlign w:val="center"/>
          </w:tcPr>
          <w:p w14:paraId="54E64F6F">
            <w:pPr>
              <w:pStyle w:val="36"/>
              <w:adjustRightInd w:val="0"/>
              <w:snapToGrid w:val="0"/>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《环境影响评价技术导则大气环境》（HJ2.2-2018）附录</w:t>
            </w:r>
            <w:r>
              <w:rPr>
                <w:rFonts w:hint="eastAsia" w:ascii="Times New Roman" w:hAnsi="Times New Roman" w:eastAsia="宋体" w:cs="Times New Roman"/>
                <w:color w:val="000000" w:themeColor="text1"/>
                <w:sz w:val="21"/>
                <w:lang w:val="en-US" w:eastAsia="zh-CN"/>
                <w14:textFill>
                  <w14:solidFill>
                    <w14:schemeClr w14:val="tx1"/>
                  </w14:solidFill>
                </w14:textFill>
              </w:rPr>
              <w:t>D</w:t>
            </w:r>
            <w:r>
              <w:rPr>
                <w:rFonts w:hint="default" w:ascii="Times New Roman" w:hAnsi="Times New Roman" w:eastAsia="宋体" w:cs="Times New Roman"/>
                <w:color w:val="000000" w:themeColor="text1"/>
                <w:sz w:val="21"/>
                <w14:textFill>
                  <w14:solidFill>
                    <w14:schemeClr w14:val="tx1"/>
                  </w14:solidFill>
                </w14:textFill>
              </w:rPr>
              <w:t>中标准值</w:t>
            </w:r>
          </w:p>
        </w:tc>
      </w:tr>
      <w:tr w14:paraId="26DB82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77" w:hRule="atLeast"/>
        </w:trPr>
        <w:tc>
          <w:tcPr>
            <w:tcW w:w="811" w:type="pct"/>
            <w:vAlign w:val="center"/>
          </w:tcPr>
          <w:p w14:paraId="218FCB75">
            <w:pPr>
              <w:pStyle w:val="36"/>
              <w:adjustRightInd w:val="0"/>
              <w:snapToGrid w:val="0"/>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NH</w:t>
            </w:r>
            <w:r>
              <w:rPr>
                <w:rFonts w:hint="default" w:ascii="Times New Roman" w:hAnsi="Times New Roman" w:eastAsia="宋体" w:cs="Times New Roman"/>
                <w:color w:val="000000" w:themeColor="text1"/>
                <w:sz w:val="21"/>
                <w:vertAlign w:val="subscript"/>
                <w14:textFill>
                  <w14:solidFill>
                    <w14:schemeClr w14:val="tx1"/>
                  </w14:solidFill>
                </w14:textFill>
              </w:rPr>
              <w:t>3</w:t>
            </w:r>
          </w:p>
        </w:tc>
        <w:tc>
          <w:tcPr>
            <w:tcW w:w="876" w:type="pct"/>
            <w:vAlign w:val="center"/>
          </w:tcPr>
          <w:p w14:paraId="28CA6245">
            <w:pPr>
              <w:pStyle w:val="36"/>
              <w:adjustRightInd w:val="0"/>
              <w:snapToGrid w:val="0"/>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运营期</w:t>
            </w:r>
          </w:p>
        </w:tc>
        <w:tc>
          <w:tcPr>
            <w:tcW w:w="798" w:type="pct"/>
            <w:vAlign w:val="center"/>
          </w:tcPr>
          <w:p w14:paraId="300825DA">
            <w:pPr>
              <w:pStyle w:val="36"/>
              <w:adjustRightInd w:val="0"/>
              <w:snapToGrid w:val="0"/>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w:t>
            </w:r>
          </w:p>
        </w:tc>
        <w:tc>
          <w:tcPr>
            <w:tcW w:w="858" w:type="pct"/>
            <w:vAlign w:val="center"/>
          </w:tcPr>
          <w:p w14:paraId="2A149602">
            <w:pPr>
              <w:pStyle w:val="36"/>
              <w:adjustRightInd w:val="0"/>
              <w:snapToGrid w:val="0"/>
              <w:ind w:firstLine="0" w:firstLineChars="0"/>
              <w:rPr>
                <w:rFonts w:hint="default" w:ascii="Times New Roman" w:hAnsi="Times New Roman" w:eastAsia="宋体" w:cs="Times New Roman"/>
                <w:color w:val="000000" w:themeColor="text1"/>
                <w:sz w:val="21"/>
                <w:lang w:val="en-US" w:eastAsia="zh-CN"/>
                <w14:textFill>
                  <w14:solidFill>
                    <w14:schemeClr w14:val="tx1"/>
                  </w14:solidFill>
                </w14:textFill>
              </w:rPr>
            </w:pPr>
            <w:r>
              <w:rPr>
                <w:rFonts w:hint="eastAsia" w:ascii="Times New Roman" w:hAnsi="Times New Roman" w:cs="Times New Roman"/>
                <w:color w:val="000000" w:themeColor="text1"/>
                <w:sz w:val="21"/>
                <w:lang w:val="en-US" w:eastAsia="zh-CN"/>
                <w14:textFill>
                  <w14:solidFill>
                    <w14:schemeClr w14:val="tx1"/>
                  </w14:solidFill>
                </w14:textFill>
              </w:rPr>
              <w:t>0.2</w:t>
            </w:r>
          </w:p>
        </w:tc>
        <w:tc>
          <w:tcPr>
            <w:tcW w:w="1655" w:type="pct"/>
            <w:vMerge w:val="continue"/>
            <w:vAlign w:val="center"/>
          </w:tcPr>
          <w:p w14:paraId="18717750">
            <w:pPr>
              <w:pStyle w:val="36"/>
              <w:adjustRightInd w:val="0"/>
              <w:snapToGrid w:val="0"/>
              <w:ind w:firstLine="0" w:firstLineChars="0"/>
              <w:rPr>
                <w:rFonts w:hint="default" w:ascii="Times New Roman" w:hAnsi="Times New Roman" w:eastAsia="宋体" w:cs="Times New Roman"/>
                <w:color w:val="000000" w:themeColor="text1"/>
                <w:sz w:val="2"/>
                <w:szCs w:val="2"/>
                <w14:textFill>
                  <w14:solidFill>
                    <w14:schemeClr w14:val="tx1"/>
                  </w14:solidFill>
                </w14:textFill>
              </w:rPr>
            </w:pPr>
          </w:p>
        </w:tc>
      </w:tr>
    </w:tbl>
    <w:p w14:paraId="6CB6735D">
      <w:pPr>
        <w:tabs>
          <w:tab w:val="left" w:pos="1387"/>
        </w:tabs>
        <w:adjustRightInd w:val="0"/>
        <w:snapToGrid w:val="0"/>
        <w:ind w:firstLine="482"/>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w:t>
      </w:r>
      <w:r>
        <w:rPr>
          <w:rFonts w:hint="eastAsia" w:cs="Times New Roman"/>
          <w:b/>
          <w:bCs/>
          <w:color w:val="000000" w:themeColor="text1"/>
          <w:lang w:val="en-US" w:eastAsia="zh-CN"/>
          <w14:textFill>
            <w14:solidFill>
              <w14:schemeClr w14:val="tx1"/>
            </w14:solidFill>
          </w14:textFill>
        </w:rPr>
        <w:t>3</w:t>
      </w:r>
      <w:r>
        <w:rPr>
          <w:rFonts w:hint="default" w:ascii="Times New Roman" w:hAnsi="Times New Roman" w:eastAsia="宋体" w:cs="Times New Roman"/>
          <w:b/>
          <w:bCs/>
          <w:color w:val="000000" w:themeColor="text1"/>
          <w14:textFill>
            <w14:solidFill>
              <w14:schemeClr w14:val="tx1"/>
            </w14:solidFill>
          </w14:textFill>
        </w:rPr>
        <w:t>）估算模型参数</w:t>
      </w:r>
    </w:p>
    <w:p w14:paraId="38395710">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本评价采用《环境影响评价技术导则大气环境》（HJ2.2-2018）推荐模式清单中的估算模式（AERSCREEN）分别计算各源各污染物的短期浓度最大值及对应距离，用以分析最大影响程度和最远影响范围。</w:t>
      </w:r>
    </w:p>
    <w:p w14:paraId="3F255140">
      <w:pPr>
        <w:tabs>
          <w:tab w:val="left" w:pos="1387"/>
        </w:tabs>
        <w:adjustRightInd w:val="0"/>
        <w:snapToGrid w:val="0"/>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估算模式计算参数表2.6-3。</w:t>
      </w:r>
    </w:p>
    <w:p w14:paraId="3CDBF4A5">
      <w:pPr>
        <w:tabs>
          <w:tab w:val="left" w:pos="2771"/>
          <w:tab w:val="left" w:pos="6612"/>
        </w:tabs>
        <w:adjustRightInd w:val="0"/>
        <w:snapToGrid w:val="0"/>
        <w:spacing w:line="240" w:lineRule="atLeast"/>
        <w:ind w:firstLine="482"/>
        <w:jc w:val="center"/>
        <w:rPr>
          <w:rFonts w:hint="default" w:ascii="Times New Roman" w:hAnsi="Times New Roman" w:eastAsia="宋体" w:cs="Times New Roman"/>
          <w:b/>
          <w:color w:val="000000" w:themeColor="text1"/>
          <w14:textFill>
            <w14:solidFill>
              <w14:schemeClr w14:val="tx1"/>
            </w14:solidFill>
          </w14:textFill>
        </w:rPr>
      </w:pPr>
      <w:r>
        <w:rPr>
          <w:rFonts w:hint="default" w:ascii="Times New Roman" w:hAnsi="Times New Roman" w:eastAsia="宋体" w:cs="Times New Roman"/>
          <w:b/>
          <w:color w:val="000000" w:themeColor="text1"/>
          <w14:textFill>
            <w14:solidFill>
              <w14:schemeClr w14:val="tx1"/>
            </w14:solidFill>
          </w14:textFill>
        </w:rPr>
        <w:t>表2.6-3估算模式计算参数表</w:t>
      </w:r>
    </w:p>
    <w:tbl>
      <w:tblPr>
        <w:tblStyle w:val="3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2725"/>
        <w:gridCol w:w="2423"/>
        <w:gridCol w:w="3166"/>
      </w:tblGrid>
      <w:tr w14:paraId="1C4AE3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3096" w:type="pct"/>
            <w:gridSpan w:val="2"/>
            <w:vAlign w:val="center"/>
          </w:tcPr>
          <w:p w14:paraId="42D13345">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参数</w:t>
            </w:r>
          </w:p>
        </w:tc>
        <w:tc>
          <w:tcPr>
            <w:tcW w:w="1904" w:type="pct"/>
            <w:vAlign w:val="center"/>
          </w:tcPr>
          <w:p w14:paraId="050C0719">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取值</w:t>
            </w:r>
          </w:p>
        </w:tc>
      </w:tr>
      <w:tr w14:paraId="08F2D8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639" w:type="pct"/>
            <w:vMerge w:val="restart"/>
            <w:vAlign w:val="center"/>
          </w:tcPr>
          <w:p w14:paraId="32C75FF3">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城市/农村</w:t>
            </w:r>
          </w:p>
        </w:tc>
        <w:tc>
          <w:tcPr>
            <w:tcW w:w="1457" w:type="pct"/>
            <w:vAlign w:val="center"/>
          </w:tcPr>
          <w:p w14:paraId="6F3569FE">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城市/农村</w:t>
            </w:r>
          </w:p>
        </w:tc>
        <w:tc>
          <w:tcPr>
            <w:tcW w:w="1904" w:type="pct"/>
            <w:vAlign w:val="center"/>
          </w:tcPr>
          <w:p w14:paraId="3BF90467">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农村</w:t>
            </w:r>
          </w:p>
        </w:tc>
      </w:tr>
      <w:tr w14:paraId="00F931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639" w:type="pct"/>
            <w:vMerge w:val="continue"/>
            <w:vAlign w:val="center"/>
          </w:tcPr>
          <w:p w14:paraId="6258C19A">
            <w:pPr>
              <w:spacing w:line="240" w:lineRule="auto"/>
              <w:ind w:firstLine="0" w:firstLineChars="0"/>
              <w:jc w:val="center"/>
              <w:rPr>
                <w:rFonts w:hint="default" w:ascii="Times New Roman" w:hAnsi="Times New Roman" w:eastAsia="宋体" w:cs="Times New Roman"/>
                <w:color w:val="000000" w:themeColor="text1"/>
                <w:sz w:val="2"/>
                <w:szCs w:val="2"/>
                <w14:textFill>
                  <w14:solidFill>
                    <w14:schemeClr w14:val="tx1"/>
                  </w14:solidFill>
                </w14:textFill>
              </w:rPr>
            </w:pPr>
          </w:p>
        </w:tc>
        <w:tc>
          <w:tcPr>
            <w:tcW w:w="1457" w:type="pct"/>
            <w:vAlign w:val="center"/>
          </w:tcPr>
          <w:p w14:paraId="2F6DEAFB">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人口数（城市选项时）</w:t>
            </w:r>
          </w:p>
        </w:tc>
        <w:tc>
          <w:tcPr>
            <w:tcW w:w="1904" w:type="pct"/>
            <w:vAlign w:val="center"/>
          </w:tcPr>
          <w:p w14:paraId="16CA8DE9">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w:t>
            </w:r>
          </w:p>
        </w:tc>
      </w:tr>
      <w:tr w14:paraId="4A02A7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3096" w:type="pct"/>
            <w:gridSpan w:val="2"/>
            <w:vAlign w:val="center"/>
          </w:tcPr>
          <w:p w14:paraId="0CBA3579">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最高环境温度</w:t>
            </w:r>
          </w:p>
        </w:tc>
        <w:tc>
          <w:tcPr>
            <w:tcW w:w="1904" w:type="pct"/>
            <w:vAlign w:val="center"/>
          </w:tcPr>
          <w:p w14:paraId="59DD3E79">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34.1℃</w:t>
            </w:r>
          </w:p>
        </w:tc>
      </w:tr>
      <w:tr w14:paraId="02A6EE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3096" w:type="pct"/>
            <w:gridSpan w:val="2"/>
            <w:vAlign w:val="center"/>
          </w:tcPr>
          <w:p w14:paraId="6C38C9DB">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最低环境温度</w:t>
            </w:r>
          </w:p>
        </w:tc>
        <w:tc>
          <w:tcPr>
            <w:tcW w:w="1904" w:type="pct"/>
            <w:vAlign w:val="center"/>
          </w:tcPr>
          <w:p w14:paraId="4EC28858">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-26.6℃</w:t>
            </w:r>
          </w:p>
        </w:tc>
      </w:tr>
      <w:tr w14:paraId="36F46E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3096" w:type="pct"/>
            <w:gridSpan w:val="2"/>
            <w:vAlign w:val="center"/>
          </w:tcPr>
          <w:p w14:paraId="34233ECF">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土地利用类型</w:t>
            </w:r>
          </w:p>
        </w:tc>
        <w:tc>
          <w:tcPr>
            <w:tcW w:w="1904" w:type="pct"/>
            <w:vAlign w:val="center"/>
          </w:tcPr>
          <w:p w14:paraId="1BD04669">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农牧业用地</w:t>
            </w:r>
          </w:p>
        </w:tc>
      </w:tr>
      <w:tr w14:paraId="35716A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3096" w:type="pct"/>
            <w:gridSpan w:val="2"/>
            <w:vAlign w:val="center"/>
          </w:tcPr>
          <w:p w14:paraId="5D5EA514">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区域湿度条件</w:t>
            </w:r>
          </w:p>
        </w:tc>
        <w:tc>
          <w:tcPr>
            <w:tcW w:w="1904" w:type="pct"/>
            <w:vAlign w:val="center"/>
          </w:tcPr>
          <w:p w14:paraId="0C82DB81">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干燥</w:t>
            </w:r>
          </w:p>
        </w:tc>
      </w:tr>
      <w:tr w14:paraId="215723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639" w:type="pct"/>
            <w:vMerge w:val="restart"/>
            <w:vAlign w:val="center"/>
          </w:tcPr>
          <w:p w14:paraId="6CCA1060">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是否考虑地形</w:t>
            </w:r>
          </w:p>
        </w:tc>
        <w:tc>
          <w:tcPr>
            <w:tcW w:w="1457" w:type="pct"/>
            <w:vAlign w:val="center"/>
          </w:tcPr>
          <w:p w14:paraId="56CFDFCD">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考虑地形</w:t>
            </w:r>
          </w:p>
        </w:tc>
        <w:tc>
          <w:tcPr>
            <w:tcW w:w="1904" w:type="pct"/>
            <w:vAlign w:val="center"/>
          </w:tcPr>
          <w:p w14:paraId="13264FEB">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8"/>
                <w14:textFill>
                  <w14:solidFill>
                    <w14:schemeClr w14:val="tx1"/>
                  </w14:solidFill>
                </w14:textFill>
              </w:rPr>
              <w:t>√</w:t>
            </w:r>
            <w:r>
              <w:rPr>
                <w:rFonts w:hint="default" w:ascii="Times New Roman" w:hAnsi="Times New Roman" w:eastAsia="宋体" w:cs="Times New Roman"/>
                <w:color w:val="000000" w:themeColor="text1"/>
                <w:sz w:val="21"/>
                <w14:textFill>
                  <w14:solidFill>
                    <w14:schemeClr w14:val="tx1"/>
                  </w14:solidFill>
                </w14:textFill>
              </w:rPr>
              <w:t>是</w:t>
            </w:r>
            <w:r>
              <w:rPr>
                <w:rFonts w:hint="default" w:ascii="Times New Roman" w:hAnsi="Times New Roman" w:eastAsia="宋体" w:cs="Times New Roman"/>
                <w:color w:val="000000" w:themeColor="text1"/>
                <w:sz w:val="28"/>
                <w14:textFill>
                  <w14:solidFill>
                    <w14:schemeClr w14:val="tx1"/>
                  </w14:solidFill>
                </w14:textFill>
              </w:rPr>
              <w:t>□</w:t>
            </w:r>
            <w:r>
              <w:rPr>
                <w:rFonts w:hint="default" w:ascii="Times New Roman" w:hAnsi="Times New Roman" w:eastAsia="宋体" w:cs="Times New Roman"/>
                <w:color w:val="000000" w:themeColor="text1"/>
                <w:sz w:val="21"/>
                <w14:textFill>
                  <w14:solidFill>
                    <w14:schemeClr w14:val="tx1"/>
                  </w14:solidFill>
                </w14:textFill>
              </w:rPr>
              <w:t>否</w:t>
            </w:r>
          </w:p>
        </w:tc>
      </w:tr>
      <w:tr w14:paraId="58FFBB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639" w:type="pct"/>
            <w:vMerge w:val="continue"/>
            <w:vAlign w:val="center"/>
          </w:tcPr>
          <w:p w14:paraId="09D94CB9">
            <w:pPr>
              <w:spacing w:line="240" w:lineRule="auto"/>
              <w:ind w:firstLine="0" w:firstLineChars="0"/>
              <w:jc w:val="center"/>
              <w:rPr>
                <w:rFonts w:hint="default" w:ascii="Times New Roman" w:hAnsi="Times New Roman" w:eastAsia="宋体" w:cs="Times New Roman"/>
                <w:color w:val="000000" w:themeColor="text1"/>
                <w:sz w:val="2"/>
                <w:szCs w:val="2"/>
                <w14:textFill>
                  <w14:solidFill>
                    <w14:schemeClr w14:val="tx1"/>
                  </w14:solidFill>
                </w14:textFill>
              </w:rPr>
            </w:pPr>
          </w:p>
        </w:tc>
        <w:tc>
          <w:tcPr>
            <w:tcW w:w="1457" w:type="pct"/>
            <w:vAlign w:val="center"/>
          </w:tcPr>
          <w:p w14:paraId="0ECBDD6B">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地形分辨率</w:t>
            </w:r>
          </w:p>
        </w:tc>
        <w:tc>
          <w:tcPr>
            <w:tcW w:w="1904" w:type="pct"/>
            <w:vAlign w:val="center"/>
          </w:tcPr>
          <w:p w14:paraId="61E2BB34">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w:t>
            </w:r>
          </w:p>
        </w:tc>
      </w:tr>
      <w:tr w14:paraId="41A732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639" w:type="pct"/>
            <w:vMerge w:val="restart"/>
            <w:vAlign w:val="center"/>
          </w:tcPr>
          <w:p w14:paraId="45C92AB4">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是否考虑岸线熏烟</w:t>
            </w:r>
          </w:p>
        </w:tc>
        <w:tc>
          <w:tcPr>
            <w:tcW w:w="1457" w:type="pct"/>
            <w:vAlign w:val="center"/>
          </w:tcPr>
          <w:p w14:paraId="7D300ED1">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考虑岸线熏烟</w:t>
            </w:r>
          </w:p>
        </w:tc>
        <w:tc>
          <w:tcPr>
            <w:tcW w:w="1904" w:type="pct"/>
            <w:vAlign w:val="center"/>
          </w:tcPr>
          <w:p w14:paraId="0FC787FA">
            <w:pPr>
              <w:pStyle w:val="36"/>
              <w:tabs>
                <w:tab w:val="left" w:pos="627"/>
              </w:tabs>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8"/>
                <w14:textFill>
                  <w14:solidFill>
                    <w14:schemeClr w14:val="tx1"/>
                  </w14:solidFill>
                </w14:textFill>
              </w:rPr>
              <w:t>□</w:t>
            </w:r>
            <w:r>
              <w:rPr>
                <w:rFonts w:hint="default" w:ascii="Times New Roman" w:hAnsi="Times New Roman" w:eastAsia="宋体" w:cs="Times New Roman"/>
                <w:color w:val="000000" w:themeColor="text1"/>
                <w:sz w:val="21"/>
                <w14:textFill>
                  <w14:solidFill>
                    <w14:schemeClr w14:val="tx1"/>
                  </w14:solidFill>
                </w14:textFill>
              </w:rPr>
              <w:t>是</w:t>
            </w:r>
            <w:r>
              <w:rPr>
                <w:rFonts w:hint="default" w:ascii="Times New Roman" w:hAnsi="Times New Roman" w:eastAsia="宋体" w:cs="Times New Roman"/>
                <w:color w:val="000000" w:themeColor="text1"/>
                <w:sz w:val="21"/>
                <w14:textFill>
                  <w14:solidFill>
                    <w14:schemeClr w14:val="tx1"/>
                  </w14:solidFill>
                </w14:textFill>
              </w:rPr>
              <w:tab/>
            </w:r>
            <w:r>
              <w:rPr>
                <w:rFonts w:hint="default" w:ascii="Times New Roman" w:hAnsi="Times New Roman" w:eastAsia="宋体" w:cs="Times New Roman"/>
                <w:color w:val="000000" w:themeColor="text1"/>
                <w:sz w:val="28"/>
                <w14:textFill>
                  <w14:solidFill>
                    <w14:schemeClr w14:val="tx1"/>
                  </w14:solidFill>
                </w14:textFill>
              </w:rPr>
              <w:t>√</w:t>
            </w:r>
            <w:r>
              <w:rPr>
                <w:rFonts w:hint="default" w:ascii="Times New Roman" w:hAnsi="Times New Roman" w:eastAsia="宋体" w:cs="Times New Roman"/>
                <w:color w:val="000000" w:themeColor="text1"/>
                <w:sz w:val="21"/>
                <w14:textFill>
                  <w14:solidFill>
                    <w14:schemeClr w14:val="tx1"/>
                  </w14:solidFill>
                </w14:textFill>
              </w:rPr>
              <w:t>否</w:t>
            </w:r>
          </w:p>
        </w:tc>
      </w:tr>
      <w:tr w14:paraId="1B899E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639" w:type="pct"/>
            <w:vMerge w:val="continue"/>
            <w:vAlign w:val="center"/>
          </w:tcPr>
          <w:p w14:paraId="4D5D372E">
            <w:pPr>
              <w:spacing w:line="240" w:lineRule="auto"/>
              <w:ind w:firstLine="0" w:firstLineChars="0"/>
              <w:jc w:val="center"/>
              <w:rPr>
                <w:rFonts w:hint="default" w:ascii="Times New Roman" w:hAnsi="Times New Roman" w:eastAsia="宋体" w:cs="Times New Roman"/>
                <w:color w:val="000000" w:themeColor="text1"/>
                <w:sz w:val="2"/>
                <w:szCs w:val="2"/>
                <w14:textFill>
                  <w14:solidFill>
                    <w14:schemeClr w14:val="tx1"/>
                  </w14:solidFill>
                </w14:textFill>
              </w:rPr>
            </w:pPr>
          </w:p>
        </w:tc>
        <w:tc>
          <w:tcPr>
            <w:tcW w:w="1457" w:type="pct"/>
            <w:vAlign w:val="center"/>
          </w:tcPr>
          <w:p w14:paraId="3EB6CAA5">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岸线距离/km</w:t>
            </w:r>
          </w:p>
        </w:tc>
        <w:tc>
          <w:tcPr>
            <w:tcW w:w="1904" w:type="pct"/>
            <w:vAlign w:val="center"/>
          </w:tcPr>
          <w:p w14:paraId="3FEEC9D8">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w:t>
            </w:r>
          </w:p>
        </w:tc>
      </w:tr>
      <w:tr w14:paraId="5A4449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639" w:type="pct"/>
            <w:vMerge w:val="continue"/>
            <w:vAlign w:val="center"/>
          </w:tcPr>
          <w:p w14:paraId="0283602D">
            <w:pPr>
              <w:spacing w:line="240" w:lineRule="auto"/>
              <w:ind w:firstLine="0" w:firstLineChars="0"/>
              <w:jc w:val="center"/>
              <w:rPr>
                <w:rFonts w:hint="default" w:ascii="Times New Roman" w:hAnsi="Times New Roman" w:eastAsia="宋体" w:cs="Times New Roman"/>
                <w:color w:val="000000" w:themeColor="text1"/>
                <w:sz w:val="2"/>
                <w:szCs w:val="2"/>
                <w14:textFill>
                  <w14:solidFill>
                    <w14:schemeClr w14:val="tx1"/>
                  </w14:solidFill>
                </w14:textFill>
              </w:rPr>
            </w:pPr>
          </w:p>
        </w:tc>
        <w:tc>
          <w:tcPr>
            <w:tcW w:w="1457" w:type="pct"/>
            <w:vAlign w:val="center"/>
          </w:tcPr>
          <w:p w14:paraId="64123006">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岸线方向/°</w:t>
            </w:r>
          </w:p>
        </w:tc>
        <w:tc>
          <w:tcPr>
            <w:tcW w:w="1904" w:type="pct"/>
            <w:vAlign w:val="center"/>
          </w:tcPr>
          <w:p w14:paraId="5207558C">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w:t>
            </w:r>
          </w:p>
        </w:tc>
      </w:tr>
    </w:tbl>
    <w:p w14:paraId="60B9A0F1">
      <w:pPr>
        <w:tabs>
          <w:tab w:val="left" w:pos="1387"/>
        </w:tabs>
        <w:adjustRightInd w:val="0"/>
        <w:snapToGrid w:val="0"/>
        <w:ind w:firstLine="482"/>
        <w:rPr>
          <w:rFonts w:hint="default" w:ascii="Times New Roman" w:hAnsi="Times New Roman" w:eastAsia="宋体" w:cs="Times New Roman"/>
          <w:b/>
          <w:bCs/>
          <w:color w:val="0000FF"/>
        </w:rPr>
      </w:pPr>
      <w:r>
        <w:rPr>
          <w:rFonts w:hint="default" w:ascii="Times New Roman" w:hAnsi="Times New Roman" w:eastAsia="宋体" w:cs="Times New Roman"/>
          <w:b/>
          <w:bCs/>
          <w:color w:val="0000FF"/>
        </w:rPr>
        <w:t>（</w:t>
      </w:r>
      <w:r>
        <w:rPr>
          <w:rFonts w:hint="eastAsia" w:cs="Times New Roman"/>
          <w:b/>
          <w:bCs/>
          <w:color w:val="0000FF"/>
          <w:lang w:val="en-US" w:eastAsia="zh-CN"/>
        </w:rPr>
        <w:t>4</w:t>
      </w:r>
      <w:r>
        <w:rPr>
          <w:rFonts w:hint="default" w:ascii="Times New Roman" w:hAnsi="Times New Roman" w:eastAsia="宋体" w:cs="Times New Roman"/>
          <w:b/>
          <w:bCs/>
          <w:color w:val="0000FF"/>
        </w:rPr>
        <w:t>）污染源估算模型计算结果</w:t>
      </w:r>
    </w:p>
    <w:p w14:paraId="0DE0D52D">
      <w:pPr>
        <w:adjustRightInd w:val="0"/>
        <w:snapToGrid w:val="0"/>
        <w:ind w:firstLine="480"/>
        <w:rPr>
          <w:rFonts w:hint="default" w:ascii="Times New Roman" w:hAnsi="Times New Roman" w:eastAsia="宋体" w:cs="Times New Roman"/>
          <w:color w:val="0000FF"/>
        </w:rPr>
      </w:pPr>
      <w:r>
        <w:rPr>
          <w:rFonts w:hint="default" w:ascii="Times New Roman" w:hAnsi="Times New Roman" w:eastAsia="宋体" w:cs="Times New Roman"/>
          <w:color w:val="0000FF"/>
        </w:rPr>
        <w:t>根据估算模式估算出本项目主要污染源结果见表2.</w:t>
      </w:r>
      <w:r>
        <w:rPr>
          <w:rFonts w:hint="eastAsia" w:cs="Times New Roman"/>
          <w:color w:val="0000FF"/>
          <w:lang w:val="en-US" w:eastAsia="zh-CN"/>
        </w:rPr>
        <w:t>6</w:t>
      </w:r>
      <w:r>
        <w:rPr>
          <w:rFonts w:hint="default" w:ascii="Times New Roman" w:hAnsi="Times New Roman" w:eastAsia="宋体" w:cs="Times New Roman"/>
          <w:color w:val="0000FF"/>
        </w:rPr>
        <w:t>-4。</w:t>
      </w:r>
    </w:p>
    <w:p w14:paraId="0E4DC4B7">
      <w:pPr>
        <w:tabs>
          <w:tab w:val="left" w:pos="2771"/>
          <w:tab w:val="left" w:pos="6612"/>
        </w:tabs>
        <w:adjustRightInd w:val="0"/>
        <w:snapToGrid w:val="0"/>
        <w:spacing w:line="240" w:lineRule="atLeast"/>
        <w:ind w:firstLine="482"/>
        <w:jc w:val="center"/>
        <w:rPr>
          <w:rFonts w:hint="default" w:ascii="Times New Roman" w:hAnsi="Times New Roman" w:eastAsia="宋体" w:cs="Times New Roman"/>
          <w:b/>
          <w:color w:val="0000FF"/>
        </w:rPr>
      </w:pPr>
      <w:r>
        <w:rPr>
          <w:rFonts w:hint="default" w:ascii="Times New Roman" w:hAnsi="Times New Roman" w:eastAsia="宋体" w:cs="Times New Roman"/>
          <w:b/>
          <w:color w:val="0000FF"/>
        </w:rPr>
        <w:t>表2.6-4本项目污染物排放参数一览表</w:t>
      </w:r>
    </w:p>
    <w:tbl>
      <w:tblPr>
        <w:tblStyle w:val="29"/>
        <w:tblW w:w="9745" w:type="dxa"/>
        <w:jc w:val="center"/>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Layout w:type="fixed"/>
        <w:tblCellMar>
          <w:top w:w="0" w:type="dxa"/>
          <w:left w:w="108" w:type="dxa"/>
          <w:bottom w:w="0" w:type="dxa"/>
          <w:right w:w="108" w:type="dxa"/>
        </w:tblCellMar>
      </w:tblPr>
      <w:tblGrid>
        <w:gridCol w:w="990"/>
        <w:gridCol w:w="915"/>
        <w:gridCol w:w="855"/>
        <w:gridCol w:w="708"/>
        <w:gridCol w:w="722"/>
        <w:gridCol w:w="827"/>
        <w:gridCol w:w="750"/>
        <w:gridCol w:w="668"/>
        <w:gridCol w:w="405"/>
        <w:gridCol w:w="1125"/>
        <w:gridCol w:w="960"/>
        <w:gridCol w:w="820"/>
      </w:tblGrid>
      <w:tr w14:paraId="1A2611C0">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23" w:hRule="atLeast"/>
          <w:jc w:val="center"/>
        </w:trPr>
        <w:tc>
          <w:tcPr>
            <w:tcW w:w="990" w:type="dxa"/>
            <w:vMerge w:val="restart"/>
            <w:vAlign w:val="center"/>
          </w:tcPr>
          <w:p w14:paraId="0CE1C4EB">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default" w:ascii="Times New Roman" w:hAnsi="Times New Roman" w:cs="Times New Roman" w:eastAsiaTheme="minorEastAsia"/>
                <w:b/>
                <w:bCs/>
                <w:color w:val="0000FF"/>
                <w:sz w:val="21"/>
                <w:szCs w:val="21"/>
              </w:rPr>
            </w:pPr>
            <w:bookmarkStart w:id="75" w:name="2.5.3地下水"/>
            <w:bookmarkEnd w:id="75"/>
            <w:r>
              <w:rPr>
                <w:rFonts w:hint="default" w:ascii="Times New Roman" w:hAnsi="Times New Roman" w:cs="Times New Roman" w:eastAsiaTheme="minorEastAsia"/>
                <w:b/>
                <w:bCs/>
                <w:color w:val="0000FF"/>
                <w:sz w:val="21"/>
                <w:szCs w:val="21"/>
              </w:rPr>
              <w:t>污染源名称</w:t>
            </w:r>
          </w:p>
        </w:tc>
        <w:tc>
          <w:tcPr>
            <w:tcW w:w="1770" w:type="dxa"/>
            <w:gridSpan w:val="2"/>
            <w:vAlign w:val="center"/>
          </w:tcPr>
          <w:p w14:paraId="56478447">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eastAsia" w:ascii="Times New Roman" w:hAnsi="Times New Roman" w:cs="Times New Roman" w:eastAsiaTheme="minorEastAsia"/>
                <w:b/>
                <w:bCs/>
                <w:color w:val="0000FF"/>
                <w:sz w:val="21"/>
                <w:szCs w:val="21"/>
                <w:lang w:eastAsia="zh-CN"/>
              </w:rPr>
            </w:pPr>
            <w:r>
              <w:rPr>
                <w:rFonts w:hint="default" w:ascii="Times New Roman" w:hAnsi="Times New Roman" w:cs="Times New Roman" w:eastAsiaTheme="minorEastAsia"/>
                <w:b/>
                <w:bCs/>
                <w:color w:val="0000FF"/>
                <w:sz w:val="21"/>
                <w:szCs w:val="21"/>
              </w:rPr>
              <w:t>坐标</w:t>
            </w:r>
            <w:r>
              <w:rPr>
                <w:rFonts w:hint="eastAsia" w:cs="Times New Roman" w:eastAsiaTheme="minorEastAsia"/>
                <w:b/>
                <w:bCs/>
                <w:color w:val="0000FF"/>
                <w:sz w:val="21"/>
                <w:szCs w:val="21"/>
                <w:lang w:eastAsia="zh-CN"/>
              </w:rPr>
              <w:t>（</w:t>
            </w:r>
            <w:r>
              <w:rPr>
                <w:rFonts w:hint="default" w:ascii="Times New Roman" w:hAnsi="Times New Roman" w:cs="Times New Roman" w:eastAsiaTheme="minorEastAsia"/>
                <w:b/>
                <w:bCs/>
                <w:color w:val="0000FF"/>
                <w:sz w:val="21"/>
                <w:szCs w:val="21"/>
              </w:rPr>
              <w:t>°</w:t>
            </w:r>
            <w:r>
              <w:rPr>
                <w:rFonts w:hint="eastAsia" w:cs="Times New Roman" w:eastAsiaTheme="minorEastAsia"/>
                <w:b/>
                <w:bCs/>
                <w:color w:val="0000FF"/>
                <w:sz w:val="21"/>
                <w:szCs w:val="21"/>
                <w:lang w:eastAsia="zh-CN"/>
              </w:rPr>
              <w:t>）</w:t>
            </w:r>
          </w:p>
        </w:tc>
        <w:tc>
          <w:tcPr>
            <w:tcW w:w="708" w:type="dxa"/>
            <w:vMerge w:val="restart"/>
            <w:vAlign w:val="center"/>
          </w:tcPr>
          <w:p w14:paraId="0B079785">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eastAsia" w:ascii="Times New Roman" w:hAnsi="Times New Roman" w:cs="Times New Roman" w:eastAsiaTheme="minorEastAsia"/>
                <w:b/>
                <w:bCs/>
                <w:color w:val="0000FF"/>
                <w:sz w:val="21"/>
                <w:szCs w:val="21"/>
                <w:lang w:eastAsia="zh-CN"/>
              </w:rPr>
            </w:pPr>
            <w:r>
              <w:rPr>
                <w:rFonts w:hint="default" w:ascii="Times New Roman" w:hAnsi="Times New Roman" w:cs="Times New Roman" w:eastAsiaTheme="minorEastAsia"/>
                <w:b/>
                <w:bCs/>
                <w:color w:val="0000FF"/>
                <w:sz w:val="21"/>
                <w:szCs w:val="21"/>
              </w:rPr>
              <w:t>海拔高度</w:t>
            </w:r>
            <w:r>
              <w:rPr>
                <w:rFonts w:hint="eastAsia" w:cs="Times New Roman" w:eastAsiaTheme="minorEastAsia"/>
                <w:b/>
                <w:bCs/>
                <w:color w:val="0000FF"/>
                <w:sz w:val="21"/>
                <w:szCs w:val="21"/>
                <w:lang w:eastAsia="zh-CN"/>
              </w:rPr>
              <w:t>（</w:t>
            </w:r>
            <w:r>
              <w:rPr>
                <w:rFonts w:hint="default" w:ascii="Times New Roman" w:hAnsi="Times New Roman" w:cs="Times New Roman" w:eastAsiaTheme="minorEastAsia"/>
                <w:b/>
                <w:bCs/>
                <w:color w:val="0000FF"/>
                <w:sz w:val="21"/>
                <w:szCs w:val="21"/>
              </w:rPr>
              <w:t>m</w:t>
            </w:r>
            <w:r>
              <w:rPr>
                <w:rFonts w:hint="eastAsia" w:cs="Times New Roman" w:eastAsiaTheme="minorEastAsia"/>
                <w:b/>
                <w:bCs/>
                <w:color w:val="0000FF"/>
                <w:sz w:val="21"/>
                <w:szCs w:val="21"/>
                <w:lang w:eastAsia="zh-CN"/>
              </w:rPr>
              <w:t>）</w:t>
            </w:r>
          </w:p>
        </w:tc>
        <w:tc>
          <w:tcPr>
            <w:tcW w:w="2299" w:type="dxa"/>
            <w:gridSpan w:val="3"/>
            <w:vAlign w:val="center"/>
          </w:tcPr>
          <w:p w14:paraId="789498D7">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default" w:ascii="Times New Roman" w:hAnsi="Times New Roman" w:cs="Times New Roman" w:eastAsiaTheme="minorEastAsia"/>
                <w:b/>
                <w:bCs/>
                <w:color w:val="0000FF"/>
                <w:sz w:val="21"/>
                <w:szCs w:val="21"/>
              </w:rPr>
            </w:pPr>
            <w:r>
              <w:rPr>
                <w:rFonts w:hint="default" w:ascii="Times New Roman" w:hAnsi="Times New Roman" w:cs="Times New Roman" w:eastAsiaTheme="minorEastAsia"/>
                <w:b/>
                <w:bCs/>
                <w:color w:val="0000FF"/>
                <w:sz w:val="21"/>
                <w:szCs w:val="21"/>
              </w:rPr>
              <w:t>矩形面源</w:t>
            </w:r>
          </w:p>
        </w:tc>
        <w:tc>
          <w:tcPr>
            <w:tcW w:w="668" w:type="dxa"/>
            <w:vMerge w:val="restart"/>
            <w:vAlign w:val="center"/>
          </w:tcPr>
          <w:p w14:paraId="56492D6E">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eastAsiaTheme="minorEastAsia"/>
                <w:b/>
                <w:bCs/>
                <w:color w:val="0000FF"/>
                <w:sz w:val="21"/>
                <w:szCs w:val="21"/>
              </w:rPr>
            </w:pPr>
            <w:r>
              <w:rPr>
                <w:rFonts w:hint="default" w:ascii="Times New Roman" w:hAnsi="Times New Roman" w:eastAsia="宋体" w:cs="Times New Roman"/>
                <w:b/>
                <w:bCs/>
                <w:color w:val="0000FF"/>
                <w:sz w:val="21"/>
                <w:szCs w:val="21"/>
              </w:rPr>
              <w:t>年排放小时数</w:t>
            </w:r>
          </w:p>
        </w:tc>
        <w:tc>
          <w:tcPr>
            <w:tcW w:w="405" w:type="dxa"/>
            <w:vMerge w:val="restart"/>
            <w:vAlign w:val="center"/>
          </w:tcPr>
          <w:p w14:paraId="64FD5AC6">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eastAsiaTheme="minorEastAsia"/>
                <w:b/>
                <w:bCs/>
                <w:color w:val="0000FF"/>
                <w:sz w:val="21"/>
                <w:szCs w:val="21"/>
              </w:rPr>
            </w:pPr>
            <w:r>
              <w:rPr>
                <w:rFonts w:hint="default" w:ascii="Times New Roman" w:hAnsi="Times New Roman" w:eastAsia="宋体" w:cs="Times New Roman"/>
                <w:b/>
                <w:bCs/>
                <w:color w:val="0000FF"/>
                <w:sz w:val="21"/>
                <w:szCs w:val="21"/>
              </w:rPr>
              <w:t>排放工况</w:t>
            </w:r>
          </w:p>
        </w:tc>
        <w:tc>
          <w:tcPr>
            <w:tcW w:w="2905" w:type="dxa"/>
            <w:gridSpan w:val="3"/>
            <w:vAlign w:val="center"/>
          </w:tcPr>
          <w:p w14:paraId="2374A09E">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eastAsia" w:ascii="Times New Roman" w:hAnsi="Times New Roman" w:cs="Times New Roman" w:eastAsiaTheme="minorEastAsia"/>
                <w:b/>
                <w:bCs/>
                <w:color w:val="0000FF"/>
                <w:sz w:val="21"/>
                <w:szCs w:val="21"/>
                <w:lang w:eastAsia="zh-CN"/>
              </w:rPr>
            </w:pPr>
            <w:r>
              <w:rPr>
                <w:rFonts w:hint="default" w:ascii="Times New Roman" w:hAnsi="Times New Roman" w:cs="Times New Roman" w:eastAsiaTheme="minorEastAsia"/>
                <w:b/>
                <w:bCs/>
                <w:color w:val="0000FF"/>
                <w:sz w:val="21"/>
                <w:szCs w:val="21"/>
              </w:rPr>
              <w:t>污染物排放速率</w:t>
            </w:r>
            <w:r>
              <w:rPr>
                <w:rFonts w:hint="eastAsia" w:cs="Times New Roman" w:eastAsiaTheme="minorEastAsia"/>
                <w:b/>
                <w:bCs/>
                <w:color w:val="0000FF"/>
                <w:sz w:val="21"/>
                <w:szCs w:val="21"/>
                <w:lang w:eastAsia="zh-CN"/>
              </w:rPr>
              <w:t>（</w:t>
            </w:r>
            <w:r>
              <w:rPr>
                <w:rFonts w:hint="default" w:ascii="Times New Roman" w:hAnsi="Times New Roman" w:cs="Times New Roman" w:eastAsiaTheme="minorEastAsia"/>
                <w:b/>
                <w:bCs/>
                <w:color w:val="0000FF"/>
                <w:sz w:val="21"/>
                <w:szCs w:val="21"/>
              </w:rPr>
              <w:t>kg/h</w:t>
            </w:r>
            <w:r>
              <w:rPr>
                <w:rFonts w:hint="eastAsia" w:cs="Times New Roman" w:eastAsiaTheme="minorEastAsia"/>
                <w:b/>
                <w:bCs/>
                <w:color w:val="0000FF"/>
                <w:sz w:val="21"/>
                <w:szCs w:val="21"/>
                <w:lang w:eastAsia="zh-CN"/>
              </w:rPr>
              <w:t>）</w:t>
            </w:r>
          </w:p>
        </w:tc>
      </w:tr>
      <w:tr w14:paraId="52B3FBA7">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23" w:hRule="atLeast"/>
          <w:jc w:val="center"/>
        </w:trPr>
        <w:tc>
          <w:tcPr>
            <w:tcW w:w="990" w:type="dxa"/>
            <w:vMerge w:val="continue"/>
            <w:vAlign w:val="center"/>
          </w:tcPr>
          <w:p w14:paraId="335D220E">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default" w:ascii="Times New Roman" w:hAnsi="Times New Roman" w:cs="Times New Roman" w:eastAsiaTheme="minorEastAsia"/>
                <w:b/>
                <w:bCs/>
                <w:color w:val="0000FF"/>
                <w:sz w:val="21"/>
                <w:szCs w:val="21"/>
              </w:rPr>
            </w:pPr>
          </w:p>
        </w:tc>
        <w:tc>
          <w:tcPr>
            <w:tcW w:w="915" w:type="dxa"/>
            <w:vAlign w:val="center"/>
          </w:tcPr>
          <w:p w14:paraId="5F84ECBA">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default" w:ascii="Times New Roman" w:hAnsi="Times New Roman" w:cs="Times New Roman" w:eastAsiaTheme="minorEastAsia"/>
                <w:b/>
                <w:bCs/>
                <w:color w:val="0000FF"/>
                <w:sz w:val="21"/>
                <w:szCs w:val="21"/>
              </w:rPr>
            </w:pPr>
            <w:r>
              <w:rPr>
                <w:rFonts w:hint="default" w:ascii="Times New Roman" w:hAnsi="Times New Roman" w:cs="Times New Roman" w:eastAsiaTheme="minorEastAsia"/>
                <w:b/>
                <w:bCs/>
                <w:color w:val="0000FF"/>
                <w:sz w:val="21"/>
                <w:szCs w:val="21"/>
              </w:rPr>
              <w:t>经度</w:t>
            </w:r>
          </w:p>
        </w:tc>
        <w:tc>
          <w:tcPr>
            <w:tcW w:w="855" w:type="dxa"/>
            <w:vAlign w:val="center"/>
          </w:tcPr>
          <w:p w14:paraId="37CBF926">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default" w:ascii="Times New Roman" w:hAnsi="Times New Roman" w:cs="Times New Roman" w:eastAsiaTheme="minorEastAsia"/>
                <w:b/>
                <w:bCs/>
                <w:color w:val="0000FF"/>
                <w:sz w:val="21"/>
                <w:szCs w:val="21"/>
              </w:rPr>
            </w:pPr>
            <w:r>
              <w:rPr>
                <w:rFonts w:hint="default" w:ascii="Times New Roman" w:hAnsi="Times New Roman" w:cs="Times New Roman" w:eastAsiaTheme="minorEastAsia"/>
                <w:b/>
                <w:bCs/>
                <w:color w:val="0000FF"/>
                <w:sz w:val="21"/>
                <w:szCs w:val="21"/>
              </w:rPr>
              <w:t>纬度</w:t>
            </w:r>
          </w:p>
        </w:tc>
        <w:tc>
          <w:tcPr>
            <w:tcW w:w="708" w:type="dxa"/>
            <w:vMerge w:val="continue"/>
            <w:vAlign w:val="center"/>
          </w:tcPr>
          <w:p w14:paraId="74756EBF">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default" w:ascii="Times New Roman" w:hAnsi="Times New Roman" w:cs="Times New Roman" w:eastAsiaTheme="minorEastAsia"/>
                <w:b/>
                <w:bCs/>
                <w:color w:val="0000FF"/>
                <w:sz w:val="21"/>
                <w:szCs w:val="21"/>
              </w:rPr>
            </w:pPr>
          </w:p>
        </w:tc>
        <w:tc>
          <w:tcPr>
            <w:tcW w:w="722" w:type="dxa"/>
            <w:vAlign w:val="center"/>
          </w:tcPr>
          <w:p w14:paraId="5BD83C3F">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eastAsia" w:ascii="Times New Roman" w:hAnsi="Times New Roman" w:cs="Times New Roman" w:eastAsiaTheme="minorEastAsia"/>
                <w:b/>
                <w:bCs/>
                <w:color w:val="0000FF"/>
                <w:sz w:val="21"/>
                <w:szCs w:val="21"/>
                <w:lang w:eastAsia="zh-CN"/>
              </w:rPr>
            </w:pPr>
            <w:r>
              <w:rPr>
                <w:rFonts w:hint="default" w:ascii="Times New Roman" w:hAnsi="Times New Roman" w:cs="Times New Roman" w:eastAsiaTheme="minorEastAsia"/>
                <w:b/>
                <w:bCs/>
                <w:color w:val="0000FF"/>
                <w:sz w:val="21"/>
                <w:szCs w:val="21"/>
              </w:rPr>
              <w:t>长度</w:t>
            </w:r>
            <w:r>
              <w:rPr>
                <w:rFonts w:hint="eastAsia" w:cs="Times New Roman" w:eastAsiaTheme="minorEastAsia"/>
                <w:b/>
                <w:bCs/>
                <w:color w:val="0000FF"/>
                <w:sz w:val="21"/>
                <w:szCs w:val="21"/>
                <w:lang w:eastAsia="zh-CN"/>
              </w:rPr>
              <w:t>（</w:t>
            </w:r>
            <w:r>
              <w:rPr>
                <w:rFonts w:hint="default" w:ascii="Times New Roman" w:hAnsi="Times New Roman" w:cs="Times New Roman" w:eastAsiaTheme="minorEastAsia"/>
                <w:b/>
                <w:bCs/>
                <w:color w:val="0000FF"/>
                <w:sz w:val="21"/>
                <w:szCs w:val="21"/>
              </w:rPr>
              <w:t>m</w:t>
            </w:r>
            <w:r>
              <w:rPr>
                <w:rFonts w:hint="eastAsia" w:cs="Times New Roman" w:eastAsiaTheme="minorEastAsia"/>
                <w:b/>
                <w:bCs/>
                <w:color w:val="0000FF"/>
                <w:sz w:val="21"/>
                <w:szCs w:val="21"/>
                <w:lang w:eastAsia="zh-CN"/>
              </w:rPr>
              <w:t>）</w:t>
            </w:r>
          </w:p>
        </w:tc>
        <w:tc>
          <w:tcPr>
            <w:tcW w:w="827" w:type="dxa"/>
            <w:vAlign w:val="center"/>
          </w:tcPr>
          <w:p w14:paraId="0E557D47">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eastAsia" w:ascii="Times New Roman" w:hAnsi="Times New Roman" w:cs="Times New Roman" w:eastAsiaTheme="minorEastAsia"/>
                <w:b/>
                <w:bCs/>
                <w:color w:val="0000FF"/>
                <w:sz w:val="21"/>
                <w:szCs w:val="21"/>
                <w:lang w:eastAsia="zh-CN"/>
              </w:rPr>
            </w:pPr>
            <w:r>
              <w:rPr>
                <w:rFonts w:hint="default" w:ascii="Times New Roman" w:hAnsi="Times New Roman" w:cs="Times New Roman" w:eastAsiaTheme="minorEastAsia"/>
                <w:b/>
                <w:bCs/>
                <w:color w:val="0000FF"/>
                <w:sz w:val="21"/>
                <w:szCs w:val="21"/>
              </w:rPr>
              <w:t>宽度</w:t>
            </w:r>
            <w:r>
              <w:rPr>
                <w:rFonts w:hint="eastAsia" w:cs="Times New Roman" w:eastAsiaTheme="minorEastAsia"/>
                <w:b/>
                <w:bCs/>
                <w:color w:val="0000FF"/>
                <w:sz w:val="21"/>
                <w:szCs w:val="21"/>
                <w:lang w:eastAsia="zh-CN"/>
              </w:rPr>
              <w:t>（</w:t>
            </w:r>
            <w:r>
              <w:rPr>
                <w:rFonts w:hint="default" w:ascii="Times New Roman" w:hAnsi="Times New Roman" w:cs="Times New Roman" w:eastAsiaTheme="minorEastAsia"/>
                <w:b/>
                <w:bCs/>
                <w:color w:val="0000FF"/>
                <w:sz w:val="21"/>
                <w:szCs w:val="21"/>
              </w:rPr>
              <w:t>m</w:t>
            </w:r>
            <w:r>
              <w:rPr>
                <w:rFonts w:hint="eastAsia" w:cs="Times New Roman" w:eastAsiaTheme="minorEastAsia"/>
                <w:b/>
                <w:bCs/>
                <w:color w:val="0000FF"/>
                <w:sz w:val="21"/>
                <w:szCs w:val="21"/>
                <w:lang w:eastAsia="zh-CN"/>
              </w:rPr>
              <w:t>）</w:t>
            </w:r>
          </w:p>
        </w:tc>
        <w:tc>
          <w:tcPr>
            <w:tcW w:w="750" w:type="dxa"/>
            <w:vAlign w:val="center"/>
          </w:tcPr>
          <w:p w14:paraId="7C39829B">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eastAsia" w:ascii="Times New Roman" w:hAnsi="Times New Roman" w:cs="Times New Roman" w:eastAsiaTheme="minorEastAsia"/>
                <w:b/>
                <w:bCs/>
                <w:color w:val="0000FF"/>
                <w:sz w:val="21"/>
                <w:szCs w:val="21"/>
                <w:lang w:eastAsia="zh-CN"/>
              </w:rPr>
            </w:pPr>
            <w:r>
              <w:rPr>
                <w:rFonts w:hint="default" w:ascii="Times New Roman" w:hAnsi="Times New Roman" w:cs="Times New Roman" w:eastAsiaTheme="minorEastAsia"/>
                <w:b/>
                <w:bCs/>
                <w:color w:val="0000FF"/>
                <w:sz w:val="21"/>
                <w:szCs w:val="21"/>
              </w:rPr>
              <w:t>有效高度</w:t>
            </w:r>
            <w:r>
              <w:rPr>
                <w:rFonts w:hint="eastAsia" w:cs="Times New Roman" w:eastAsiaTheme="minorEastAsia"/>
                <w:b/>
                <w:bCs/>
                <w:color w:val="0000FF"/>
                <w:sz w:val="21"/>
                <w:szCs w:val="21"/>
                <w:lang w:eastAsia="zh-CN"/>
              </w:rPr>
              <w:t>（</w:t>
            </w:r>
            <w:r>
              <w:rPr>
                <w:rFonts w:hint="default" w:ascii="Times New Roman" w:hAnsi="Times New Roman" w:cs="Times New Roman" w:eastAsiaTheme="minorEastAsia"/>
                <w:b/>
                <w:bCs/>
                <w:color w:val="0000FF"/>
                <w:sz w:val="21"/>
                <w:szCs w:val="21"/>
              </w:rPr>
              <w:t>m</w:t>
            </w:r>
            <w:r>
              <w:rPr>
                <w:rFonts w:hint="eastAsia" w:cs="Times New Roman" w:eastAsiaTheme="minorEastAsia"/>
                <w:b/>
                <w:bCs/>
                <w:color w:val="0000FF"/>
                <w:sz w:val="21"/>
                <w:szCs w:val="21"/>
                <w:lang w:eastAsia="zh-CN"/>
              </w:rPr>
              <w:t>）</w:t>
            </w:r>
          </w:p>
        </w:tc>
        <w:tc>
          <w:tcPr>
            <w:tcW w:w="668" w:type="dxa"/>
            <w:vMerge w:val="continue"/>
            <w:vAlign w:val="center"/>
          </w:tcPr>
          <w:p w14:paraId="7759EC3C">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eastAsiaTheme="minorEastAsia"/>
                <w:b/>
                <w:bCs/>
                <w:color w:val="0000FF"/>
                <w:sz w:val="21"/>
                <w:szCs w:val="21"/>
              </w:rPr>
            </w:pPr>
          </w:p>
        </w:tc>
        <w:tc>
          <w:tcPr>
            <w:tcW w:w="405" w:type="dxa"/>
            <w:vMerge w:val="continue"/>
            <w:vAlign w:val="center"/>
          </w:tcPr>
          <w:p w14:paraId="0B4D3009">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eastAsiaTheme="minorEastAsia"/>
                <w:b/>
                <w:bCs/>
                <w:color w:val="0000FF"/>
                <w:sz w:val="21"/>
                <w:szCs w:val="21"/>
              </w:rPr>
            </w:pPr>
          </w:p>
        </w:tc>
        <w:tc>
          <w:tcPr>
            <w:tcW w:w="1125" w:type="dxa"/>
            <w:vAlign w:val="center"/>
          </w:tcPr>
          <w:p w14:paraId="0BF6952E">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default" w:ascii="Times New Roman" w:hAnsi="Times New Roman" w:cs="Times New Roman" w:eastAsiaTheme="minorEastAsia"/>
                <w:b/>
                <w:bCs/>
                <w:color w:val="0000FF"/>
                <w:sz w:val="21"/>
                <w:szCs w:val="21"/>
              </w:rPr>
            </w:pPr>
            <w:r>
              <w:rPr>
                <w:rFonts w:hint="default" w:ascii="Times New Roman" w:hAnsi="Times New Roman" w:cs="Times New Roman" w:eastAsiaTheme="minorEastAsia"/>
                <w:b/>
                <w:bCs/>
                <w:color w:val="0000FF"/>
                <w:sz w:val="21"/>
                <w:szCs w:val="21"/>
              </w:rPr>
              <w:t>H</w:t>
            </w:r>
            <w:r>
              <w:rPr>
                <w:rFonts w:hint="default" w:ascii="Times New Roman" w:hAnsi="Times New Roman" w:cs="Times New Roman" w:eastAsiaTheme="minorEastAsia"/>
                <w:b/>
                <w:bCs/>
                <w:color w:val="0000FF"/>
                <w:sz w:val="21"/>
                <w:szCs w:val="21"/>
                <w:vertAlign w:val="subscript"/>
              </w:rPr>
              <w:t>2</w:t>
            </w:r>
            <w:r>
              <w:rPr>
                <w:rFonts w:hint="default" w:ascii="Times New Roman" w:hAnsi="Times New Roman" w:cs="Times New Roman" w:eastAsiaTheme="minorEastAsia"/>
                <w:b/>
                <w:bCs/>
                <w:color w:val="0000FF"/>
                <w:sz w:val="21"/>
                <w:szCs w:val="21"/>
              </w:rPr>
              <w:t>S</w:t>
            </w:r>
          </w:p>
        </w:tc>
        <w:tc>
          <w:tcPr>
            <w:tcW w:w="960" w:type="dxa"/>
            <w:vAlign w:val="center"/>
          </w:tcPr>
          <w:p w14:paraId="16E4B619">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default" w:ascii="Times New Roman" w:hAnsi="Times New Roman" w:cs="Times New Roman" w:eastAsiaTheme="minorEastAsia"/>
                <w:b/>
                <w:bCs/>
                <w:color w:val="0000FF"/>
                <w:sz w:val="21"/>
                <w:szCs w:val="21"/>
              </w:rPr>
            </w:pPr>
            <w:r>
              <w:rPr>
                <w:rFonts w:hint="default" w:ascii="Times New Roman" w:hAnsi="Times New Roman" w:cs="Times New Roman" w:eastAsiaTheme="minorEastAsia"/>
                <w:b/>
                <w:bCs/>
                <w:color w:val="0000FF"/>
                <w:sz w:val="21"/>
                <w:szCs w:val="21"/>
              </w:rPr>
              <w:t>NH</w:t>
            </w:r>
            <w:r>
              <w:rPr>
                <w:rFonts w:hint="default" w:ascii="Times New Roman" w:hAnsi="Times New Roman" w:cs="Times New Roman" w:eastAsiaTheme="minorEastAsia"/>
                <w:b/>
                <w:bCs/>
                <w:color w:val="0000FF"/>
                <w:sz w:val="21"/>
                <w:szCs w:val="21"/>
                <w:vertAlign w:val="subscript"/>
              </w:rPr>
              <w:t>3</w:t>
            </w:r>
          </w:p>
        </w:tc>
        <w:tc>
          <w:tcPr>
            <w:tcW w:w="820" w:type="dxa"/>
            <w:vAlign w:val="center"/>
          </w:tcPr>
          <w:p w14:paraId="22ED42F3">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default" w:ascii="Times New Roman" w:hAnsi="Times New Roman" w:cs="Times New Roman" w:eastAsiaTheme="minorEastAsia"/>
                <w:b/>
                <w:bCs/>
                <w:color w:val="0000FF"/>
                <w:sz w:val="21"/>
                <w:szCs w:val="21"/>
              </w:rPr>
            </w:pPr>
            <w:r>
              <w:rPr>
                <w:rFonts w:hint="default" w:ascii="Times New Roman" w:hAnsi="Times New Roman" w:cs="Times New Roman" w:eastAsiaTheme="minorEastAsia"/>
                <w:b/>
                <w:bCs/>
                <w:color w:val="0000FF"/>
                <w:sz w:val="21"/>
                <w:szCs w:val="21"/>
              </w:rPr>
              <w:t>TSP</w:t>
            </w:r>
          </w:p>
        </w:tc>
      </w:tr>
      <w:tr w14:paraId="7B657310">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532" w:hRule="atLeast"/>
          <w:jc w:val="center"/>
        </w:trPr>
        <w:tc>
          <w:tcPr>
            <w:tcW w:w="990" w:type="dxa"/>
            <w:vAlign w:val="center"/>
          </w:tcPr>
          <w:p w14:paraId="00652D81">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default" w:ascii="Times New Roman" w:hAnsi="Times New Roman" w:cs="Times New Roman" w:eastAsiaTheme="minorEastAsia"/>
                <w:color w:val="0000FF"/>
                <w:sz w:val="21"/>
                <w:szCs w:val="21"/>
              </w:rPr>
            </w:pPr>
            <w:r>
              <w:rPr>
                <w:rFonts w:hint="default" w:ascii="Times New Roman" w:hAnsi="Times New Roman" w:cs="Times New Roman" w:eastAsiaTheme="minorEastAsia"/>
                <w:b w:val="0"/>
                <w:color w:val="0000FF"/>
                <w:sz w:val="21"/>
                <w:szCs w:val="21"/>
              </w:rPr>
              <w:t>氧化塘</w:t>
            </w:r>
          </w:p>
        </w:tc>
        <w:tc>
          <w:tcPr>
            <w:tcW w:w="915" w:type="dxa"/>
            <w:vAlign w:val="center"/>
          </w:tcPr>
          <w:p w14:paraId="1DE9C8EF">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default" w:ascii="Times New Roman" w:hAnsi="Times New Roman" w:cs="Times New Roman" w:eastAsiaTheme="minorEastAsia"/>
                <w:color w:val="0000FF"/>
                <w:sz w:val="21"/>
                <w:szCs w:val="21"/>
              </w:rPr>
            </w:pPr>
            <w:r>
              <w:rPr>
                <w:rFonts w:hint="default" w:ascii="Times New Roman" w:hAnsi="Times New Roman" w:cs="Times New Roman" w:eastAsiaTheme="minorEastAsia"/>
                <w:b w:val="0"/>
                <w:color w:val="0000FF"/>
                <w:sz w:val="21"/>
                <w:szCs w:val="21"/>
              </w:rPr>
              <w:t>122.276099</w:t>
            </w:r>
          </w:p>
        </w:tc>
        <w:tc>
          <w:tcPr>
            <w:tcW w:w="855" w:type="dxa"/>
            <w:vAlign w:val="center"/>
          </w:tcPr>
          <w:p w14:paraId="3A468025">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default" w:ascii="Times New Roman" w:hAnsi="Times New Roman" w:cs="Times New Roman" w:eastAsiaTheme="minorEastAsia"/>
                <w:color w:val="0000FF"/>
                <w:sz w:val="21"/>
                <w:szCs w:val="21"/>
              </w:rPr>
            </w:pPr>
            <w:r>
              <w:rPr>
                <w:rFonts w:hint="default" w:ascii="Times New Roman" w:hAnsi="Times New Roman" w:cs="Times New Roman" w:eastAsiaTheme="minorEastAsia"/>
                <w:b w:val="0"/>
                <w:color w:val="0000FF"/>
                <w:sz w:val="21"/>
                <w:szCs w:val="21"/>
              </w:rPr>
              <w:t>46.186041</w:t>
            </w:r>
          </w:p>
        </w:tc>
        <w:tc>
          <w:tcPr>
            <w:tcW w:w="708" w:type="dxa"/>
            <w:vAlign w:val="center"/>
          </w:tcPr>
          <w:p w14:paraId="6B904D1F">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default" w:ascii="Times New Roman" w:hAnsi="Times New Roman" w:cs="Times New Roman" w:eastAsiaTheme="minorEastAsia"/>
                <w:color w:val="0000FF"/>
                <w:sz w:val="21"/>
                <w:szCs w:val="21"/>
              </w:rPr>
            </w:pPr>
            <w:r>
              <w:rPr>
                <w:rFonts w:hint="default" w:ascii="Times New Roman" w:hAnsi="Times New Roman" w:cs="Times New Roman" w:eastAsiaTheme="minorEastAsia"/>
                <w:b w:val="0"/>
                <w:color w:val="0000FF"/>
                <w:sz w:val="21"/>
                <w:szCs w:val="21"/>
              </w:rPr>
              <w:t>350</w:t>
            </w:r>
          </w:p>
        </w:tc>
        <w:tc>
          <w:tcPr>
            <w:tcW w:w="722" w:type="dxa"/>
            <w:vAlign w:val="center"/>
          </w:tcPr>
          <w:p w14:paraId="0693FBA3">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default" w:ascii="Times New Roman" w:hAnsi="Times New Roman" w:cs="Times New Roman" w:eastAsiaTheme="minorEastAsia"/>
                <w:color w:val="0000FF"/>
                <w:sz w:val="21"/>
                <w:szCs w:val="21"/>
              </w:rPr>
            </w:pPr>
            <w:r>
              <w:rPr>
                <w:rFonts w:hint="default" w:ascii="Times New Roman" w:hAnsi="Times New Roman" w:cs="Times New Roman" w:eastAsiaTheme="minorEastAsia"/>
                <w:b w:val="0"/>
                <w:color w:val="0000FF"/>
                <w:sz w:val="21"/>
                <w:szCs w:val="21"/>
              </w:rPr>
              <w:t>120</w:t>
            </w:r>
          </w:p>
        </w:tc>
        <w:tc>
          <w:tcPr>
            <w:tcW w:w="827" w:type="dxa"/>
            <w:vAlign w:val="center"/>
          </w:tcPr>
          <w:p w14:paraId="1476172F">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default" w:ascii="Times New Roman" w:hAnsi="Times New Roman" w:cs="Times New Roman" w:eastAsiaTheme="minorEastAsia"/>
                <w:color w:val="0000FF"/>
                <w:sz w:val="21"/>
                <w:szCs w:val="21"/>
              </w:rPr>
            </w:pPr>
            <w:r>
              <w:rPr>
                <w:rFonts w:hint="default" w:ascii="Times New Roman" w:hAnsi="Times New Roman" w:cs="Times New Roman" w:eastAsiaTheme="minorEastAsia"/>
                <w:b w:val="0"/>
                <w:color w:val="0000FF"/>
                <w:sz w:val="21"/>
                <w:szCs w:val="21"/>
              </w:rPr>
              <w:t>90</w:t>
            </w:r>
          </w:p>
        </w:tc>
        <w:tc>
          <w:tcPr>
            <w:tcW w:w="750" w:type="dxa"/>
            <w:vAlign w:val="center"/>
          </w:tcPr>
          <w:p w14:paraId="015CD8DB">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default" w:ascii="Times New Roman" w:hAnsi="Times New Roman" w:cs="Times New Roman" w:eastAsiaTheme="minorEastAsia"/>
                <w:color w:val="0000FF"/>
                <w:sz w:val="21"/>
                <w:szCs w:val="21"/>
              </w:rPr>
            </w:pPr>
            <w:r>
              <w:rPr>
                <w:rFonts w:hint="default" w:ascii="Times New Roman" w:hAnsi="Times New Roman" w:cs="Times New Roman" w:eastAsiaTheme="minorEastAsia"/>
                <w:b w:val="0"/>
                <w:color w:val="0000FF"/>
                <w:sz w:val="21"/>
                <w:szCs w:val="21"/>
              </w:rPr>
              <w:t>2.5</w:t>
            </w:r>
          </w:p>
        </w:tc>
        <w:tc>
          <w:tcPr>
            <w:tcW w:w="668" w:type="dxa"/>
            <w:vMerge w:val="restart"/>
            <w:vAlign w:val="center"/>
          </w:tcPr>
          <w:p w14:paraId="2D8A3727">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cs="Times New Roman" w:eastAsiaTheme="minorEastAsia"/>
                <w:color w:val="0000FF"/>
                <w:sz w:val="21"/>
                <w:szCs w:val="21"/>
                <w:lang w:val="en-US" w:eastAsia="zh-CN"/>
              </w:rPr>
            </w:pPr>
            <w:r>
              <w:rPr>
                <w:rFonts w:hint="default" w:ascii="Times New Roman" w:hAnsi="Times New Roman" w:eastAsia="宋体" w:cs="Times New Roman"/>
                <w:color w:val="0000FF"/>
                <w:sz w:val="21"/>
                <w:szCs w:val="21"/>
              </w:rPr>
              <w:t>8760</w:t>
            </w:r>
          </w:p>
        </w:tc>
        <w:tc>
          <w:tcPr>
            <w:tcW w:w="405" w:type="dxa"/>
            <w:vMerge w:val="restart"/>
            <w:vAlign w:val="center"/>
          </w:tcPr>
          <w:p w14:paraId="479D5D9D">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cs="Times New Roman" w:eastAsiaTheme="minorEastAsia"/>
                <w:color w:val="0000FF"/>
                <w:sz w:val="21"/>
                <w:szCs w:val="21"/>
                <w:lang w:val="en-US" w:eastAsia="zh-CN"/>
              </w:rPr>
            </w:pPr>
            <w:r>
              <w:rPr>
                <w:rFonts w:hint="default" w:ascii="Times New Roman" w:hAnsi="Times New Roman" w:eastAsia="宋体" w:cs="Times New Roman"/>
                <w:color w:val="0000FF"/>
                <w:sz w:val="21"/>
                <w:szCs w:val="21"/>
              </w:rPr>
              <w:t>正常排放</w:t>
            </w:r>
          </w:p>
        </w:tc>
        <w:tc>
          <w:tcPr>
            <w:tcW w:w="1125" w:type="dxa"/>
            <w:vAlign w:val="center"/>
          </w:tcPr>
          <w:p w14:paraId="313C90FB">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default" w:ascii="Times New Roman" w:hAnsi="Times New Roman" w:cs="Times New Roman" w:eastAsiaTheme="minorEastAsia"/>
                <w:color w:val="0000FF"/>
                <w:sz w:val="21"/>
                <w:szCs w:val="21"/>
                <w:lang w:val="en-US" w:eastAsia="zh-CN"/>
              </w:rPr>
            </w:pPr>
            <w:r>
              <w:rPr>
                <w:rFonts w:hint="eastAsia" w:ascii="Times New Roman" w:hAnsi="Times New Roman" w:cs="Times New Roman" w:eastAsiaTheme="minorEastAsia"/>
                <w:color w:val="0000FF"/>
                <w:sz w:val="21"/>
                <w:szCs w:val="21"/>
                <w:lang w:val="en-US" w:eastAsia="zh-CN"/>
              </w:rPr>
              <w:t>1.25*10</w:t>
            </w:r>
            <w:r>
              <w:rPr>
                <w:rFonts w:hint="eastAsia" w:ascii="Times New Roman" w:hAnsi="Times New Roman" w:cs="Times New Roman" w:eastAsiaTheme="minorEastAsia"/>
                <w:color w:val="0000FF"/>
                <w:sz w:val="21"/>
                <w:szCs w:val="21"/>
                <w:vertAlign w:val="superscript"/>
                <w:lang w:val="en-US" w:eastAsia="zh-CN"/>
              </w:rPr>
              <w:t>-11</w:t>
            </w:r>
          </w:p>
        </w:tc>
        <w:tc>
          <w:tcPr>
            <w:tcW w:w="960" w:type="dxa"/>
            <w:vAlign w:val="center"/>
          </w:tcPr>
          <w:p w14:paraId="24D88170">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default" w:ascii="Times New Roman" w:hAnsi="Times New Roman" w:cs="Times New Roman" w:eastAsiaTheme="minorEastAsia"/>
                <w:color w:val="0000FF"/>
                <w:sz w:val="21"/>
                <w:szCs w:val="21"/>
                <w:lang w:val="en-US" w:eastAsia="zh-CN"/>
              </w:rPr>
            </w:pPr>
            <w:r>
              <w:rPr>
                <w:rFonts w:hint="eastAsia" w:ascii="Times New Roman" w:hAnsi="Times New Roman" w:cs="Times New Roman" w:eastAsiaTheme="minorEastAsia"/>
                <w:color w:val="0000FF"/>
                <w:sz w:val="21"/>
                <w:szCs w:val="21"/>
                <w:lang w:val="en-US" w:eastAsia="zh-CN"/>
              </w:rPr>
              <w:t>5*10</w:t>
            </w:r>
            <w:r>
              <w:rPr>
                <w:rFonts w:hint="eastAsia" w:ascii="Times New Roman" w:hAnsi="Times New Roman" w:cs="Times New Roman" w:eastAsiaTheme="minorEastAsia"/>
                <w:color w:val="0000FF"/>
                <w:sz w:val="21"/>
                <w:szCs w:val="21"/>
                <w:vertAlign w:val="superscript"/>
                <w:lang w:val="en-US" w:eastAsia="zh-CN"/>
              </w:rPr>
              <w:t>-11</w:t>
            </w:r>
          </w:p>
        </w:tc>
        <w:tc>
          <w:tcPr>
            <w:tcW w:w="820" w:type="dxa"/>
            <w:vAlign w:val="center"/>
          </w:tcPr>
          <w:p w14:paraId="783F0EAC">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eastAsia" w:ascii="Times New Roman" w:hAnsi="Times New Roman" w:cs="Times New Roman" w:eastAsiaTheme="minorEastAsia"/>
                <w:color w:val="0000FF"/>
                <w:sz w:val="21"/>
                <w:szCs w:val="21"/>
                <w:lang w:eastAsia="zh-CN"/>
              </w:rPr>
            </w:pPr>
            <w:r>
              <w:rPr>
                <w:rFonts w:hint="eastAsia" w:ascii="Times New Roman" w:hAnsi="Times New Roman" w:cs="Times New Roman" w:eastAsiaTheme="minorEastAsia"/>
                <w:b w:val="0"/>
                <w:color w:val="0000FF"/>
                <w:sz w:val="21"/>
                <w:szCs w:val="21"/>
                <w:lang w:val="en-US" w:eastAsia="zh-CN"/>
              </w:rPr>
              <w:t>/</w:t>
            </w:r>
          </w:p>
        </w:tc>
      </w:tr>
      <w:tr w14:paraId="22613638">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23" w:hRule="atLeast"/>
          <w:jc w:val="center"/>
        </w:trPr>
        <w:tc>
          <w:tcPr>
            <w:tcW w:w="990" w:type="dxa"/>
            <w:vAlign w:val="center"/>
          </w:tcPr>
          <w:p w14:paraId="57F4A123">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default" w:ascii="Times New Roman" w:hAnsi="Times New Roman" w:cs="Times New Roman" w:eastAsiaTheme="minorEastAsia"/>
                <w:color w:val="0000FF"/>
                <w:sz w:val="21"/>
                <w:szCs w:val="21"/>
              </w:rPr>
            </w:pPr>
            <w:r>
              <w:rPr>
                <w:rFonts w:hint="default" w:ascii="Times New Roman" w:hAnsi="Times New Roman" w:cs="Times New Roman" w:eastAsiaTheme="minorEastAsia"/>
                <w:b w:val="0"/>
                <w:color w:val="0000FF"/>
                <w:sz w:val="21"/>
                <w:szCs w:val="21"/>
              </w:rPr>
              <w:t>固液分离车间</w:t>
            </w:r>
          </w:p>
        </w:tc>
        <w:tc>
          <w:tcPr>
            <w:tcW w:w="915" w:type="dxa"/>
            <w:vAlign w:val="center"/>
          </w:tcPr>
          <w:p w14:paraId="4CE10CB5">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default" w:ascii="Times New Roman" w:hAnsi="Times New Roman" w:cs="Times New Roman" w:eastAsiaTheme="minorEastAsia"/>
                <w:color w:val="0000FF"/>
                <w:sz w:val="21"/>
                <w:szCs w:val="21"/>
              </w:rPr>
            </w:pPr>
            <w:r>
              <w:rPr>
                <w:rFonts w:hint="default" w:ascii="Times New Roman" w:hAnsi="Times New Roman" w:cs="Times New Roman" w:eastAsiaTheme="minorEastAsia"/>
                <w:b w:val="0"/>
                <w:color w:val="0000FF"/>
                <w:sz w:val="21"/>
                <w:szCs w:val="21"/>
              </w:rPr>
              <w:t>122.274189</w:t>
            </w:r>
          </w:p>
        </w:tc>
        <w:tc>
          <w:tcPr>
            <w:tcW w:w="855" w:type="dxa"/>
            <w:vAlign w:val="center"/>
          </w:tcPr>
          <w:p w14:paraId="58E5F5B4">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default" w:ascii="Times New Roman" w:hAnsi="Times New Roman" w:cs="Times New Roman" w:eastAsiaTheme="minorEastAsia"/>
                <w:color w:val="0000FF"/>
                <w:sz w:val="21"/>
                <w:szCs w:val="21"/>
              </w:rPr>
            </w:pPr>
            <w:r>
              <w:rPr>
                <w:rFonts w:hint="default" w:ascii="Times New Roman" w:hAnsi="Times New Roman" w:cs="Times New Roman" w:eastAsiaTheme="minorEastAsia"/>
                <w:b w:val="0"/>
                <w:color w:val="0000FF"/>
                <w:sz w:val="21"/>
                <w:szCs w:val="21"/>
              </w:rPr>
              <w:t>46.185076</w:t>
            </w:r>
          </w:p>
        </w:tc>
        <w:tc>
          <w:tcPr>
            <w:tcW w:w="708" w:type="dxa"/>
            <w:vAlign w:val="center"/>
          </w:tcPr>
          <w:p w14:paraId="58BA6B73">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default" w:ascii="Times New Roman" w:hAnsi="Times New Roman" w:cs="Times New Roman" w:eastAsiaTheme="minorEastAsia"/>
                <w:color w:val="0000FF"/>
                <w:sz w:val="21"/>
                <w:szCs w:val="21"/>
              </w:rPr>
            </w:pPr>
            <w:r>
              <w:rPr>
                <w:rFonts w:hint="default" w:ascii="Times New Roman" w:hAnsi="Times New Roman" w:cs="Times New Roman" w:eastAsiaTheme="minorEastAsia"/>
                <w:b w:val="0"/>
                <w:color w:val="0000FF"/>
                <w:sz w:val="21"/>
                <w:szCs w:val="21"/>
              </w:rPr>
              <w:t>353</w:t>
            </w:r>
          </w:p>
        </w:tc>
        <w:tc>
          <w:tcPr>
            <w:tcW w:w="722" w:type="dxa"/>
            <w:vAlign w:val="center"/>
          </w:tcPr>
          <w:p w14:paraId="4AB73B0B">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default" w:ascii="Times New Roman" w:hAnsi="Times New Roman" w:cs="Times New Roman" w:eastAsiaTheme="minorEastAsia"/>
                <w:color w:val="0000FF"/>
                <w:sz w:val="21"/>
                <w:szCs w:val="21"/>
              </w:rPr>
            </w:pPr>
            <w:r>
              <w:rPr>
                <w:rFonts w:hint="default" w:ascii="Times New Roman" w:hAnsi="Times New Roman" w:cs="Times New Roman" w:eastAsiaTheme="minorEastAsia"/>
                <w:b w:val="0"/>
                <w:color w:val="0000FF"/>
                <w:sz w:val="21"/>
                <w:szCs w:val="21"/>
              </w:rPr>
              <w:t>25</w:t>
            </w:r>
          </w:p>
        </w:tc>
        <w:tc>
          <w:tcPr>
            <w:tcW w:w="827" w:type="dxa"/>
            <w:vAlign w:val="center"/>
          </w:tcPr>
          <w:p w14:paraId="46143496">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default" w:ascii="Times New Roman" w:hAnsi="Times New Roman" w:cs="Times New Roman" w:eastAsiaTheme="minorEastAsia"/>
                <w:color w:val="0000FF"/>
                <w:sz w:val="21"/>
                <w:szCs w:val="21"/>
              </w:rPr>
            </w:pPr>
            <w:r>
              <w:rPr>
                <w:rFonts w:hint="default" w:ascii="Times New Roman" w:hAnsi="Times New Roman" w:cs="Times New Roman" w:eastAsiaTheme="minorEastAsia"/>
                <w:b w:val="0"/>
                <w:color w:val="0000FF"/>
                <w:sz w:val="21"/>
                <w:szCs w:val="21"/>
              </w:rPr>
              <w:t>25</w:t>
            </w:r>
          </w:p>
        </w:tc>
        <w:tc>
          <w:tcPr>
            <w:tcW w:w="750" w:type="dxa"/>
            <w:vAlign w:val="center"/>
          </w:tcPr>
          <w:p w14:paraId="44A5BA61">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default" w:ascii="Times New Roman" w:hAnsi="Times New Roman" w:cs="Times New Roman" w:eastAsiaTheme="minorEastAsia"/>
                <w:color w:val="0000FF"/>
                <w:sz w:val="21"/>
                <w:szCs w:val="21"/>
              </w:rPr>
            </w:pPr>
            <w:r>
              <w:rPr>
                <w:rFonts w:hint="default" w:ascii="Times New Roman" w:hAnsi="Times New Roman" w:cs="Times New Roman" w:eastAsiaTheme="minorEastAsia"/>
                <w:b w:val="0"/>
                <w:color w:val="0000FF"/>
                <w:sz w:val="21"/>
                <w:szCs w:val="21"/>
              </w:rPr>
              <w:t>5</w:t>
            </w:r>
          </w:p>
        </w:tc>
        <w:tc>
          <w:tcPr>
            <w:tcW w:w="668" w:type="dxa"/>
            <w:vMerge w:val="continue"/>
            <w:vAlign w:val="center"/>
          </w:tcPr>
          <w:p w14:paraId="1843A952">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eastAsia" w:ascii="Times New Roman" w:hAnsi="Times New Roman" w:cs="Times New Roman" w:eastAsiaTheme="minorEastAsia"/>
                <w:color w:val="0000FF"/>
                <w:sz w:val="21"/>
                <w:szCs w:val="21"/>
                <w:lang w:val="en-US" w:eastAsia="zh-CN"/>
              </w:rPr>
            </w:pPr>
          </w:p>
        </w:tc>
        <w:tc>
          <w:tcPr>
            <w:tcW w:w="405" w:type="dxa"/>
            <w:vMerge w:val="continue"/>
            <w:vAlign w:val="center"/>
          </w:tcPr>
          <w:p w14:paraId="0FD831DC">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eastAsia" w:ascii="Times New Roman" w:hAnsi="Times New Roman" w:cs="Times New Roman" w:eastAsiaTheme="minorEastAsia"/>
                <w:color w:val="0000FF"/>
                <w:sz w:val="21"/>
                <w:szCs w:val="21"/>
                <w:lang w:val="en-US" w:eastAsia="zh-CN"/>
              </w:rPr>
            </w:pPr>
          </w:p>
        </w:tc>
        <w:tc>
          <w:tcPr>
            <w:tcW w:w="1125" w:type="dxa"/>
            <w:vAlign w:val="center"/>
          </w:tcPr>
          <w:p w14:paraId="135EB0B7">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default" w:ascii="Times New Roman" w:hAnsi="Times New Roman" w:cs="Times New Roman" w:eastAsiaTheme="minorEastAsia"/>
                <w:color w:val="0000FF"/>
                <w:sz w:val="21"/>
                <w:szCs w:val="21"/>
                <w:lang w:val="en-US" w:eastAsia="zh-CN"/>
              </w:rPr>
            </w:pPr>
            <w:r>
              <w:rPr>
                <w:rFonts w:hint="eastAsia" w:ascii="Times New Roman" w:hAnsi="Times New Roman" w:cs="Times New Roman" w:eastAsiaTheme="minorEastAsia"/>
                <w:color w:val="0000FF"/>
                <w:sz w:val="21"/>
                <w:szCs w:val="21"/>
                <w:lang w:val="en-US" w:eastAsia="zh-CN"/>
              </w:rPr>
              <w:t>2.04*10</w:t>
            </w:r>
            <w:r>
              <w:rPr>
                <w:rFonts w:hint="eastAsia" w:ascii="Times New Roman" w:hAnsi="Times New Roman" w:cs="Times New Roman" w:eastAsiaTheme="minorEastAsia"/>
                <w:color w:val="0000FF"/>
                <w:sz w:val="21"/>
                <w:szCs w:val="21"/>
                <w:vertAlign w:val="superscript"/>
                <w:lang w:val="en-US" w:eastAsia="zh-CN"/>
              </w:rPr>
              <w:t>-6</w:t>
            </w:r>
          </w:p>
        </w:tc>
        <w:tc>
          <w:tcPr>
            <w:tcW w:w="960" w:type="dxa"/>
            <w:vAlign w:val="center"/>
          </w:tcPr>
          <w:p w14:paraId="1F2B1842">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default" w:ascii="Times New Roman" w:hAnsi="Times New Roman" w:cs="Times New Roman" w:eastAsiaTheme="minorEastAsia"/>
                <w:color w:val="0000FF"/>
                <w:sz w:val="21"/>
                <w:szCs w:val="21"/>
                <w:lang w:val="en-US" w:eastAsia="zh-CN"/>
              </w:rPr>
            </w:pPr>
            <w:r>
              <w:rPr>
                <w:rFonts w:hint="eastAsia" w:ascii="Times New Roman" w:hAnsi="Times New Roman" w:cs="Times New Roman" w:eastAsiaTheme="minorEastAsia"/>
                <w:color w:val="0000FF"/>
                <w:sz w:val="21"/>
                <w:szCs w:val="21"/>
                <w:lang w:val="en-US" w:eastAsia="zh-CN"/>
              </w:rPr>
              <w:t>7.2*10</w:t>
            </w:r>
            <w:r>
              <w:rPr>
                <w:rFonts w:hint="eastAsia" w:ascii="Times New Roman" w:hAnsi="Times New Roman" w:cs="Times New Roman" w:eastAsiaTheme="minorEastAsia"/>
                <w:color w:val="0000FF"/>
                <w:sz w:val="21"/>
                <w:szCs w:val="21"/>
                <w:vertAlign w:val="superscript"/>
                <w:lang w:val="en-US" w:eastAsia="zh-CN"/>
              </w:rPr>
              <w:t>-7</w:t>
            </w:r>
          </w:p>
        </w:tc>
        <w:tc>
          <w:tcPr>
            <w:tcW w:w="820" w:type="dxa"/>
            <w:vAlign w:val="center"/>
          </w:tcPr>
          <w:p w14:paraId="1F51FBC4">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eastAsia" w:ascii="Times New Roman" w:hAnsi="Times New Roman" w:cs="Times New Roman" w:eastAsiaTheme="minorEastAsia"/>
                <w:color w:val="0000FF"/>
                <w:sz w:val="21"/>
                <w:szCs w:val="21"/>
                <w:lang w:eastAsia="zh-CN"/>
              </w:rPr>
            </w:pPr>
            <w:r>
              <w:rPr>
                <w:rFonts w:hint="eastAsia" w:ascii="Times New Roman" w:hAnsi="Times New Roman" w:cs="Times New Roman" w:eastAsiaTheme="minorEastAsia"/>
                <w:b w:val="0"/>
                <w:color w:val="0000FF"/>
                <w:sz w:val="21"/>
                <w:szCs w:val="21"/>
                <w:lang w:val="en-US" w:eastAsia="zh-CN"/>
              </w:rPr>
              <w:t>/</w:t>
            </w:r>
          </w:p>
        </w:tc>
      </w:tr>
      <w:tr w14:paraId="303F94F9">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23" w:hRule="atLeast"/>
          <w:jc w:val="center"/>
        </w:trPr>
        <w:tc>
          <w:tcPr>
            <w:tcW w:w="990" w:type="dxa"/>
            <w:vAlign w:val="center"/>
          </w:tcPr>
          <w:p w14:paraId="578380A8">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default" w:ascii="Times New Roman" w:hAnsi="Times New Roman" w:cs="Times New Roman" w:eastAsiaTheme="minorEastAsia"/>
                <w:color w:val="0000FF"/>
                <w:sz w:val="21"/>
                <w:szCs w:val="21"/>
              </w:rPr>
            </w:pPr>
            <w:r>
              <w:rPr>
                <w:rFonts w:hint="default" w:ascii="Times New Roman" w:hAnsi="Times New Roman" w:cs="Times New Roman" w:eastAsiaTheme="minorEastAsia"/>
                <w:b w:val="0"/>
                <w:color w:val="0000FF"/>
                <w:sz w:val="21"/>
                <w:szCs w:val="21"/>
              </w:rPr>
              <w:t>牛舍</w:t>
            </w:r>
          </w:p>
        </w:tc>
        <w:tc>
          <w:tcPr>
            <w:tcW w:w="915" w:type="dxa"/>
            <w:vAlign w:val="center"/>
          </w:tcPr>
          <w:p w14:paraId="192086B2">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default" w:ascii="Times New Roman" w:hAnsi="Times New Roman" w:cs="Times New Roman" w:eastAsiaTheme="minorEastAsia"/>
                <w:color w:val="0000FF"/>
                <w:sz w:val="21"/>
                <w:szCs w:val="21"/>
              </w:rPr>
            </w:pPr>
            <w:r>
              <w:rPr>
                <w:rFonts w:hint="default" w:ascii="Times New Roman" w:hAnsi="Times New Roman" w:cs="Times New Roman" w:eastAsiaTheme="minorEastAsia"/>
                <w:b w:val="0"/>
                <w:color w:val="0000FF"/>
                <w:sz w:val="21"/>
                <w:szCs w:val="21"/>
              </w:rPr>
              <w:t>122.273116</w:t>
            </w:r>
          </w:p>
        </w:tc>
        <w:tc>
          <w:tcPr>
            <w:tcW w:w="855" w:type="dxa"/>
            <w:vAlign w:val="center"/>
          </w:tcPr>
          <w:p w14:paraId="70E1D070">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default" w:ascii="Times New Roman" w:hAnsi="Times New Roman" w:cs="Times New Roman" w:eastAsiaTheme="minorEastAsia"/>
                <w:color w:val="0000FF"/>
                <w:sz w:val="21"/>
                <w:szCs w:val="21"/>
              </w:rPr>
            </w:pPr>
            <w:r>
              <w:rPr>
                <w:rFonts w:hint="default" w:ascii="Times New Roman" w:hAnsi="Times New Roman" w:cs="Times New Roman" w:eastAsiaTheme="minorEastAsia"/>
                <w:b w:val="0"/>
                <w:color w:val="0000FF"/>
                <w:sz w:val="21"/>
                <w:szCs w:val="21"/>
              </w:rPr>
              <w:t>46.187586</w:t>
            </w:r>
          </w:p>
        </w:tc>
        <w:tc>
          <w:tcPr>
            <w:tcW w:w="708" w:type="dxa"/>
            <w:vAlign w:val="center"/>
          </w:tcPr>
          <w:p w14:paraId="7A028ACC">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default" w:ascii="Times New Roman" w:hAnsi="Times New Roman" w:cs="Times New Roman" w:eastAsiaTheme="minorEastAsia"/>
                <w:color w:val="0000FF"/>
                <w:sz w:val="21"/>
                <w:szCs w:val="21"/>
              </w:rPr>
            </w:pPr>
            <w:r>
              <w:rPr>
                <w:rFonts w:hint="default" w:ascii="Times New Roman" w:hAnsi="Times New Roman" w:cs="Times New Roman" w:eastAsiaTheme="minorEastAsia"/>
                <w:b w:val="0"/>
                <w:color w:val="0000FF"/>
                <w:sz w:val="21"/>
                <w:szCs w:val="21"/>
              </w:rPr>
              <w:t>359</w:t>
            </w:r>
          </w:p>
        </w:tc>
        <w:tc>
          <w:tcPr>
            <w:tcW w:w="722" w:type="dxa"/>
            <w:vAlign w:val="center"/>
          </w:tcPr>
          <w:p w14:paraId="06613ACB">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default" w:ascii="Times New Roman" w:hAnsi="Times New Roman" w:cs="Times New Roman" w:eastAsiaTheme="minorEastAsia"/>
                <w:color w:val="0000FF"/>
                <w:sz w:val="21"/>
                <w:szCs w:val="21"/>
              </w:rPr>
            </w:pPr>
            <w:r>
              <w:rPr>
                <w:rFonts w:hint="default" w:ascii="Times New Roman" w:hAnsi="Times New Roman" w:cs="Times New Roman" w:eastAsiaTheme="minorEastAsia"/>
                <w:b w:val="0"/>
                <w:color w:val="0000FF"/>
                <w:sz w:val="21"/>
                <w:szCs w:val="21"/>
              </w:rPr>
              <w:t>324</w:t>
            </w:r>
          </w:p>
        </w:tc>
        <w:tc>
          <w:tcPr>
            <w:tcW w:w="827" w:type="dxa"/>
            <w:vAlign w:val="center"/>
          </w:tcPr>
          <w:p w14:paraId="262424DB">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default" w:ascii="Times New Roman" w:hAnsi="Times New Roman" w:cs="Times New Roman" w:eastAsiaTheme="minorEastAsia"/>
                <w:color w:val="0000FF"/>
                <w:sz w:val="21"/>
                <w:szCs w:val="21"/>
              </w:rPr>
            </w:pPr>
            <w:r>
              <w:rPr>
                <w:rFonts w:hint="default" w:ascii="Times New Roman" w:hAnsi="Times New Roman" w:cs="Times New Roman" w:eastAsiaTheme="minorEastAsia"/>
                <w:b w:val="0"/>
                <w:color w:val="0000FF"/>
                <w:sz w:val="21"/>
                <w:szCs w:val="21"/>
              </w:rPr>
              <w:t>80</w:t>
            </w:r>
          </w:p>
        </w:tc>
        <w:tc>
          <w:tcPr>
            <w:tcW w:w="750" w:type="dxa"/>
            <w:vAlign w:val="center"/>
          </w:tcPr>
          <w:p w14:paraId="666B8C50">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default" w:ascii="Times New Roman" w:hAnsi="Times New Roman" w:cs="Times New Roman" w:eastAsiaTheme="minorEastAsia"/>
                <w:color w:val="0000FF"/>
                <w:sz w:val="21"/>
                <w:szCs w:val="21"/>
              </w:rPr>
            </w:pPr>
            <w:r>
              <w:rPr>
                <w:rFonts w:hint="default" w:ascii="Times New Roman" w:hAnsi="Times New Roman" w:cs="Times New Roman" w:eastAsiaTheme="minorEastAsia"/>
                <w:b w:val="0"/>
                <w:color w:val="0000FF"/>
                <w:sz w:val="21"/>
                <w:szCs w:val="21"/>
              </w:rPr>
              <w:t>5</w:t>
            </w:r>
          </w:p>
        </w:tc>
        <w:tc>
          <w:tcPr>
            <w:tcW w:w="668" w:type="dxa"/>
            <w:vMerge w:val="continue"/>
            <w:vAlign w:val="center"/>
          </w:tcPr>
          <w:p w14:paraId="510E3475">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eastAsia" w:ascii="Times New Roman" w:hAnsi="Times New Roman" w:cs="Times New Roman" w:eastAsiaTheme="minorEastAsia"/>
                <w:color w:val="0000FF"/>
                <w:sz w:val="21"/>
                <w:szCs w:val="21"/>
                <w:lang w:val="en-US" w:eastAsia="zh-CN"/>
              </w:rPr>
            </w:pPr>
          </w:p>
        </w:tc>
        <w:tc>
          <w:tcPr>
            <w:tcW w:w="405" w:type="dxa"/>
            <w:vMerge w:val="continue"/>
            <w:vAlign w:val="center"/>
          </w:tcPr>
          <w:p w14:paraId="183D45C5">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eastAsia" w:ascii="Times New Roman" w:hAnsi="Times New Roman" w:cs="Times New Roman" w:eastAsiaTheme="minorEastAsia"/>
                <w:color w:val="0000FF"/>
                <w:sz w:val="21"/>
                <w:szCs w:val="21"/>
                <w:lang w:val="en-US" w:eastAsia="zh-CN"/>
              </w:rPr>
            </w:pPr>
          </w:p>
        </w:tc>
        <w:tc>
          <w:tcPr>
            <w:tcW w:w="1125" w:type="dxa"/>
            <w:vAlign w:val="center"/>
          </w:tcPr>
          <w:p w14:paraId="266B5E22">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default" w:ascii="Times New Roman" w:hAnsi="Times New Roman" w:cs="Times New Roman" w:eastAsiaTheme="minorEastAsia"/>
                <w:color w:val="0000FF"/>
                <w:sz w:val="21"/>
                <w:szCs w:val="21"/>
                <w:lang w:val="en-US" w:eastAsia="zh-CN"/>
              </w:rPr>
            </w:pPr>
            <w:r>
              <w:rPr>
                <w:rFonts w:hint="eastAsia" w:ascii="Times New Roman" w:hAnsi="Times New Roman" w:cs="Times New Roman" w:eastAsiaTheme="minorEastAsia"/>
                <w:color w:val="0000FF"/>
                <w:sz w:val="21"/>
                <w:szCs w:val="21"/>
                <w:lang w:val="en-US" w:eastAsia="zh-CN"/>
              </w:rPr>
              <w:t>0.000006</w:t>
            </w:r>
          </w:p>
        </w:tc>
        <w:tc>
          <w:tcPr>
            <w:tcW w:w="960" w:type="dxa"/>
            <w:vAlign w:val="center"/>
          </w:tcPr>
          <w:p w14:paraId="455D2BD4">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default" w:ascii="Times New Roman" w:hAnsi="Times New Roman" w:cs="Times New Roman" w:eastAsiaTheme="minorEastAsia"/>
                <w:color w:val="0000FF"/>
                <w:sz w:val="21"/>
                <w:szCs w:val="21"/>
                <w:lang w:val="en-US" w:eastAsia="zh-CN"/>
              </w:rPr>
            </w:pPr>
            <w:r>
              <w:rPr>
                <w:rFonts w:hint="eastAsia" w:ascii="Times New Roman" w:hAnsi="Times New Roman" w:cs="Times New Roman" w:eastAsiaTheme="minorEastAsia"/>
                <w:color w:val="0000FF"/>
                <w:sz w:val="21"/>
                <w:szCs w:val="21"/>
                <w:lang w:val="en-US" w:eastAsia="zh-CN"/>
              </w:rPr>
              <w:t>0.0000008</w:t>
            </w:r>
          </w:p>
        </w:tc>
        <w:tc>
          <w:tcPr>
            <w:tcW w:w="820" w:type="dxa"/>
            <w:vAlign w:val="center"/>
          </w:tcPr>
          <w:p w14:paraId="4E847EC4">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eastAsia" w:ascii="Times New Roman" w:hAnsi="Times New Roman" w:cs="Times New Roman" w:eastAsiaTheme="minorEastAsia"/>
                <w:color w:val="0000FF"/>
                <w:sz w:val="21"/>
                <w:szCs w:val="21"/>
                <w:lang w:eastAsia="zh-CN"/>
              </w:rPr>
            </w:pPr>
            <w:r>
              <w:rPr>
                <w:rFonts w:hint="eastAsia" w:ascii="Times New Roman" w:hAnsi="Times New Roman" w:cs="Times New Roman" w:eastAsiaTheme="minorEastAsia"/>
                <w:b w:val="0"/>
                <w:color w:val="0000FF"/>
                <w:sz w:val="21"/>
                <w:szCs w:val="21"/>
                <w:lang w:val="en-US" w:eastAsia="zh-CN"/>
              </w:rPr>
              <w:t>/</w:t>
            </w:r>
          </w:p>
        </w:tc>
      </w:tr>
      <w:tr w14:paraId="2FA09734">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23" w:hRule="atLeast"/>
          <w:jc w:val="center"/>
        </w:trPr>
        <w:tc>
          <w:tcPr>
            <w:tcW w:w="990" w:type="dxa"/>
            <w:vAlign w:val="center"/>
          </w:tcPr>
          <w:p w14:paraId="06A86BBE">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default" w:ascii="Times New Roman" w:hAnsi="Times New Roman" w:cs="Times New Roman" w:eastAsiaTheme="minorEastAsia"/>
                <w:color w:val="0000FF"/>
                <w:sz w:val="21"/>
                <w:szCs w:val="21"/>
              </w:rPr>
            </w:pPr>
            <w:r>
              <w:rPr>
                <w:rFonts w:hint="default" w:ascii="Times New Roman" w:hAnsi="Times New Roman" w:cs="Times New Roman" w:eastAsiaTheme="minorEastAsia"/>
                <w:b w:val="0"/>
                <w:color w:val="0000FF"/>
                <w:sz w:val="21"/>
                <w:szCs w:val="21"/>
              </w:rPr>
              <w:t>饲料库</w:t>
            </w:r>
          </w:p>
        </w:tc>
        <w:tc>
          <w:tcPr>
            <w:tcW w:w="915" w:type="dxa"/>
            <w:vAlign w:val="center"/>
          </w:tcPr>
          <w:p w14:paraId="21EF4DE8">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default" w:ascii="Times New Roman" w:hAnsi="Times New Roman" w:cs="Times New Roman" w:eastAsiaTheme="minorEastAsia"/>
                <w:color w:val="0000FF"/>
                <w:sz w:val="21"/>
                <w:szCs w:val="21"/>
              </w:rPr>
            </w:pPr>
            <w:r>
              <w:rPr>
                <w:rFonts w:hint="default" w:ascii="Times New Roman" w:hAnsi="Times New Roman" w:cs="Times New Roman" w:eastAsiaTheme="minorEastAsia"/>
                <w:b w:val="0"/>
                <w:color w:val="0000FF"/>
                <w:sz w:val="21"/>
                <w:szCs w:val="21"/>
              </w:rPr>
              <w:t>122.274103</w:t>
            </w:r>
          </w:p>
        </w:tc>
        <w:tc>
          <w:tcPr>
            <w:tcW w:w="855" w:type="dxa"/>
            <w:vAlign w:val="center"/>
          </w:tcPr>
          <w:p w14:paraId="226F52B8">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default" w:ascii="Times New Roman" w:hAnsi="Times New Roman" w:cs="Times New Roman" w:eastAsiaTheme="minorEastAsia"/>
                <w:color w:val="0000FF"/>
                <w:sz w:val="21"/>
                <w:szCs w:val="21"/>
              </w:rPr>
            </w:pPr>
            <w:r>
              <w:rPr>
                <w:rFonts w:hint="default" w:ascii="Times New Roman" w:hAnsi="Times New Roman" w:cs="Times New Roman" w:eastAsiaTheme="minorEastAsia"/>
                <w:b w:val="0"/>
                <w:color w:val="0000FF"/>
                <w:sz w:val="21"/>
                <w:szCs w:val="21"/>
              </w:rPr>
              <w:t>46.186041</w:t>
            </w:r>
          </w:p>
        </w:tc>
        <w:tc>
          <w:tcPr>
            <w:tcW w:w="708" w:type="dxa"/>
            <w:vAlign w:val="center"/>
          </w:tcPr>
          <w:p w14:paraId="6D3E89DC">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default" w:ascii="Times New Roman" w:hAnsi="Times New Roman" w:cs="Times New Roman" w:eastAsiaTheme="minorEastAsia"/>
                <w:color w:val="0000FF"/>
                <w:sz w:val="21"/>
                <w:szCs w:val="21"/>
              </w:rPr>
            </w:pPr>
            <w:r>
              <w:rPr>
                <w:rFonts w:hint="default" w:ascii="Times New Roman" w:hAnsi="Times New Roman" w:cs="Times New Roman" w:eastAsiaTheme="minorEastAsia"/>
                <w:b w:val="0"/>
                <w:color w:val="0000FF"/>
                <w:sz w:val="21"/>
                <w:szCs w:val="21"/>
              </w:rPr>
              <w:t>357</w:t>
            </w:r>
          </w:p>
        </w:tc>
        <w:tc>
          <w:tcPr>
            <w:tcW w:w="722" w:type="dxa"/>
            <w:vAlign w:val="center"/>
          </w:tcPr>
          <w:p w14:paraId="42205C79">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default" w:ascii="Times New Roman" w:hAnsi="Times New Roman" w:cs="Times New Roman" w:eastAsiaTheme="minorEastAsia"/>
                <w:color w:val="0000FF"/>
                <w:sz w:val="21"/>
                <w:szCs w:val="21"/>
              </w:rPr>
            </w:pPr>
            <w:r>
              <w:rPr>
                <w:rFonts w:hint="default" w:ascii="Times New Roman" w:hAnsi="Times New Roman" w:cs="Times New Roman" w:eastAsiaTheme="minorEastAsia"/>
                <w:b w:val="0"/>
                <w:color w:val="0000FF"/>
                <w:sz w:val="21"/>
                <w:szCs w:val="21"/>
              </w:rPr>
              <w:t>50</w:t>
            </w:r>
          </w:p>
        </w:tc>
        <w:tc>
          <w:tcPr>
            <w:tcW w:w="827" w:type="dxa"/>
            <w:vAlign w:val="center"/>
          </w:tcPr>
          <w:p w14:paraId="7A14CBE3">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default" w:ascii="Times New Roman" w:hAnsi="Times New Roman" w:cs="Times New Roman" w:eastAsiaTheme="minorEastAsia"/>
                <w:color w:val="0000FF"/>
                <w:sz w:val="21"/>
                <w:szCs w:val="21"/>
              </w:rPr>
            </w:pPr>
            <w:r>
              <w:rPr>
                <w:rFonts w:hint="default" w:ascii="Times New Roman" w:hAnsi="Times New Roman" w:cs="Times New Roman" w:eastAsiaTheme="minorEastAsia"/>
                <w:b w:val="0"/>
                <w:color w:val="0000FF"/>
                <w:sz w:val="21"/>
                <w:szCs w:val="21"/>
              </w:rPr>
              <w:t>15</w:t>
            </w:r>
          </w:p>
        </w:tc>
        <w:tc>
          <w:tcPr>
            <w:tcW w:w="750" w:type="dxa"/>
            <w:vAlign w:val="center"/>
          </w:tcPr>
          <w:p w14:paraId="2E1A200A">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default" w:ascii="Times New Roman" w:hAnsi="Times New Roman" w:cs="Times New Roman" w:eastAsiaTheme="minorEastAsia"/>
                <w:color w:val="0000FF"/>
                <w:sz w:val="21"/>
                <w:szCs w:val="21"/>
              </w:rPr>
            </w:pPr>
            <w:r>
              <w:rPr>
                <w:rFonts w:hint="default" w:ascii="Times New Roman" w:hAnsi="Times New Roman" w:cs="Times New Roman" w:eastAsiaTheme="minorEastAsia"/>
                <w:b w:val="0"/>
                <w:color w:val="0000FF"/>
                <w:sz w:val="21"/>
                <w:szCs w:val="21"/>
              </w:rPr>
              <w:t>5</w:t>
            </w:r>
          </w:p>
        </w:tc>
        <w:tc>
          <w:tcPr>
            <w:tcW w:w="668" w:type="dxa"/>
            <w:vMerge w:val="continue"/>
            <w:vAlign w:val="center"/>
          </w:tcPr>
          <w:p w14:paraId="74E1DBC0">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eastAsia" w:ascii="Times New Roman" w:hAnsi="Times New Roman" w:cs="Times New Roman" w:eastAsiaTheme="minorEastAsia"/>
                <w:b w:val="0"/>
                <w:color w:val="0000FF"/>
                <w:sz w:val="21"/>
                <w:szCs w:val="21"/>
                <w:lang w:val="en-US" w:eastAsia="zh-CN"/>
              </w:rPr>
            </w:pPr>
          </w:p>
        </w:tc>
        <w:tc>
          <w:tcPr>
            <w:tcW w:w="405" w:type="dxa"/>
            <w:vMerge w:val="continue"/>
            <w:vAlign w:val="center"/>
          </w:tcPr>
          <w:p w14:paraId="21F0AA37">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eastAsia" w:ascii="Times New Roman" w:hAnsi="Times New Roman" w:cs="Times New Roman" w:eastAsiaTheme="minorEastAsia"/>
                <w:b w:val="0"/>
                <w:color w:val="0000FF"/>
                <w:sz w:val="21"/>
                <w:szCs w:val="21"/>
                <w:lang w:val="en-US" w:eastAsia="zh-CN"/>
              </w:rPr>
            </w:pPr>
          </w:p>
        </w:tc>
        <w:tc>
          <w:tcPr>
            <w:tcW w:w="1125" w:type="dxa"/>
            <w:vAlign w:val="center"/>
          </w:tcPr>
          <w:p w14:paraId="6DBFC715">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eastAsia" w:ascii="Times New Roman" w:hAnsi="Times New Roman" w:cs="Times New Roman" w:eastAsiaTheme="minorEastAsia"/>
                <w:color w:val="0000FF"/>
                <w:sz w:val="21"/>
                <w:szCs w:val="21"/>
                <w:lang w:eastAsia="zh-CN"/>
              </w:rPr>
            </w:pPr>
            <w:r>
              <w:rPr>
                <w:rFonts w:hint="eastAsia" w:ascii="Times New Roman" w:hAnsi="Times New Roman" w:cs="Times New Roman" w:eastAsiaTheme="minorEastAsia"/>
                <w:b w:val="0"/>
                <w:color w:val="0000FF"/>
                <w:sz w:val="21"/>
                <w:szCs w:val="21"/>
                <w:lang w:val="en-US" w:eastAsia="zh-CN"/>
              </w:rPr>
              <w:t>/</w:t>
            </w:r>
          </w:p>
        </w:tc>
        <w:tc>
          <w:tcPr>
            <w:tcW w:w="960" w:type="dxa"/>
            <w:vAlign w:val="center"/>
          </w:tcPr>
          <w:p w14:paraId="77924535">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eastAsia" w:ascii="Times New Roman" w:hAnsi="Times New Roman" w:cs="Times New Roman" w:eastAsiaTheme="minorEastAsia"/>
                <w:color w:val="0000FF"/>
                <w:sz w:val="21"/>
                <w:szCs w:val="21"/>
                <w:lang w:eastAsia="zh-CN"/>
              </w:rPr>
            </w:pPr>
            <w:r>
              <w:rPr>
                <w:rFonts w:hint="eastAsia" w:ascii="Times New Roman" w:hAnsi="Times New Roman" w:cs="Times New Roman" w:eastAsiaTheme="minorEastAsia"/>
                <w:b w:val="0"/>
                <w:color w:val="0000FF"/>
                <w:sz w:val="21"/>
                <w:szCs w:val="21"/>
                <w:lang w:val="en-US" w:eastAsia="zh-CN"/>
              </w:rPr>
              <w:t>/</w:t>
            </w:r>
          </w:p>
        </w:tc>
        <w:tc>
          <w:tcPr>
            <w:tcW w:w="820" w:type="dxa"/>
            <w:vAlign w:val="center"/>
          </w:tcPr>
          <w:p w14:paraId="58F1E52B">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default" w:ascii="Times New Roman" w:hAnsi="Times New Roman" w:cs="Times New Roman" w:eastAsiaTheme="minorEastAsia"/>
                <w:color w:val="0000FF"/>
                <w:sz w:val="21"/>
                <w:szCs w:val="21"/>
              </w:rPr>
            </w:pPr>
            <w:r>
              <w:rPr>
                <w:rFonts w:hint="default" w:ascii="Times New Roman" w:hAnsi="Times New Roman" w:cs="Times New Roman" w:eastAsiaTheme="minorEastAsia"/>
                <w:b w:val="0"/>
                <w:color w:val="0000FF"/>
                <w:sz w:val="21"/>
                <w:szCs w:val="21"/>
              </w:rPr>
              <w:t>0.0016</w:t>
            </w:r>
          </w:p>
        </w:tc>
      </w:tr>
    </w:tbl>
    <w:p w14:paraId="19B051FE">
      <w:pPr>
        <w:pStyle w:val="11"/>
        <w:ind w:firstLine="480"/>
        <w:rPr>
          <w:rFonts w:hint="default" w:ascii="Times New Roman" w:hAnsi="Times New Roman" w:eastAsia="宋体" w:cs="Times New Roman"/>
          <w:color w:val="0000FF"/>
        </w:rPr>
      </w:pPr>
      <w:r>
        <w:rPr>
          <w:rFonts w:hint="default" w:ascii="Times New Roman" w:hAnsi="Times New Roman" w:eastAsia="宋体" w:cs="Times New Roman"/>
          <w:color w:val="0000FF"/>
        </w:rPr>
        <w:t>采用估算模式AERSCREEN计算结果见表2</w:t>
      </w:r>
      <w:r>
        <w:rPr>
          <w:rFonts w:hint="default" w:ascii="Times New Roman" w:hAnsi="Times New Roman" w:eastAsia="宋体" w:cs="Times New Roman"/>
          <w:color w:val="0000FF"/>
          <w:lang w:eastAsia="zh-CN"/>
        </w:rPr>
        <w:t>.6</w:t>
      </w:r>
      <w:r>
        <w:rPr>
          <w:rFonts w:hint="default" w:ascii="Times New Roman" w:hAnsi="Times New Roman" w:eastAsia="宋体" w:cs="Times New Roman"/>
          <w:color w:val="0000FF"/>
        </w:rPr>
        <w:t>-</w:t>
      </w:r>
      <w:r>
        <w:rPr>
          <w:rFonts w:hint="default" w:ascii="Times New Roman" w:hAnsi="Times New Roman" w:eastAsia="宋体" w:cs="Times New Roman"/>
          <w:color w:val="0000FF"/>
          <w:lang w:eastAsia="zh-CN"/>
        </w:rPr>
        <w:t>5</w:t>
      </w:r>
      <w:r>
        <w:rPr>
          <w:rFonts w:hint="default" w:ascii="Times New Roman" w:hAnsi="Times New Roman" w:eastAsia="宋体" w:cs="Times New Roman"/>
          <w:color w:val="0000FF"/>
        </w:rPr>
        <w:t>。</w:t>
      </w:r>
    </w:p>
    <w:p w14:paraId="681F380E">
      <w:pPr>
        <w:tabs>
          <w:tab w:val="left" w:pos="2771"/>
          <w:tab w:val="left" w:pos="6612"/>
        </w:tabs>
        <w:adjustRightInd w:val="0"/>
        <w:snapToGrid w:val="0"/>
        <w:ind w:firstLine="482"/>
        <w:jc w:val="center"/>
        <w:rPr>
          <w:rFonts w:hint="default" w:ascii="Times New Roman" w:hAnsi="Times New Roman" w:eastAsia="宋体" w:cs="Times New Roman"/>
          <w:b/>
          <w:color w:val="0000FF"/>
        </w:rPr>
      </w:pPr>
      <w:r>
        <w:rPr>
          <w:rFonts w:hint="default" w:ascii="Times New Roman" w:hAnsi="Times New Roman" w:eastAsia="宋体" w:cs="Times New Roman"/>
          <w:b/>
          <w:color w:val="0000FF"/>
        </w:rPr>
        <w:t>表2.6-5废气主要排放源估算模式计算结果一览表</w:t>
      </w:r>
    </w:p>
    <w:tbl>
      <w:tblPr>
        <w:tblStyle w:val="29"/>
        <w:tblW w:w="8201" w:type="dxa"/>
        <w:jc w:val="center"/>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Layout w:type="fixed"/>
        <w:tblCellMar>
          <w:top w:w="0" w:type="dxa"/>
          <w:left w:w="108" w:type="dxa"/>
          <w:bottom w:w="0" w:type="dxa"/>
          <w:right w:w="108" w:type="dxa"/>
        </w:tblCellMar>
      </w:tblPr>
      <w:tblGrid>
        <w:gridCol w:w="1565"/>
        <w:gridCol w:w="1137"/>
        <w:gridCol w:w="1287"/>
        <w:gridCol w:w="1624"/>
        <w:gridCol w:w="1197"/>
        <w:gridCol w:w="1391"/>
      </w:tblGrid>
      <w:tr w14:paraId="5AC9E056">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0" w:hRule="atLeast"/>
          <w:jc w:val="center"/>
        </w:trPr>
        <w:tc>
          <w:tcPr>
            <w:tcW w:w="1565" w:type="dxa"/>
            <w:vAlign w:val="center"/>
          </w:tcPr>
          <w:p w14:paraId="11CFFEF0">
            <w:pPr>
              <w:keepNext w:val="0"/>
              <w:keepLines w:val="0"/>
              <w:pageBreakBefore w:val="0"/>
              <w:widowControl w:val="0"/>
              <w:tabs>
                <w:tab w:val="left" w:pos="2771"/>
                <w:tab w:val="left" w:pos="6612"/>
              </w:tabs>
              <w:kinsoku/>
              <w:wordWrap/>
              <w:overflowPunct/>
              <w:topLinePunct w:val="0"/>
              <w:autoSpaceDE/>
              <w:autoSpaceDN/>
              <w:bidi w:val="0"/>
              <w:adjustRightInd w:val="0"/>
              <w:snapToGrid w:val="0"/>
              <w:spacing w:line="0" w:lineRule="atLeast"/>
              <w:ind w:firstLine="0" w:firstLineChars="0"/>
              <w:jc w:val="center"/>
              <w:textAlignment w:val="auto"/>
              <w:rPr>
                <w:rFonts w:hint="default" w:ascii="Times New Roman" w:hAnsi="Times New Roman" w:eastAsia="宋体" w:cs="Times New Roman"/>
                <w:b/>
                <w:bCs w:val="0"/>
                <w:color w:val="0000FF"/>
                <w:sz w:val="21"/>
                <w:szCs w:val="21"/>
              </w:rPr>
            </w:pPr>
            <w:r>
              <w:rPr>
                <w:rFonts w:hint="default" w:ascii="Times New Roman" w:hAnsi="Times New Roman" w:eastAsia="宋体" w:cs="Times New Roman"/>
                <w:b/>
                <w:bCs w:val="0"/>
                <w:color w:val="0000FF"/>
                <w:sz w:val="21"/>
                <w:szCs w:val="21"/>
              </w:rPr>
              <w:t>污染源名称</w:t>
            </w:r>
          </w:p>
        </w:tc>
        <w:tc>
          <w:tcPr>
            <w:tcW w:w="1137" w:type="dxa"/>
            <w:vAlign w:val="center"/>
          </w:tcPr>
          <w:p w14:paraId="00AB9941">
            <w:pPr>
              <w:keepNext w:val="0"/>
              <w:keepLines w:val="0"/>
              <w:pageBreakBefore w:val="0"/>
              <w:widowControl w:val="0"/>
              <w:tabs>
                <w:tab w:val="left" w:pos="2771"/>
                <w:tab w:val="left" w:pos="6612"/>
              </w:tabs>
              <w:kinsoku/>
              <w:wordWrap/>
              <w:overflowPunct/>
              <w:topLinePunct w:val="0"/>
              <w:autoSpaceDE/>
              <w:autoSpaceDN/>
              <w:bidi w:val="0"/>
              <w:adjustRightInd w:val="0"/>
              <w:snapToGrid w:val="0"/>
              <w:spacing w:line="0" w:lineRule="atLeast"/>
              <w:ind w:firstLine="0" w:firstLineChars="0"/>
              <w:jc w:val="center"/>
              <w:textAlignment w:val="auto"/>
              <w:rPr>
                <w:rFonts w:hint="default" w:ascii="Times New Roman" w:hAnsi="Times New Roman" w:eastAsia="宋体" w:cs="Times New Roman"/>
                <w:b/>
                <w:bCs w:val="0"/>
                <w:color w:val="0000FF"/>
                <w:sz w:val="21"/>
                <w:szCs w:val="21"/>
              </w:rPr>
            </w:pPr>
            <w:r>
              <w:rPr>
                <w:rFonts w:hint="default" w:ascii="Times New Roman" w:hAnsi="Times New Roman" w:eastAsia="宋体" w:cs="Times New Roman"/>
                <w:b/>
                <w:bCs w:val="0"/>
                <w:color w:val="0000FF"/>
                <w:sz w:val="21"/>
                <w:szCs w:val="21"/>
              </w:rPr>
              <w:t>评价因子</w:t>
            </w:r>
          </w:p>
        </w:tc>
        <w:tc>
          <w:tcPr>
            <w:tcW w:w="1287" w:type="dxa"/>
            <w:vAlign w:val="center"/>
          </w:tcPr>
          <w:p w14:paraId="387C5BC0">
            <w:pPr>
              <w:keepNext w:val="0"/>
              <w:keepLines w:val="0"/>
              <w:pageBreakBefore w:val="0"/>
              <w:widowControl w:val="0"/>
              <w:tabs>
                <w:tab w:val="left" w:pos="2771"/>
                <w:tab w:val="left" w:pos="6612"/>
              </w:tabs>
              <w:kinsoku/>
              <w:wordWrap/>
              <w:overflowPunct/>
              <w:topLinePunct w:val="0"/>
              <w:autoSpaceDE/>
              <w:autoSpaceDN/>
              <w:bidi w:val="0"/>
              <w:adjustRightInd w:val="0"/>
              <w:snapToGrid w:val="0"/>
              <w:spacing w:line="0" w:lineRule="atLeast"/>
              <w:ind w:firstLine="0" w:firstLineChars="0"/>
              <w:jc w:val="center"/>
              <w:textAlignment w:val="auto"/>
              <w:rPr>
                <w:rFonts w:hint="eastAsia" w:ascii="Times New Roman" w:hAnsi="Times New Roman" w:eastAsia="宋体" w:cs="Times New Roman"/>
                <w:b/>
                <w:bCs w:val="0"/>
                <w:color w:val="0000FF"/>
                <w:sz w:val="21"/>
                <w:szCs w:val="21"/>
                <w:lang w:eastAsia="zh-CN"/>
              </w:rPr>
            </w:pPr>
            <w:r>
              <w:rPr>
                <w:rFonts w:hint="default" w:ascii="Times New Roman" w:hAnsi="Times New Roman" w:eastAsia="宋体" w:cs="Times New Roman"/>
                <w:b/>
                <w:bCs w:val="0"/>
                <w:color w:val="0000FF"/>
                <w:sz w:val="21"/>
                <w:szCs w:val="21"/>
              </w:rPr>
              <w:t>评价标准</w:t>
            </w:r>
            <w:r>
              <w:rPr>
                <w:rFonts w:hint="eastAsia" w:ascii="Times New Roman" w:hAnsi="Times New Roman" w:eastAsia="宋体" w:cs="Times New Roman"/>
                <w:b/>
                <w:bCs w:val="0"/>
                <w:color w:val="0000FF"/>
                <w:sz w:val="21"/>
                <w:szCs w:val="21"/>
                <w:lang w:eastAsia="zh-CN"/>
              </w:rPr>
              <w:t>（</w:t>
            </w:r>
            <w:r>
              <w:rPr>
                <w:rFonts w:hint="default" w:ascii="Times New Roman" w:hAnsi="Times New Roman" w:eastAsia="宋体" w:cs="Times New Roman"/>
                <w:b/>
                <w:bCs w:val="0"/>
                <w:color w:val="0000FF"/>
                <w:sz w:val="21"/>
                <w:szCs w:val="21"/>
              </w:rPr>
              <w:t>μg/m³</w:t>
            </w:r>
            <w:r>
              <w:rPr>
                <w:rFonts w:hint="eastAsia" w:ascii="Times New Roman" w:hAnsi="Times New Roman" w:eastAsia="宋体" w:cs="Times New Roman"/>
                <w:b/>
                <w:bCs w:val="0"/>
                <w:color w:val="0000FF"/>
                <w:sz w:val="21"/>
                <w:szCs w:val="21"/>
                <w:lang w:eastAsia="zh-CN"/>
              </w:rPr>
              <w:t>）</w:t>
            </w:r>
          </w:p>
        </w:tc>
        <w:tc>
          <w:tcPr>
            <w:tcW w:w="1624" w:type="dxa"/>
            <w:vAlign w:val="center"/>
          </w:tcPr>
          <w:p w14:paraId="1D284BA7">
            <w:pPr>
              <w:keepNext w:val="0"/>
              <w:keepLines w:val="0"/>
              <w:pageBreakBefore w:val="0"/>
              <w:widowControl w:val="0"/>
              <w:tabs>
                <w:tab w:val="left" w:pos="2771"/>
                <w:tab w:val="left" w:pos="6612"/>
              </w:tabs>
              <w:kinsoku/>
              <w:wordWrap/>
              <w:overflowPunct/>
              <w:topLinePunct w:val="0"/>
              <w:autoSpaceDE/>
              <w:autoSpaceDN/>
              <w:bidi w:val="0"/>
              <w:adjustRightInd w:val="0"/>
              <w:snapToGrid w:val="0"/>
              <w:spacing w:line="0" w:lineRule="atLeast"/>
              <w:ind w:firstLine="0" w:firstLineChars="0"/>
              <w:jc w:val="center"/>
              <w:textAlignment w:val="auto"/>
              <w:rPr>
                <w:rFonts w:hint="default" w:ascii="Times New Roman" w:hAnsi="Times New Roman" w:eastAsia="宋体" w:cs="Times New Roman"/>
                <w:b/>
                <w:bCs w:val="0"/>
                <w:color w:val="0000FF"/>
                <w:sz w:val="21"/>
                <w:szCs w:val="21"/>
              </w:rPr>
            </w:pPr>
            <w:r>
              <w:rPr>
                <w:rFonts w:hint="default" w:ascii="Times New Roman" w:hAnsi="Times New Roman" w:eastAsia="宋体" w:cs="Times New Roman"/>
                <w:b/>
                <w:bCs w:val="0"/>
                <w:color w:val="0000FF"/>
                <w:sz w:val="21"/>
                <w:szCs w:val="21"/>
              </w:rPr>
              <w:t>最大落地浓度</w:t>
            </w:r>
            <w:r>
              <w:rPr>
                <w:rFonts w:hint="default" w:ascii="Times New Roman" w:hAnsi="Times New Roman" w:eastAsia="宋体" w:cs="Times New Roman"/>
                <w:b/>
                <w:bCs w:val="0"/>
                <w:color w:val="0000FF"/>
                <w:sz w:val="21"/>
                <w:szCs w:val="21"/>
                <w:lang w:eastAsia="zh-CN"/>
              </w:rPr>
              <w:t>（</w:t>
            </w:r>
            <w:r>
              <w:rPr>
                <w:rFonts w:hint="default" w:ascii="Times New Roman" w:hAnsi="Times New Roman" w:eastAsia="宋体" w:cs="Times New Roman"/>
                <w:b/>
                <w:bCs w:val="0"/>
                <w:color w:val="0000FF"/>
                <w:sz w:val="21"/>
                <w:szCs w:val="21"/>
              </w:rPr>
              <w:t>μg/m</w:t>
            </w:r>
            <w:r>
              <w:rPr>
                <w:rFonts w:hint="default" w:ascii="Times New Roman" w:hAnsi="Times New Roman" w:eastAsia="宋体" w:cs="Times New Roman"/>
                <w:b/>
                <w:bCs w:val="0"/>
                <w:color w:val="0000FF"/>
                <w:sz w:val="21"/>
                <w:szCs w:val="21"/>
                <w:vertAlign w:val="superscript"/>
              </w:rPr>
              <w:t>3</w:t>
            </w:r>
            <w:r>
              <w:rPr>
                <w:rFonts w:hint="default" w:ascii="Times New Roman" w:hAnsi="Times New Roman" w:eastAsia="宋体" w:cs="Times New Roman"/>
                <w:b/>
                <w:bCs w:val="0"/>
                <w:color w:val="0000FF"/>
                <w:sz w:val="21"/>
                <w:szCs w:val="21"/>
                <w:lang w:eastAsia="zh-CN"/>
              </w:rPr>
              <w:t>）</w:t>
            </w:r>
          </w:p>
        </w:tc>
        <w:tc>
          <w:tcPr>
            <w:tcW w:w="1197" w:type="dxa"/>
            <w:vAlign w:val="center"/>
          </w:tcPr>
          <w:p w14:paraId="3405F87C">
            <w:pPr>
              <w:keepNext w:val="0"/>
              <w:keepLines w:val="0"/>
              <w:pageBreakBefore w:val="0"/>
              <w:widowControl w:val="0"/>
              <w:tabs>
                <w:tab w:val="left" w:pos="2771"/>
                <w:tab w:val="left" w:pos="6612"/>
              </w:tabs>
              <w:kinsoku/>
              <w:wordWrap/>
              <w:overflowPunct/>
              <w:topLinePunct w:val="0"/>
              <w:autoSpaceDE/>
              <w:autoSpaceDN/>
              <w:bidi w:val="0"/>
              <w:adjustRightInd w:val="0"/>
              <w:snapToGrid w:val="0"/>
              <w:spacing w:line="0" w:lineRule="atLeast"/>
              <w:ind w:firstLine="0" w:firstLineChars="0"/>
              <w:jc w:val="center"/>
              <w:textAlignment w:val="auto"/>
              <w:rPr>
                <w:rFonts w:hint="default" w:ascii="Times New Roman" w:hAnsi="Times New Roman" w:eastAsia="宋体" w:cs="Times New Roman"/>
                <w:b/>
                <w:bCs w:val="0"/>
                <w:color w:val="0000FF"/>
                <w:sz w:val="21"/>
                <w:szCs w:val="21"/>
              </w:rPr>
            </w:pPr>
            <w:r>
              <w:rPr>
                <w:rFonts w:hint="default" w:ascii="Times New Roman" w:hAnsi="Times New Roman" w:eastAsia="宋体" w:cs="Times New Roman"/>
                <w:b/>
                <w:bCs w:val="0"/>
                <w:color w:val="0000FF"/>
                <w:sz w:val="21"/>
                <w:szCs w:val="21"/>
                <w:lang w:val="zh-CN"/>
              </w:rPr>
              <w:t>占标率（％）</w:t>
            </w:r>
          </w:p>
        </w:tc>
        <w:tc>
          <w:tcPr>
            <w:tcW w:w="1391" w:type="dxa"/>
            <w:vAlign w:val="center"/>
          </w:tcPr>
          <w:p w14:paraId="522B1E1A">
            <w:pPr>
              <w:keepNext w:val="0"/>
              <w:keepLines w:val="0"/>
              <w:pageBreakBefore w:val="0"/>
              <w:widowControl w:val="0"/>
              <w:tabs>
                <w:tab w:val="left" w:pos="2771"/>
                <w:tab w:val="left" w:pos="6612"/>
              </w:tabs>
              <w:kinsoku/>
              <w:wordWrap/>
              <w:overflowPunct/>
              <w:topLinePunct w:val="0"/>
              <w:autoSpaceDE/>
              <w:autoSpaceDN/>
              <w:bidi w:val="0"/>
              <w:adjustRightInd w:val="0"/>
              <w:snapToGrid w:val="0"/>
              <w:spacing w:line="0" w:lineRule="atLeast"/>
              <w:ind w:firstLine="0" w:firstLineChars="0"/>
              <w:jc w:val="center"/>
              <w:textAlignment w:val="auto"/>
              <w:rPr>
                <w:rFonts w:hint="eastAsia" w:ascii="Times New Roman" w:hAnsi="Times New Roman" w:eastAsia="宋体" w:cs="Times New Roman"/>
                <w:b/>
                <w:bCs w:val="0"/>
                <w:color w:val="0000FF"/>
                <w:sz w:val="21"/>
                <w:szCs w:val="21"/>
                <w:lang w:eastAsia="zh-CN"/>
              </w:rPr>
            </w:pPr>
            <w:r>
              <w:rPr>
                <w:rFonts w:hint="default" w:ascii="Times New Roman" w:hAnsi="Times New Roman" w:eastAsia="宋体" w:cs="Times New Roman"/>
                <w:b/>
                <w:bCs w:val="0"/>
                <w:color w:val="0000FF"/>
                <w:sz w:val="21"/>
                <w:szCs w:val="21"/>
              </w:rPr>
              <w:t>D10%</w:t>
            </w:r>
            <w:r>
              <w:rPr>
                <w:rFonts w:hint="eastAsia" w:ascii="Times New Roman" w:hAnsi="Times New Roman" w:eastAsia="宋体" w:cs="Times New Roman"/>
                <w:b/>
                <w:bCs w:val="0"/>
                <w:color w:val="0000FF"/>
                <w:sz w:val="21"/>
                <w:szCs w:val="21"/>
                <w:lang w:eastAsia="zh-CN"/>
              </w:rPr>
              <w:t>（</w:t>
            </w:r>
            <w:r>
              <w:rPr>
                <w:rFonts w:hint="default" w:ascii="Times New Roman" w:hAnsi="Times New Roman" w:eastAsia="宋体" w:cs="Times New Roman"/>
                <w:b/>
                <w:bCs w:val="0"/>
                <w:color w:val="0000FF"/>
                <w:sz w:val="21"/>
                <w:szCs w:val="21"/>
              </w:rPr>
              <w:t>m</w:t>
            </w:r>
            <w:r>
              <w:rPr>
                <w:rFonts w:hint="eastAsia" w:ascii="Times New Roman" w:hAnsi="Times New Roman" w:eastAsia="宋体" w:cs="Times New Roman"/>
                <w:b/>
                <w:bCs w:val="0"/>
                <w:color w:val="0000FF"/>
                <w:sz w:val="21"/>
                <w:szCs w:val="21"/>
                <w:lang w:eastAsia="zh-CN"/>
              </w:rPr>
              <w:t>）</w:t>
            </w:r>
          </w:p>
        </w:tc>
      </w:tr>
      <w:tr w14:paraId="677AE1CE">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0" w:hRule="atLeast"/>
          <w:jc w:val="center"/>
        </w:trPr>
        <w:tc>
          <w:tcPr>
            <w:tcW w:w="1565" w:type="dxa"/>
            <w:vMerge w:val="restart"/>
            <w:vAlign w:val="center"/>
          </w:tcPr>
          <w:p w14:paraId="28A96038">
            <w:pPr>
              <w:keepNext w:val="0"/>
              <w:keepLines w:val="0"/>
              <w:pageBreakBefore w:val="0"/>
              <w:widowControl w:val="0"/>
              <w:tabs>
                <w:tab w:val="left" w:pos="2771"/>
                <w:tab w:val="left" w:pos="6612"/>
              </w:tabs>
              <w:kinsoku/>
              <w:wordWrap/>
              <w:overflowPunct/>
              <w:topLinePunct w:val="0"/>
              <w:autoSpaceDE/>
              <w:autoSpaceDN/>
              <w:bidi w:val="0"/>
              <w:adjustRightInd w:val="0"/>
              <w:snapToGrid w:val="0"/>
              <w:spacing w:line="0" w:lineRule="atLeast"/>
              <w:ind w:firstLine="0" w:firstLineChars="0"/>
              <w:jc w:val="center"/>
              <w:textAlignment w:val="auto"/>
              <w:rPr>
                <w:rFonts w:hint="default" w:ascii="Times New Roman" w:hAnsi="Times New Roman" w:eastAsia="宋体" w:cs="Times New Roman"/>
                <w:b w:val="0"/>
                <w:bCs/>
                <w:color w:val="0000FF"/>
                <w:sz w:val="21"/>
                <w:szCs w:val="21"/>
              </w:rPr>
            </w:pPr>
            <w:r>
              <w:rPr>
                <w:rFonts w:hint="default" w:ascii="Times New Roman" w:hAnsi="Times New Roman" w:eastAsia="宋体" w:cs="Times New Roman"/>
                <w:b w:val="0"/>
                <w:bCs/>
                <w:color w:val="0000FF"/>
                <w:sz w:val="21"/>
                <w:szCs w:val="21"/>
              </w:rPr>
              <w:t>牛舍</w:t>
            </w:r>
          </w:p>
        </w:tc>
        <w:tc>
          <w:tcPr>
            <w:tcW w:w="1137" w:type="dxa"/>
            <w:vAlign w:val="center"/>
          </w:tcPr>
          <w:p w14:paraId="37F0ED00">
            <w:pPr>
              <w:keepNext w:val="0"/>
              <w:keepLines w:val="0"/>
              <w:pageBreakBefore w:val="0"/>
              <w:widowControl w:val="0"/>
              <w:tabs>
                <w:tab w:val="left" w:pos="2771"/>
                <w:tab w:val="left" w:pos="6612"/>
              </w:tabs>
              <w:kinsoku/>
              <w:wordWrap/>
              <w:overflowPunct/>
              <w:topLinePunct w:val="0"/>
              <w:autoSpaceDE/>
              <w:autoSpaceDN/>
              <w:bidi w:val="0"/>
              <w:adjustRightInd w:val="0"/>
              <w:snapToGrid w:val="0"/>
              <w:spacing w:line="0" w:lineRule="atLeast"/>
              <w:ind w:firstLine="0" w:firstLineChars="0"/>
              <w:jc w:val="center"/>
              <w:textAlignment w:val="auto"/>
              <w:rPr>
                <w:rFonts w:hint="default" w:ascii="Times New Roman" w:hAnsi="Times New Roman" w:eastAsia="宋体" w:cs="Times New Roman"/>
                <w:b w:val="0"/>
                <w:bCs/>
                <w:color w:val="0000FF"/>
                <w:sz w:val="21"/>
                <w:szCs w:val="21"/>
              </w:rPr>
            </w:pPr>
            <w:r>
              <w:rPr>
                <w:rFonts w:hint="default" w:ascii="Times New Roman" w:hAnsi="Times New Roman" w:eastAsia="宋体" w:cs="Times New Roman"/>
                <w:b w:val="0"/>
                <w:bCs/>
                <w:color w:val="0000FF"/>
                <w:sz w:val="21"/>
                <w:szCs w:val="21"/>
              </w:rPr>
              <w:t>NH</w:t>
            </w:r>
            <w:r>
              <w:rPr>
                <w:rFonts w:hint="default" w:ascii="Times New Roman" w:hAnsi="Times New Roman" w:eastAsia="宋体" w:cs="Times New Roman"/>
                <w:b w:val="0"/>
                <w:bCs/>
                <w:color w:val="0000FF"/>
                <w:sz w:val="21"/>
                <w:szCs w:val="21"/>
                <w:vertAlign w:val="subscript"/>
              </w:rPr>
              <w:t>3</w:t>
            </w:r>
          </w:p>
        </w:tc>
        <w:tc>
          <w:tcPr>
            <w:tcW w:w="1287" w:type="dxa"/>
            <w:vAlign w:val="center"/>
          </w:tcPr>
          <w:p w14:paraId="4E39EF7D">
            <w:pPr>
              <w:keepNext w:val="0"/>
              <w:keepLines w:val="0"/>
              <w:pageBreakBefore w:val="0"/>
              <w:widowControl w:val="0"/>
              <w:tabs>
                <w:tab w:val="left" w:pos="2771"/>
                <w:tab w:val="left" w:pos="6612"/>
              </w:tabs>
              <w:kinsoku/>
              <w:wordWrap/>
              <w:overflowPunct/>
              <w:topLinePunct w:val="0"/>
              <w:autoSpaceDE/>
              <w:autoSpaceDN/>
              <w:bidi w:val="0"/>
              <w:adjustRightInd w:val="0"/>
              <w:snapToGrid w:val="0"/>
              <w:spacing w:line="0" w:lineRule="atLeast"/>
              <w:ind w:firstLine="0" w:firstLineChars="0"/>
              <w:jc w:val="center"/>
              <w:textAlignment w:val="auto"/>
              <w:rPr>
                <w:rFonts w:hint="default" w:ascii="Times New Roman" w:hAnsi="Times New Roman" w:eastAsia="宋体" w:cs="Times New Roman"/>
                <w:b w:val="0"/>
                <w:bCs/>
                <w:color w:val="0000FF"/>
                <w:sz w:val="21"/>
                <w:szCs w:val="21"/>
              </w:rPr>
            </w:pPr>
            <w:r>
              <w:rPr>
                <w:rFonts w:hint="default" w:ascii="Times New Roman" w:hAnsi="Times New Roman" w:eastAsia="宋体" w:cs="Times New Roman"/>
                <w:b w:val="0"/>
                <w:bCs/>
                <w:color w:val="0000FF"/>
                <w:sz w:val="21"/>
                <w:szCs w:val="21"/>
              </w:rPr>
              <w:t>200.0</w:t>
            </w:r>
          </w:p>
        </w:tc>
        <w:tc>
          <w:tcPr>
            <w:tcW w:w="1624" w:type="dxa"/>
            <w:vAlign w:val="center"/>
          </w:tcPr>
          <w:p w14:paraId="03006078">
            <w:pPr>
              <w:keepNext w:val="0"/>
              <w:keepLines w:val="0"/>
              <w:pageBreakBefore w:val="0"/>
              <w:widowControl w:val="0"/>
              <w:tabs>
                <w:tab w:val="left" w:pos="2771"/>
                <w:tab w:val="left" w:pos="6612"/>
              </w:tabs>
              <w:kinsoku/>
              <w:wordWrap/>
              <w:overflowPunct/>
              <w:topLinePunct w:val="0"/>
              <w:autoSpaceDE/>
              <w:autoSpaceDN/>
              <w:bidi w:val="0"/>
              <w:adjustRightInd w:val="0"/>
              <w:snapToGrid w:val="0"/>
              <w:spacing w:line="0" w:lineRule="atLeast"/>
              <w:ind w:firstLine="0" w:firstLineChars="0"/>
              <w:jc w:val="center"/>
              <w:textAlignment w:val="auto"/>
              <w:rPr>
                <w:rFonts w:hint="default" w:ascii="Times New Roman" w:hAnsi="Times New Roman" w:eastAsia="宋体" w:cs="Times New Roman"/>
                <w:b w:val="0"/>
                <w:bCs/>
                <w:color w:val="0000FF"/>
                <w:sz w:val="21"/>
                <w:szCs w:val="21"/>
              </w:rPr>
            </w:pPr>
            <w:r>
              <w:rPr>
                <w:rFonts w:hint="default" w:ascii="Times New Roman" w:hAnsi="Times New Roman" w:eastAsia="宋体" w:cs="Times New Roman"/>
                <w:b w:val="0"/>
                <w:bCs/>
                <w:color w:val="0000FF"/>
                <w:sz w:val="21"/>
                <w:szCs w:val="21"/>
              </w:rPr>
              <w:t>0.0051</w:t>
            </w:r>
          </w:p>
        </w:tc>
        <w:tc>
          <w:tcPr>
            <w:tcW w:w="1197" w:type="dxa"/>
            <w:vAlign w:val="center"/>
          </w:tcPr>
          <w:p w14:paraId="73A1693B">
            <w:pPr>
              <w:keepNext w:val="0"/>
              <w:keepLines w:val="0"/>
              <w:pageBreakBefore w:val="0"/>
              <w:widowControl w:val="0"/>
              <w:tabs>
                <w:tab w:val="left" w:pos="2771"/>
                <w:tab w:val="left" w:pos="6612"/>
              </w:tabs>
              <w:kinsoku/>
              <w:wordWrap/>
              <w:overflowPunct/>
              <w:topLinePunct w:val="0"/>
              <w:autoSpaceDE/>
              <w:autoSpaceDN/>
              <w:bidi w:val="0"/>
              <w:adjustRightInd w:val="0"/>
              <w:snapToGrid w:val="0"/>
              <w:spacing w:line="0" w:lineRule="atLeast"/>
              <w:ind w:firstLine="0" w:firstLineChars="0"/>
              <w:jc w:val="center"/>
              <w:textAlignment w:val="auto"/>
              <w:rPr>
                <w:rFonts w:hint="default" w:ascii="Times New Roman" w:hAnsi="Times New Roman" w:eastAsia="宋体" w:cs="Times New Roman"/>
                <w:b w:val="0"/>
                <w:bCs/>
                <w:color w:val="0000FF"/>
                <w:sz w:val="21"/>
                <w:szCs w:val="21"/>
              </w:rPr>
            </w:pPr>
            <w:r>
              <w:rPr>
                <w:rFonts w:hint="default" w:ascii="Times New Roman" w:hAnsi="Times New Roman" w:eastAsia="宋体" w:cs="Times New Roman"/>
                <w:b w:val="0"/>
                <w:bCs/>
                <w:color w:val="0000FF"/>
                <w:sz w:val="21"/>
                <w:szCs w:val="21"/>
              </w:rPr>
              <w:t>0.0025</w:t>
            </w:r>
          </w:p>
        </w:tc>
        <w:tc>
          <w:tcPr>
            <w:tcW w:w="1391" w:type="dxa"/>
            <w:vAlign w:val="center"/>
          </w:tcPr>
          <w:p w14:paraId="408F133C">
            <w:pPr>
              <w:keepNext w:val="0"/>
              <w:keepLines w:val="0"/>
              <w:pageBreakBefore w:val="0"/>
              <w:widowControl w:val="0"/>
              <w:tabs>
                <w:tab w:val="left" w:pos="2771"/>
                <w:tab w:val="left" w:pos="6612"/>
              </w:tabs>
              <w:kinsoku/>
              <w:wordWrap/>
              <w:overflowPunct/>
              <w:topLinePunct w:val="0"/>
              <w:autoSpaceDE/>
              <w:autoSpaceDN/>
              <w:bidi w:val="0"/>
              <w:adjustRightInd w:val="0"/>
              <w:snapToGrid w:val="0"/>
              <w:spacing w:line="0" w:lineRule="atLeast"/>
              <w:ind w:firstLine="0" w:firstLineChars="0"/>
              <w:jc w:val="center"/>
              <w:textAlignment w:val="auto"/>
              <w:rPr>
                <w:rFonts w:hint="default" w:ascii="Times New Roman" w:hAnsi="Times New Roman" w:eastAsia="宋体" w:cs="Times New Roman"/>
                <w:b w:val="0"/>
                <w:bCs/>
                <w:color w:val="0000FF"/>
                <w:sz w:val="21"/>
                <w:szCs w:val="21"/>
              </w:rPr>
            </w:pPr>
            <w:r>
              <w:rPr>
                <w:rFonts w:hint="default" w:ascii="Times New Roman" w:hAnsi="Times New Roman" w:eastAsia="宋体" w:cs="Times New Roman"/>
                <w:b w:val="0"/>
                <w:bCs/>
                <w:color w:val="0000FF"/>
                <w:sz w:val="21"/>
                <w:szCs w:val="21"/>
              </w:rPr>
              <w:t>/</w:t>
            </w:r>
          </w:p>
        </w:tc>
      </w:tr>
      <w:tr w14:paraId="2E1EB5CE">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0" w:hRule="atLeast"/>
          <w:jc w:val="center"/>
        </w:trPr>
        <w:tc>
          <w:tcPr>
            <w:tcW w:w="1565" w:type="dxa"/>
            <w:vMerge w:val="continue"/>
            <w:vAlign w:val="center"/>
          </w:tcPr>
          <w:p w14:paraId="4E91EAF6">
            <w:pPr>
              <w:keepNext w:val="0"/>
              <w:keepLines w:val="0"/>
              <w:pageBreakBefore w:val="0"/>
              <w:widowControl w:val="0"/>
              <w:tabs>
                <w:tab w:val="left" w:pos="2771"/>
                <w:tab w:val="left" w:pos="6612"/>
              </w:tabs>
              <w:kinsoku/>
              <w:wordWrap/>
              <w:overflowPunct/>
              <w:topLinePunct w:val="0"/>
              <w:autoSpaceDE/>
              <w:autoSpaceDN/>
              <w:bidi w:val="0"/>
              <w:adjustRightInd w:val="0"/>
              <w:snapToGrid w:val="0"/>
              <w:spacing w:line="0" w:lineRule="atLeast"/>
              <w:ind w:firstLine="0" w:firstLineChars="0"/>
              <w:jc w:val="center"/>
              <w:textAlignment w:val="auto"/>
              <w:rPr>
                <w:rFonts w:hint="default" w:ascii="Times New Roman" w:hAnsi="Times New Roman" w:eastAsia="宋体" w:cs="Times New Roman"/>
                <w:b w:val="0"/>
                <w:bCs/>
                <w:color w:val="0000FF"/>
                <w:sz w:val="21"/>
                <w:szCs w:val="21"/>
              </w:rPr>
            </w:pPr>
          </w:p>
        </w:tc>
        <w:tc>
          <w:tcPr>
            <w:tcW w:w="1137" w:type="dxa"/>
            <w:vAlign w:val="center"/>
          </w:tcPr>
          <w:p w14:paraId="52A93F12">
            <w:pPr>
              <w:keepNext w:val="0"/>
              <w:keepLines w:val="0"/>
              <w:pageBreakBefore w:val="0"/>
              <w:widowControl w:val="0"/>
              <w:tabs>
                <w:tab w:val="left" w:pos="2771"/>
                <w:tab w:val="left" w:pos="6612"/>
              </w:tabs>
              <w:kinsoku/>
              <w:wordWrap/>
              <w:overflowPunct/>
              <w:topLinePunct w:val="0"/>
              <w:autoSpaceDE/>
              <w:autoSpaceDN/>
              <w:bidi w:val="0"/>
              <w:adjustRightInd w:val="0"/>
              <w:snapToGrid w:val="0"/>
              <w:spacing w:line="0" w:lineRule="atLeast"/>
              <w:ind w:firstLine="0" w:firstLineChars="0"/>
              <w:jc w:val="center"/>
              <w:textAlignment w:val="auto"/>
              <w:rPr>
                <w:rFonts w:hint="default" w:ascii="Times New Roman" w:hAnsi="Times New Roman" w:eastAsia="宋体" w:cs="Times New Roman"/>
                <w:b w:val="0"/>
                <w:bCs/>
                <w:color w:val="0000FF"/>
                <w:sz w:val="21"/>
                <w:szCs w:val="21"/>
              </w:rPr>
            </w:pPr>
            <w:r>
              <w:rPr>
                <w:rFonts w:hint="default" w:ascii="Times New Roman" w:hAnsi="Times New Roman" w:eastAsia="宋体" w:cs="Times New Roman"/>
                <w:b w:val="0"/>
                <w:bCs/>
                <w:color w:val="0000FF"/>
                <w:sz w:val="21"/>
                <w:szCs w:val="21"/>
              </w:rPr>
              <w:t>H</w:t>
            </w:r>
            <w:r>
              <w:rPr>
                <w:rFonts w:hint="default" w:ascii="Times New Roman" w:hAnsi="Times New Roman" w:eastAsia="宋体" w:cs="Times New Roman"/>
                <w:b w:val="0"/>
                <w:bCs/>
                <w:color w:val="0000FF"/>
                <w:sz w:val="21"/>
                <w:szCs w:val="21"/>
                <w:vertAlign w:val="subscript"/>
              </w:rPr>
              <w:t>2</w:t>
            </w:r>
            <w:r>
              <w:rPr>
                <w:rFonts w:hint="default" w:ascii="Times New Roman" w:hAnsi="Times New Roman" w:eastAsia="宋体" w:cs="Times New Roman"/>
                <w:b w:val="0"/>
                <w:bCs/>
                <w:color w:val="0000FF"/>
                <w:sz w:val="21"/>
                <w:szCs w:val="21"/>
              </w:rPr>
              <w:t>S</w:t>
            </w:r>
          </w:p>
        </w:tc>
        <w:tc>
          <w:tcPr>
            <w:tcW w:w="1287" w:type="dxa"/>
            <w:vAlign w:val="center"/>
          </w:tcPr>
          <w:p w14:paraId="2DB200B1">
            <w:pPr>
              <w:keepNext w:val="0"/>
              <w:keepLines w:val="0"/>
              <w:pageBreakBefore w:val="0"/>
              <w:widowControl w:val="0"/>
              <w:tabs>
                <w:tab w:val="left" w:pos="2771"/>
                <w:tab w:val="left" w:pos="6612"/>
              </w:tabs>
              <w:kinsoku/>
              <w:wordWrap/>
              <w:overflowPunct/>
              <w:topLinePunct w:val="0"/>
              <w:autoSpaceDE/>
              <w:autoSpaceDN/>
              <w:bidi w:val="0"/>
              <w:adjustRightInd w:val="0"/>
              <w:snapToGrid w:val="0"/>
              <w:spacing w:line="0" w:lineRule="atLeast"/>
              <w:ind w:firstLine="0" w:firstLineChars="0"/>
              <w:jc w:val="center"/>
              <w:textAlignment w:val="auto"/>
              <w:rPr>
                <w:rFonts w:hint="default" w:ascii="Times New Roman" w:hAnsi="Times New Roman" w:eastAsia="宋体" w:cs="Times New Roman"/>
                <w:b w:val="0"/>
                <w:bCs/>
                <w:color w:val="0000FF"/>
                <w:sz w:val="21"/>
                <w:szCs w:val="21"/>
              </w:rPr>
            </w:pPr>
            <w:r>
              <w:rPr>
                <w:rFonts w:hint="default" w:ascii="Times New Roman" w:hAnsi="Times New Roman" w:eastAsia="宋体" w:cs="Times New Roman"/>
                <w:b w:val="0"/>
                <w:bCs/>
                <w:color w:val="0000FF"/>
                <w:sz w:val="21"/>
                <w:szCs w:val="21"/>
              </w:rPr>
              <w:t>10.0</w:t>
            </w:r>
          </w:p>
        </w:tc>
        <w:tc>
          <w:tcPr>
            <w:tcW w:w="1624" w:type="dxa"/>
            <w:vAlign w:val="center"/>
          </w:tcPr>
          <w:p w14:paraId="3A38DCE4">
            <w:pPr>
              <w:keepNext w:val="0"/>
              <w:keepLines w:val="0"/>
              <w:pageBreakBefore w:val="0"/>
              <w:widowControl w:val="0"/>
              <w:tabs>
                <w:tab w:val="left" w:pos="2771"/>
                <w:tab w:val="left" w:pos="6612"/>
              </w:tabs>
              <w:kinsoku/>
              <w:wordWrap/>
              <w:overflowPunct/>
              <w:topLinePunct w:val="0"/>
              <w:autoSpaceDE/>
              <w:autoSpaceDN/>
              <w:bidi w:val="0"/>
              <w:adjustRightInd w:val="0"/>
              <w:snapToGrid w:val="0"/>
              <w:spacing w:line="0" w:lineRule="atLeast"/>
              <w:ind w:firstLine="0" w:firstLineChars="0"/>
              <w:jc w:val="center"/>
              <w:textAlignment w:val="auto"/>
              <w:rPr>
                <w:rFonts w:hint="default" w:ascii="Times New Roman" w:hAnsi="Times New Roman" w:eastAsia="宋体" w:cs="Times New Roman"/>
                <w:b w:val="0"/>
                <w:bCs/>
                <w:color w:val="0000FF"/>
                <w:sz w:val="21"/>
                <w:szCs w:val="21"/>
              </w:rPr>
            </w:pPr>
            <w:r>
              <w:rPr>
                <w:rFonts w:hint="default" w:ascii="Times New Roman" w:hAnsi="Times New Roman" w:eastAsia="宋体" w:cs="Times New Roman"/>
                <w:b w:val="0"/>
                <w:bCs/>
                <w:color w:val="0000FF"/>
                <w:sz w:val="21"/>
                <w:szCs w:val="21"/>
              </w:rPr>
              <w:t>0.0007</w:t>
            </w:r>
          </w:p>
        </w:tc>
        <w:tc>
          <w:tcPr>
            <w:tcW w:w="1197" w:type="dxa"/>
            <w:vAlign w:val="center"/>
          </w:tcPr>
          <w:p w14:paraId="1EAACDF1">
            <w:pPr>
              <w:keepNext w:val="0"/>
              <w:keepLines w:val="0"/>
              <w:pageBreakBefore w:val="0"/>
              <w:widowControl w:val="0"/>
              <w:tabs>
                <w:tab w:val="left" w:pos="2771"/>
                <w:tab w:val="left" w:pos="6612"/>
              </w:tabs>
              <w:kinsoku/>
              <w:wordWrap/>
              <w:overflowPunct/>
              <w:topLinePunct w:val="0"/>
              <w:autoSpaceDE/>
              <w:autoSpaceDN/>
              <w:bidi w:val="0"/>
              <w:adjustRightInd w:val="0"/>
              <w:snapToGrid w:val="0"/>
              <w:spacing w:line="0" w:lineRule="atLeast"/>
              <w:ind w:firstLine="0" w:firstLineChars="0"/>
              <w:jc w:val="center"/>
              <w:textAlignment w:val="auto"/>
              <w:rPr>
                <w:rFonts w:hint="default" w:ascii="Times New Roman" w:hAnsi="Times New Roman" w:eastAsia="宋体" w:cs="Times New Roman"/>
                <w:b w:val="0"/>
                <w:bCs/>
                <w:color w:val="0000FF"/>
                <w:sz w:val="21"/>
                <w:szCs w:val="21"/>
              </w:rPr>
            </w:pPr>
            <w:r>
              <w:rPr>
                <w:rFonts w:hint="default" w:ascii="Times New Roman" w:hAnsi="Times New Roman" w:eastAsia="宋体" w:cs="Times New Roman"/>
                <w:b w:val="0"/>
                <w:bCs/>
                <w:color w:val="0000FF"/>
                <w:sz w:val="21"/>
                <w:szCs w:val="21"/>
              </w:rPr>
              <w:t>0.0067</w:t>
            </w:r>
          </w:p>
        </w:tc>
        <w:tc>
          <w:tcPr>
            <w:tcW w:w="1391" w:type="dxa"/>
            <w:vAlign w:val="center"/>
          </w:tcPr>
          <w:p w14:paraId="19FD4F72">
            <w:pPr>
              <w:keepNext w:val="0"/>
              <w:keepLines w:val="0"/>
              <w:pageBreakBefore w:val="0"/>
              <w:widowControl w:val="0"/>
              <w:tabs>
                <w:tab w:val="left" w:pos="2771"/>
                <w:tab w:val="left" w:pos="6612"/>
              </w:tabs>
              <w:kinsoku/>
              <w:wordWrap/>
              <w:overflowPunct/>
              <w:topLinePunct w:val="0"/>
              <w:autoSpaceDE/>
              <w:autoSpaceDN/>
              <w:bidi w:val="0"/>
              <w:adjustRightInd w:val="0"/>
              <w:snapToGrid w:val="0"/>
              <w:spacing w:line="0" w:lineRule="atLeast"/>
              <w:ind w:firstLine="0" w:firstLineChars="0"/>
              <w:jc w:val="center"/>
              <w:textAlignment w:val="auto"/>
              <w:rPr>
                <w:rFonts w:hint="default" w:ascii="Times New Roman" w:hAnsi="Times New Roman" w:eastAsia="宋体" w:cs="Times New Roman"/>
                <w:b w:val="0"/>
                <w:bCs/>
                <w:color w:val="0000FF"/>
                <w:sz w:val="21"/>
                <w:szCs w:val="21"/>
              </w:rPr>
            </w:pPr>
            <w:r>
              <w:rPr>
                <w:rFonts w:hint="default" w:ascii="Times New Roman" w:hAnsi="Times New Roman" w:eastAsia="宋体" w:cs="Times New Roman"/>
                <w:b w:val="0"/>
                <w:bCs/>
                <w:color w:val="0000FF"/>
                <w:sz w:val="21"/>
                <w:szCs w:val="21"/>
              </w:rPr>
              <w:t>/</w:t>
            </w:r>
          </w:p>
        </w:tc>
      </w:tr>
      <w:tr w14:paraId="5C728D2A">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0" w:hRule="atLeast"/>
          <w:jc w:val="center"/>
        </w:trPr>
        <w:tc>
          <w:tcPr>
            <w:tcW w:w="1565" w:type="dxa"/>
            <w:vMerge w:val="restart"/>
            <w:vAlign w:val="center"/>
          </w:tcPr>
          <w:p w14:paraId="39F0A375">
            <w:pPr>
              <w:keepNext w:val="0"/>
              <w:keepLines w:val="0"/>
              <w:pageBreakBefore w:val="0"/>
              <w:widowControl w:val="0"/>
              <w:tabs>
                <w:tab w:val="left" w:pos="2771"/>
                <w:tab w:val="left" w:pos="6612"/>
              </w:tabs>
              <w:kinsoku/>
              <w:wordWrap/>
              <w:overflowPunct/>
              <w:topLinePunct w:val="0"/>
              <w:autoSpaceDE/>
              <w:autoSpaceDN/>
              <w:bidi w:val="0"/>
              <w:adjustRightInd w:val="0"/>
              <w:snapToGrid w:val="0"/>
              <w:spacing w:line="0" w:lineRule="atLeast"/>
              <w:ind w:firstLine="0" w:firstLineChars="0"/>
              <w:jc w:val="center"/>
              <w:textAlignment w:val="auto"/>
              <w:rPr>
                <w:rFonts w:hint="default" w:ascii="Times New Roman" w:hAnsi="Times New Roman" w:eastAsia="宋体" w:cs="Times New Roman"/>
                <w:b w:val="0"/>
                <w:bCs/>
                <w:color w:val="0000FF"/>
                <w:sz w:val="21"/>
                <w:szCs w:val="21"/>
              </w:rPr>
            </w:pPr>
            <w:r>
              <w:rPr>
                <w:rFonts w:hint="default" w:ascii="Times New Roman" w:hAnsi="Times New Roman" w:eastAsia="宋体" w:cs="Times New Roman"/>
                <w:b w:val="0"/>
                <w:bCs/>
                <w:color w:val="0000FF"/>
                <w:sz w:val="21"/>
                <w:szCs w:val="21"/>
              </w:rPr>
              <w:t>固液分离车间</w:t>
            </w:r>
          </w:p>
        </w:tc>
        <w:tc>
          <w:tcPr>
            <w:tcW w:w="1137" w:type="dxa"/>
            <w:vAlign w:val="center"/>
          </w:tcPr>
          <w:p w14:paraId="501B0767">
            <w:pPr>
              <w:keepNext w:val="0"/>
              <w:keepLines w:val="0"/>
              <w:pageBreakBefore w:val="0"/>
              <w:widowControl w:val="0"/>
              <w:tabs>
                <w:tab w:val="left" w:pos="2771"/>
                <w:tab w:val="left" w:pos="6612"/>
              </w:tabs>
              <w:kinsoku/>
              <w:wordWrap/>
              <w:overflowPunct/>
              <w:topLinePunct w:val="0"/>
              <w:autoSpaceDE/>
              <w:autoSpaceDN/>
              <w:bidi w:val="0"/>
              <w:adjustRightInd w:val="0"/>
              <w:snapToGrid w:val="0"/>
              <w:spacing w:line="0" w:lineRule="atLeast"/>
              <w:ind w:firstLine="0" w:firstLineChars="0"/>
              <w:jc w:val="center"/>
              <w:textAlignment w:val="auto"/>
              <w:rPr>
                <w:rFonts w:hint="default" w:ascii="Times New Roman" w:hAnsi="Times New Roman" w:eastAsia="宋体" w:cs="Times New Roman"/>
                <w:b w:val="0"/>
                <w:bCs/>
                <w:color w:val="0000FF"/>
                <w:sz w:val="21"/>
                <w:szCs w:val="21"/>
              </w:rPr>
            </w:pPr>
            <w:r>
              <w:rPr>
                <w:rFonts w:hint="default" w:ascii="Times New Roman" w:hAnsi="Times New Roman" w:eastAsia="宋体" w:cs="Times New Roman"/>
                <w:b w:val="0"/>
                <w:bCs/>
                <w:color w:val="0000FF"/>
                <w:sz w:val="21"/>
                <w:szCs w:val="21"/>
              </w:rPr>
              <w:t>NH</w:t>
            </w:r>
            <w:r>
              <w:rPr>
                <w:rFonts w:hint="default" w:ascii="Times New Roman" w:hAnsi="Times New Roman" w:eastAsia="宋体" w:cs="Times New Roman"/>
                <w:b w:val="0"/>
                <w:bCs/>
                <w:color w:val="0000FF"/>
                <w:sz w:val="21"/>
                <w:szCs w:val="21"/>
                <w:vertAlign w:val="subscript"/>
              </w:rPr>
              <w:t>3</w:t>
            </w:r>
          </w:p>
        </w:tc>
        <w:tc>
          <w:tcPr>
            <w:tcW w:w="1287" w:type="dxa"/>
            <w:vAlign w:val="center"/>
          </w:tcPr>
          <w:p w14:paraId="79AB0AF2">
            <w:pPr>
              <w:keepNext w:val="0"/>
              <w:keepLines w:val="0"/>
              <w:pageBreakBefore w:val="0"/>
              <w:widowControl w:val="0"/>
              <w:tabs>
                <w:tab w:val="left" w:pos="2771"/>
                <w:tab w:val="left" w:pos="6612"/>
              </w:tabs>
              <w:kinsoku/>
              <w:wordWrap/>
              <w:overflowPunct/>
              <w:topLinePunct w:val="0"/>
              <w:autoSpaceDE/>
              <w:autoSpaceDN/>
              <w:bidi w:val="0"/>
              <w:adjustRightInd w:val="0"/>
              <w:snapToGrid w:val="0"/>
              <w:spacing w:line="0" w:lineRule="atLeast"/>
              <w:ind w:firstLine="0" w:firstLineChars="0"/>
              <w:jc w:val="center"/>
              <w:textAlignment w:val="auto"/>
              <w:rPr>
                <w:rFonts w:hint="default" w:ascii="Times New Roman" w:hAnsi="Times New Roman" w:eastAsia="宋体" w:cs="Times New Roman"/>
                <w:b w:val="0"/>
                <w:bCs/>
                <w:color w:val="0000FF"/>
                <w:sz w:val="21"/>
                <w:szCs w:val="21"/>
              </w:rPr>
            </w:pPr>
            <w:r>
              <w:rPr>
                <w:rFonts w:hint="default" w:ascii="Times New Roman" w:hAnsi="Times New Roman" w:eastAsia="宋体" w:cs="Times New Roman"/>
                <w:b w:val="0"/>
                <w:bCs/>
                <w:color w:val="0000FF"/>
                <w:sz w:val="21"/>
                <w:szCs w:val="21"/>
              </w:rPr>
              <w:t>200.0</w:t>
            </w:r>
          </w:p>
        </w:tc>
        <w:tc>
          <w:tcPr>
            <w:tcW w:w="1624" w:type="dxa"/>
            <w:vAlign w:val="center"/>
          </w:tcPr>
          <w:p w14:paraId="67A30916">
            <w:pPr>
              <w:keepNext w:val="0"/>
              <w:keepLines w:val="0"/>
              <w:pageBreakBefore w:val="0"/>
              <w:widowControl w:val="0"/>
              <w:tabs>
                <w:tab w:val="left" w:pos="2771"/>
                <w:tab w:val="left" w:pos="6612"/>
              </w:tabs>
              <w:kinsoku/>
              <w:wordWrap/>
              <w:overflowPunct/>
              <w:topLinePunct w:val="0"/>
              <w:autoSpaceDE/>
              <w:autoSpaceDN/>
              <w:bidi w:val="0"/>
              <w:adjustRightInd w:val="0"/>
              <w:snapToGrid w:val="0"/>
              <w:spacing w:line="0" w:lineRule="atLeast"/>
              <w:ind w:firstLine="0" w:firstLineChars="0"/>
              <w:jc w:val="center"/>
              <w:textAlignment w:val="auto"/>
              <w:rPr>
                <w:rFonts w:hint="default" w:ascii="Times New Roman" w:hAnsi="Times New Roman" w:eastAsia="宋体" w:cs="Times New Roman"/>
                <w:b w:val="0"/>
                <w:bCs/>
                <w:color w:val="0000FF"/>
                <w:sz w:val="21"/>
                <w:szCs w:val="21"/>
              </w:rPr>
            </w:pPr>
            <w:r>
              <w:rPr>
                <w:rFonts w:hint="default" w:ascii="Times New Roman" w:hAnsi="Times New Roman" w:eastAsia="宋体" w:cs="Times New Roman"/>
                <w:b w:val="0"/>
                <w:bCs/>
                <w:color w:val="0000FF"/>
                <w:sz w:val="21"/>
                <w:szCs w:val="21"/>
              </w:rPr>
              <w:t>0.0005</w:t>
            </w:r>
          </w:p>
        </w:tc>
        <w:tc>
          <w:tcPr>
            <w:tcW w:w="1197" w:type="dxa"/>
            <w:vAlign w:val="center"/>
          </w:tcPr>
          <w:p w14:paraId="5E6EC644">
            <w:pPr>
              <w:keepNext w:val="0"/>
              <w:keepLines w:val="0"/>
              <w:pageBreakBefore w:val="0"/>
              <w:widowControl w:val="0"/>
              <w:tabs>
                <w:tab w:val="left" w:pos="2771"/>
                <w:tab w:val="left" w:pos="6612"/>
              </w:tabs>
              <w:kinsoku/>
              <w:wordWrap/>
              <w:overflowPunct/>
              <w:topLinePunct w:val="0"/>
              <w:autoSpaceDE/>
              <w:autoSpaceDN/>
              <w:bidi w:val="0"/>
              <w:adjustRightInd w:val="0"/>
              <w:snapToGrid w:val="0"/>
              <w:spacing w:line="0" w:lineRule="atLeast"/>
              <w:ind w:firstLine="0" w:firstLineChars="0"/>
              <w:jc w:val="center"/>
              <w:textAlignment w:val="auto"/>
              <w:rPr>
                <w:rFonts w:hint="default" w:ascii="Times New Roman" w:hAnsi="Times New Roman" w:eastAsia="宋体" w:cs="Times New Roman"/>
                <w:b w:val="0"/>
                <w:bCs/>
                <w:color w:val="0000FF"/>
                <w:sz w:val="21"/>
                <w:szCs w:val="21"/>
              </w:rPr>
            </w:pPr>
            <w:r>
              <w:rPr>
                <w:rFonts w:hint="default" w:ascii="Times New Roman" w:hAnsi="Times New Roman" w:eastAsia="宋体" w:cs="Times New Roman"/>
                <w:b w:val="0"/>
                <w:bCs/>
                <w:color w:val="0000FF"/>
                <w:sz w:val="21"/>
                <w:szCs w:val="21"/>
              </w:rPr>
              <w:t>0.0003</w:t>
            </w:r>
          </w:p>
        </w:tc>
        <w:tc>
          <w:tcPr>
            <w:tcW w:w="1391" w:type="dxa"/>
            <w:vAlign w:val="center"/>
          </w:tcPr>
          <w:p w14:paraId="4F4033D7">
            <w:pPr>
              <w:keepNext w:val="0"/>
              <w:keepLines w:val="0"/>
              <w:pageBreakBefore w:val="0"/>
              <w:widowControl w:val="0"/>
              <w:tabs>
                <w:tab w:val="left" w:pos="2771"/>
                <w:tab w:val="left" w:pos="6612"/>
              </w:tabs>
              <w:kinsoku/>
              <w:wordWrap/>
              <w:overflowPunct/>
              <w:topLinePunct w:val="0"/>
              <w:autoSpaceDE/>
              <w:autoSpaceDN/>
              <w:bidi w:val="0"/>
              <w:adjustRightInd w:val="0"/>
              <w:snapToGrid w:val="0"/>
              <w:spacing w:line="0" w:lineRule="atLeast"/>
              <w:ind w:firstLine="0" w:firstLineChars="0"/>
              <w:jc w:val="center"/>
              <w:textAlignment w:val="auto"/>
              <w:rPr>
                <w:rFonts w:hint="default" w:ascii="Times New Roman" w:hAnsi="Times New Roman" w:eastAsia="宋体" w:cs="Times New Roman"/>
                <w:b w:val="0"/>
                <w:bCs/>
                <w:color w:val="0000FF"/>
                <w:sz w:val="21"/>
                <w:szCs w:val="21"/>
              </w:rPr>
            </w:pPr>
            <w:r>
              <w:rPr>
                <w:rFonts w:hint="default" w:ascii="Times New Roman" w:hAnsi="Times New Roman" w:eastAsia="宋体" w:cs="Times New Roman"/>
                <w:b w:val="0"/>
                <w:bCs/>
                <w:color w:val="0000FF"/>
                <w:sz w:val="21"/>
                <w:szCs w:val="21"/>
              </w:rPr>
              <w:t>/</w:t>
            </w:r>
          </w:p>
        </w:tc>
      </w:tr>
      <w:tr w14:paraId="7CB7F209">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0" w:hRule="atLeast"/>
          <w:jc w:val="center"/>
        </w:trPr>
        <w:tc>
          <w:tcPr>
            <w:tcW w:w="1565" w:type="dxa"/>
            <w:vMerge w:val="continue"/>
            <w:vAlign w:val="center"/>
          </w:tcPr>
          <w:p w14:paraId="5AE334BD">
            <w:pPr>
              <w:keepNext w:val="0"/>
              <w:keepLines w:val="0"/>
              <w:pageBreakBefore w:val="0"/>
              <w:widowControl w:val="0"/>
              <w:tabs>
                <w:tab w:val="left" w:pos="2771"/>
                <w:tab w:val="left" w:pos="6612"/>
              </w:tabs>
              <w:kinsoku/>
              <w:wordWrap/>
              <w:overflowPunct/>
              <w:topLinePunct w:val="0"/>
              <w:autoSpaceDE/>
              <w:autoSpaceDN/>
              <w:bidi w:val="0"/>
              <w:adjustRightInd w:val="0"/>
              <w:snapToGrid w:val="0"/>
              <w:spacing w:line="0" w:lineRule="atLeast"/>
              <w:ind w:firstLine="0" w:firstLineChars="0"/>
              <w:jc w:val="center"/>
              <w:textAlignment w:val="auto"/>
              <w:rPr>
                <w:rFonts w:hint="default" w:ascii="Times New Roman" w:hAnsi="Times New Roman" w:eastAsia="宋体" w:cs="Times New Roman"/>
                <w:b w:val="0"/>
                <w:bCs/>
                <w:color w:val="0000FF"/>
                <w:sz w:val="21"/>
                <w:szCs w:val="21"/>
              </w:rPr>
            </w:pPr>
          </w:p>
        </w:tc>
        <w:tc>
          <w:tcPr>
            <w:tcW w:w="1137" w:type="dxa"/>
            <w:vAlign w:val="center"/>
          </w:tcPr>
          <w:p w14:paraId="768F6222">
            <w:pPr>
              <w:keepNext w:val="0"/>
              <w:keepLines w:val="0"/>
              <w:pageBreakBefore w:val="0"/>
              <w:widowControl w:val="0"/>
              <w:tabs>
                <w:tab w:val="left" w:pos="2771"/>
                <w:tab w:val="left" w:pos="6612"/>
              </w:tabs>
              <w:kinsoku/>
              <w:wordWrap/>
              <w:overflowPunct/>
              <w:topLinePunct w:val="0"/>
              <w:autoSpaceDE/>
              <w:autoSpaceDN/>
              <w:bidi w:val="0"/>
              <w:adjustRightInd w:val="0"/>
              <w:snapToGrid w:val="0"/>
              <w:spacing w:line="0" w:lineRule="atLeast"/>
              <w:ind w:firstLine="0" w:firstLineChars="0"/>
              <w:jc w:val="center"/>
              <w:textAlignment w:val="auto"/>
              <w:rPr>
                <w:rFonts w:hint="default" w:ascii="Times New Roman" w:hAnsi="Times New Roman" w:eastAsia="宋体" w:cs="Times New Roman"/>
                <w:b w:val="0"/>
                <w:bCs/>
                <w:color w:val="0000FF"/>
                <w:sz w:val="21"/>
                <w:szCs w:val="21"/>
              </w:rPr>
            </w:pPr>
            <w:r>
              <w:rPr>
                <w:rFonts w:hint="default" w:ascii="Times New Roman" w:hAnsi="Times New Roman" w:eastAsia="宋体" w:cs="Times New Roman"/>
                <w:b w:val="0"/>
                <w:bCs/>
                <w:color w:val="0000FF"/>
                <w:sz w:val="21"/>
                <w:szCs w:val="21"/>
              </w:rPr>
              <w:t>H</w:t>
            </w:r>
            <w:r>
              <w:rPr>
                <w:rFonts w:hint="default" w:ascii="Times New Roman" w:hAnsi="Times New Roman" w:eastAsia="宋体" w:cs="Times New Roman"/>
                <w:b w:val="0"/>
                <w:bCs/>
                <w:color w:val="0000FF"/>
                <w:sz w:val="21"/>
                <w:szCs w:val="21"/>
                <w:vertAlign w:val="subscript"/>
              </w:rPr>
              <w:t>2</w:t>
            </w:r>
            <w:r>
              <w:rPr>
                <w:rFonts w:hint="default" w:ascii="Times New Roman" w:hAnsi="Times New Roman" w:eastAsia="宋体" w:cs="Times New Roman"/>
                <w:b w:val="0"/>
                <w:bCs/>
                <w:color w:val="0000FF"/>
                <w:sz w:val="21"/>
                <w:szCs w:val="21"/>
              </w:rPr>
              <w:t>S</w:t>
            </w:r>
          </w:p>
        </w:tc>
        <w:tc>
          <w:tcPr>
            <w:tcW w:w="1287" w:type="dxa"/>
            <w:vAlign w:val="center"/>
          </w:tcPr>
          <w:p w14:paraId="1FECE3D1">
            <w:pPr>
              <w:keepNext w:val="0"/>
              <w:keepLines w:val="0"/>
              <w:pageBreakBefore w:val="0"/>
              <w:widowControl w:val="0"/>
              <w:tabs>
                <w:tab w:val="left" w:pos="2771"/>
                <w:tab w:val="left" w:pos="6612"/>
              </w:tabs>
              <w:kinsoku/>
              <w:wordWrap/>
              <w:overflowPunct/>
              <w:topLinePunct w:val="0"/>
              <w:autoSpaceDE/>
              <w:autoSpaceDN/>
              <w:bidi w:val="0"/>
              <w:adjustRightInd w:val="0"/>
              <w:snapToGrid w:val="0"/>
              <w:spacing w:line="0" w:lineRule="atLeast"/>
              <w:ind w:firstLine="0" w:firstLineChars="0"/>
              <w:jc w:val="center"/>
              <w:textAlignment w:val="auto"/>
              <w:rPr>
                <w:rFonts w:hint="default" w:ascii="Times New Roman" w:hAnsi="Times New Roman" w:eastAsia="宋体" w:cs="Times New Roman"/>
                <w:b w:val="0"/>
                <w:bCs/>
                <w:color w:val="0000FF"/>
                <w:sz w:val="21"/>
                <w:szCs w:val="21"/>
              </w:rPr>
            </w:pPr>
            <w:r>
              <w:rPr>
                <w:rFonts w:hint="default" w:ascii="Times New Roman" w:hAnsi="Times New Roman" w:eastAsia="宋体" w:cs="Times New Roman"/>
                <w:b w:val="0"/>
                <w:bCs/>
                <w:color w:val="0000FF"/>
                <w:sz w:val="21"/>
                <w:szCs w:val="21"/>
              </w:rPr>
              <w:t>10.0</w:t>
            </w:r>
          </w:p>
        </w:tc>
        <w:tc>
          <w:tcPr>
            <w:tcW w:w="1624" w:type="dxa"/>
            <w:vAlign w:val="center"/>
          </w:tcPr>
          <w:p w14:paraId="369AABBB">
            <w:pPr>
              <w:keepNext w:val="0"/>
              <w:keepLines w:val="0"/>
              <w:pageBreakBefore w:val="0"/>
              <w:widowControl w:val="0"/>
              <w:tabs>
                <w:tab w:val="left" w:pos="2771"/>
                <w:tab w:val="left" w:pos="6612"/>
              </w:tabs>
              <w:kinsoku/>
              <w:wordWrap/>
              <w:overflowPunct/>
              <w:topLinePunct w:val="0"/>
              <w:autoSpaceDE/>
              <w:autoSpaceDN/>
              <w:bidi w:val="0"/>
              <w:adjustRightInd w:val="0"/>
              <w:snapToGrid w:val="0"/>
              <w:spacing w:line="0" w:lineRule="atLeast"/>
              <w:ind w:firstLine="0" w:firstLineChars="0"/>
              <w:jc w:val="center"/>
              <w:textAlignment w:val="auto"/>
              <w:rPr>
                <w:rFonts w:hint="default" w:ascii="Times New Roman" w:hAnsi="Times New Roman" w:eastAsia="宋体" w:cs="Times New Roman"/>
                <w:b w:val="0"/>
                <w:bCs/>
                <w:color w:val="0000FF"/>
                <w:sz w:val="21"/>
                <w:szCs w:val="21"/>
              </w:rPr>
            </w:pPr>
            <w:r>
              <w:rPr>
                <w:rFonts w:hint="default" w:ascii="Times New Roman" w:hAnsi="Times New Roman" w:eastAsia="宋体" w:cs="Times New Roman"/>
                <w:b w:val="0"/>
                <w:bCs/>
                <w:color w:val="0000FF"/>
                <w:sz w:val="21"/>
                <w:szCs w:val="21"/>
              </w:rPr>
              <w:t>0.0002</w:t>
            </w:r>
          </w:p>
        </w:tc>
        <w:tc>
          <w:tcPr>
            <w:tcW w:w="1197" w:type="dxa"/>
            <w:vAlign w:val="center"/>
          </w:tcPr>
          <w:p w14:paraId="55CB3E33">
            <w:pPr>
              <w:keepNext w:val="0"/>
              <w:keepLines w:val="0"/>
              <w:pageBreakBefore w:val="0"/>
              <w:widowControl w:val="0"/>
              <w:tabs>
                <w:tab w:val="left" w:pos="2771"/>
                <w:tab w:val="left" w:pos="6612"/>
              </w:tabs>
              <w:kinsoku/>
              <w:wordWrap/>
              <w:overflowPunct/>
              <w:topLinePunct w:val="0"/>
              <w:autoSpaceDE/>
              <w:autoSpaceDN/>
              <w:bidi w:val="0"/>
              <w:adjustRightInd w:val="0"/>
              <w:snapToGrid w:val="0"/>
              <w:spacing w:line="0" w:lineRule="atLeast"/>
              <w:ind w:firstLine="0" w:firstLineChars="0"/>
              <w:jc w:val="center"/>
              <w:textAlignment w:val="auto"/>
              <w:rPr>
                <w:rFonts w:hint="default" w:ascii="Times New Roman" w:hAnsi="Times New Roman" w:eastAsia="宋体" w:cs="Times New Roman"/>
                <w:b w:val="0"/>
                <w:bCs/>
                <w:color w:val="0000FF"/>
                <w:sz w:val="21"/>
                <w:szCs w:val="21"/>
              </w:rPr>
            </w:pPr>
            <w:r>
              <w:rPr>
                <w:rFonts w:hint="default" w:ascii="Times New Roman" w:hAnsi="Times New Roman" w:eastAsia="宋体" w:cs="Times New Roman"/>
                <w:b w:val="0"/>
                <w:bCs/>
                <w:color w:val="0000FF"/>
                <w:sz w:val="21"/>
                <w:szCs w:val="21"/>
              </w:rPr>
              <w:t>0.0019</w:t>
            </w:r>
          </w:p>
        </w:tc>
        <w:tc>
          <w:tcPr>
            <w:tcW w:w="1391" w:type="dxa"/>
            <w:vAlign w:val="center"/>
          </w:tcPr>
          <w:p w14:paraId="68AD861E">
            <w:pPr>
              <w:keepNext w:val="0"/>
              <w:keepLines w:val="0"/>
              <w:pageBreakBefore w:val="0"/>
              <w:widowControl w:val="0"/>
              <w:tabs>
                <w:tab w:val="left" w:pos="2771"/>
                <w:tab w:val="left" w:pos="6612"/>
              </w:tabs>
              <w:kinsoku/>
              <w:wordWrap/>
              <w:overflowPunct/>
              <w:topLinePunct w:val="0"/>
              <w:autoSpaceDE/>
              <w:autoSpaceDN/>
              <w:bidi w:val="0"/>
              <w:adjustRightInd w:val="0"/>
              <w:snapToGrid w:val="0"/>
              <w:spacing w:line="0" w:lineRule="atLeast"/>
              <w:ind w:firstLine="0" w:firstLineChars="0"/>
              <w:jc w:val="center"/>
              <w:textAlignment w:val="auto"/>
              <w:rPr>
                <w:rFonts w:hint="default" w:ascii="Times New Roman" w:hAnsi="Times New Roman" w:eastAsia="宋体" w:cs="Times New Roman"/>
                <w:b w:val="0"/>
                <w:bCs/>
                <w:color w:val="0000FF"/>
                <w:sz w:val="21"/>
                <w:szCs w:val="21"/>
              </w:rPr>
            </w:pPr>
            <w:r>
              <w:rPr>
                <w:rFonts w:hint="default" w:ascii="Times New Roman" w:hAnsi="Times New Roman" w:eastAsia="宋体" w:cs="Times New Roman"/>
                <w:b w:val="0"/>
                <w:bCs/>
                <w:color w:val="0000FF"/>
                <w:sz w:val="21"/>
                <w:szCs w:val="21"/>
              </w:rPr>
              <w:t>/</w:t>
            </w:r>
          </w:p>
        </w:tc>
      </w:tr>
      <w:tr w14:paraId="34908DAE">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0" w:hRule="atLeast"/>
          <w:jc w:val="center"/>
        </w:trPr>
        <w:tc>
          <w:tcPr>
            <w:tcW w:w="1565" w:type="dxa"/>
            <w:vMerge w:val="restart"/>
            <w:vAlign w:val="center"/>
          </w:tcPr>
          <w:p w14:paraId="60C6D74D">
            <w:pPr>
              <w:keepNext w:val="0"/>
              <w:keepLines w:val="0"/>
              <w:pageBreakBefore w:val="0"/>
              <w:widowControl w:val="0"/>
              <w:tabs>
                <w:tab w:val="left" w:pos="2771"/>
                <w:tab w:val="left" w:pos="6612"/>
              </w:tabs>
              <w:kinsoku/>
              <w:wordWrap/>
              <w:overflowPunct/>
              <w:topLinePunct w:val="0"/>
              <w:autoSpaceDE/>
              <w:autoSpaceDN/>
              <w:bidi w:val="0"/>
              <w:adjustRightInd w:val="0"/>
              <w:snapToGrid w:val="0"/>
              <w:spacing w:line="0" w:lineRule="atLeast"/>
              <w:ind w:firstLine="0" w:firstLineChars="0"/>
              <w:jc w:val="center"/>
              <w:textAlignment w:val="auto"/>
              <w:rPr>
                <w:rFonts w:hint="default" w:ascii="Times New Roman" w:hAnsi="Times New Roman" w:eastAsia="宋体" w:cs="Times New Roman"/>
                <w:b w:val="0"/>
                <w:bCs/>
                <w:color w:val="0000FF"/>
                <w:sz w:val="21"/>
                <w:szCs w:val="21"/>
              </w:rPr>
            </w:pPr>
            <w:r>
              <w:rPr>
                <w:rFonts w:hint="default" w:ascii="Times New Roman" w:hAnsi="Times New Roman" w:eastAsia="宋体" w:cs="Times New Roman"/>
                <w:b w:val="0"/>
                <w:bCs/>
                <w:color w:val="0000FF"/>
                <w:sz w:val="21"/>
                <w:szCs w:val="21"/>
              </w:rPr>
              <w:t>氧化塘</w:t>
            </w:r>
          </w:p>
        </w:tc>
        <w:tc>
          <w:tcPr>
            <w:tcW w:w="1137" w:type="dxa"/>
            <w:vAlign w:val="center"/>
          </w:tcPr>
          <w:p w14:paraId="19F3D4C8">
            <w:pPr>
              <w:keepNext w:val="0"/>
              <w:keepLines w:val="0"/>
              <w:pageBreakBefore w:val="0"/>
              <w:widowControl w:val="0"/>
              <w:tabs>
                <w:tab w:val="left" w:pos="2771"/>
                <w:tab w:val="left" w:pos="6612"/>
              </w:tabs>
              <w:kinsoku/>
              <w:wordWrap/>
              <w:overflowPunct/>
              <w:topLinePunct w:val="0"/>
              <w:autoSpaceDE/>
              <w:autoSpaceDN/>
              <w:bidi w:val="0"/>
              <w:adjustRightInd w:val="0"/>
              <w:snapToGrid w:val="0"/>
              <w:spacing w:line="0" w:lineRule="atLeast"/>
              <w:ind w:firstLine="0" w:firstLineChars="0"/>
              <w:jc w:val="center"/>
              <w:textAlignment w:val="auto"/>
              <w:rPr>
                <w:rFonts w:hint="default" w:ascii="Times New Roman" w:hAnsi="Times New Roman" w:eastAsia="宋体" w:cs="Times New Roman"/>
                <w:b w:val="0"/>
                <w:bCs/>
                <w:color w:val="0000FF"/>
                <w:sz w:val="21"/>
                <w:szCs w:val="21"/>
              </w:rPr>
            </w:pPr>
            <w:r>
              <w:rPr>
                <w:rFonts w:hint="default" w:ascii="Times New Roman" w:hAnsi="Times New Roman" w:eastAsia="宋体" w:cs="Times New Roman"/>
                <w:b w:val="0"/>
                <w:bCs/>
                <w:color w:val="0000FF"/>
                <w:sz w:val="21"/>
                <w:szCs w:val="21"/>
              </w:rPr>
              <w:t>NH</w:t>
            </w:r>
            <w:r>
              <w:rPr>
                <w:rFonts w:hint="default" w:ascii="Times New Roman" w:hAnsi="Times New Roman" w:eastAsia="宋体" w:cs="Times New Roman"/>
                <w:b w:val="0"/>
                <w:bCs/>
                <w:color w:val="0000FF"/>
                <w:sz w:val="21"/>
                <w:szCs w:val="21"/>
                <w:vertAlign w:val="subscript"/>
              </w:rPr>
              <w:t>3</w:t>
            </w:r>
          </w:p>
        </w:tc>
        <w:tc>
          <w:tcPr>
            <w:tcW w:w="1287" w:type="dxa"/>
            <w:vAlign w:val="center"/>
          </w:tcPr>
          <w:p w14:paraId="30CE0683">
            <w:pPr>
              <w:keepNext w:val="0"/>
              <w:keepLines w:val="0"/>
              <w:pageBreakBefore w:val="0"/>
              <w:widowControl w:val="0"/>
              <w:tabs>
                <w:tab w:val="left" w:pos="2771"/>
                <w:tab w:val="left" w:pos="6612"/>
              </w:tabs>
              <w:kinsoku/>
              <w:wordWrap/>
              <w:overflowPunct/>
              <w:topLinePunct w:val="0"/>
              <w:autoSpaceDE/>
              <w:autoSpaceDN/>
              <w:bidi w:val="0"/>
              <w:adjustRightInd w:val="0"/>
              <w:snapToGrid w:val="0"/>
              <w:spacing w:line="0" w:lineRule="atLeast"/>
              <w:ind w:firstLine="0" w:firstLineChars="0"/>
              <w:jc w:val="center"/>
              <w:textAlignment w:val="auto"/>
              <w:rPr>
                <w:rFonts w:hint="default" w:ascii="Times New Roman" w:hAnsi="Times New Roman" w:eastAsia="宋体" w:cs="Times New Roman"/>
                <w:b w:val="0"/>
                <w:bCs/>
                <w:color w:val="0000FF"/>
                <w:sz w:val="21"/>
                <w:szCs w:val="21"/>
              </w:rPr>
            </w:pPr>
            <w:r>
              <w:rPr>
                <w:rFonts w:hint="default" w:ascii="Times New Roman" w:hAnsi="Times New Roman" w:eastAsia="宋体" w:cs="Times New Roman"/>
                <w:b w:val="0"/>
                <w:bCs/>
                <w:color w:val="0000FF"/>
                <w:sz w:val="21"/>
                <w:szCs w:val="21"/>
              </w:rPr>
              <w:t>200.0</w:t>
            </w:r>
          </w:p>
        </w:tc>
        <w:tc>
          <w:tcPr>
            <w:tcW w:w="1624" w:type="dxa"/>
            <w:vAlign w:val="center"/>
          </w:tcPr>
          <w:p w14:paraId="7588DD49">
            <w:pPr>
              <w:keepNext w:val="0"/>
              <w:keepLines w:val="0"/>
              <w:pageBreakBefore w:val="0"/>
              <w:widowControl w:val="0"/>
              <w:tabs>
                <w:tab w:val="left" w:pos="2771"/>
                <w:tab w:val="left" w:pos="6612"/>
              </w:tabs>
              <w:kinsoku/>
              <w:wordWrap/>
              <w:overflowPunct/>
              <w:topLinePunct w:val="0"/>
              <w:autoSpaceDE/>
              <w:autoSpaceDN/>
              <w:bidi w:val="0"/>
              <w:adjustRightInd w:val="0"/>
              <w:snapToGrid w:val="0"/>
              <w:spacing w:line="0" w:lineRule="atLeast"/>
              <w:ind w:firstLine="0" w:firstLineChars="0"/>
              <w:jc w:val="center"/>
              <w:textAlignment w:val="auto"/>
              <w:rPr>
                <w:rFonts w:hint="default" w:ascii="Times New Roman" w:hAnsi="Times New Roman" w:eastAsia="宋体" w:cs="Times New Roman"/>
                <w:b w:val="0"/>
                <w:bCs/>
                <w:color w:val="0000FF"/>
                <w:sz w:val="21"/>
                <w:szCs w:val="21"/>
              </w:rPr>
            </w:pPr>
            <w:r>
              <w:rPr>
                <w:rFonts w:hint="default" w:ascii="Times New Roman" w:hAnsi="Times New Roman" w:eastAsia="宋体" w:cs="Times New Roman"/>
                <w:b w:val="0"/>
                <w:bCs/>
                <w:color w:val="0000FF"/>
                <w:sz w:val="21"/>
                <w:szCs w:val="21"/>
              </w:rPr>
              <w:t>0.0000</w:t>
            </w:r>
          </w:p>
        </w:tc>
        <w:tc>
          <w:tcPr>
            <w:tcW w:w="1197" w:type="dxa"/>
            <w:vAlign w:val="center"/>
          </w:tcPr>
          <w:p w14:paraId="6496BDF9">
            <w:pPr>
              <w:keepNext w:val="0"/>
              <w:keepLines w:val="0"/>
              <w:pageBreakBefore w:val="0"/>
              <w:widowControl w:val="0"/>
              <w:tabs>
                <w:tab w:val="left" w:pos="2771"/>
                <w:tab w:val="left" w:pos="6612"/>
              </w:tabs>
              <w:kinsoku/>
              <w:wordWrap/>
              <w:overflowPunct/>
              <w:topLinePunct w:val="0"/>
              <w:autoSpaceDE/>
              <w:autoSpaceDN/>
              <w:bidi w:val="0"/>
              <w:adjustRightInd w:val="0"/>
              <w:snapToGrid w:val="0"/>
              <w:spacing w:line="0" w:lineRule="atLeast"/>
              <w:ind w:firstLine="0" w:firstLineChars="0"/>
              <w:jc w:val="center"/>
              <w:textAlignment w:val="auto"/>
              <w:rPr>
                <w:rFonts w:hint="default" w:ascii="Times New Roman" w:hAnsi="Times New Roman" w:eastAsia="宋体" w:cs="Times New Roman"/>
                <w:b w:val="0"/>
                <w:bCs/>
                <w:color w:val="0000FF"/>
                <w:sz w:val="21"/>
                <w:szCs w:val="21"/>
              </w:rPr>
            </w:pPr>
            <w:r>
              <w:rPr>
                <w:rFonts w:hint="default" w:ascii="Times New Roman" w:hAnsi="Times New Roman" w:eastAsia="宋体" w:cs="Times New Roman"/>
                <w:b w:val="0"/>
                <w:bCs/>
                <w:color w:val="0000FF"/>
                <w:sz w:val="21"/>
                <w:szCs w:val="21"/>
              </w:rPr>
              <w:t>0.0000</w:t>
            </w:r>
          </w:p>
        </w:tc>
        <w:tc>
          <w:tcPr>
            <w:tcW w:w="1391" w:type="dxa"/>
            <w:vAlign w:val="center"/>
          </w:tcPr>
          <w:p w14:paraId="1C8CB759">
            <w:pPr>
              <w:keepNext w:val="0"/>
              <w:keepLines w:val="0"/>
              <w:pageBreakBefore w:val="0"/>
              <w:widowControl w:val="0"/>
              <w:tabs>
                <w:tab w:val="left" w:pos="2771"/>
                <w:tab w:val="left" w:pos="6612"/>
              </w:tabs>
              <w:kinsoku/>
              <w:wordWrap/>
              <w:overflowPunct/>
              <w:topLinePunct w:val="0"/>
              <w:autoSpaceDE/>
              <w:autoSpaceDN/>
              <w:bidi w:val="0"/>
              <w:adjustRightInd w:val="0"/>
              <w:snapToGrid w:val="0"/>
              <w:spacing w:line="0" w:lineRule="atLeast"/>
              <w:ind w:firstLine="0" w:firstLineChars="0"/>
              <w:jc w:val="center"/>
              <w:textAlignment w:val="auto"/>
              <w:rPr>
                <w:rFonts w:hint="default" w:ascii="Times New Roman" w:hAnsi="Times New Roman" w:eastAsia="宋体" w:cs="Times New Roman"/>
                <w:b w:val="0"/>
                <w:bCs/>
                <w:color w:val="0000FF"/>
                <w:sz w:val="21"/>
                <w:szCs w:val="21"/>
              </w:rPr>
            </w:pPr>
            <w:r>
              <w:rPr>
                <w:rFonts w:hint="default" w:ascii="Times New Roman" w:hAnsi="Times New Roman" w:eastAsia="宋体" w:cs="Times New Roman"/>
                <w:b w:val="0"/>
                <w:bCs/>
                <w:color w:val="0000FF"/>
                <w:sz w:val="21"/>
                <w:szCs w:val="21"/>
              </w:rPr>
              <w:t>/</w:t>
            </w:r>
          </w:p>
        </w:tc>
      </w:tr>
      <w:tr w14:paraId="6B83AD85">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0" w:hRule="atLeast"/>
          <w:jc w:val="center"/>
        </w:trPr>
        <w:tc>
          <w:tcPr>
            <w:tcW w:w="1565" w:type="dxa"/>
            <w:vMerge w:val="continue"/>
            <w:vAlign w:val="center"/>
          </w:tcPr>
          <w:p w14:paraId="77865DB6">
            <w:pPr>
              <w:keepNext w:val="0"/>
              <w:keepLines w:val="0"/>
              <w:pageBreakBefore w:val="0"/>
              <w:widowControl w:val="0"/>
              <w:tabs>
                <w:tab w:val="left" w:pos="2771"/>
                <w:tab w:val="left" w:pos="6612"/>
              </w:tabs>
              <w:kinsoku/>
              <w:wordWrap/>
              <w:overflowPunct/>
              <w:topLinePunct w:val="0"/>
              <w:autoSpaceDE/>
              <w:autoSpaceDN/>
              <w:bidi w:val="0"/>
              <w:adjustRightInd w:val="0"/>
              <w:snapToGrid w:val="0"/>
              <w:spacing w:line="0" w:lineRule="atLeast"/>
              <w:ind w:firstLine="0" w:firstLineChars="0"/>
              <w:jc w:val="center"/>
              <w:textAlignment w:val="auto"/>
              <w:rPr>
                <w:rFonts w:hint="default" w:ascii="Times New Roman" w:hAnsi="Times New Roman" w:eastAsia="宋体" w:cs="Times New Roman"/>
                <w:b w:val="0"/>
                <w:bCs/>
                <w:color w:val="0000FF"/>
                <w:sz w:val="21"/>
                <w:szCs w:val="21"/>
              </w:rPr>
            </w:pPr>
          </w:p>
        </w:tc>
        <w:tc>
          <w:tcPr>
            <w:tcW w:w="1137" w:type="dxa"/>
            <w:vAlign w:val="center"/>
          </w:tcPr>
          <w:p w14:paraId="2C8DF0A2">
            <w:pPr>
              <w:keepNext w:val="0"/>
              <w:keepLines w:val="0"/>
              <w:pageBreakBefore w:val="0"/>
              <w:widowControl w:val="0"/>
              <w:tabs>
                <w:tab w:val="left" w:pos="2771"/>
                <w:tab w:val="left" w:pos="6612"/>
              </w:tabs>
              <w:kinsoku/>
              <w:wordWrap/>
              <w:overflowPunct/>
              <w:topLinePunct w:val="0"/>
              <w:autoSpaceDE/>
              <w:autoSpaceDN/>
              <w:bidi w:val="0"/>
              <w:adjustRightInd w:val="0"/>
              <w:snapToGrid w:val="0"/>
              <w:spacing w:line="0" w:lineRule="atLeast"/>
              <w:ind w:firstLine="0" w:firstLineChars="0"/>
              <w:jc w:val="center"/>
              <w:textAlignment w:val="auto"/>
              <w:rPr>
                <w:rFonts w:hint="default" w:ascii="Times New Roman" w:hAnsi="Times New Roman" w:eastAsia="宋体" w:cs="Times New Roman"/>
                <w:b w:val="0"/>
                <w:bCs/>
                <w:color w:val="0000FF"/>
                <w:sz w:val="21"/>
                <w:szCs w:val="21"/>
              </w:rPr>
            </w:pPr>
            <w:r>
              <w:rPr>
                <w:rFonts w:hint="default" w:ascii="Times New Roman" w:hAnsi="Times New Roman" w:eastAsia="宋体" w:cs="Times New Roman"/>
                <w:b w:val="0"/>
                <w:bCs/>
                <w:color w:val="0000FF"/>
                <w:sz w:val="21"/>
                <w:szCs w:val="21"/>
              </w:rPr>
              <w:t>H</w:t>
            </w:r>
            <w:r>
              <w:rPr>
                <w:rFonts w:hint="default" w:ascii="Times New Roman" w:hAnsi="Times New Roman" w:eastAsia="宋体" w:cs="Times New Roman"/>
                <w:b w:val="0"/>
                <w:bCs/>
                <w:color w:val="0000FF"/>
                <w:sz w:val="21"/>
                <w:szCs w:val="21"/>
                <w:vertAlign w:val="subscript"/>
              </w:rPr>
              <w:t>2</w:t>
            </w:r>
            <w:r>
              <w:rPr>
                <w:rFonts w:hint="default" w:ascii="Times New Roman" w:hAnsi="Times New Roman" w:eastAsia="宋体" w:cs="Times New Roman"/>
                <w:b w:val="0"/>
                <w:bCs/>
                <w:color w:val="0000FF"/>
                <w:sz w:val="21"/>
                <w:szCs w:val="21"/>
              </w:rPr>
              <w:t>S</w:t>
            </w:r>
          </w:p>
        </w:tc>
        <w:tc>
          <w:tcPr>
            <w:tcW w:w="1287" w:type="dxa"/>
            <w:vAlign w:val="center"/>
          </w:tcPr>
          <w:p w14:paraId="74C6EA56">
            <w:pPr>
              <w:keepNext w:val="0"/>
              <w:keepLines w:val="0"/>
              <w:pageBreakBefore w:val="0"/>
              <w:widowControl w:val="0"/>
              <w:tabs>
                <w:tab w:val="left" w:pos="2771"/>
                <w:tab w:val="left" w:pos="6612"/>
              </w:tabs>
              <w:kinsoku/>
              <w:wordWrap/>
              <w:overflowPunct/>
              <w:topLinePunct w:val="0"/>
              <w:autoSpaceDE/>
              <w:autoSpaceDN/>
              <w:bidi w:val="0"/>
              <w:adjustRightInd w:val="0"/>
              <w:snapToGrid w:val="0"/>
              <w:spacing w:line="0" w:lineRule="atLeast"/>
              <w:ind w:firstLine="0" w:firstLineChars="0"/>
              <w:jc w:val="center"/>
              <w:textAlignment w:val="auto"/>
              <w:rPr>
                <w:rFonts w:hint="default" w:ascii="Times New Roman" w:hAnsi="Times New Roman" w:eastAsia="宋体" w:cs="Times New Roman"/>
                <w:b w:val="0"/>
                <w:bCs/>
                <w:color w:val="0000FF"/>
                <w:sz w:val="21"/>
                <w:szCs w:val="21"/>
              </w:rPr>
            </w:pPr>
            <w:r>
              <w:rPr>
                <w:rFonts w:hint="default" w:ascii="Times New Roman" w:hAnsi="Times New Roman" w:eastAsia="宋体" w:cs="Times New Roman"/>
                <w:b w:val="0"/>
                <w:bCs/>
                <w:color w:val="0000FF"/>
                <w:sz w:val="21"/>
                <w:szCs w:val="21"/>
              </w:rPr>
              <w:t>10.0</w:t>
            </w:r>
          </w:p>
        </w:tc>
        <w:tc>
          <w:tcPr>
            <w:tcW w:w="1624" w:type="dxa"/>
            <w:vAlign w:val="center"/>
          </w:tcPr>
          <w:p w14:paraId="2D720088">
            <w:pPr>
              <w:keepNext w:val="0"/>
              <w:keepLines w:val="0"/>
              <w:pageBreakBefore w:val="0"/>
              <w:widowControl w:val="0"/>
              <w:tabs>
                <w:tab w:val="left" w:pos="2771"/>
                <w:tab w:val="left" w:pos="6612"/>
              </w:tabs>
              <w:kinsoku/>
              <w:wordWrap/>
              <w:overflowPunct/>
              <w:topLinePunct w:val="0"/>
              <w:autoSpaceDE/>
              <w:autoSpaceDN/>
              <w:bidi w:val="0"/>
              <w:adjustRightInd w:val="0"/>
              <w:snapToGrid w:val="0"/>
              <w:spacing w:line="0" w:lineRule="atLeast"/>
              <w:ind w:firstLine="0" w:firstLineChars="0"/>
              <w:jc w:val="center"/>
              <w:textAlignment w:val="auto"/>
              <w:rPr>
                <w:rFonts w:hint="default" w:ascii="Times New Roman" w:hAnsi="Times New Roman" w:eastAsia="宋体" w:cs="Times New Roman"/>
                <w:b w:val="0"/>
                <w:bCs/>
                <w:color w:val="0000FF"/>
                <w:sz w:val="21"/>
                <w:szCs w:val="21"/>
              </w:rPr>
            </w:pPr>
            <w:r>
              <w:rPr>
                <w:rFonts w:hint="default" w:ascii="Times New Roman" w:hAnsi="Times New Roman" w:eastAsia="宋体" w:cs="Times New Roman"/>
                <w:b w:val="0"/>
                <w:bCs/>
                <w:color w:val="0000FF"/>
                <w:sz w:val="21"/>
                <w:szCs w:val="21"/>
              </w:rPr>
              <w:t>0.0000</w:t>
            </w:r>
          </w:p>
        </w:tc>
        <w:tc>
          <w:tcPr>
            <w:tcW w:w="1197" w:type="dxa"/>
            <w:vAlign w:val="center"/>
          </w:tcPr>
          <w:p w14:paraId="7A9579F0">
            <w:pPr>
              <w:keepNext w:val="0"/>
              <w:keepLines w:val="0"/>
              <w:pageBreakBefore w:val="0"/>
              <w:widowControl w:val="0"/>
              <w:tabs>
                <w:tab w:val="left" w:pos="2771"/>
                <w:tab w:val="left" w:pos="6612"/>
              </w:tabs>
              <w:kinsoku/>
              <w:wordWrap/>
              <w:overflowPunct/>
              <w:topLinePunct w:val="0"/>
              <w:autoSpaceDE/>
              <w:autoSpaceDN/>
              <w:bidi w:val="0"/>
              <w:adjustRightInd w:val="0"/>
              <w:snapToGrid w:val="0"/>
              <w:spacing w:line="0" w:lineRule="atLeast"/>
              <w:ind w:firstLine="0" w:firstLineChars="0"/>
              <w:jc w:val="center"/>
              <w:textAlignment w:val="auto"/>
              <w:rPr>
                <w:rFonts w:hint="default" w:ascii="Times New Roman" w:hAnsi="Times New Roman" w:eastAsia="宋体" w:cs="Times New Roman"/>
                <w:b w:val="0"/>
                <w:bCs/>
                <w:color w:val="0000FF"/>
                <w:sz w:val="21"/>
                <w:szCs w:val="21"/>
              </w:rPr>
            </w:pPr>
            <w:r>
              <w:rPr>
                <w:rFonts w:hint="default" w:ascii="Times New Roman" w:hAnsi="Times New Roman" w:eastAsia="宋体" w:cs="Times New Roman"/>
                <w:b w:val="0"/>
                <w:bCs/>
                <w:color w:val="0000FF"/>
                <w:sz w:val="21"/>
                <w:szCs w:val="21"/>
              </w:rPr>
              <w:t>0.0000</w:t>
            </w:r>
          </w:p>
        </w:tc>
        <w:tc>
          <w:tcPr>
            <w:tcW w:w="1391" w:type="dxa"/>
            <w:vAlign w:val="center"/>
          </w:tcPr>
          <w:p w14:paraId="513D2F7A">
            <w:pPr>
              <w:keepNext w:val="0"/>
              <w:keepLines w:val="0"/>
              <w:pageBreakBefore w:val="0"/>
              <w:widowControl w:val="0"/>
              <w:tabs>
                <w:tab w:val="left" w:pos="2771"/>
                <w:tab w:val="left" w:pos="6612"/>
              </w:tabs>
              <w:kinsoku/>
              <w:wordWrap/>
              <w:overflowPunct/>
              <w:topLinePunct w:val="0"/>
              <w:autoSpaceDE/>
              <w:autoSpaceDN/>
              <w:bidi w:val="0"/>
              <w:adjustRightInd w:val="0"/>
              <w:snapToGrid w:val="0"/>
              <w:spacing w:line="0" w:lineRule="atLeast"/>
              <w:ind w:firstLine="0" w:firstLineChars="0"/>
              <w:jc w:val="center"/>
              <w:textAlignment w:val="auto"/>
              <w:rPr>
                <w:rFonts w:hint="default" w:ascii="Times New Roman" w:hAnsi="Times New Roman" w:eastAsia="宋体" w:cs="Times New Roman"/>
                <w:b w:val="0"/>
                <w:bCs/>
                <w:color w:val="0000FF"/>
                <w:sz w:val="21"/>
                <w:szCs w:val="21"/>
              </w:rPr>
            </w:pPr>
            <w:r>
              <w:rPr>
                <w:rFonts w:hint="default" w:ascii="Times New Roman" w:hAnsi="Times New Roman" w:eastAsia="宋体" w:cs="Times New Roman"/>
                <w:b w:val="0"/>
                <w:bCs/>
                <w:color w:val="0000FF"/>
                <w:sz w:val="21"/>
                <w:szCs w:val="21"/>
              </w:rPr>
              <w:t>/</w:t>
            </w:r>
          </w:p>
        </w:tc>
      </w:tr>
      <w:tr w14:paraId="5A537728">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0" w:hRule="atLeast"/>
          <w:jc w:val="center"/>
        </w:trPr>
        <w:tc>
          <w:tcPr>
            <w:tcW w:w="1565" w:type="dxa"/>
            <w:shd w:val="clear" w:color="auto" w:fill="auto"/>
            <w:vAlign w:val="center"/>
          </w:tcPr>
          <w:p w14:paraId="722D2F24">
            <w:pPr>
              <w:keepNext w:val="0"/>
              <w:keepLines w:val="0"/>
              <w:pageBreakBefore w:val="0"/>
              <w:widowControl w:val="0"/>
              <w:tabs>
                <w:tab w:val="left" w:pos="2771"/>
                <w:tab w:val="left" w:pos="6612"/>
              </w:tabs>
              <w:kinsoku/>
              <w:wordWrap/>
              <w:overflowPunct/>
              <w:topLinePunct w:val="0"/>
              <w:autoSpaceDE/>
              <w:autoSpaceDN/>
              <w:bidi w:val="0"/>
              <w:adjustRightInd w:val="0"/>
              <w:snapToGrid w:val="0"/>
              <w:spacing w:line="0" w:lineRule="atLeast"/>
              <w:ind w:firstLine="0" w:firstLineChars="0"/>
              <w:jc w:val="center"/>
              <w:textAlignment w:val="auto"/>
              <w:rPr>
                <w:rFonts w:hint="default" w:ascii="Times New Roman" w:hAnsi="Times New Roman" w:eastAsia="宋体" w:cs="Times New Roman"/>
                <w:b w:val="0"/>
                <w:bCs/>
                <w:color w:val="0000FF"/>
                <w:kern w:val="2"/>
                <w:sz w:val="21"/>
                <w:szCs w:val="21"/>
                <w:lang w:val="en-US" w:eastAsia="zh-CN" w:bidi="ar-SA"/>
              </w:rPr>
            </w:pPr>
            <w:r>
              <w:rPr>
                <w:rFonts w:hint="default" w:ascii="Times New Roman" w:hAnsi="Times New Roman" w:eastAsia="宋体" w:cs="Times New Roman"/>
                <w:b w:val="0"/>
                <w:bCs/>
                <w:color w:val="0000FF"/>
                <w:sz w:val="21"/>
                <w:szCs w:val="21"/>
              </w:rPr>
              <w:t>饲料库</w:t>
            </w:r>
          </w:p>
        </w:tc>
        <w:tc>
          <w:tcPr>
            <w:tcW w:w="1137" w:type="dxa"/>
            <w:shd w:val="clear" w:color="auto" w:fill="auto"/>
            <w:vAlign w:val="center"/>
          </w:tcPr>
          <w:p w14:paraId="70F51BB1">
            <w:pPr>
              <w:keepNext w:val="0"/>
              <w:keepLines w:val="0"/>
              <w:pageBreakBefore w:val="0"/>
              <w:widowControl w:val="0"/>
              <w:tabs>
                <w:tab w:val="left" w:pos="2771"/>
                <w:tab w:val="left" w:pos="6612"/>
              </w:tabs>
              <w:kinsoku/>
              <w:wordWrap/>
              <w:overflowPunct/>
              <w:topLinePunct w:val="0"/>
              <w:autoSpaceDE/>
              <w:autoSpaceDN/>
              <w:bidi w:val="0"/>
              <w:adjustRightInd w:val="0"/>
              <w:snapToGrid w:val="0"/>
              <w:spacing w:line="0" w:lineRule="atLeast"/>
              <w:ind w:firstLine="0" w:firstLineChars="0"/>
              <w:jc w:val="center"/>
              <w:textAlignment w:val="auto"/>
              <w:rPr>
                <w:rFonts w:hint="default" w:ascii="Times New Roman" w:hAnsi="Times New Roman" w:eastAsia="宋体" w:cs="Times New Roman"/>
                <w:b w:val="0"/>
                <w:bCs/>
                <w:color w:val="0000FF"/>
                <w:kern w:val="2"/>
                <w:sz w:val="21"/>
                <w:szCs w:val="21"/>
                <w:lang w:val="en-US" w:eastAsia="zh-CN" w:bidi="ar-SA"/>
              </w:rPr>
            </w:pPr>
            <w:r>
              <w:rPr>
                <w:rFonts w:hint="default" w:ascii="Times New Roman" w:hAnsi="Times New Roman" w:eastAsia="宋体" w:cs="Times New Roman"/>
                <w:b w:val="0"/>
                <w:bCs/>
                <w:color w:val="0000FF"/>
                <w:sz w:val="21"/>
                <w:szCs w:val="21"/>
              </w:rPr>
              <w:t>TSP</w:t>
            </w:r>
          </w:p>
        </w:tc>
        <w:tc>
          <w:tcPr>
            <w:tcW w:w="1287" w:type="dxa"/>
            <w:shd w:val="clear" w:color="auto" w:fill="auto"/>
            <w:vAlign w:val="center"/>
          </w:tcPr>
          <w:p w14:paraId="094B07F8">
            <w:pPr>
              <w:keepNext w:val="0"/>
              <w:keepLines w:val="0"/>
              <w:pageBreakBefore w:val="0"/>
              <w:widowControl w:val="0"/>
              <w:tabs>
                <w:tab w:val="left" w:pos="2771"/>
                <w:tab w:val="left" w:pos="6612"/>
              </w:tabs>
              <w:kinsoku/>
              <w:wordWrap/>
              <w:overflowPunct/>
              <w:topLinePunct w:val="0"/>
              <w:autoSpaceDE/>
              <w:autoSpaceDN/>
              <w:bidi w:val="0"/>
              <w:adjustRightInd w:val="0"/>
              <w:snapToGrid w:val="0"/>
              <w:spacing w:line="0" w:lineRule="atLeast"/>
              <w:ind w:firstLine="0" w:firstLineChars="0"/>
              <w:jc w:val="center"/>
              <w:textAlignment w:val="auto"/>
              <w:rPr>
                <w:rFonts w:hint="default" w:ascii="Times New Roman" w:hAnsi="Times New Roman" w:eastAsia="宋体" w:cs="Times New Roman"/>
                <w:b w:val="0"/>
                <w:bCs/>
                <w:color w:val="0000FF"/>
                <w:kern w:val="2"/>
                <w:sz w:val="21"/>
                <w:szCs w:val="21"/>
                <w:lang w:val="en-US" w:eastAsia="zh-CN" w:bidi="ar-SA"/>
              </w:rPr>
            </w:pPr>
            <w:r>
              <w:rPr>
                <w:rFonts w:hint="default" w:ascii="Times New Roman" w:hAnsi="Times New Roman" w:eastAsia="宋体" w:cs="Times New Roman"/>
                <w:b w:val="0"/>
                <w:bCs/>
                <w:color w:val="0000FF"/>
                <w:sz w:val="21"/>
                <w:szCs w:val="21"/>
              </w:rPr>
              <w:t>900.0</w:t>
            </w:r>
          </w:p>
        </w:tc>
        <w:tc>
          <w:tcPr>
            <w:tcW w:w="1624" w:type="dxa"/>
            <w:shd w:val="clear" w:color="auto" w:fill="auto"/>
            <w:vAlign w:val="center"/>
          </w:tcPr>
          <w:p w14:paraId="7E7187DD">
            <w:pPr>
              <w:keepNext w:val="0"/>
              <w:keepLines w:val="0"/>
              <w:pageBreakBefore w:val="0"/>
              <w:widowControl w:val="0"/>
              <w:tabs>
                <w:tab w:val="left" w:pos="2771"/>
                <w:tab w:val="left" w:pos="6612"/>
              </w:tabs>
              <w:kinsoku/>
              <w:wordWrap/>
              <w:overflowPunct/>
              <w:topLinePunct w:val="0"/>
              <w:autoSpaceDE/>
              <w:autoSpaceDN/>
              <w:bidi w:val="0"/>
              <w:adjustRightInd w:val="0"/>
              <w:snapToGrid w:val="0"/>
              <w:spacing w:line="0" w:lineRule="atLeast"/>
              <w:ind w:firstLine="0" w:firstLineChars="0"/>
              <w:jc w:val="center"/>
              <w:textAlignment w:val="auto"/>
              <w:rPr>
                <w:rFonts w:hint="default" w:ascii="Times New Roman" w:hAnsi="Times New Roman" w:eastAsia="宋体" w:cs="Times New Roman"/>
                <w:b w:val="0"/>
                <w:bCs/>
                <w:color w:val="0000FF"/>
                <w:kern w:val="2"/>
                <w:sz w:val="21"/>
                <w:szCs w:val="21"/>
                <w:lang w:val="en-US" w:eastAsia="zh-CN" w:bidi="ar-SA"/>
              </w:rPr>
            </w:pPr>
            <w:r>
              <w:rPr>
                <w:rFonts w:hint="default" w:ascii="Times New Roman" w:hAnsi="Times New Roman" w:eastAsia="宋体" w:cs="Times New Roman"/>
                <w:b w:val="0"/>
                <w:bCs/>
                <w:color w:val="0000FF"/>
                <w:sz w:val="21"/>
                <w:szCs w:val="21"/>
              </w:rPr>
              <w:t>4.2419</w:t>
            </w:r>
          </w:p>
        </w:tc>
        <w:tc>
          <w:tcPr>
            <w:tcW w:w="1197" w:type="dxa"/>
            <w:shd w:val="clear" w:color="auto" w:fill="auto"/>
            <w:vAlign w:val="center"/>
          </w:tcPr>
          <w:p w14:paraId="06B9250D">
            <w:pPr>
              <w:keepNext w:val="0"/>
              <w:keepLines w:val="0"/>
              <w:pageBreakBefore w:val="0"/>
              <w:widowControl w:val="0"/>
              <w:tabs>
                <w:tab w:val="left" w:pos="2771"/>
                <w:tab w:val="left" w:pos="6612"/>
              </w:tabs>
              <w:kinsoku/>
              <w:wordWrap/>
              <w:overflowPunct/>
              <w:topLinePunct w:val="0"/>
              <w:autoSpaceDE/>
              <w:autoSpaceDN/>
              <w:bidi w:val="0"/>
              <w:adjustRightInd w:val="0"/>
              <w:snapToGrid w:val="0"/>
              <w:spacing w:line="0" w:lineRule="atLeast"/>
              <w:ind w:firstLine="0" w:firstLineChars="0"/>
              <w:jc w:val="center"/>
              <w:textAlignment w:val="auto"/>
              <w:rPr>
                <w:rFonts w:hint="default" w:ascii="Times New Roman" w:hAnsi="Times New Roman" w:eastAsia="宋体" w:cs="Times New Roman"/>
                <w:b w:val="0"/>
                <w:bCs/>
                <w:color w:val="0000FF"/>
                <w:kern w:val="2"/>
                <w:sz w:val="21"/>
                <w:szCs w:val="21"/>
                <w:lang w:val="en-US" w:eastAsia="zh-CN" w:bidi="ar-SA"/>
              </w:rPr>
            </w:pPr>
            <w:r>
              <w:rPr>
                <w:rFonts w:hint="default" w:ascii="Times New Roman" w:hAnsi="Times New Roman" w:eastAsia="宋体" w:cs="Times New Roman"/>
                <w:b w:val="0"/>
                <w:bCs/>
                <w:color w:val="0000FF"/>
                <w:sz w:val="21"/>
                <w:szCs w:val="21"/>
              </w:rPr>
              <w:t>0.4713</w:t>
            </w:r>
          </w:p>
        </w:tc>
        <w:tc>
          <w:tcPr>
            <w:tcW w:w="1391" w:type="dxa"/>
            <w:shd w:val="clear" w:color="auto" w:fill="auto"/>
            <w:vAlign w:val="center"/>
          </w:tcPr>
          <w:p w14:paraId="53167AE2">
            <w:pPr>
              <w:keepNext w:val="0"/>
              <w:keepLines w:val="0"/>
              <w:pageBreakBefore w:val="0"/>
              <w:widowControl w:val="0"/>
              <w:tabs>
                <w:tab w:val="left" w:pos="2771"/>
                <w:tab w:val="left" w:pos="6612"/>
              </w:tabs>
              <w:kinsoku/>
              <w:wordWrap/>
              <w:overflowPunct/>
              <w:topLinePunct w:val="0"/>
              <w:autoSpaceDE/>
              <w:autoSpaceDN/>
              <w:bidi w:val="0"/>
              <w:adjustRightInd w:val="0"/>
              <w:snapToGrid w:val="0"/>
              <w:spacing w:line="0" w:lineRule="atLeast"/>
              <w:ind w:firstLine="0" w:firstLineChars="0"/>
              <w:jc w:val="center"/>
              <w:textAlignment w:val="auto"/>
              <w:rPr>
                <w:rFonts w:hint="default" w:ascii="Times New Roman" w:hAnsi="Times New Roman" w:eastAsia="宋体" w:cs="Times New Roman"/>
                <w:b w:val="0"/>
                <w:bCs/>
                <w:color w:val="0000FF"/>
                <w:kern w:val="2"/>
                <w:sz w:val="21"/>
                <w:szCs w:val="21"/>
                <w:lang w:val="en-US" w:eastAsia="zh-CN" w:bidi="ar-SA"/>
              </w:rPr>
            </w:pPr>
            <w:r>
              <w:rPr>
                <w:rFonts w:hint="default" w:ascii="Times New Roman" w:hAnsi="Times New Roman" w:eastAsia="宋体" w:cs="Times New Roman"/>
                <w:b w:val="0"/>
                <w:bCs/>
                <w:color w:val="0000FF"/>
                <w:sz w:val="21"/>
                <w:szCs w:val="21"/>
              </w:rPr>
              <w:t>/</w:t>
            </w:r>
          </w:p>
        </w:tc>
      </w:tr>
    </w:tbl>
    <w:p w14:paraId="5DB88C87">
      <w:pPr>
        <w:ind w:firstLine="480"/>
        <w:rPr>
          <w:rFonts w:hint="default" w:ascii="Times New Roman" w:hAnsi="Times New Roman" w:eastAsia="宋体" w:cs="Times New Roman"/>
          <w:color w:val="0000FF"/>
          <w:spacing w:val="-6"/>
          <w:lang w:eastAsia="zh-CN"/>
        </w:rPr>
      </w:pPr>
      <w:r>
        <w:rPr>
          <w:rFonts w:hint="default" w:ascii="Times New Roman" w:hAnsi="Times New Roman" w:eastAsia="宋体" w:cs="Times New Roman"/>
          <w:color w:val="0000FF"/>
          <w:highlight w:val="none"/>
          <w:lang w:val="en-US" w:eastAsia="zh-CN"/>
        </w:rPr>
        <w:t>采用导则推荐的估算模式计算最大落地浓度和占标率，</w:t>
      </w:r>
      <w:r>
        <w:rPr>
          <w:rFonts w:hint="default" w:ascii="Times New Roman" w:hAnsi="Times New Roman" w:cs="Times New Roman"/>
          <w:color w:val="0000FF"/>
          <w:highlight w:val="none"/>
          <w:lang w:val="en-US" w:eastAsia="zh-CN"/>
        </w:rPr>
        <w:t>估算结果见</w:t>
      </w:r>
      <w:r>
        <w:rPr>
          <w:rFonts w:hint="default" w:ascii="Times New Roman" w:hAnsi="Times New Roman" w:cs="Times New Roman"/>
          <w:color w:val="0000FF"/>
          <w:highlight w:val="none"/>
          <w:lang w:val="en-US" w:eastAsia="zh-CN"/>
        </w:rPr>
        <w:fldChar w:fldCharType="begin"/>
      </w:r>
      <w:r>
        <w:rPr>
          <w:rFonts w:hint="default" w:ascii="Times New Roman" w:hAnsi="Times New Roman" w:cs="Times New Roman"/>
          <w:color w:val="0000FF"/>
          <w:highlight w:val="none"/>
          <w:lang w:val="en-US" w:eastAsia="zh-CN"/>
        </w:rPr>
        <w:instrText xml:space="preserve"> REF _Ref4868 \h </w:instrText>
      </w:r>
      <w:r>
        <w:rPr>
          <w:rFonts w:hint="default" w:ascii="Times New Roman" w:hAnsi="Times New Roman" w:cs="Times New Roman"/>
          <w:color w:val="0000FF"/>
          <w:highlight w:val="none"/>
          <w:lang w:val="en-US" w:eastAsia="zh-CN"/>
        </w:rPr>
        <w:fldChar w:fldCharType="separate"/>
      </w:r>
      <w:r>
        <w:rPr>
          <w:rFonts w:hint="default" w:ascii="Times New Roman" w:hAnsi="Times New Roman" w:eastAsia="宋体" w:cs="Times New Roman"/>
          <w:color w:val="0000FF"/>
          <w:sz w:val="24"/>
          <w:szCs w:val="24"/>
          <w:highlight w:val="none"/>
        </w:rPr>
        <w:t>表2.6-</w:t>
      </w:r>
      <w:r>
        <w:rPr>
          <w:rFonts w:hint="eastAsia" w:ascii="Times New Roman" w:hAnsi="Times New Roman" w:eastAsia="宋体" w:cs="Times New Roman"/>
          <w:color w:val="0000FF"/>
          <w:sz w:val="24"/>
          <w:szCs w:val="24"/>
          <w:highlight w:val="none"/>
          <w:lang w:val="en-US" w:eastAsia="zh-CN"/>
        </w:rPr>
        <w:t>5</w:t>
      </w:r>
      <w:r>
        <w:rPr>
          <w:rFonts w:hint="default" w:ascii="Times New Roman" w:hAnsi="Times New Roman" w:cs="Times New Roman"/>
          <w:color w:val="0000FF"/>
          <w:highlight w:val="none"/>
          <w:lang w:val="en-US" w:eastAsia="zh-CN"/>
        </w:rPr>
        <w:fldChar w:fldCharType="end"/>
      </w:r>
      <w:r>
        <w:rPr>
          <w:rFonts w:hint="default" w:ascii="Times New Roman" w:hAnsi="Times New Roman" w:cs="Times New Roman"/>
          <w:color w:val="0000FF"/>
          <w:highlight w:val="none"/>
          <w:lang w:val="en-US" w:eastAsia="zh-CN"/>
        </w:rPr>
        <w:t>。本项目Pmax最大值出现为饲料库排放的TSP</w:t>
      </w:r>
      <w:r>
        <w:rPr>
          <w:rFonts w:hint="eastAsia" w:cs="Times New Roman"/>
          <w:color w:val="0000FF"/>
          <w:highlight w:val="none"/>
          <w:lang w:val="en-US" w:eastAsia="zh-CN"/>
        </w:rPr>
        <w:t>占标率</w:t>
      </w:r>
      <w:r>
        <w:rPr>
          <w:rFonts w:hint="default" w:ascii="Times New Roman" w:hAnsi="Times New Roman" w:cs="Times New Roman"/>
          <w:color w:val="0000FF"/>
          <w:highlight w:val="none"/>
          <w:lang w:val="en-US" w:eastAsia="zh-CN"/>
        </w:rPr>
        <w:t>为0.4713%，</w:t>
      </w:r>
      <w:r>
        <w:rPr>
          <w:rFonts w:hint="eastAsia" w:cs="Times New Roman"/>
          <w:color w:val="0000FF"/>
          <w:highlight w:val="none"/>
          <w:lang w:val="en-US" w:eastAsia="zh-CN"/>
        </w:rPr>
        <w:t>最大落地浓度</w:t>
      </w:r>
      <w:r>
        <w:rPr>
          <w:rFonts w:hint="default" w:ascii="Times New Roman" w:hAnsi="Times New Roman" w:cs="Times New Roman"/>
          <w:color w:val="0000FF"/>
          <w:highlight w:val="none"/>
          <w:lang w:val="en-US" w:eastAsia="zh-CN"/>
        </w:rPr>
        <w:t>为4.2419μg/m³。根据《环境影响评价技术导则</w:t>
      </w:r>
      <w:r>
        <w:rPr>
          <w:rFonts w:hint="eastAsia" w:cs="Times New Roman"/>
          <w:color w:val="0000FF"/>
          <w:highlight w:val="none"/>
          <w:lang w:val="en-US" w:eastAsia="zh-CN"/>
        </w:rPr>
        <w:t>-</w:t>
      </w:r>
      <w:r>
        <w:rPr>
          <w:rFonts w:hint="default" w:ascii="Times New Roman" w:hAnsi="Times New Roman" w:cs="Times New Roman"/>
          <w:color w:val="0000FF"/>
          <w:highlight w:val="none"/>
          <w:lang w:val="en-US" w:eastAsia="zh-CN"/>
        </w:rPr>
        <w:t>大气环境》（HJ2.2-2018）分级判据，确定本项目大气环境影响评价工作等级为三级。</w:t>
      </w:r>
    </w:p>
    <w:p w14:paraId="2BA3F143">
      <w:pPr>
        <w:adjustRightInd w:val="0"/>
        <w:snapToGrid w:val="0"/>
        <w:ind w:firstLine="482"/>
        <w:rPr>
          <w:rFonts w:hint="default" w:ascii="Times New Roman" w:hAnsi="Times New Roman" w:eastAsia="宋体" w:cs="Times New Roman"/>
          <w:b/>
          <w:color w:val="0000FF"/>
        </w:rPr>
      </w:pPr>
      <w:r>
        <w:rPr>
          <w:rFonts w:hint="default" w:ascii="Times New Roman" w:hAnsi="Times New Roman" w:eastAsia="宋体" w:cs="Times New Roman"/>
          <w:b/>
          <w:color w:val="0000FF"/>
        </w:rPr>
        <w:t>（</w:t>
      </w:r>
      <w:r>
        <w:rPr>
          <w:rFonts w:hint="eastAsia" w:cs="Times New Roman"/>
          <w:b/>
          <w:color w:val="0000FF"/>
          <w:lang w:val="en-US" w:eastAsia="zh-CN"/>
        </w:rPr>
        <w:t>5</w:t>
      </w:r>
      <w:r>
        <w:rPr>
          <w:rFonts w:hint="default" w:ascii="Times New Roman" w:hAnsi="Times New Roman" w:eastAsia="宋体" w:cs="Times New Roman"/>
          <w:b/>
          <w:color w:val="0000FF"/>
        </w:rPr>
        <w:t>）评价范围</w:t>
      </w:r>
    </w:p>
    <w:p w14:paraId="6D753846">
      <w:pPr>
        <w:pageBreakBefore w:val="0"/>
        <w:kinsoku/>
        <w:bidi w:val="0"/>
        <w:adjustRightInd w:val="0"/>
        <w:snapToGrid w:val="0"/>
        <w:spacing w:line="360" w:lineRule="auto"/>
        <w:ind w:firstLine="476"/>
        <w:rPr>
          <w:rFonts w:hint="default" w:ascii="Times New Roman" w:hAnsi="Times New Roman" w:eastAsia="宋体" w:cs="Times New Roman"/>
          <w:color w:val="0000FF"/>
          <w:spacing w:val="-6"/>
          <w:lang w:eastAsia="zh-CN"/>
        </w:rPr>
      </w:pPr>
      <w:r>
        <w:rPr>
          <w:rFonts w:ascii="Times New Roman" w:hAnsi="Times New Roman" w:eastAsia="宋体"/>
          <w:color w:val="0000FF"/>
          <w:spacing w:val="0"/>
          <w:w w:val="100"/>
          <w:kern w:val="0"/>
          <w:position w:val="0"/>
          <w:highlight w:val="none"/>
        </w:rPr>
        <w:t>根据《环境影响评价技术导则环境空气》（HJ2.2-2018）有关规定，</w:t>
      </w:r>
      <w:r>
        <w:rPr>
          <w:rFonts w:hint="eastAsia"/>
          <w:color w:val="0000FF"/>
          <w:spacing w:val="0"/>
          <w:w w:val="100"/>
          <w:kern w:val="0"/>
          <w:position w:val="0"/>
          <w:highlight w:val="none"/>
          <w:lang w:val="en-US" w:eastAsia="zh-CN"/>
        </w:rPr>
        <w:t>三级评价项目不需设置大气环境影响评价范围。故本项目不设大气环境评价范围</w:t>
      </w:r>
      <w:r>
        <w:rPr>
          <w:rFonts w:ascii="Times New Roman" w:hAnsi="Times New Roman" w:eastAsia="宋体"/>
          <w:color w:val="0000FF"/>
          <w:spacing w:val="0"/>
          <w:w w:val="100"/>
          <w:kern w:val="0"/>
          <w:position w:val="0"/>
          <w:highlight w:val="none"/>
        </w:rPr>
        <w:t>。</w:t>
      </w:r>
    </w:p>
    <w:p w14:paraId="276A2366">
      <w:pPr>
        <w:pStyle w:val="11"/>
        <w:adjustRightInd w:val="0"/>
        <w:snapToGrid w:val="0"/>
        <w:ind w:firstLine="482"/>
        <w:outlineLvl w:val="2"/>
        <w:rPr>
          <w:rFonts w:hint="default" w:ascii="Times New Roman" w:hAnsi="Times New Roman" w:eastAsia="宋体" w:cs="Times New Roman"/>
          <w:b/>
          <w:color w:val="000000" w:themeColor="text1"/>
          <w:lang w:eastAsia="zh-CN"/>
          <w14:textFill>
            <w14:solidFill>
              <w14:schemeClr w14:val="tx1"/>
            </w14:solidFill>
          </w14:textFill>
        </w:rPr>
      </w:pPr>
      <w:bookmarkStart w:id="76" w:name="_Toc8081"/>
      <w:r>
        <w:rPr>
          <w:rFonts w:hint="default" w:ascii="Times New Roman" w:hAnsi="Times New Roman" w:eastAsia="宋体" w:cs="Times New Roman"/>
          <w:b/>
          <w:color w:val="000000" w:themeColor="text1"/>
          <w:lang w:eastAsia="zh-CN"/>
          <w14:textFill>
            <w14:solidFill>
              <w14:schemeClr w14:val="tx1"/>
            </w14:solidFill>
          </w14:textFill>
        </w:rPr>
        <w:t>2.6.2地表水</w:t>
      </w:r>
      <w:bookmarkEnd w:id="76"/>
    </w:p>
    <w:p w14:paraId="25EE891E">
      <w:pPr>
        <w:pStyle w:val="11"/>
        <w:adjustRightInd w:val="0"/>
        <w:snapToGrid w:val="0"/>
        <w:ind w:firstLine="456"/>
        <w:rPr>
          <w:rFonts w:hint="default" w:ascii="Times New Roman" w:hAnsi="Times New Roman" w:eastAsia="宋体" w:cs="Times New Roman"/>
          <w:color w:val="000000" w:themeColor="text1"/>
          <w:spacing w:val="-6"/>
          <w:lang w:eastAsia="zh-CN"/>
          <w14:textFill>
            <w14:solidFill>
              <w14:schemeClr w14:val="tx1"/>
            </w14:solidFill>
          </w14:textFill>
        </w:rPr>
      </w:pPr>
      <w:r>
        <w:rPr>
          <w:rFonts w:hint="default" w:ascii="Times New Roman" w:hAnsi="Times New Roman" w:eastAsia="宋体" w:cs="Times New Roman"/>
          <w:color w:val="000000" w:themeColor="text1"/>
          <w:spacing w:val="-6"/>
          <w:lang w:eastAsia="zh-CN"/>
          <w14:textFill>
            <w14:solidFill>
              <w14:schemeClr w14:val="tx1"/>
            </w14:solidFill>
          </w14:textFill>
        </w:rPr>
        <w:t>项目废水主要为牛尿、青贮饲料渗滤液、</w:t>
      </w:r>
      <w:r>
        <w:rPr>
          <w:rFonts w:hint="eastAsia" w:ascii="Times New Roman" w:hAnsi="Times New Roman" w:cs="Times New Roman"/>
          <w:color w:val="000000" w:themeColor="text1"/>
          <w:spacing w:val="-6"/>
          <w:lang w:val="en-US" w:eastAsia="zh-CN"/>
          <w14:textFill>
            <w14:solidFill>
              <w14:schemeClr w14:val="tx1"/>
            </w14:solidFill>
          </w14:textFill>
        </w:rPr>
        <w:t>挤</w:t>
      </w:r>
      <w:r>
        <w:rPr>
          <w:rFonts w:hint="default" w:ascii="Times New Roman" w:hAnsi="Times New Roman" w:eastAsia="宋体" w:cs="Times New Roman"/>
          <w:color w:val="000000" w:themeColor="text1"/>
          <w:spacing w:val="-6"/>
          <w:lang w:eastAsia="zh-CN"/>
          <w14:textFill>
            <w14:solidFill>
              <w14:schemeClr w14:val="tx1"/>
            </w14:solidFill>
          </w14:textFill>
        </w:rPr>
        <w:t>奶厅冲洗水、生活污水等，</w:t>
      </w:r>
      <w:r>
        <w:rPr>
          <w:rFonts w:hint="default" w:ascii="Times New Roman" w:hAnsi="Times New Roman" w:eastAsia="宋体" w:cs="Times New Roman"/>
          <w:color w:val="000000" w:themeColor="text1"/>
          <w:spacing w:val="-5"/>
          <w:lang w:eastAsia="zh-CN"/>
          <w14:textFill>
            <w14:solidFill>
              <w14:schemeClr w14:val="tx1"/>
            </w14:solidFill>
          </w14:textFill>
        </w:rPr>
        <w:t>厂区</w:t>
      </w:r>
      <w:r>
        <w:rPr>
          <w:rFonts w:hint="eastAsia" w:ascii="Times New Roman" w:hAnsi="Times New Roman" w:cs="Times New Roman"/>
          <w:color w:val="000000" w:themeColor="text1"/>
          <w:spacing w:val="-5"/>
          <w:lang w:val="en-US" w:eastAsia="zh-CN"/>
          <w14:textFill>
            <w14:solidFill>
              <w14:schemeClr w14:val="tx1"/>
            </w14:solidFill>
          </w14:textFill>
        </w:rPr>
        <w:t>挤</w:t>
      </w:r>
      <w:r>
        <w:rPr>
          <w:rFonts w:hint="default" w:ascii="Times New Roman" w:hAnsi="Times New Roman" w:eastAsia="宋体" w:cs="Times New Roman"/>
          <w:color w:val="000000" w:themeColor="text1"/>
          <w:spacing w:val="-5"/>
          <w:lang w:eastAsia="zh-CN"/>
          <w14:textFill>
            <w14:solidFill>
              <w14:schemeClr w14:val="tx1"/>
            </w14:solidFill>
          </w14:textFill>
        </w:rPr>
        <w:t>奶厅废水单独收集，通过管道送至挤奶厅旁的冲洗池，后回用于待挤厅地面冲洗</w:t>
      </w:r>
      <w:r>
        <w:rPr>
          <w:rFonts w:hint="eastAsia" w:ascii="Times New Roman" w:hAnsi="Times New Roman" w:cs="Times New Roman"/>
          <w:color w:val="000000" w:themeColor="text1"/>
          <w:spacing w:val="-5"/>
          <w:lang w:eastAsia="zh-CN"/>
          <w14:textFill>
            <w14:solidFill>
              <w14:schemeClr w14:val="tx1"/>
            </w14:solidFill>
          </w14:textFill>
        </w:rPr>
        <w:t>。</w:t>
      </w:r>
      <w:r>
        <w:rPr>
          <w:rFonts w:hint="eastAsia" w:ascii="Times New Roman" w:hAnsi="Times New Roman" w:cs="Times New Roman"/>
          <w:color w:val="000000" w:themeColor="text1"/>
          <w:spacing w:val="-5"/>
          <w:lang w:val="en-US" w:eastAsia="zh-CN"/>
          <w14:textFill>
            <w14:solidFill>
              <w14:schemeClr w14:val="tx1"/>
            </w14:solidFill>
          </w14:textFill>
        </w:rPr>
        <w:t>地面冲洗废水</w:t>
      </w:r>
      <w:r>
        <w:rPr>
          <w:rFonts w:hint="default" w:ascii="Times New Roman" w:hAnsi="Times New Roman" w:eastAsia="宋体" w:cs="Times New Roman"/>
          <w:color w:val="000000" w:themeColor="text1"/>
          <w:spacing w:val="-5"/>
          <w:lang w:eastAsia="zh-CN"/>
          <w14:textFill>
            <w14:solidFill>
              <w14:schemeClr w14:val="tx1"/>
            </w14:solidFill>
          </w14:textFill>
        </w:rPr>
        <w:t>通过粪污泵输送到固液分离系统进行分离，分离后液体进入氧化塘</w:t>
      </w:r>
      <w:r>
        <w:rPr>
          <w:rFonts w:hint="default" w:ascii="Times New Roman" w:hAnsi="Times New Roman" w:eastAsia="宋体" w:cs="Times New Roman"/>
          <w:color w:val="000000" w:themeColor="text1"/>
          <w:spacing w:val="-6"/>
          <w:lang w:eastAsia="zh-CN"/>
          <w14:textFill>
            <w14:solidFill>
              <w14:schemeClr w14:val="tx1"/>
            </w14:solidFill>
          </w14:textFill>
        </w:rPr>
        <w:t>；生活污水排入化粪池处理后</w:t>
      </w:r>
      <w:r>
        <w:rPr>
          <w:rFonts w:hint="default" w:ascii="Times New Roman" w:hAnsi="Times New Roman" w:eastAsia="宋体" w:cs="Times New Roman"/>
          <w:color w:val="000000" w:themeColor="text1"/>
          <w:spacing w:val="-5"/>
          <w:lang w:eastAsia="zh-CN"/>
          <w14:textFill>
            <w14:solidFill>
              <w14:schemeClr w14:val="tx1"/>
            </w14:solidFill>
          </w14:textFill>
        </w:rPr>
        <w:t>送到污水调节池均匀注入项目配套氧化塘</w:t>
      </w:r>
      <w:r>
        <w:rPr>
          <w:rFonts w:hint="default" w:ascii="Times New Roman" w:hAnsi="Times New Roman" w:eastAsia="宋体" w:cs="Times New Roman"/>
          <w:color w:val="000000" w:themeColor="text1"/>
          <w:spacing w:val="-6"/>
          <w:lang w:eastAsia="zh-CN"/>
          <w14:textFill>
            <w14:solidFill>
              <w14:schemeClr w14:val="tx1"/>
            </w14:solidFill>
          </w14:textFill>
        </w:rPr>
        <w:t>，废水经氧化塘处理后用于农田灌溉。无污废水外排，对周边地表水影响很小。</w:t>
      </w:r>
    </w:p>
    <w:p w14:paraId="06B41197">
      <w:pPr>
        <w:pStyle w:val="11"/>
        <w:adjustRightInd w:val="0"/>
        <w:snapToGrid w:val="0"/>
        <w:ind w:firstLine="456"/>
        <w:rPr>
          <w:rFonts w:hint="default" w:ascii="Times New Roman" w:hAnsi="Times New Roman" w:eastAsia="宋体" w:cs="Times New Roman"/>
          <w:color w:val="000000" w:themeColor="text1"/>
          <w:spacing w:val="-6"/>
          <w:lang w:eastAsia="zh-CN"/>
          <w14:textFill>
            <w14:solidFill>
              <w14:schemeClr w14:val="tx1"/>
            </w14:solidFill>
          </w14:textFill>
        </w:rPr>
      </w:pPr>
      <w:r>
        <w:rPr>
          <w:rFonts w:hint="default" w:ascii="Times New Roman" w:hAnsi="Times New Roman" w:eastAsia="宋体" w:cs="Times New Roman"/>
          <w:color w:val="000000" w:themeColor="text1"/>
          <w:spacing w:val="-6"/>
          <w:lang w:eastAsia="zh-CN"/>
          <w14:textFill>
            <w14:solidFill>
              <w14:schemeClr w14:val="tx1"/>
            </w14:solidFill>
          </w14:textFill>
        </w:rPr>
        <w:t>参照《环境影响评价技术导则地表水环境》（HJ2.3-2018）地表水环境影响评价工作分级判据要求，建设项目生产工艺中有废水产生，但全部综合利用，不排放外环境，因此确定本项目地表水环境影响评价工作级别为“三级B”。</w:t>
      </w:r>
    </w:p>
    <w:p w14:paraId="41F7BFA4">
      <w:pPr>
        <w:pStyle w:val="11"/>
        <w:adjustRightInd w:val="0"/>
        <w:snapToGrid w:val="0"/>
        <w:ind w:firstLine="482"/>
        <w:outlineLvl w:val="2"/>
        <w:rPr>
          <w:rFonts w:hint="default" w:ascii="Times New Roman" w:hAnsi="Times New Roman" w:eastAsia="宋体" w:cs="Times New Roman"/>
          <w:b/>
          <w:color w:val="000000" w:themeColor="text1"/>
          <w:lang w:eastAsia="zh-CN"/>
          <w14:textFill>
            <w14:solidFill>
              <w14:schemeClr w14:val="tx1"/>
            </w14:solidFill>
          </w14:textFill>
        </w:rPr>
      </w:pPr>
      <w:bookmarkStart w:id="77" w:name="_Toc14285"/>
      <w:r>
        <w:rPr>
          <w:rFonts w:hint="default" w:ascii="Times New Roman" w:hAnsi="Times New Roman" w:eastAsia="宋体" w:cs="Times New Roman"/>
          <w:b/>
          <w:color w:val="000000" w:themeColor="text1"/>
          <w:lang w:eastAsia="zh-CN"/>
          <w14:textFill>
            <w14:solidFill>
              <w14:schemeClr w14:val="tx1"/>
            </w14:solidFill>
          </w14:textFill>
        </w:rPr>
        <w:t>2.6.3地下水</w:t>
      </w:r>
      <w:bookmarkEnd w:id="77"/>
    </w:p>
    <w:p w14:paraId="177DE49D">
      <w:pPr>
        <w:adjustRightInd w:val="0"/>
        <w:snapToGrid w:val="0"/>
        <w:ind w:firstLine="482"/>
        <w:rPr>
          <w:rFonts w:hint="default" w:ascii="Times New Roman" w:hAnsi="Times New Roman" w:eastAsia="宋体" w:cs="Times New Roman"/>
          <w:b/>
          <w:color w:val="000000" w:themeColor="text1"/>
          <w14:textFill>
            <w14:solidFill>
              <w14:schemeClr w14:val="tx1"/>
            </w14:solidFill>
          </w14:textFill>
        </w:rPr>
      </w:pPr>
      <w:r>
        <w:rPr>
          <w:rFonts w:hint="default" w:ascii="Times New Roman" w:hAnsi="Times New Roman" w:eastAsia="宋体" w:cs="Times New Roman"/>
          <w:b/>
          <w:color w:val="000000" w:themeColor="text1"/>
          <w14:textFill>
            <w14:solidFill>
              <w14:schemeClr w14:val="tx1"/>
            </w14:solidFill>
          </w14:textFill>
        </w:rPr>
        <w:t>（1）评价等级</w:t>
      </w:r>
    </w:p>
    <w:p w14:paraId="459FAFCC">
      <w:pPr>
        <w:pStyle w:val="11"/>
        <w:adjustRightInd w:val="0"/>
        <w:snapToGrid w:val="0"/>
        <w:ind w:firstLine="456"/>
        <w:rPr>
          <w:rFonts w:hint="default" w:ascii="Times New Roman" w:hAnsi="Times New Roman" w:eastAsia="宋体" w:cs="Times New Roman"/>
          <w:color w:val="000000" w:themeColor="text1"/>
          <w:spacing w:val="-6"/>
          <w:lang w:eastAsia="zh-CN"/>
          <w14:textFill>
            <w14:solidFill>
              <w14:schemeClr w14:val="tx1"/>
            </w14:solidFill>
          </w14:textFill>
        </w:rPr>
      </w:pPr>
      <w:r>
        <w:rPr>
          <w:rFonts w:hint="default" w:ascii="Times New Roman" w:hAnsi="Times New Roman" w:eastAsia="宋体" w:cs="Times New Roman"/>
          <w:color w:val="000000" w:themeColor="text1"/>
          <w:spacing w:val="-6"/>
          <w:lang w:eastAsia="zh-CN"/>
          <w14:textFill>
            <w14:solidFill>
              <w14:schemeClr w14:val="tx1"/>
            </w14:solidFill>
          </w14:textFill>
        </w:rPr>
        <w:t>1）地下水环境影响评价行业分类</w:t>
      </w:r>
    </w:p>
    <w:p w14:paraId="2A0F6045">
      <w:pPr>
        <w:pStyle w:val="11"/>
        <w:adjustRightInd w:val="0"/>
        <w:snapToGrid w:val="0"/>
        <w:ind w:firstLine="456"/>
        <w:rPr>
          <w:rFonts w:hint="default" w:ascii="Times New Roman" w:hAnsi="Times New Roman" w:eastAsia="宋体" w:cs="Times New Roman"/>
          <w:color w:val="000000" w:themeColor="text1"/>
          <w:spacing w:val="-6"/>
          <w:lang w:eastAsia="zh-CN"/>
          <w14:textFill>
            <w14:solidFill>
              <w14:schemeClr w14:val="tx1"/>
            </w14:solidFill>
          </w14:textFill>
        </w:rPr>
      </w:pPr>
      <w:r>
        <w:rPr>
          <w:rFonts w:hint="default" w:ascii="Times New Roman" w:hAnsi="Times New Roman" w:eastAsia="宋体" w:cs="Times New Roman"/>
          <w:color w:val="000000" w:themeColor="text1"/>
          <w:spacing w:val="-6"/>
          <w:lang w:eastAsia="zh-CN"/>
          <w14:textFill>
            <w14:solidFill>
              <w14:schemeClr w14:val="tx1"/>
            </w14:solidFill>
          </w14:textFill>
        </w:rPr>
        <w:t>根据《环境影响评价技术导则地下水环境》（HJ610-2016）中附录A地下水环境影响评价行业分类表，本项目属于“14畜禽养殖场、养殖小区”，地下水环境影响评价分类为III类。</w:t>
      </w:r>
    </w:p>
    <w:p w14:paraId="548A880D">
      <w:pPr>
        <w:pStyle w:val="11"/>
        <w:adjustRightInd w:val="0"/>
        <w:snapToGrid w:val="0"/>
        <w:ind w:firstLine="456"/>
        <w:rPr>
          <w:rFonts w:hint="default" w:ascii="Times New Roman" w:hAnsi="Times New Roman" w:eastAsia="宋体" w:cs="Times New Roman"/>
          <w:color w:val="000000" w:themeColor="text1"/>
          <w:spacing w:val="-6"/>
          <w:lang w:eastAsia="zh-CN"/>
          <w14:textFill>
            <w14:solidFill>
              <w14:schemeClr w14:val="tx1"/>
            </w14:solidFill>
          </w14:textFill>
        </w:rPr>
      </w:pPr>
      <w:r>
        <w:rPr>
          <w:rFonts w:hint="default" w:ascii="Times New Roman" w:hAnsi="Times New Roman" w:eastAsia="宋体" w:cs="Times New Roman"/>
          <w:color w:val="000000" w:themeColor="text1"/>
          <w:spacing w:val="-6"/>
          <w:lang w:eastAsia="zh-CN"/>
          <w14:textFill>
            <w14:solidFill>
              <w14:schemeClr w14:val="tx1"/>
            </w14:solidFill>
          </w14:textFill>
        </w:rPr>
        <w:t>2）水环境敏感程度</w:t>
      </w:r>
    </w:p>
    <w:p w14:paraId="50B9B2C4">
      <w:pPr>
        <w:pStyle w:val="11"/>
        <w:adjustRightInd w:val="0"/>
        <w:snapToGrid w:val="0"/>
        <w:ind w:firstLine="456"/>
        <w:rPr>
          <w:rFonts w:hint="default" w:ascii="Times New Roman" w:hAnsi="Times New Roman" w:eastAsia="宋体" w:cs="Times New Roman"/>
          <w:color w:val="000000" w:themeColor="text1"/>
          <w:spacing w:val="-6"/>
          <w:lang w:eastAsia="zh-CN"/>
          <w14:textFill>
            <w14:solidFill>
              <w14:schemeClr w14:val="tx1"/>
            </w14:solidFill>
          </w14:textFill>
        </w:rPr>
      </w:pPr>
      <w:r>
        <w:rPr>
          <w:rFonts w:hint="default" w:ascii="Times New Roman" w:hAnsi="Times New Roman" w:eastAsia="宋体" w:cs="Times New Roman"/>
          <w:color w:val="000000" w:themeColor="text1"/>
          <w:spacing w:val="-6"/>
          <w:lang w:eastAsia="zh-CN"/>
          <w14:textFill>
            <w14:solidFill>
              <w14:schemeClr w14:val="tx1"/>
            </w14:solidFill>
          </w14:textFill>
        </w:rPr>
        <w:t>根据《环境影响评价技术导则</w:t>
      </w:r>
      <w:r>
        <w:rPr>
          <w:rFonts w:hint="default" w:ascii="Times New Roman" w:hAnsi="Times New Roman" w:eastAsia="宋体" w:cs="Times New Roman"/>
          <w:color w:val="000000" w:themeColor="text1"/>
          <w:spacing w:val="-6"/>
          <w:lang w:eastAsia="zh-CN"/>
          <w14:textFill>
            <w14:solidFill>
              <w14:schemeClr w14:val="tx1"/>
            </w14:solidFill>
          </w14:textFill>
        </w:rPr>
        <w:tab/>
      </w:r>
      <w:r>
        <w:rPr>
          <w:rFonts w:hint="default" w:ascii="Times New Roman" w:hAnsi="Times New Roman" w:eastAsia="宋体" w:cs="Times New Roman"/>
          <w:color w:val="000000" w:themeColor="text1"/>
          <w:spacing w:val="-6"/>
          <w:lang w:eastAsia="zh-CN"/>
          <w14:textFill>
            <w14:solidFill>
              <w14:schemeClr w14:val="tx1"/>
            </w14:solidFill>
          </w14:textFill>
        </w:rPr>
        <w:t>地下水环境》（HJ610-2016），建设项目的地下水环境敏感程度可分为敏感、较敏感、不敏感，分级原则见表2.6-7。</w:t>
      </w:r>
    </w:p>
    <w:p w14:paraId="01530D03">
      <w:pPr>
        <w:tabs>
          <w:tab w:val="left" w:pos="2771"/>
          <w:tab w:val="left" w:pos="6612"/>
        </w:tabs>
        <w:adjustRightInd w:val="0"/>
        <w:snapToGrid w:val="0"/>
        <w:ind w:firstLine="482"/>
        <w:jc w:val="center"/>
        <w:rPr>
          <w:rFonts w:hint="default" w:ascii="Times New Roman" w:hAnsi="Times New Roman" w:eastAsia="宋体" w:cs="Times New Roman"/>
          <w:b/>
          <w:color w:val="000000" w:themeColor="text1"/>
          <w14:textFill>
            <w14:solidFill>
              <w14:schemeClr w14:val="tx1"/>
            </w14:solidFill>
          </w14:textFill>
        </w:rPr>
      </w:pPr>
      <w:r>
        <w:rPr>
          <w:rFonts w:hint="default" w:ascii="Times New Roman" w:hAnsi="Times New Roman" w:eastAsia="宋体" w:cs="Times New Roman"/>
          <w:b/>
          <w:color w:val="000000" w:themeColor="text1"/>
          <w14:textFill>
            <w14:solidFill>
              <w14:schemeClr w14:val="tx1"/>
            </w14:solidFill>
          </w14:textFill>
        </w:rPr>
        <w:t>表2.6-7建设项目的地下水环境敏感程度分级表</w:t>
      </w:r>
    </w:p>
    <w:tbl>
      <w:tblPr>
        <w:tblStyle w:val="35"/>
        <w:tblW w:w="850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135"/>
        <w:gridCol w:w="7369"/>
      </w:tblGrid>
      <w:tr w14:paraId="1404E6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202" w:type="dxa"/>
            <w:vAlign w:val="center"/>
          </w:tcPr>
          <w:p w14:paraId="1958C4C2">
            <w:pPr>
              <w:pStyle w:val="36"/>
              <w:spacing w:line="240" w:lineRule="auto"/>
              <w:ind w:firstLine="0" w:firstLineChars="0"/>
              <w:rPr>
                <w:rFonts w:hint="default" w:ascii="Times New Roman" w:hAnsi="Times New Roman" w:eastAsia="宋体" w:cs="Times New Roman"/>
                <w:b/>
                <w:color w:val="000000" w:themeColor="text1"/>
                <w:sz w:val="21"/>
                <w14:textFill>
                  <w14:solidFill>
                    <w14:schemeClr w14:val="tx1"/>
                  </w14:solidFill>
                </w14:textFill>
              </w:rPr>
            </w:pPr>
            <w:r>
              <w:rPr>
                <w:rFonts w:hint="default" w:ascii="Times New Roman" w:hAnsi="Times New Roman" w:eastAsia="宋体" w:cs="Times New Roman"/>
                <w:b/>
                <w:color w:val="000000" w:themeColor="text1"/>
                <w:sz w:val="21"/>
                <w14:textFill>
                  <w14:solidFill>
                    <w14:schemeClr w14:val="tx1"/>
                  </w14:solidFill>
                </w14:textFill>
              </w:rPr>
              <w:t>敏感程度</w:t>
            </w:r>
          </w:p>
        </w:tc>
        <w:tc>
          <w:tcPr>
            <w:tcW w:w="7812" w:type="dxa"/>
            <w:vAlign w:val="center"/>
          </w:tcPr>
          <w:p w14:paraId="3DBCB6F4">
            <w:pPr>
              <w:pStyle w:val="36"/>
              <w:spacing w:line="240" w:lineRule="auto"/>
              <w:ind w:firstLine="0" w:firstLineChars="0"/>
              <w:rPr>
                <w:rFonts w:hint="default" w:ascii="Times New Roman" w:hAnsi="Times New Roman" w:eastAsia="宋体" w:cs="Times New Roman"/>
                <w:b/>
                <w:color w:val="000000" w:themeColor="text1"/>
                <w:sz w:val="21"/>
                <w14:textFill>
                  <w14:solidFill>
                    <w14:schemeClr w14:val="tx1"/>
                  </w14:solidFill>
                </w14:textFill>
              </w:rPr>
            </w:pPr>
            <w:r>
              <w:rPr>
                <w:rFonts w:hint="default" w:ascii="Times New Roman" w:hAnsi="Times New Roman" w:eastAsia="宋体" w:cs="Times New Roman"/>
                <w:b/>
                <w:color w:val="000000" w:themeColor="text1"/>
                <w:sz w:val="21"/>
                <w14:textFill>
                  <w14:solidFill>
                    <w14:schemeClr w14:val="tx1"/>
                  </w14:solidFill>
                </w14:textFill>
              </w:rPr>
              <w:t>地下水环境敏感特征</w:t>
            </w:r>
          </w:p>
        </w:tc>
      </w:tr>
      <w:tr w14:paraId="7D4B49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202" w:type="dxa"/>
            <w:vAlign w:val="center"/>
          </w:tcPr>
          <w:p w14:paraId="297C01E8">
            <w:pPr>
              <w:pStyle w:val="36"/>
              <w:spacing w:line="240" w:lineRule="auto"/>
              <w:ind w:firstLine="0" w:firstLineChars="0"/>
              <w:rPr>
                <w:rFonts w:hint="default" w:ascii="Times New Roman" w:hAnsi="Times New Roman" w:eastAsia="宋体" w:cs="Times New Roman"/>
                <w:b/>
                <w:color w:val="000000" w:themeColor="text1"/>
                <w:sz w:val="21"/>
                <w14:textFill>
                  <w14:solidFill>
                    <w14:schemeClr w14:val="tx1"/>
                  </w14:solidFill>
                </w14:textFill>
              </w:rPr>
            </w:pPr>
            <w:r>
              <w:rPr>
                <w:rFonts w:hint="default" w:ascii="Times New Roman" w:hAnsi="Times New Roman" w:eastAsia="宋体" w:cs="Times New Roman"/>
                <w:b/>
                <w:color w:val="000000" w:themeColor="text1"/>
                <w:sz w:val="21"/>
                <w14:textFill>
                  <w14:solidFill>
                    <w14:schemeClr w14:val="tx1"/>
                  </w14:solidFill>
                </w14:textFill>
              </w:rPr>
              <w:t>敏感</w:t>
            </w:r>
          </w:p>
        </w:tc>
        <w:tc>
          <w:tcPr>
            <w:tcW w:w="7812" w:type="dxa"/>
            <w:vAlign w:val="center"/>
          </w:tcPr>
          <w:p w14:paraId="70244165">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pacing w:val="-2"/>
                <w:sz w:val="21"/>
                <w14:textFill>
                  <w14:solidFill>
                    <w14:schemeClr w14:val="tx1"/>
                  </w14:solidFill>
                </w14:textFill>
              </w:rPr>
              <w:t>集中式饮用水水源</w:t>
            </w:r>
            <w:r>
              <w:rPr>
                <w:rFonts w:hint="default" w:ascii="Times New Roman" w:hAnsi="Times New Roman" w:eastAsia="宋体" w:cs="Times New Roman"/>
                <w:color w:val="000000" w:themeColor="text1"/>
                <w:sz w:val="21"/>
                <w14:textFill>
                  <w14:solidFill>
                    <w14:schemeClr w14:val="tx1"/>
                  </w14:solidFill>
                </w14:textFill>
              </w:rPr>
              <w:t>（</w:t>
            </w:r>
            <w:r>
              <w:rPr>
                <w:rFonts w:hint="default" w:ascii="Times New Roman" w:hAnsi="Times New Roman" w:eastAsia="宋体" w:cs="Times New Roman"/>
                <w:color w:val="000000" w:themeColor="text1"/>
                <w:spacing w:val="-4"/>
                <w:sz w:val="21"/>
                <w14:textFill>
                  <w14:solidFill>
                    <w14:schemeClr w14:val="tx1"/>
                  </w14:solidFill>
                </w14:textFill>
              </w:rPr>
              <w:t>包括已建成的在用、备用、应急水源，在建和规划的饮用水水源</w:t>
            </w:r>
            <w:r>
              <w:rPr>
                <w:rFonts w:hint="default" w:ascii="Times New Roman" w:hAnsi="Times New Roman" w:eastAsia="宋体" w:cs="Times New Roman"/>
                <w:color w:val="000000" w:themeColor="text1"/>
                <w:spacing w:val="-17"/>
                <w:sz w:val="21"/>
                <w14:textFill>
                  <w14:solidFill>
                    <w14:schemeClr w14:val="tx1"/>
                  </w14:solidFill>
                </w14:textFill>
              </w:rPr>
              <w:t>）</w:t>
            </w:r>
            <w:r>
              <w:rPr>
                <w:rFonts w:hint="default" w:ascii="Times New Roman" w:hAnsi="Times New Roman" w:eastAsia="宋体" w:cs="Times New Roman"/>
                <w:color w:val="000000" w:themeColor="text1"/>
                <w:sz w:val="21"/>
                <w14:textFill>
                  <w14:solidFill>
                    <w14:schemeClr w14:val="tx1"/>
                  </w14:solidFill>
                </w14:textFill>
              </w:rPr>
              <w:t>准保护区；除集中式饮用水水源以外的国家或地方政府设定的与地下水环境相关的其它保护区，如热水、矿泉水、温泉等特殊地下水资源保护区</w:t>
            </w:r>
          </w:p>
        </w:tc>
      </w:tr>
      <w:tr w14:paraId="79D54B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202" w:type="dxa"/>
            <w:vAlign w:val="center"/>
          </w:tcPr>
          <w:p w14:paraId="31246FCA">
            <w:pPr>
              <w:pStyle w:val="36"/>
              <w:spacing w:line="240" w:lineRule="auto"/>
              <w:ind w:firstLine="0" w:firstLineChars="0"/>
              <w:rPr>
                <w:rFonts w:hint="default" w:ascii="Times New Roman" w:hAnsi="Times New Roman" w:eastAsia="宋体" w:cs="Times New Roman"/>
                <w:b/>
                <w:color w:val="000000" w:themeColor="text1"/>
                <w:sz w:val="21"/>
                <w14:textFill>
                  <w14:solidFill>
                    <w14:schemeClr w14:val="tx1"/>
                  </w14:solidFill>
                </w14:textFill>
              </w:rPr>
            </w:pPr>
            <w:r>
              <w:rPr>
                <w:rFonts w:hint="default" w:ascii="Times New Roman" w:hAnsi="Times New Roman" w:eastAsia="宋体" w:cs="Times New Roman"/>
                <w:b/>
                <w:color w:val="000000" w:themeColor="text1"/>
                <w:sz w:val="21"/>
                <w14:textFill>
                  <w14:solidFill>
                    <w14:schemeClr w14:val="tx1"/>
                  </w14:solidFill>
                </w14:textFill>
              </w:rPr>
              <w:t>较敏感</w:t>
            </w:r>
          </w:p>
        </w:tc>
        <w:tc>
          <w:tcPr>
            <w:tcW w:w="7812" w:type="dxa"/>
            <w:vAlign w:val="center"/>
          </w:tcPr>
          <w:p w14:paraId="0D015E5A">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pacing w:val="-2"/>
                <w:sz w:val="21"/>
                <w14:textFill>
                  <w14:solidFill>
                    <w14:schemeClr w14:val="tx1"/>
                  </w14:solidFill>
                </w14:textFill>
              </w:rPr>
              <w:t>集中式饮用水水源</w:t>
            </w:r>
            <w:r>
              <w:rPr>
                <w:rFonts w:hint="default" w:ascii="Times New Roman" w:hAnsi="Times New Roman" w:eastAsia="宋体" w:cs="Times New Roman"/>
                <w:color w:val="000000" w:themeColor="text1"/>
                <w:sz w:val="21"/>
                <w14:textFill>
                  <w14:solidFill>
                    <w14:schemeClr w14:val="tx1"/>
                  </w14:solidFill>
                </w14:textFill>
              </w:rPr>
              <w:t>（</w:t>
            </w:r>
            <w:r>
              <w:rPr>
                <w:rFonts w:hint="default" w:ascii="Times New Roman" w:hAnsi="Times New Roman" w:eastAsia="宋体" w:cs="Times New Roman"/>
                <w:color w:val="000000" w:themeColor="text1"/>
                <w:spacing w:val="-4"/>
                <w:sz w:val="21"/>
                <w14:textFill>
                  <w14:solidFill>
                    <w14:schemeClr w14:val="tx1"/>
                  </w14:solidFill>
                </w14:textFill>
              </w:rPr>
              <w:t>包括已建成的在用、备用、应急水源，在建和规划的饮用水水源</w:t>
            </w:r>
            <w:r>
              <w:rPr>
                <w:rFonts w:hint="default" w:ascii="Times New Roman" w:hAnsi="Times New Roman" w:eastAsia="宋体" w:cs="Times New Roman"/>
                <w:color w:val="000000" w:themeColor="text1"/>
                <w:spacing w:val="-17"/>
                <w:sz w:val="21"/>
                <w14:textFill>
                  <w14:solidFill>
                    <w14:schemeClr w14:val="tx1"/>
                  </w14:solidFill>
                </w14:textFill>
              </w:rPr>
              <w:t>）</w:t>
            </w:r>
            <w:r>
              <w:rPr>
                <w:rFonts w:hint="default" w:ascii="Times New Roman" w:hAnsi="Times New Roman" w:eastAsia="宋体" w:cs="Times New Roman"/>
                <w:color w:val="000000" w:themeColor="text1"/>
                <w:sz w:val="21"/>
                <w14:textFill>
                  <w14:solidFill>
                    <w14:schemeClr w14:val="tx1"/>
                  </w14:solidFill>
                </w14:textFill>
              </w:rPr>
              <w:t>准保护区以外的补给径流区；未划定准保护区的集中水式饮用水水源，其保护区以外的补给径流区；分散式饮用水水源地；特殊地下水资源（如矿泉水、温泉等）保护区以外的分布区等其他未列入上述敏感分级的环境敏感区a。</w:t>
            </w:r>
          </w:p>
        </w:tc>
      </w:tr>
      <w:tr w14:paraId="05D6F7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202" w:type="dxa"/>
            <w:vAlign w:val="center"/>
          </w:tcPr>
          <w:p w14:paraId="7F541D60">
            <w:pPr>
              <w:pStyle w:val="36"/>
              <w:spacing w:line="240" w:lineRule="auto"/>
              <w:ind w:firstLine="0" w:firstLineChars="0"/>
              <w:rPr>
                <w:rFonts w:hint="default" w:ascii="Times New Roman" w:hAnsi="Times New Roman" w:eastAsia="宋体" w:cs="Times New Roman"/>
                <w:b/>
                <w:color w:val="000000" w:themeColor="text1"/>
                <w:sz w:val="21"/>
                <w14:textFill>
                  <w14:solidFill>
                    <w14:schemeClr w14:val="tx1"/>
                  </w14:solidFill>
                </w14:textFill>
              </w:rPr>
            </w:pPr>
            <w:r>
              <w:rPr>
                <w:rFonts w:hint="default" w:ascii="Times New Roman" w:hAnsi="Times New Roman" w:eastAsia="宋体" w:cs="Times New Roman"/>
                <w:b/>
                <w:color w:val="000000" w:themeColor="text1"/>
                <w:sz w:val="21"/>
                <w14:textFill>
                  <w14:solidFill>
                    <w14:schemeClr w14:val="tx1"/>
                  </w14:solidFill>
                </w14:textFill>
              </w:rPr>
              <w:t>不敏感</w:t>
            </w:r>
          </w:p>
        </w:tc>
        <w:tc>
          <w:tcPr>
            <w:tcW w:w="7812" w:type="dxa"/>
            <w:vAlign w:val="center"/>
          </w:tcPr>
          <w:p w14:paraId="2DD49F63">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上述地区之外的其它</w:t>
            </w:r>
          </w:p>
        </w:tc>
      </w:tr>
      <w:tr w14:paraId="3CB0B9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9014" w:type="dxa"/>
            <w:gridSpan w:val="2"/>
            <w:vAlign w:val="center"/>
          </w:tcPr>
          <w:p w14:paraId="4391B119">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注：a“环境敏感区”是指《建设项目影响评价分类管理名录》中所界定的涉及地下水。</w:t>
            </w:r>
          </w:p>
        </w:tc>
      </w:tr>
    </w:tbl>
    <w:p w14:paraId="57761A09">
      <w:pPr>
        <w:pStyle w:val="11"/>
        <w:adjustRightInd w:val="0"/>
        <w:snapToGrid w:val="0"/>
        <w:ind w:firstLine="456"/>
        <w:rPr>
          <w:rFonts w:hint="default" w:ascii="Times New Roman" w:hAnsi="Times New Roman" w:eastAsia="宋体" w:cs="Times New Roman"/>
          <w:color w:val="000000" w:themeColor="text1"/>
          <w:spacing w:val="-6"/>
          <w:lang w:eastAsia="zh-CN"/>
          <w14:textFill>
            <w14:solidFill>
              <w14:schemeClr w14:val="tx1"/>
            </w14:solidFill>
          </w14:textFill>
        </w:rPr>
      </w:pPr>
      <w:r>
        <w:rPr>
          <w:rFonts w:hint="default" w:ascii="Times New Roman" w:hAnsi="Times New Roman" w:eastAsia="宋体" w:cs="Times New Roman"/>
          <w:color w:val="000000" w:themeColor="text1"/>
          <w:spacing w:val="-6"/>
          <w:lang w:eastAsia="zh-CN"/>
          <w14:textFill>
            <w14:solidFill>
              <w14:schemeClr w14:val="tx1"/>
            </w14:solidFill>
          </w14:textFill>
        </w:rPr>
        <w:t>本项目不属于集中式饮用水源准保护区、特殊地下水资源保护区和饮用水水源保护区，但是项目区有自备饮水井，周边村庄有零散分散式水井，因此，项目地下水环境敏感程度为“较敏感”。</w:t>
      </w:r>
    </w:p>
    <w:p w14:paraId="3B70E2E3">
      <w:pPr>
        <w:pStyle w:val="11"/>
        <w:adjustRightInd w:val="0"/>
        <w:snapToGrid w:val="0"/>
        <w:ind w:firstLine="456"/>
        <w:rPr>
          <w:rFonts w:hint="default" w:ascii="Times New Roman" w:hAnsi="Times New Roman" w:eastAsia="宋体" w:cs="Times New Roman"/>
          <w:color w:val="000000" w:themeColor="text1"/>
          <w:spacing w:val="-6"/>
          <w:lang w:eastAsia="zh-CN"/>
          <w14:textFill>
            <w14:solidFill>
              <w14:schemeClr w14:val="tx1"/>
            </w14:solidFill>
          </w14:textFill>
        </w:rPr>
      </w:pPr>
      <w:r>
        <w:rPr>
          <w:rFonts w:hint="default" w:ascii="Times New Roman" w:hAnsi="Times New Roman" w:eastAsia="宋体" w:cs="Times New Roman"/>
          <w:color w:val="000000" w:themeColor="text1"/>
          <w:spacing w:val="-6"/>
          <w:lang w:eastAsia="zh-CN"/>
          <w14:textFill>
            <w14:solidFill>
              <w14:schemeClr w14:val="tx1"/>
            </w14:solidFill>
          </w14:textFill>
        </w:rPr>
        <w:t>3）地下水评价等级判定</w:t>
      </w:r>
    </w:p>
    <w:p w14:paraId="20D9F566">
      <w:pPr>
        <w:pStyle w:val="11"/>
        <w:adjustRightInd w:val="0"/>
        <w:snapToGrid w:val="0"/>
        <w:ind w:firstLine="456"/>
        <w:rPr>
          <w:rFonts w:hint="default" w:ascii="Times New Roman" w:hAnsi="Times New Roman" w:eastAsia="宋体" w:cs="Times New Roman"/>
          <w:color w:val="000000" w:themeColor="text1"/>
          <w:spacing w:val="-6"/>
          <w:lang w:eastAsia="zh-CN"/>
          <w14:textFill>
            <w14:solidFill>
              <w14:schemeClr w14:val="tx1"/>
            </w14:solidFill>
          </w14:textFill>
        </w:rPr>
      </w:pPr>
      <w:r>
        <w:rPr>
          <w:rFonts w:hint="default" w:ascii="Times New Roman" w:hAnsi="Times New Roman" w:eastAsia="宋体" w:cs="Times New Roman"/>
          <w:color w:val="000000" w:themeColor="text1"/>
          <w:spacing w:val="-6"/>
          <w:lang w:eastAsia="zh-CN"/>
          <w14:textFill>
            <w14:solidFill>
              <w14:schemeClr w14:val="tx1"/>
            </w14:solidFill>
          </w14:textFill>
        </w:rPr>
        <w:t>建设项目地下水环境影响评价工作等级分级判定表表2.6-8。</w:t>
      </w:r>
    </w:p>
    <w:p w14:paraId="16BDF0AE">
      <w:pPr>
        <w:tabs>
          <w:tab w:val="left" w:pos="3847"/>
        </w:tabs>
        <w:adjustRightInd w:val="0"/>
        <w:snapToGrid w:val="0"/>
        <w:ind w:firstLine="482"/>
        <w:jc w:val="center"/>
        <w:rPr>
          <w:rFonts w:hint="default" w:ascii="Times New Roman" w:hAnsi="Times New Roman" w:eastAsia="宋体" w:cs="Times New Roman"/>
          <w:b/>
          <w:color w:val="000000" w:themeColor="text1"/>
          <w14:textFill>
            <w14:solidFill>
              <w14:schemeClr w14:val="tx1"/>
            </w14:solidFill>
          </w14:textFill>
        </w:rPr>
      </w:pPr>
    </w:p>
    <w:p w14:paraId="46FFEB88">
      <w:pPr>
        <w:tabs>
          <w:tab w:val="left" w:pos="3847"/>
        </w:tabs>
        <w:adjustRightInd w:val="0"/>
        <w:snapToGrid w:val="0"/>
        <w:ind w:firstLine="482"/>
        <w:jc w:val="center"/>
        <w:rPr>
          <w:rFonts w:hint="default" w:ascii="Times New Roman" w:hAnsi="Times New Roman" w:eastAsia="宋体" w:cs="Times New Roman"/>
          <w:b/>
          <w:color w:val="000000" w:themeColor="text1"/>
          <w14:textFill>
            <w14:solidFill>
              <w14:schemeClr w14:val="tx1"/>
            </w14:solidFill>
          </w14:textFill>
        </w:rPr>
      </w:pPr>
    </w:p>
    <w:p w14:paraId="29999547">
      <w:pPr>
        <w:tabs>
          <w:tab w:val="left" w:pos="3847"/>
        </w:tabs>
        <w:adjustRightInd w:val="0"/>
        <w:snapToGrid w:val="0"/>
        <w:ind w:firstLine="482"/>
        <w:jc w:val="center"/>
        <w:rPr>
          <w:rFonts w:hint="default" w:ascii="Times New Roman" w:hAnsi="Times New Roman" w:eastAsia="宋体" w:cs="Times New Roman"/>
          <w:b/>
          <w:color w:val="000000" w:themeColor="text1"/>
          <w14:textFill>
            <w14:solidFill>
              <w14:schemeClr w14:val="tx1"/>
            </w14:solidFill>
          </w14:textFill>
        </w:rPr>
      </w:pPr>
    </w:p>
    <w:p w14:paraId="0769AE2B">
      <w:pPr>
        <w:tabs>
          <w:tab w:val="left" w:pos="3847"/>
        </w:tabs>
        <w:adjustRightInd w:val="0"/>
        <w:snapToGrid w:val="0"/>
        <w:ind w:firstLine="482"/>
        <w:jc w:val="center"/>
        <w:rPr>
          <w:rFonts w:hint="default" w:ascii="Times New Roman" w:hAnsi="Times New Roman" w:eastAsia="宋体" w:cs="Times New Roman"/>
          <w:b/>
          <w:color w:val="000000" w:themeColor="text1"/>
          <w14:textFill>
            <w14:solidFill>
              <w14:schemeClr w14:val="tx1"/>
            </w14:solidFill>
          </w14:textFill>
        </w:rPr>
      </w:pPr>
      <w:r>
        <w:rPr>
          <w:rFonts w:hint="default" w:ascii="Times New Roman" w:hAnsi="Times New Roman" w:eastAsia="宋体" w:cs="Times New Roman"/>
          <w:b/>
          <w:color w:val="000000" w:themeColor="text1"/>
          <w14:textFill>
            <w14:solidFill>
              <w14:schemeClr w14:val="tx1"/>
            </w14:solidFill>
          </w14:textFill>
        </w:rPr>
        <w:t>表2.6-8建设项目评价工作等级分级表</w:t>
      </w:r>
    </w:p>
    <w:tbl>
      <w:tblPr>
        <w:tblStyle w:val="35"/>
        <w:tblW w:w="850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2126"/>
        <w:gridCol w:w="2126"/>
        <w:gridCol w:w="2126"/>
        <w:gridCol w:w="2126"/>
      </w:tblGrid>
      <w:tr w14:paraId="08A96E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4" w:hRule="atLeast"/>
          <w:jc w:val="center"/>
        </w:trPr>
        <w:tc>
          <w:tcPr>
            <w:tcW w:w="2321" w:type="dxa"/>
            <w:tcBorders>
              <w:tl2br w:val="single" w:color="auto" w:sz="4" w:space="0"/>
            </w:tcBorders>
            <w:vAlign w:val="center"/>
          </w:tcPr>
          <w:p w14:paraId="012FE1B9">
            <w:pPr>
              <w:pStyle w:val="36"/>
              <w:spacing w:line="240" w:lineRule="auto"/>
              <w:ind w:firstLine="0" w:firstLineChars="0"/>
              <w:jc w:val="right"/>
              <w:rPr>
                <w:rFonts w:hint="default" w:ascii="Times New Roman" w:hAnsi="Times New Roman" w:eastAsia="宋体" w:cs="Times New Roman"/>
                <w:b/>
                <w:color w:val="000000" w:themeColor="text1"/>
                <w:sz w:val="21"/>
                <w14:textFill>
                  <w14:solidFill>
                    <w14:schemeClr w14:val="tx1"/>
                  </w14:solidFill>
                </w14:textFill>
              </w:rPr>
            </w:pPr>
            <w:r>
              <w:rPr>
                <w:rFonts w:hint="default" w:ascii="Times New Roman" w:hAnsi="Times New Roman" w:eastAsia="宋体" w:cs="Times New Roman"/>
                <w:b/>
                <w:color w:val="000000" w:themeColor="text1"/>
                <w:sz w:val="21"/>
                <w14:textFill>
                  <w14:solidFill>
                    <w14:schemeClr w14:val="tx1"/>
                  </w14:solidFill>
                </w14:textFill>
              </w:rPr>
              <w:t>项目类别</w:t>
            </w:r>
          </w:p>
          <w:p w14:paraId="1D011AE1">
            <w:pPr>
              <w:pStyle w:val="36"/>
              <w:spacing w:line="240" w:lineRule="auto"/>
              <w:ind w:firstLine="0" w:firstLineChars="0"/>
              <w:jc w:val="left"/>
              <w:rPr>
                <w:rFonts w:hint="default" w:ascii="Times New Roman" w:hAnsi="Times New Roman" w:eastAsia="宋体" w:cs="Times New Roman"/>
                <w:b/>
                <w:color w:val="000000" w:themeColor="text1"/>
                <w:sz w:val="21"/>
                <w14:textFill>
                  <w14:solidFill>
                    <w14:schemeClr w14:val="tx1"/>
                  </w14:solidFill>
                </w14:textFill>
              </w:rPr>
            </w:pPr>
            <w:r>
              <w:rPr>
                <w:rFonts w:hint="default" w:ascii="Times New Roman" w:hAnsi="Times New Roman" w:eastAsia="宋体" w:cs="Times New Roman"/>
                <w:b/>
                <w:color w:val="000000" w:themeColor="text1"/>
                <w:sz w:val="21"/>
                <w14:textFill>
                  <w14:solidFill>
                    <w14:schemeClr w14:val="tx1"/>
                  </w14:solidFill>
                </w14:textFill>
              </w:rPr>
              <w:t>环境敏感程度</w:t>
            </w:r>
          </w:p>
        </w:tc>
        <w:tc>
          <w:tcPr>
            <w:tcW w:w="2320" w:type="dxa"/>
            <w:vAlign w:val="center"/>
          </w:tcPr>
          <w:p w14:paraId="6B079F8C">
            <w:pPr>
              <w:pStyle w:val="36"/>
              <w:spacing w:line="240" w:lineRule="auto"/>
              <w:ind w:firstLine="0" w:firstLineChars="0"/>
              <w:rPr>
                <w:rFonts w:hint="default" w:ascii="Times New Roman" w:hAnsi="Times New Roman" w:eastAsia="宋体" w:cs="Times New Roman"/>
                <w:b/>
                <w:color w:val="000000" w:themeColor="text1"/>
                <w:sz w:val="21"/>
                <w14:textFill>
                  <w14:solidFill>
                    <w14:schemeClr w14:val="tx1"/>
                  </w14:solidFill>
                </w14:textFill>
              </w:rPr>
            </w:pPr>
            <w:r>
              <w:rPr>
                <w:rFonts w:hint="default" w:ascii="Times New Roman" w:hAnsi="Times New Roman" w:eastAsia="宋体" w:cs="Times New Roman"/>
                <w:b/>
                <w:color w:val="000000" w:themeColor="text1"/>
                <w:sz w:val="21"/>
                <w14:textFill>
                  <w14:solidFill>
                    <w14:schemeClr w14:val="tx1"/>
                  </w14:solidFill>
                </w14:textFill>
              </w:rPr>
              <w:t>Ⅰ类项目</w:t>
            </w:r>
          </w:p>
        </w:tc>
        <w:tc>
          <w:tcPr>
            <w:tcW w:w="2321" w:type="dxa"/>
            <w:vAlign w:val="center"/>
          </w:tcPr>
          <w:p w14:paraId="443416CC">
            <w:pPr>
              <w:pStyle w:val="36"/>
              <w:spacing w:line="240" w:lineRule="auto"/>
              <w:ind w:firstLine="0" w:firstLineChars="0"/>
              <w:rPr>
                <w:rFonts w:hint="default" w:ascii="Times New Roman" w:hAnsi="Times New Roman" w:eastAsia="宋体" w:cs="Times New Roman"/>
                <w:b/>
                <w:color w:val="000000" w:themeColor="text1"/>
                <w:sz w:val="21"/>
                <w14:textFill>
                  <w14:solidFill>
                    <w14:schemeClr w14:val="tx1"/>
                  </w14:solidFill>
                </w14:textFill>
              </w:rPr>
            </w:pPr>
            <w:r>
              <w:rPr>
                <w:rFonts w:hint="default" w:ascii="Times New Roman" w:hAnsi="Times New Roman" w:eastAsia="宋体" w:cs="Times New Roman"/>
                <w:b/>
                <w:color w:val="000000" w:themeColor="text1"/>
                <w:sz w:val="21"/>
                <w14:textFill>
                  <w14:solidFill>
                    <w14:schemeClr w14:val="tx1"/>
                  </w14:solidFill>
                </w14:textFill>
              </w:rPr>
              <w:t>Ⅱ类项目</w:t>
            </w:r>
          </w:p>
        </w:tc>
        <w:tc>
          <w:tcPr>
            <w:tcW w:w="2320" w:type="dxa"/>
            <w:vAlign w:val="center"/>
          </w:tcPr>
          <w:p w14:paraId="7DE5219D">
            <w:pPr>
              <w:pStyle w:val="36"/>
              <w:spacing w:line="240" w:lineRule="auto"/>
              <w:ind w:firstLine="0" w:firstLineChars="0"/>
              <w:rPr>
                <w:rFonts w:hint="default" w:ascii="Times New Roman" w:hAnsi="Times New Roman" w:eastAsia="宋体" w:cs="Times New Roman"/>
                <w:b/>
                <w:color w:val="000000" w:themeColor="text1"/>
                <w:sz w:val="21"/>
                <w14:textFill>
                  <w14:solidFill>
                    <w14:schemeClr w14:val="tx1"/>
                  </w14:solidFill>
                </w14:textFill>
              </w:rPr>
            </w:pPr>
            <w:r>
              <w:rPr>
                <w:rFonts w:hint="default" w:ascii="Times New Roman" w:hAnsi="Times New Roman" w:eastAsia="宋体" w:cs="Times New Roman"/>
                <w:b/>
                <w:color w:val="000000" w:themeColor="text1"/>
                <w:sz w:val="21"/>
                <w14:textFill>
                  <w14:solidFill>
                    <w14:schemeClr w14:val="tx1"/>
                  </w14:solidFill>
                </w14:textFill>
              </w:rPr>
              <w:t>Ⅲ类项目</w:t>
            </w:r>
          </w:p>
        </w:tc>
      </w:tr>
      <w:tr w14:paraId="4A606D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6" w:hRule="atLeast"/>
          <w:jc w:val="center"/>
        </w:trPr>
        <w:tc>
          <w:tcPr>
            <w:tcW w:w="2321" w:type="dxa"/>
            <w:vAlign w:val="center"/>
          </w:tcPr>
          <w:p w14:paraId="2612FFE3">
            <w:pPr>
              <w:pStyle w:val="36"/>
              <w:spacing w:line="240" w:lineRule="auto"/>
              <w:ind w:firstLine="0" w:firstLineChars="0"/>
              <w:rPr>
                <w:rFonts w:hint="default" w:ascii="Times New Roman" w:hAnsi="Times New Roman" w:eastAsia="宋体" w:cs="Times New Roman"/>
                <w:b/>
                <w:color w:val="000000" w:themeColor="text1"/>
                <w:sz w:val="21"/>
                <w14:textFill>
                  <w14:solidFill>
                    <w14:schemeClr w14:val="tx1"/>
                  </w14:solidFill>
                </w14:textFill>
              </w:rPr>
            </w:pPr>
            <w:r>
              <w:rPr>
                <w:rFonts w:hint="default" w:ascii="Times New Roman" w:hAnsi="Times New Roman" w:eastAsia="宋体" w:cs="Times New Roman"/>
                <w:b/>
                <w:color w:val="000000" w:themeColor="text1"/>
                <w:sz w:val="21"/>
                <w14:textFill>
                  <w14:solidFill>
                    <w14:schemeClr w14:val="tx1"/>
                  </w14:solidFill>
                </w14:textFill>
              </w:rPr>
              <w:t>敏感</w:t>
            </w:r>
          </w:p>
        </w:tc>
        <w:tc>
          <w:tcPr>
            <w:tcW w:w="2320" w:type="dxa"/>
            <w:vAlign w:val="center"/>
          </w:tcPr>
          <w:p w14:paraId="229B157D">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一</w:t>
            </w:r>
          </w:p>
        </w:tc>
        <w:tc>
          <w:tcPr>
            <w:tcW w:w="2321" w:type="dxa"/>
            <w:vAlign w:val="center"/>
          </w:tcPr>
          <w:p w14:paraId="7E3A8D23">
            <w:pPr>
              <w:pStyle w:val="36"/>
              <w:spacing w:line="240" w:lineRule="auto"/>
              <w:ind w:firstLine="0" w:firstLineChars="0"/>
              <w:rPr>
                <w:rFonts w:hint="default" w:ascii="Times New Roman" w:hAnsi="Times New Roman" w:eastAsia="宋体" w:cs="Times New Roman"/>
                <w:b/>
                <w:color w:val="000000" w:themeColor="text1"/>
                <w:sz w:val="21"/>
                <w14:textFill>
                  <w14:solidFill>
                    <w14:schemeClr w14:val="tx1"/>
                  </w14:solidFill>
                </w14:textFill>
              </w:rPr>
            </w:pPr>
            <w:r>
              <w:rPr>
                <w:rFonts w:hint="default" w:ascii="Times New Roman" w:hAnsi="Times New Roman" w:eastAsia="宋体" w:cs="Times New Roman"/>
                <w:b/>
                <w:color w:val="000000" w:themeColor="text1"/>
                <w:w w:val="99"/>
                <w:sz w:val="21"/>
                <w14:textFill>
                  <w14:solidFill>
                    <w14:schemeClr w14:val="tx1"/>
                  </w14:solidFill>
                </w14:textFill>
              </w:rPr>
              <w:t>一</w:t>
            </w:r>
          </w:p>
        </w:tc>
        <w:tc>
          <w:tcPr>
            <w:tcW w:w="2320" w:type="dxa"/>
            <w:vAlign w:val="center"/>
          </w:tcPr>
          <w:p w14:paraId="73295E65">
            <w:pPr>
              <w:pStyle w:val="36"/>
              <w:spacing w:line="240" w:lineRule="auto"/>
              <w:ind w:firstLine="0" w:firstLineChars="0"/>
              <w:rPr>
                <w:rFonts w:hint="default" w:ascii="Times New Roman" w:hAnsi="Times New Roman" w:eastAsia="宋体" w:cs="Times New Roman"/>
                <w:b/>
                <w:color w:val="000000" w:themeColor="text1"/>
                <w:sz w:val="21"/>
                <w14:textFill>
                  <w14:solidFill>
                    <w14:schemeClr w14:val="tx1"/>
                  </w14:solidFill>
                </w14:textFill>
              </w:rPr>
            </w:pPr>
            <w:r>
              <w:rPr>
                <w:rFonts w:hint="default" w:ascii="Times New Roman" w:hAnsi="Times New Roman" w:eastAsia="宋体" w:cs="Times New Roman"/>
                <w:b/>
                <w:color w:val="000000" w:themeColor="text1"/>
                <w:w w:val="99"/>
                <w:sz w:val="21"/>
                <w14:textFill>
                  <w14:solidFill>
                    <w14:schemeClr w14:val="tx1"/>
                  </w14:solidFill>
                </w14:textFill>
              </w:rPr>
              <w:t>二</w:t>
            </w:r>
          </w:p>
        </w:tc>
      </w:tr>
      <w:tr w14:paraId="4E2231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321" w:type="dxa"/>
            <w:vAlign w:val="center"/>
          </w:tcPr>
          <w:p w14:paraId="626B1C22">
            <w:pPr>
              <w:pStyle w:val="36"/>
              <w:spacing w:line="240" w:lineRule="auto"/>
              <w:ind w:firstLine="0" w:firstLineChars="0"/>
              <w:rPr>
                <w:rFonts w:hint="default" w:ascii="Times New Roman" w:hAnsi="Times New Roman" w:eastAsia="宋体" w:cs="Times New Roman"/>
                <w:b/>
                <w:color w:val="000000" w:themeColor="text1"/>
                <w:sz w:val="21"/>
                <w14:textFill>
                  <w14:solidFill>
                    <w14:schemeClr w14:val="tx1"/>
                  </w14:solidFill>
                </w14:textFill>
              </w:rPr>
            </w:pPr>
            <w:r>
              <w:rPr>
                <w:rFonts w:hint="default" w:ascii="Times New Roman" w:hAnsi="Times New Roman" w:eastAsia="宋体" w:cs="Times New Roman"/>
                <w:b/>
                <w:color w:val="000000" w:themeColor="text1"/>
                <w:sz w:val="21"/>
                <w14:textFill>
                  <w14:solidFill>
                    <w14:schemeClr w14:val="tx1"/>
                  </w14:solidFill>
                </w14:textFill>
              </w:rPr>
              <w:t>较敏感</w:t>
            </w:r>
          </w:p>
        </w:tc>
        <w:tc>
          <w:tcPr>
            <w:tcW w:w="2320" w:type="dxa"/>
            <w:vAlign w:val="center"/>
          </w:tcPr>
          <w:p w14:paraId="5187F391">
            <w:pPr>
              <w:pStyle w:val="36"/>
              <w:spacing w:line="240" w:lineRule="auto"/>
              <w:ind w:firstLine="0" w:firstLineChars="0"/>
              <w:rPr>
                <w:rFonts w:hint="default" w:ascii="Times New Roman" w:hAnsi="Times New Roman" w:eastAsia="宋体" w:cs="Times New Roman"/>
                <w:b/>
                <w:color w:val="000000" w:themeColor="text1"/>
                <w:sz w:val="21"/>
                <w14:textFill>
                  <w14:solidFill>
                    <w14:schemeClr w14:val="tx1"/>
                  </w14:solidFill>
                </w14:textFill>
              </w:rPr>
            </w:pPr>
            <w:r>
              <w:rPr>
                <w:rFonts w:hint="default" w:ascii="Times New Roman" w:hAnsi="Times New Roman" w:eastAsia="宋体" w:cs="Times New Roman"/>
                <w:b/>
                <w:color w:val="000000" w:themeColor="text1"/>
                <w:w w:val="99"/>
                <w:sz w:val="21"/>
                <w14:textFill>
                  <w14:solidFill>
                    <w14:schemeClr w14:val="tx1"/>
                  </w14:solidFill>
                </w14:textFill>
              </w:rPr>
              <w:t>一</w:t>
            </w:r>
          </w:p>
        </w:tc>
        <w:tc>
          <w:tcPr>
            <w:tcW w:w="2321" w:type="dxa"/>
            <w:vAlign w:val="center"/>
          </w:tcPr>
          <w:p w14:paraId="1344EFAC">
            <w:pPr>
              <w:pStyle w:val="36"/>
              <w:spacing w:line="240" w:lineRule="auto"/>
              <w:ind w:firstLine="0" w:firstLineChars="0"/>
              <w:rPr>
                <w:rFonts w:hint="default" w:ascii="Times New Roman" w:hAnsi="Times New Roman" w:eastAsia="宋体" w:cs="Times New Roman"/>
                <w:b/>
                <w:color w:val="000000" w:themeColor="text1"/>
                <w:sz w:val="21"/>
                <w14:textFill>
                  <w14:solidFill>
                    <w14:schemeClr w14:val="tx1"/>
                  </w14:solidFill>
                </w14:textFill>
              </w:rPr>
            </w:pPr>
            <w:r>
              <w:rPr>
                <w:rFonts w:hint="default" w:ascii="Times New Roman" w:hAnsi="Times New Roman" w:eastAsia="宋体" w:cs="Times New Roman"/>
                <w:b/>
                <w:color w:val="000000" w:themeColor="text1"/>
                <w:w w:val="99"/>
                <w:sz w:val="21"/>
                <w14:textFill>
                  <w14:solidFill>
                    <w14:schemeClr w14:val="tx1"/>
                  </w14:solidFill>
                </w14:textFill>
              </w:rPr>
              <w:t>二</w:t>
            </w:r>
          </w:p>
        </w:tc>
        <w:tc>
          <w:tcPr>
            <w:tcW w:w="2320" w:type="dxa"/>
            <w:vAlign w:val="center"/>
          </w:tcPr>
          <w:p w14:paraId="543FEC66">
            <w:pPr>
              <w:pStyle w:val="36"/>
              <w:spacing w:line="240" w:lineRule="auto"/>
              <w:ind w:firstLine="0" w:firstLineChars="0"/>
              <w:rPr>
                <w:rFonts w:hint="default" w:ascii="Times New Roman" w:hAnsi="Times New Roman" w:eastAsia="宋体" w:cs="Times New Roman"/>
                <w:b/>
                <w:color w:val="000000" w:themeColor="text1"/>
                <w:sz w:val="21"/>
                <w14:textFill>
                  <w14:solidFill>
                    <w14:schemeClr w14:val="tx1"/>
                  </w14:solidFill>
                </w14:textFill>
              </w:rPr>
            </w:pPr>
            <w:r>
              <w:rPr>
                <w:rFonts w:hint="default" w:ascii="Times New Roman" w:hAnsi="Times New Roman" w:eastAsia="宋体" w:cs="Times New Roman"/>
                <w:b/>
                <w:color w:val="000000" w:themeColor="text1"/>
                <w:w w:val="99"/>
                <w:sz w:val="21"/>
                <w:shd w:val="clear" w:color="auto" w:fill="A6A6A6"/>
                <w14:textFill>
                  <w14:solidFill>
                    <w14:schemeClr w14:val="tx1"/>
                  </w14:solidFill>
                </w14:textFill>
              </w:rPr>
              <w:t>三</w:t>
            </w:r>
          </w:p>
        </w:tc>
      </w:tr>
      <w:tr w14:paraId="00B9C7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6" w:hRule="atLeast"/>
          <w:jc w:val="center"/>
        </w:trPr>
        <w:tc>
          <w:tcPr>
            <w:tcW w:w="2321" w:type="dxa"/>
            <w:vAlign w:val="center"/>
          </w:tcPr>
          <w:p w14:paraId="6297EEED">
            <w:pPr>
              <w:pStyle w:val="36"/>
              <w:spacing w:line="240" w:lineRule="auto"/>
              <w:ind w:firstLine="0" w:firstLineChars="0"/>
              <w:rPr>
                <w:rFonts w:hint="default" w:ascii="Times New Roman" w:hAnsi="Times New Roman" w:eastAsia="宋体" w:cs="Times New Roman"/>
                <w:b/>
                <w:color w:val="000000" w:themeColor="text1"/>
                <w:sz w:val="21"/>
                <w14:textFill>
                  <w14:solidFill>
                    <w14:schemeClr w14:val="tx1"/>
                  </w14:solidFill>
                </w14:textFill>
              </w:rPr>
            </w:pPr>
            <w:r>
              <w:rPr>
                <w:rFonts w:hint="default" w:ascii="Times New Roman" w:hAnsi="Times New Roman" w:eastAsia="宋体" w:cs="Times New Roman"/>
                <w:b/>
                <w:color w:val="000000" w:themeColor="text1"/>
                <w:sz w:val="21"/>
                <w14:textFill>
                  <w14:solidFill>
                    <w14:schemeClr w14:val="tx1"/>
                  </w14:solidFill>
                </w14:textFill>
              </w:rPr>
              <w:t>不敏感</w:t>
            </w:r>
          </w:p>
        </w:tc>
        <w:tc>
          <w:tcPr>
            <w:tcW w:w="2320" w:type="dxa"/>
            <w:vAlign w:val="center"/>
          </w:tcPr>
          <w:p w14:paraId="79254844">
            <w:pPr>
              <w:pStyle w:val="36"/>
              <w:spacing w:line="240" w:lineRule="auto"/>
              <w:ind w:firstLine="0" w:firstLineChars="0"/>
              <w:rPr>
                <w:rFonts w:hint="default" w:ascii="Times New Roman" w:hAnsi="Times New Roman" w:eastAsia="宋体" w:cs="Times New Roman"/>
                <w:b/>
                <w:color w:val="000000" w:themeColor="text1"/>
                <w:sz w:val="21"/>
                <w14:textFill>
                  <w14:solidFill>
                    <w14:schemeClr w14:val="tx1"/>
                  </w14:solidFill>
                </w14:textFill>
              </w:rPr>
            </w:pPr>
            <w:r>
              <w:rPr>
                <w:rFonts w:hint="default" w:ascii="Times New Roman" w:hAnsi="Times New Roman" w:eastAsia="宋体" w:cs="Times New Roman"/>
                <w:b/>
                <w:color w:val="000000" w:themeColor="text1"/>
                <w:w w:val="99"/>
                <w:sz w:val="21"/>
                <w14:textFill>
                  <w14:solidFill>
                    <w14:schemeClr w14:val="tx1"/>
                  </w14:solidFill>
                </w14:textFill>
              </w:rPr>
              <w:t>二</w:t>
            </w:r>
          </w:p>
        </w:tc>
        <w:tc>
          <w:tcPr>
            <w:tcW w:w="2321" w:type="dxa"/>
            <w:vAlign w:val="center"/>
          </w:tcPr>
          <w:p w14:paraId="3878735E">
            <w:pPr>
              <w:pStyle w:val="36"/>
              <w:spacing w:line="240" w:lineRule="auto"/>
              <w:ind w:firstLine="0" w:firstLineChars="0"/>
              <w:rPr>
                <w:rFonts w:hint="default" w:ascii="Times New Roman" w:hAnsi="Times New Roman" w:eastAsia="宋体" w:cs="Times New Roman"/>
                <w:b/>
                <w:color w:val="000000" w:themeColor="text1"/>
                <w:sz w:val="21"/>
                <w14:textFill>
                  <w14:solidFill>
                    <w14:schemeClr w14:val="tx1"/>
                  </w14:solidFill>
                </w14:textFill>
              </w:rPr>
            </w:pPr>
            <w:r>
              <w:rPr>
                <w:rFonts w:hint="default" w:ascii="Times New Roman" w:hAnsi="Times New Roman" w:eastAsia="宋体" w:cs="Times New Roman"/>
                <w:b/>
                <w:color w:val="000000" w:themeColor="text1"/>
                <w:w w:val="99"/>
                <w:sz w:val="21"/>
                <w14:textFill>
                  <w14:solidFill>
                    <w14:schemeClr w14:val="tx1"/>
                  </w14:solidFill>
                </w14:textFill>
              </w:rPr>
              <w:t>三</w:t>
            </w:r>
          </w:p>
        </w:tc>
        <w:tc>
          <w:tcPr>
            <w:tcW w:w="2320" w:type="dxa"/>
            <w:vAlign w:val="center"/>
          </w:tcPr>
          <w:p w14:paraId="2819C13E">
            <w:pPr>
              <w:pStyle w:val="36"/>
              <w:spacing w:line="240" w:lineRule="auto"/>
              <w:ind w:firstLine="0" w:firstLineChars="0"/>
              <w:rPr>
                <w:rFonts w:hint="default" w:ascii="Times New Roman" w:hAnsi="Times New Roman" w:eastAsia="宋体" w:cs="Times New Roman"/>
                <w:b/>
                <w:color w:val="000000" w:themeColor="text1"/>
                <w:sz w:val="21"/>
                <w14:textFill>
                  <w14:solidFill>
                    <w14:schemeClr w14:val="tx1"/>
                  </w14:solidFill>
                </w14:textFill>
              </w:rPr>
            </w:pPr>
            <w:r>
              <w:rPr>
                <w:rFonts w:hint="default" w:ascii="Times New Roman" w:hAnsi="Times New Roman" w:eastAsia="宋体" w:cs="Times New Roman"/>
                <w:b/>
                <w:color w:val="000000" w:themeColor="text1"/>
                <w:w w:val="99"/>
                <w:sz w:val="21"/>
                <w14:textFill>
                  <w14:solidFill>
                    <w14:schemeClr w14:val="tx1"/>
                  </w14:solidFill>
                </w14:textFill>
              </w:rPr>
              <w:t>三</w:t>
            </w:r>
          </w:p>
        </w:tc>
      </w:tr>
    </w:tbl>
    <w:p w14:paraId="5AFFA73E">
      <w:pPr>
        <w:pStyle w:val="11"/>
        <w:adjustRightInd w:val="0"/>
        <w:snapToGrid w:val="0"/>
        <w:ind w:firstLine="480"/>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eastAsia="宋体" w:cs="Times New Roman"/>
          <w:color w:val="000000" w:themeColor="text1"/>
          <w:lang w:eastAsia="zh-CN"/>
          <w14:textFill>
            <w14:solidFill>
              <w14:schemeClr w14:val="tx1"/>
            </w14:solidFill>
          </w14:textFill>
        </w:rPr>
        <w:t>根据表2.6-8可知，本项目地下水环境影响评价等级为“三级”。</w:t>
      </w:r>
    </w:p>
    <w:p w14:paraId="27C829ED">
      <w:pPr>
        <w:adjustRightInd w:val="0"/>
        <w:snapToGrid w:val="0"/>
        <w:ind w:firstLine="482"/>
        <w:rPr>
          <w:rFonts w:hint="default" w:ascii="Times New Roman" w:hAnsi="Times New Roman" w:eastAsia="宋体" w:cs="Times New Roman"/>
          <w:b/>
          <w:color w:val="000000" w:themeColor="text1"/>
          <w14:textFill>
            <w14:solidFill>
              <w14:schemeClr w14:val="tx1"/>
            </w14:solidFill>
          </w14:textFill>
        </w:rPr>
      </w:pPr>
      <w:r>
        <w:rPr>
          <w:rFonts w:hint="default" w:ascii="Times New Roman" w:hAnsi="Times New Roman" w:eastAsia="宋体" w:cs="Times New Roman"/>
          <w:b/>
          <w:color w:val="000000" w:themeColor="text1"/>
          <w14:textFill>
            <w14:solidFill>
              <w14:schemeClr w14:val="tx1"/>
            </w14:solidFill>
          </w14:textFill>
        </w:rPr>
        <w:t>（2）评价范围</w:t>
      </w:r>
    </w:p>
    <w:p w14:paraId="18EA0F1C">
      <w:pPr>
        <w:pStyle w:val="11"/>
        <w:adjustRightInd w:val="0"/>
        <w:snapToGrid w:val="0"/>
        <w:ind w:firstLine="456"/>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eastAsia="宋体" w:cs="Times New Roman"/>
          <w:color w:val="000000" w:themeColor="text1"/>
          <w:spacing w:val="-6"/>
          <w:lang w:eastAsia="zh-CN"/>
          <w14:textFill>
            <w14:solidFill>
              <w14:schemeClr w14:val="tx1"/>
            </w14:solidFill>
          </w14:textFill>
        </w:rPr>
        <w:t>根据《环境影响评价技术导则地下水环境</w:t>
      </w:r>
      <w:r>
        <w:rPr>
          <w:rFonts w:hint="default" w:ascii="Times New Roman" w:hAnsi="Times New Roman" w:eastAsia="宋体" w:cs="Times New Roman"/>
          <w:color w:val="000000" w:themeColor="text1"/>
          <w:spacing w:val="-147"/>
          <w:lang w:eastAsia="zh-CN"/>
          <w14:textFill>
            <w14:solidFill>
              <w14:schemeClr w14:val="tx1"/>
            </w14:solidFill>
          </w14:textFill>
        </w:rPr>
        <w:t>》</w:t>
      </w:r>
      <w:r>
        <w:rPr>
          <w:rFonts w:hint="default" w:ascii="Times New Roman" w:hAnsi="Times New Roman" w:eastAsia="宋体" w:cs="Times New Roman"/>
          <w:color w:val="000000" w:themeColor="text1"/>
          <w:lang w:eastAsia="zh-CN"/>
          <w14:textFill>
            <w14:solidFill>
              <w14:schemeClr w14:val="tx1"/>
            </w14:solidFill>
          </w14:textFill>
        </w:rPr>
        <w:t>（</w:t>
      </w:r>
      <w:r>
        <w:rPr>
          <w:rFonts w:hint="default" w:ascii="Times New Roman" w:hAnsi="Times New Roman" w:eastAsia="宋体" w:cs="Times New Roman"/>
          <w:color w:val="000000" w:themeColor="text1"/>
          <w:spacing w:val="-1"/>
          <w:w w:val="99"/>
          <w:lang w:eastAsia="zh-CN"/>
          <w14:textFill>
            <w14:solidFill>
              <w14:schemeClr w14:val="tx1"/>
            </w14:solidFill>
          </w14:textFill>
        </w:rPr>
        <w:t>H</w:t>
      </w:r>
      <w:r>
        <w:rPr>
          <w:rFonts w:hint="default" w:ascii="Times New Roman" w:hAnsi="Times New Roman" w:eastAsia="宋体" w:cs="Times New Roman"/>
          <w:color w:val="000000" w:themeColor="text1"/>
          <w:w w:val="99"/>
          <w:lang w:eastAsia="zh-CN"/>
          <w14:textFill>
            <w14:solidFill>
              <w14:schemeClr w14:val="tx1"/>
            </w14:solidFill>
          </w14:textFill>
        </w:rPr>
        <w:t>J</w:t>
      </w:r>
      <w:r>
        <w:rPr>
          <w:rFonts w:hint="default" w:ascii="Times New Roman" w:hAnsi="Times New Roman" w:eastAsia="宋体" w:cs="Times New Roman"/>
          <w:color w:val="000000" w:themeColor="text1"/>
          <w:lang w:eastAsia="zh-CN"/>
          <w14:textFill>
            <w14:solidFill>
              <w14:schemeClr w14:val="tx1"/>
            </w14:solidFill>
          </w14:textFill>
        </w:rPr>
        <w:t>610-2016</w:t>
      </w:r>
      <w:r>
        <w:rPr>
          <w:rFonts w:hint="default" w:ascii="Times New Roman" w:hAnsi="Times New Roman" w:eastAsia="宋体" w:cs="Times New Roman"/>
          <w:color w:val="000000" w:themeColor="text1"/>
          <w:spacing w:val="-122"/>
          <w:lang w:eastAsia="zh-CN"/>
          <w14:textFill>
            <w14:solidFill>
              <w14:schemeClr w14:val="tx1"/>
            </w14:solidFill>
          </w14:textFill>
        </w:rPr>
        <w:t>）</w:t>
      </w:r>
      <w:r>
        <w:rPr>
          <w:rFonts w:hint="default" w:ascii="Times New Roman" w:hAnsi="Times New Roman" w:eastAsia="宋体" w:cs="Times New Roman"/>
          <w:color w:val="000000" w:themeColor="text1"/>
          <w:spacing w:val="-7"/>
          <w:lang w:eastAsia="zh-CN"/>
          <w14:textFill>
            <w14:solidFill>
              <w14:schemeClr w14:val="tx1"/>
            </w14:solidFill>
          </w14:textFill>
        </w:rPr>
        <w:t>，采用导则中推荐的查表</w:t>
      </w:r>
      <w:r>
        <w:rPr>
          <w:rFonts w:hint="default" w:ascii="Times New Roman" w:hAnsi="Times New Roman" w:eastAsia="宋体" w:cs="Times New Roman"/>
          <w:color w:val="000000" w:themeColor="text1"/>
          <w:spacing w:val="-2"/>
          <w:lang w:eastAsia="zh-CN"/>
          <w14:textFill>
            <w14:solidFill>
              <w14:schemeClr w14:val="tx1"/>
            </w14:solidFill>
          </w14:textFill>
        </w:rPr>
        <w:t>法确定项目的地下水评价范围，地下水环境现状调查评价范围参照表见表</w:t>
      </w:r>
      <w:r>
        <w:rPr>
          <w:rFonts w:hint="default" w:ascii="Times New Roman" w:hAnsi="Times New Roman" w:eastAsia="宋体" w:cs="Times New Roman"/>
          <w:color w:val="000000" w:themeColor="text1"/>
          <w:lang w:eastAsia="zh-CN"/>
          <w14:textFill>
            <w14:solidFill>
              <w14:schemeClr w14:val="tx1"/>
            </w14:solidFill>
          </w14:textFill>
        </w:rPr>
        <w:t>2.6-9。</w:t>
      </w:r>
    </w:p>
    <w:p w14:paraId="06AFB713">
      <w:pPr>
        <w:tabs>
          <w:tab w:val="left" w:pos="2771"/>
          <w:tab w:val="left" w:pos="6612"/>
        </w:tabs>
        <w:adjustRightInd w:val="0"/>
        <w:snapToGrid w:val="0"/>
        <w:ind w:firstLine="482"/>
        <w:jc w:val="center"/>
        <w:rPr>
          <w:rFonts w:hint="default" w:ascii="Times New Roman" w:hAnsi="Times New Roman" w:eastAsia="宋体" w:cs="Times New Roman"/>
          <w:b/>
          <w:color w:val="000000" w:themeColor="text1"/>
          <w:sz w:val="12"/>
          <w14:textFill>
            <w14:solidFill>
              <w14:schemeClr w14:val="tx1"/>
            </w14:solidFill>
          </w14:textFill>
        </w:rPr>
      </w:pPr>
      <w:bookmarkStart w:id="78" w:name="2.5.5生态环境"/>
      <w:bookmarkEnd w:id="78"/>
      <w:r>
        <w:rPr>
          <w:rFonts w:hint="default" w:ascii="Times New Roman" w:hAnsi="Times New Roman" w:eastAsia="宋体" w:cs="Times New Roman"/>
          <w:b/>
          <w:color w:val="000000" w:themeColor="text1"/>
          <w14:textFill>
            <w14:solidFill>
              <w14:schemeClr w14:val="tx1"/>
            </w14:solidFill>
          </w14:textFill>
        </w:rPr>
        <w:t>表2.6-9地下水环境现状调查评价范围参照表</w:t>
      </w:r>
    </w:p>
    <w:tbl>
      <w:tblPr>
        <w:tblStyle w:val="35"/>
        <w:tblW w:w="850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2835"/>
        <w:gridCol w:w="2834"/>
        <w:gridCol w:w="2835"/>
      </w:tblGrid>
      <w:tr w14:paraId="15815F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835" w:type="dxa"/>
            <w:vAlign w:val="center"/>
          </w:tcPr>
          <w:p w14:paraId="445ADC96">
            <w:pPr>
              <w:pStyle w:val="36"/>
              <w:spacing w:line="240" w:lineRule="auto"/>
              <w:ind w:firstLine="0" w:firstLineChars="0"/>
              <w:rPr>
                <w:rFonts w:hint="default" w:ascii="Times New Roman" w:hAnsi="Times New Roman" w:eastAsia="宋体" w:cs="Times New Roman"/>
                <w:b/>
                <w:color w:val="000000" w:themeColor="text1"/>
                <w:sz w:val="21"/>
                <w14:textFill>
                  <w14:solidFill>
                    <w14:schemeClr w14:val="tx1"/>
                  </w14:solidFill>
                </w14:textFill>
              </w:rPr>
            </w:pPr>
            <w:r>
              <w:rPr>
                <w:rFonts w:hint="default" w:ascii="Times New Roman" w:hAnsi="Times New Roman" w:eastAsia="宋体" w:cs="Times New Roman"/>
                <w:b/>
                <w:color w:val="000000" w:themeColor="text1"/>
                <w:sz w:val="21"/>
                <w14:textFill>
                  <w14:solidFill>
                    <w14:schemeClr w14:val="tx1"/>
                  </w14:solidFill>
                </w14:textFill>
              </w:rPr>
              <w:t>评价等级</w:t>
            </w:r>
          </w:p>
        </w:tc>
        <w:tc>
          <w:tcPr>
            <w:tcW w:w="2834" w:type="dxa"/>
            <w:vAlign w:val="center"/>
          </w:tcPr>
          <w:p w14:paraId="69550992">
            <w:pPr>
              <w:pStyle w:val="36"/>
              <w:spacing w:line="240" w:lineRule="auto"/>
              <w:ind w:firstLine="0" w:firstLineChars="0"/>
              <w:rPr>
                <w:rFonts w:hint="default" w:ascii="Times New Roman" w:hAnsi="Times New Roman" w:eastAsia="宋体" w:cs="Times New Roman"/>
                <w:b/>
                <w:color w:val="000000" w:themeColor="text1"/>
                <w:sz w:val="21"/>
                <w14:textFill>
                  <w14:solidFill>
                    <w14:schemeClr w14:val="tx1"/>
                  </w14:solidFill>
                </w14:textFill>
              </w:rPr>
            </w:pPr>
            <w:r>
              <w:rPr>
                <w:rFonts w:hint="default" w:ascii="Times New Roman" w:hAnsi="Times New Roman" w:eastAsia="宋体" w:cs="Times New Roman"/>
                <w:b/>
                <w:color w:val="000000" w:themeColor="text1"/>
                <w:sz w:val="21"/>
                <w14:textFill>
                  <w14:solidFill>
                    <w14:schemeClr w14:val="tx1"/>
                  </w14:solidFill>
                </w14:textFill>
              </w:rPr>
              <w:t>调查评价面积（km</w:t>
            </w:r>
            <w:r>
              <w:rPr>
                <w:rFonts w:hint="default" w:ascii="Times New Roman" w:hAnsi="Times New Roman" w:eastAsia="宋体" w:cs="Times New Roman"/>
                <w:b/>
                <w:color w:val="000000" w:themeColor="text1"/>
                <w:sz w:val="21"/>
                <w:vertAlign w:val="superscript"/>
                <w14:textFill>
                  <w14:solidFill>
                    <w14:schemeClr w14:val="tx1"/>
                  </w14:solidFill>
                </w14:textFill>
              </w:rPr>
              <w:t>2</w:t>
            </w:r>
            <w:r>
              <w:rPr>
                <w:rFonts w:hint="default" w:ascii="Times New Roman" w:hAnsi="Times New Roman" w:eastAsia="宋体" w:cs="Times New Roman"/>
                <w:b/>
                <w:color w:val="000000" w:themeColor="text1"/>
                <w:sz w:val="21"/>
                <w14:textFill>
                  <w14:solidFill>
                    <w14:schemeClr w14:val="tx1"/>
                  </w14:solidFill>
                </w14:textFill>
              </w:rPr>
              <w:t>）</w:t>
            </w:r>
          </w:p>
        </w:tc>
        <w:tc>
          <w:tcPr>
            <w:tcW w:w="2835" w:type="dxa"/>
            <w:vAlign w:val="center"/>
          </w:tcPr>
          <w:p w14:paraId="6C097338">
            <w:pPr>
              <w:pStyle w:val="36"/>
              <w:spacing w:line="240" w:lineRule="auto"/>
              <w:ind w:firstLine="0" w:firstLineChars="0"/>
              <w:rPr>
                <w:rFonts w:hint="default" w:ascii="Times New Roman" w:hAnsi="Times New Roman" w:eastAsia="宋体" w:cs="Times New Roman"/>
                <w:b/>
                <w:color w:val="000000" w:themeColor="text1"/>
                <w:sz w:val="21"/>
                <w14:textFill>
                  <w14:solidFill>
                    <w14:schemeClr w14:val="tx1"/>
                  </w14:solidFill>
                </w14:textFill>
              </w:rPr>
            </w:pPr>
            <w:r>
              <w:rPr>
                <w:rFonts w:hint="default" w:ascii="Times New Roman" w:hAnsi="Times New Roman" w:eastAsia="宋体" w:cs="Times New Roman"/>
                <w:b/>
                <w:color w:val="000000" w:themeColor="text1"/>
                <w:sz w:val="21"/>
                <w14:textFill>
                  <w14:solidFill>
                    <w14:schemeClr w14:val="tx1"/>
                  </w14:solidFill>
                </w14:textFill>
              </w:rPr>
              <w:t>备注</w:t>
            </w:r>
          </w:p>
        </w:tc>
      </w:tr>
      <w:tr w14:paraId="18E199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6" w:hRule="atLeast"/>
          <w:jc w:val="center"/>
        </w:trPr>
        <w:tc>
          <w:tcPr>
            <w:tcW w:w="2835" w:type="dxa"/>
            <w:vAlign w:val="center"/>
          </w:tcPr>
          <w:p w14:paraId="3847977D">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一</w:t>
            </w:r>
          </w:p>
        </w:tc>
        <w:tc>
          <w:tcPr>
            <w:tcW w:w="2834" w:type="dxa"/>
            <w:vAlign w:val="center"/>
          </w:tcPr>
          <w:p w14:paraId="1E719DC9">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≥20</w:t>
            </w:r>
          </w:p>
        </w:tc>
        <w:tc>
          <w:tcPr>
            <w:tcW w:w="2835" w:type="dxa"/>
            <w:vMerge w:val="restart"/>
            <w:vAlign w:val="center"/>
          </w:tcPr>
          <w:p w14:paraId="40FE7CBE">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应包括重要地下水环境保护目标，必要时适当扩大范围</w:t>
            </w:r>
          </w:p>
        </w:tc>
      </w:tr>
      <w:tr w14:paraId="1C8F4D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76" w:hRule="atLeast"/>
          <w:jc w:val="center"/>
        </w:trPr>
        <w:tc>
          <w:tcPr>
            <w:tcW w:w="2835" w:type="dxa"/>
            <w:vAlign w:val="center"/>
          </w:tcPr>
          <w:p w14:paraId="3706829B">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二</w:t>
            </w:r>
          </w:p>
        </w:tc>
        <w:tc>
          <w:tcPr>
            <w:tcW w:w="2834" w:type="dxa"/>
            <w:vAlign w:val="center"/>
          </w:tcPr>
          <w:p w14:paraId="5E913A16">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6-20</w:t>
            </w:r>
          </w:p>
        </w:tc>
        <w:tc>
          <w:tcPr>
            <w:tcW w:w="2835" w:type="dxa"/>
            <w:vMerge w:val="continue"/>
            <w:vAlign w:val="center"/>
          </w:tcPr>
          <w:p w14:paraId="5C4177CC">
            <w:pPr>
              <w:spacing w:line="240" w:lineRule="auto"/>
              <w:ind w:firstLine="0" w:firstLineChars="0"/>
              <w:jc w:val="center"/>
              <w:rPr>
                <w:rFonts w:hint="default" w:ascii="Times New Roman" w:hAnsi="Times New Roman" w:eastAsia="宋体" w:cs="Times New Roman"/>
                <w:color w:val="000000" w:themeColor="text1"/>
                <w:sz w:val="2"/>
                <w:szCs w:val="2"/>
                <w14:textFill>
                  <w14:solidFill>
                    <w14:schemeClr w14:val="tx1"/>
                  </w14:solidFill>
                </w14:textFill>
              </w:rPr>
            </w:pPr>
          </w:p>
        </w:tc>
      </w:tr>
      <w:tr w14:paraId="42658E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6" w:hRule="atLeast"/>
          <w:jc w:val="center"/>
        </w:trPr>
        <w:tc>
          <w:tcPr>
            <w:tcW w:w="2835" w:type="dxa"/>
            <w:vAlign w:val="center"/>
          </w:tcPr>
          <w:p w14:paraId="0DB5DE0C">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三</w:t>
            </w:r>
          </w:p>
        </w:tc>
        <w:tc>
          <w:tcPr>
            <w:tcW w:w="2834" w:type="dxa"/>
            <w:vAlign w:val="center"/>
          </w:tcPr>
          <w:p w14:paraId="1BEA6FB5">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≤6</w:t>
            </w:r>
          </w:p>
        </w:tc>
        <w:tc>
          <w:tcPr>
            <w:tcW w:w="2835" w:type="dxa"/>
            <w:vMerge w:val="continue"/>
            <w:vAlign w:val="center"/>
          </w:tcPr>
          <w:p w14:paraId="4F8B6930">
            <w:pPr>
              <w:spacing w:line="240" w:lineRule="auto"/>
              <w:ind w:firstLine="0" w:firstLineChars="0"/>
              <w:jc w:val="center"/>
              <w:rPr>
                <w:rFonts w:hint="default" w:ascii="Times New Roman" w:hAnsi="Times New Roman" w:eastAsia="宋体" w:cs="Times New Roman"/>
                <w:color w:val="000000" w:themeColor="text1"/>
                <w:sz w:val="2"/>
                <w:szCs w:val="2"/>
                <w14:textFill>
                  <w14:solidFill>
                    <w14:schemeClr w14:val="tx1"/>
                  </w14:solidFill>
                </w14:textFill>
              </w:rPr>
            </w:pPr>
          </w:p>
        </w:tc>
      </w:tr>
    </w:tbl>
    <w:p w14:paraId="3245BD36">
      <w:pPr>
        <w:pStyle w:val="11"/>
        <w:adjustRightInd w:val="0"/>
        <w:snapToGrid w:val="0"/>
        <w:ind w:firstLine="456"/>
        <w:rPr>
          <w:rFonts w:hint="default" w:ascii="Times New Roman" w:hAnsi="Times New Roman" w:eastAsia="宋体" w:cs="Times New Roman"/>
          <w:color w:val="000000" w:themeColor="text1"/>
          <w:spacing w:val="-6"/>
          <w:lang w:eastAsia="zh-CN"/>
          <w14:textFill>
            <w14:solidFill>
              <w14:schemeClr w14:val="tx1"/>
            </w14:solidFill>
          </w14:textFill>
        </w:rPr>
      </w:pPr>
      <w:r>
        <w:rPr>
          <w:rFonts w:hint="default" w:ascii="Times New Roman" w:hAnsi="Times New Roman" w:eastAsia="宋体" w:cs="Times New Roman"/>
          <w:color w:val="000000" w:themeColor="text1"/>
          <w:spacing w:val="-6"/>
          <w:lang w:eastAsia="zh-CN"/>
          <w14:textFill>
            <w14:solidFill>
              <w14:schemeClr w14:val="tx1"/>
            </w14:solidFill>
          </w14:textFill>
        </w:rPr>
        <w:t>根据表2.6-9可知，地下水三级评价等级调查评价面积小于等于6km</w:t>
      </w:r>
      <w:r>
        <w:rPr>
          <w:rFonts w:hint="default" w:ascii="Times New Roman" w:hAnsi="Times New Roman" w:eastAsia="宋体" w:cs="Times New Roman"/>
          <w:color w:val="000000" w:themeColor="text1"/>
          <w:spacing w:val="-6"/>
          <w:vertAlign w:val="superscript"/>
          <w:lang w:eastAsia="zh-CN"/>
          <w14:textFill>
            <w14:solidFill>
              <w14:schemeClr w14:val="tx1"/>
            </w14:solidFill>
          </w14:textFill>
        </w:rPr>
        <w:t>2</w:t>
      </w:r>
      <w:r>
        <w:rPr>
          <w:rFonts w:hint="default" w:ascii="Times New Roman" w:hAnsi="Times New Roman" w:eastAsia="宋体" w:cs="Times New Roman"/>
          <w:color w:val="000000" w:themeColor="text1"/>
          <w:spacing w:val="-6"/>
          <w:lang w:eastAsia="zh-CN"/>
          <w14:textFill>
            <w14:solidFill>
              <w14:schemeClr w14:val="tx1"/>
            </w14:solidFill>
          </w14:textFill>
        </w:rPr>
        <w:t>，因此确定本项目评价面积为6km</w:t>
      </w:r>
      <w:r>
        <w:rPr>
          <w:rFonts w:hint="default" w:ascii="Times New Roman" w:hAnsi="Times New Roman" w:eastAsia="宋体" w:cs="Times New Roman"/>
          <w:color w:val="000000" w:themeColor="text1"/>
          <w:spacing w:val="-6"/>
          <w:vertAlign w:val="superscript"/>
          <w:lang w:eastAsia="zh-CN"/>
          <w14:textFill>
            <w14:solidFill>
              <w14:schemeClr w14:val="tx1"/>
            </w14:solidFill>
          </w14:textFill>
        </w:rPr>
        <w:t>2</w:t>
      </w:r>
      <w:r>
        <w:rPr>
          <w:rFonts w:hint="default" w:ascii="Times New Roman" w:hAnsi="Times New Roman" w:eastAsia="宋体" w:cs="Times New Roman"/>
          <w:color w:val="000000" w:themeColor="text1"/>
          <w:spacing w:val="-6"/>
          <w:lang w:eastAsia="zh-CN"/>
          <w14:textFill>
            <w14:solidFill>
              <w14:schemeClr w14:val="tx1"/>
            </w14:solidFill>
          </w14:textFill>
        </w:rPr>
        <w:t>。根据现场调查及地区水文地质资料，区域地下水流向为从</w:t>
      </w:r>
      <w:r>
        <w:rPr>
          <w:rFonts w:hint="default" w:ascii="Times New Roman" w:hAnsi="Times New Roman" w:eastAsia="宋体" w:cs="Times New Roman"/>
          <w:color w:val="000000" w:themeColor="text1"/>
          <w:spacing w:val="-6"/>
          <w:lang w:val="en-US" w:eastAsia="zh-CN"/>
          <w14:textFill>
            <w14:solidFill>
              <w14:schemeClr w14:val="tx1"/>
            </w14:solidFill>
          </w14:textFill>
        </w:rPr>
        <w:t>西北</w:t>
      </w:r>
      <w:r>
        <w:rPr>
          <w:rFonts w:hint="default" w:ascii="Times New Roman" w:hAnsi="Times New Roman" w:eastAsia="宋体" w:cs="Times New Roman"/>
          <w:color w:val="000000" w:themeColor="text1"/>
          <w:spacing w:val="-6"/>
          <w:lang w:eastAsia="zh-CN"/>
          <w14:textFill>
            <w14:solidFill>
              <w14:schemeClr w14:val="tx1"/>
            </w14:solidFill>
          </w14:textFill>
        </w:rPr>
        <w:t>流向</w:t>
      </w:r>
      <w:r>
        <w:rPr>
          <w:rFonts w:hint="default" w:ascii="Times New Roman" w:hAnsi="Times New Roman" w:eastAsia="宋体" w:cs="Times New Roman"/>
          <w:color w:val="000000" w:themeColor="text1"/>
          <w:spacing w:val="-6"/>
          <w:lang w:val="en-US" w:eastAsia="zh-CN"/>
          <w14:textFill>
            <w14:solidFill>
              <w14:schemeClr w14:val="tx1"/>
            </w14:solidFill>
          </w14:textFill>
        </w:rPr>
        <w:t>东</w:t>
      </w:r>
      <w:r>
        <w:rPr>
          <w:rFonts w:hint="default" w:ascii="Times New Roman" w:hAnsi="Times New Roman" w:eastAsia="宋体" w:cs="Times New Roman"/>
          <w:color w:val="000000" w:themeColor="text1"/>
          <w:spacing w:val="-6"/>
          <w:lang w:eastAsia="zh-CN"/>
          <w14:textFill>
            <w14:solidFill>
              <w14:schemeClr w14:val="tx1"/>
            </w14:solidFill>
          </w14:textFill>
        </w:rPr>
        <w:t>南，结合项目场地地下水补给及径流方向，确定项目地下水评价范围为以项目厂区为中心，项目地下水上游（西北侧）1km，两侧（东北侧、西南侧）为1km，下游（东南侧）2km的矩形范围内。</w:t>
      </w:r>
    </w:p>
    <w:p w14:paraId="14DEFA85">
      <w:pPr>
        <w:pStyle w:val="11"/>
        <w:adjustRightInd w:val="0"/>
        <w:snapToGrid w:val="0"/>
        <w:ind w:firstLine="482"/>
        <w:outlineLvl w:val="2"/>
        <w:rPr>
          <w:rFonts w:hint="default" w:ascii="Times New Roman" w:hAnsi="Times New Roman" w:eastAsia="宋体" w:cs="Times New Roman"/>
          <w:b/>
          <w:color w:val="000000" w:themeColor="text1"/>
          <w:lang w:eastAsia="zh-CN"/>
          <w14:textFill>
            <w14:solidFill>
              <w14:schemeClr w14:val="tx1"/>
            </w14:solidFill>
          </w14:textFill>
        </w:rPr>
      </w:pPr>
      <w:bookmarkStart w:id="79" w:name="_TOC_250159"/>
      <w:bookmarkEnd w:id="79"/>
      <w:bookmarkStart w:id="80" w:name="_Toc27296"/>
      <w:r>
        <w:rPr>
          <w:rFonts w:hint="default" w:ascii="Times New Roman" w:hAnsi="Times New Roman" w:eastAsia="宋体" w:cs="Times New Roman"/>
          <w:b/>
          <w:color w:val="000000" w:themeColor="text1"/>
          <w:lang w:eastAsia="zh-CN"/>
          <w14:textFill>
            <w14:solidFill>
              <w14:schemeClr w14:val="tx1"/>
            </w14:solidFill>
          </w14:textFill>
        </w:rPr>
        <w:t>2.6.4声环境</w:t>
      </w:r>
      <w:bookmarkEnd w:id="80"/>
    </w:p>
    <w:p w14:paraId="159C0F06">
      <w:pPr>
        <w:adjustRightInd w:val="0"/>
        <w:snapToGrid w:val="0"/>
        <w:ind w:firstLine="482"/>
        <w:rPr>
          <w:rFonts w:hint="default" w:ascii="Times New Roman" w:hAnsi="Times New Roman" w:eastAsia="宋体" w:cs="Times New Roman"/>
          <w:b/>
          <w:color w:val="000000" w:themeColor="text1"/>
          <w14:textFill>
            <w14:solidFill>
              <w14:schemeClr w14:val="tx1"/>
            </w14:solidFill>
          </w14:textFill>
        </w:rPr>
      </w:pPr>
      <w:r>
        <w:rPr>
          <w:rFonts w:hint="default" w:ascii="Times New Roman" w:hAnsi="Times New Roman" w:eastAsia="宋体" w:cs="Times New Roman"/>
          <w:b/>
          <w:color w:val="000000" w:themeColor="text1"/>
          <w14:textFill>
            <w14:solidFill>
              <w14:schemeClr w14:val="tx1"/>
            </w14:solidFill>
          </w14:textFill>
        </w:rPr>
        <w:t>（1）评价等级</w:t>
      </w:r>
    </w:p>
    <w:p w14:paraId="05E7FD47">
      <w:pPr>
        <w:pStyle w:val="11"/>
        <w:adjustRightInd w:val="0"/>
        <w:snapToGrid w:val="0"/>
        <w:ind w:firstLine="476"/>
        <w:rPr>
          <w:rFonts w:hint="default" w:ascii="Times New Roman" w:hAnsi="Times New Roman" w:eastAsia="宋体" w:cs="Times New Roman"/>
          <w:color w:val="000000" w:themeColor="text1"/>
          <w:spacing w:val="-1"/>
          <w:lang w:eastAsia="zh-CN"/>
          <w14:textFill>
            <w14:solidFill>
              <w14:schemeClr w14:val="tx1"/>
            </w14:solidFill>
          </w14:textFill>
        </w:rPr>
      </w:pPr>
      <w:r>
        <w:rPr>
          <w:rFonts w:hint="default" w:ascii="Times New Roman" w:hAnsi="Times New Roman" w:eastAsia="宋体" w:cs="Times New Roman"/>
          <w:color w:val="000000" w:themeColor="text1"/>
          <w:spacing w:val="-1"/>
          <w:lang w:eastAsia="zh-CN"/>
          <w14:textFill>
            <w14:solidFill>
              <w14:schemeClr w14:val="tx1"/>
            </w14:solidFill>
          </w14:textFill>
        </w:rPr>
        <w:t>本项目所处区域为《声环境质量标准》（</w:t>
      </w:r>
      <w:bookmarkStart w:id="81" w:name="2.5.4声环境"/>
      <w:bookmarkEnd w:id="81"/>
      <w:r>
        <w:rPr>
          <w:rFonts w:hint="default" w:ascii="Times New Roman" w:hAnsi="Times New Roman" w:eastAsia="宋体" w:cs="Times New Roman"/>
          <w:color w:val="000000" w:themeColor="text1"/>
          <w:spacing w:val="-1"/>
          <w:lang w:eastAsia="zh-CN"/>
          <w14:textFill>
            <w14:solidFill>
              <w14:schemeClr w14:val="tx1"/>
            </w14:solidFill>
          </w14:textFill>
        </w:rPr>
        <w:t>GB3096-2008）规定的2类区，场区主要噪声源为</w:t>
      </w:r>
      <w:r>
        <w:rPr>
          <w:rFonts w:hint="default" w:ascii="Times New Roman" w:hAnsi="Times New Roman" w:eastAsia="宋体" w:cs="Times New Roman"/>
          <w:color w:val="000000" w:themeColor="text1"/>
          <w:lang w:eastAsia="zh-CN"/>
          <w14:textFill>
            <w14:solidFill>
              <w14:schemeClr w14:val="tx1"/>
            </w14:solidFill>
          </w14:textFill>
        </w:rPr>
        <w:t>风机、牛群活动叫声</w:t>
      </w:r>
      <w:r>
        <w:rPr>
          <w:rFonts w:hint="default" w:ascii="Times New Roman" w:hAnsi="Times New Roman" w:eastAsia="宋体" w:cs="Times New Roman"/>
          <w:color w:val="000000" w:themeColor="text1"/>
          <w:spacing w:val="-1"/>
          <w:lang w:eastAsia="zh-CN"/>
          <w14:textFill>
            <w14:solidFill>
              <w14:schemeClr w14:val="tx1"/>
            </w14:solidFill>
          </w14:textFill>
        </w:rPr>
        <w:t>、粉碎机等，根据噪声预测结果，项目建成后噪声增加值小于3dB（A），且受项目噪声影响人口数量较小，根据《环境影响评价技术导则声环境》（HJ2.4-2021）中规定，确定噪声评价等级为“</w:t>
      </w:r>
      <w:r>
        <w:rPr>
          <w:rFonts w:hint="default" w:ascii="Times New Roman" w:hAnsi="Times New Roman" w:eastAsia="宋体" w:cs="Times New Roman"/>
          <w:color w:val="000000" w:themeColor="text1"/>
          <w:spacing w:val="-1"/>
          <w:lang w:val="en-US" w:eastAsia="zh-CN"/>
          <w14:textFill>
            <w14:solidFill>
              <w14:schemeClr w14:val="tx1"/>
            </w14:solidFill>
          </w14:textFill>
        </w:rPr>
        <w:t>三</w:t>
      </w:r>
      <w:r>
        <w:rPr>
          <w:rFonts w:hint="default" w:ascii="Times New Roman" w:hAnsi="Times New Roman" w:eastAsia="宋体" w:cs="Times New Roman"/>
          <w:color w:val="000000" w:themeColor="text1"/>
          <w:spacing w:val="-1"/>
          <w:lang w:eastAsia="zh-CN"/>
          <w14:textFill>
            <w14:solidFill>
              <w14:schemeClr w14:val="tx1"/>
            </w14:solidFill>
          </w14:textFill>
        </w:rPr>
        <w:t>级”。</w:t>
      </w:r>
    </w:p>
    <w:p w14:paraId="5C79F6CB">
      <w:pPr>
        <w:tabs>
          <w:tab w:val="left" w:pos="2771"/>
          <w:tab w:val="left" w:pos="6612"/>
        </w:tabs>
        <w:adjustRightInd w:val="0"/>
        <w:snapToGrid w:val="0"/>
        <w:ind w:firstLine="482"/>
        <w:jc w:val="center"/>
        <w:rPr>
          <w:rFonts w:hint="default" w:ascii="Times New Roman" w:hAnsi="Times New Roman" w:eastAsia="宋体" w:cs="Times New Roman"/>
          <w:b/>
          <w:color w:val="000000" w:themeColor="text1"/>
          <w:sz w:val="6"/>
          <w14:textFill>
            <w14:solidFill>
              <w14:schemeClr w14:val="tx1"/>
            </w14:solidFill>
          </w14:textFill>
        </w:rPr>
      </w:pPr>
      <w:r>
        <w:rPr>
          <w:rFonts w:hint="default" w:ascii="Times New Roman" w:hAnsi="Times New Roman" w:eastAsia="宋体" w:cs="Times New Roman"/>
          <w:b/>
          <w:color w:val="000000" w:themeColor="text1"/>
          <w14:textFill>
            <w14:solidFill>
              <w14:schemeClr w14:val="tx1"/>
            </w14:solidFill>
          </w14:textFill>
        </w:rPr>
        <w:t>表2.6-10声环境评价工作等级划分</w:t>
      </w:r>
    </w:p>
    <w:tbl>
      <w:tblPr>
        <w:tblStyle w:val="35"/>
        <w:tblW w:w="850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928"/>
        <w:gridCol w:w="4027"/>
        <w:gridCol w:w="1330"/>
        <w:gridCol w:w="1219"/>
      </w:tblGrid>
      <w:tr w14:paraId="7D1E26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2" w:hRule="atLeast"/>
          <w:jc w:val="center"/>
        </w:trPr>
        <w:tc>
          <w:tcPr>
            <w:tcW w:w="1928" w:type="dxa"/>
            <w:vAlign w:val="center"/>
          </w:tcPr>
          <w:p w14:paraId="1143A3BD">
            <w:pPr>
              <w:pStyle w:val="36"/>
              <w:ind w:firstLine="0" w:firstLineChars="0"/>
              <w:rPr>
                <w:rFonts w:hint="default" w:ascii="Times New Roman" w:hAnsi="Times New Roman" w:eastAsia="宋体" w:cs="Times New Roman"/>
                <w:b/>
                <w:bCs/>
                <w:color w:val="000000" w:themeColor="text1"/>
                <w:sz w:val="21"/>
                <w14:textFill>
                  <w14:solidFill>
                    <w14:schemeClr w14:val="tx1"/>
                  </w14:solidFill>
                </w14:textFill>
              </w:rPr>
            </w:pPr>
            <w:r>
              <w:rPr>
                <w:rFonts w:hint="default" w:ascii="Times New Roman" w:hAnsi="Times New Roman" w:eastAsia="宋体" w:cs="Times New Roman"/>
                <w:b/>
                <w:bCs/>
                <w:color w:val="000000" w:themeColor="text1"/>
                <w:sz w:val="21"/>
                <w14:textFill>
                  <w14:solidFill>
                    <w14:schemeClr w14:val="tx1"/>
                  </w14:solidFill>
                </w14:textFill>
              </w:rPr>
              <w:t>评价等级</w:t>
            </w:r>
          </w:p>
        </w:tc>
        <w:tc>
          <w:tcPr>
            <w:tcW w:w="4027" w:type="dxa"/>
            <w:vAlign w:val="center"/>
          </w:tcPr>
          <w:p w14:paraId="632D47E9">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一级</w:t>
            </w:r>
          </w:p>
        </w:tc>
        <w:tc>
          <w:tcPr>
            <w:tcW w:w="1330" w:type="dxa"/>
            <w:vAlign w:val="center"/>
          </w:tcPr>
          <w:p w14:paraId="75A4ACF9">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二级</w:t>
            </w:r>
          </w:p>
        </w:tc>
        <w:tc>
          <w:tcPr>
            <w:tcW w:w="1219" w:type="dxa"/>
            <w:vAlign w:val="center"/>
          </w:tcPr>
          <w:p w14:paraId="67A36410">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三级</w:t>
            </w:r>
          </w:p>
        </w:tc>
      </w:tr>
      <w:tr w14:paraId="7D6057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2" w:hRule="atLeast"/>
          <w:jc w:val="center"/>
        </w:trPr>
        <w:tc>
          <w:tcPr>
            <w:tcW w:w="1928" w:type="dxa"/>
            <w:vMerge w:val="restart"/>
            <w:vAlign w:val="center"/>
          </w:tcPr>
          <w:p w14:paraId="508D87F6">
            <w:pPr>
              <w:pStyle w:val="36"/>
              <w:ind w:firstLine="0" w:firstLineChars="0"/>
              <w:rPr>
                <w:rFonts w:hint="default" w:ascii="Times New Roman" w:hAnsi="Times New Roman" w:eastAsia="宋体" w:cs="Times New Roman"/>
                <w:b/>
                <w:bCs/>
                <w:color w:val="000000" w:themeColor="text1"/>
                <w:sz w:val="21"/>
                <w14:textFill>
                  <w14:solidFill>
                    <w14:schemeClr w14:val="tx1"/>
                  </w14:solidFill>
                </w14:textFill>
              </w:rPr>
            </w:pPr>
            <w:r>
              <w:rPr>
                <w:rFonts w:hint="default" w:ascii="Times New Roman" w:hAnsi="Times New Roman" w:eastAsia="宋体" w:cs="Times New Roman"/>
                <w:b/>
                <w:bCs/>
                <w:color w:val="000000" w:themeColor="text1"/>
                <w:sz w:val="21"/>
                <w14:textFill>
                  <w14:solidFill>
                    <w14:schemeClr w14:val="tx1"/>
                  </w14:solidFill>
                </w14:textFill>
              </w:rPr>
              <w:t>适用标准</w:t>
            </w:r>
          </w:p>
        </w:tc>
        <w:tc>
          <w:tcPr>
            <w:tcW w:w="4027" w:type="dxa"/>
            <w:vAlign w:val="center"/>
          </w:tcPr>
          <w:p w14:paraId="162113B2">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0类</w:t>
            </w:r>
          </w:p>
        </w:tc>
        <w:tc>
          <w:tcPr>
            <w:tcW w:w="1330" w:type="dxa"/>
            <w:vMerge w:val="restart"/>
            <w:vAlign w:val="center"/>
          </w:tcPr>
          <w:p w14:paraId="5DF78CC4">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1~2类</w:t>
            </w:r>
          </w:p>
        </w:tc>
        <w:tc>
          <w:tcPr>
            <w:tcW w:w="1219" w:type="dxa"/>
            <w:vMerge w:val="restart"/>
            <w:vAlign w:val="center"/>
          </w:tcPr>
          <w:p w14:paraId="6A0339B8">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3~4类</w:t>
            </w:r>
          </w:p>
        </w:tc>
      </w:tr>
      <w:tr w14:paraId="78416E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2" w:hRule="atLeast"/>
          <w:jc w:val="center"/>
        </w:trPr>
        <w:tc>
          <w:tcPr>
            <w:tcW w:w="1928" w:type="dxa"/>
            <w:vMerge w:val="continue"/>
            <w:vAlign w:val="center"/>
          </w:tcPr>
          <w:p w14:paraId="752BB34F">
            <w:pPr>
              <w:ind w:firstLine="0" w:firstLineChars="0"/>
              <w:jc w:val="center"/>
              <w:rPr>
                <w:rFonts w:hint="default" w:ascii="Times New Roman" w:hAnsi="Times New Roman" w:eastAsia="宋体" w:cs="Times New Roman"/>
                <w:b/>
                <w:bCs/>
                <w:color w:val="000000" w:themeColor="text1"/>
                <w:sz w:val="2"/>
                <w:szCs w:val="2"/>
                <w14:textFill>
                  <w14:solidFill>
                    <w14:schemeClr w14:val="tx1"/>
                  </w14:solidFill>
                </w14:textFill>
              </w:rPr>
            </w:pPr>
          </w:p>
        </w:tc>
        <w:tc>
          <w:tcPr>
            <w:tcW w:w="4027" w:type="dxa"/>
            <w:vAlign w:val="center"/>
          </w:tcPr>
          <w:p w14:paraId="51E20847">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对噪声有特别要求的保护区等敏感目标</w:t>
            </w:r>
          </w:p>
        </w:tc>
        <w:tc>
          <w:tcPr>
            <w:tcW w:w="1330" w:type="dxa"/>
            <w:vMerge w:val="continue"/>
            <w:vAlign w:val="center"/>
          </w:tcPr>
          <w:p w14:paraId="3818BBA6">
            <w:pPr>
              <w:ind w:firstLine="0" w:firstLineChars="0"/>
              <w:jc w:val="center"/>
              <w:rPr>
                <w:rFonts w:hint="default" w:ascii="Times New Roman" w:hAnsi="Times New Roman" w:eastAsia="宋体" w:cs="Times New Roman"/>
                <w:color w:val="000000" w:themeColor="text1"/>
                <w:sz w:val="2"/>
                <w:szCs w:val="2"/>
                <w14:textFill>
                  <w14:solidFill>
                    <w14:schemeClr w14:val="tx1"/>
                  </w14:solidFill>
                </w14:textFill>
              </w:rPr>
            </w:pPr>
          </w:p>
        </w:tc>
        <w:tc>
          <w:tcPr>
            <w:tcW w:w="1219" w:type="dxa"/>
            <w:vMerge w:val="continue"/>
            <w:vAlign w:val="center"/>
          </w:tcPr>
          <w:p w14:paraId="272C9D90">
            <w:pPr>
              <w:ind w:firstLine="0" w:firstLineChars="0"/>
              <w:jc w:val="center"/>
              <w:rPr>
                <w:rFonts w:hint="default" w:ascii="Times New Roman" w:hAnsi="Times New Roman" w:eastAsia="宋体" w:cs="Times New Roman"/>
                <w:color w:val="000000" w:themeColor="text1"/>
                <w:sz w:val="2"/>
                <w:szCs w:val="2"/>
                <w14:textFill>
                  <w14:solidFill>
                    <w14:schemeClr w14:val="tx1"/>
                  </w14:solidFill>
                </w14:textFill>
              </w:rPr>
            </w:pPr>
          </w:p>
        </w:tc>
      </w:tr>
      <w:tr w14:paraId="2ED0EE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3" w:hRule="atLeast"/>
          <w:jc w:val="center"/>
        </w:trPr>
        <w:tc>
          <w:tcPr>
            <w:tcW w:w="1928" w:type="dxa"/>
            <w:vAlign w:val="center"/>
          </w:tcPr>
          <w:p w14:paraId="29C4345E">
            <w:pPr>
              <w:pStyle w:val="36"/>
              <w:ind w:firstLine="0" w:firstLineChars="0"/>
              <w:rPr>
                <w:rFonts w:hint="default" w:ascii="Times New Roman" w:hAnsi="Times New Roman" w:eastAsia="宋体" w:cs="Times New Roman"/>
                <w:b/>
                <w:bCs/>
                <w:color w:val="000000" w:themeColor="text1"/>
                <w:sz w:val="21"/>
                <w14:textFill>
                  <w14:solidFill>
                    <w14:schemeClr w14:val="tx1"/>
                  </w14:solidFill>
                </w14:textFill>
              </w:rPr>
            </w:pPr>
            <w:r>
              <w:rPr>
                <w:rFonts w:hint="default" w:ascii="Times New Roman" w:hAnsi="Times New Roman" w:eastAsia="宋体" w:cs="Times New Roman"/>
                <w:b/>
                <w:bCs/>
                <w:color w:val="000000" w:themeColor="text1"/>
                <w:sz w:val="21"/>
                <w14:textFill>
                  <w14:solidFill>
                    <w14:schemeClr w14:val="tx1"/>
                  </w14:solidFill>
                </w14:textFill>
              </w:rPr>
              <w:t>建设后噪声增加值</w:t>
            </w:r>
          </w:p>
        </w:tc>
        <w:tc>
          <w:tcPr>
            <w:tcW w:w="4027" w:type="dxa"/>
            <w:vAlign w:val="center"/>
          </w:tcPr>
          <w:p w14:paraId="549C8A59">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&gt;5dB（A）</w:t>
            </w:r>
          </w:p>
        </w:tc>
        <w:tc>
          <w:tcPr>
            <w:tcW w:w="1330" w:type="dxa"/>
            <w:vAlign w:val="center"/>
          </w:tcPr>
          <w:p w14:paraId="65F4EAE0">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3~5dB（A）</w:t>
            </w:r>
          </w:p>
        </w:tc>
        <w:tc>
          <w:tcPr>
            <w:tcW w:w="1219" w:type="dxa"/>
            <w:vAlign w:val="center"/>
          </w:tcPr>
          <w:p w14:paraId="59710B23">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&lt;3dB（A）</w:t>
            </w:r>
          </w:p>
        </w:tc>
      </w:tr>
      <w:tr w14:paraId="67EFF3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3" w:hRule="atLeast"/>
          <w:jc w:val="center"/>
        </w:trPr>
        <w:tc>
          <w:tcPr>
            <w:tcW w:w="1928" w:type="dxa"/>
            <w:vAlign w:val="center"/>
          </w:tcPr>
          <w:p w14:paraId="453606BD">
            <w:pPr>
              <w:pStyle w:val="36"/>
              <w:ind w:firstLine="0" w:firstLineChars="0"/>
              <w:rPr>
                <w:rFonts w:hint="default" w:ascii="Times New Roman" w:hAnsi="Times New Roman" w:eastAsia="宋体" w:cs="Times New Roman"/>
                <w:b/>
                <w:bCs/>
                <w:color w:val="000000" w:themeColor="text1"/>
                <w:sz w:val="21"/>
                <w14:textFill>
                  <w14:solidFill>
                    <w14:schemeClr w14:val="tx1"/>
                  </w14:solidFill>
                </w14:textFill>
              </w:rPr>
            </w:pPr>
            <w:r>
              <w:rPr>
                <w:rFonts w:hint="default" w:ascii="Times New Roman" w:hAnsi="Times New Roman" w:eastAsia="宋体" w:cs="Times New Roman"/>
                <w:b/>
                <w:bCs/>
                <w:color w:val="000000" w:themeColor="text1"/>
                <w:sz w:val="21"/>
                <w14:textFill>
                  <w14:solidFill>
                    <w14:schemeClr w14:val="tx1"/>
                  </w14:solidFill>
                </w14:textFill>
              </w:rPr>
              <w:t>受影响人口</w:t>
            </w:r>
          </w:p>
        </w:tc>
        <w:tc>
          <w:tcPr>
            <w:tcW w:w="4027" w:type="dxa"/>
            <w:vAlign w:val="center"/>
          </w:tcPr>
          <w:p w14:paraId="07278B80">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显著增加</w:t>
            </w:r>
          </w:p>
        </w:tc>
        <w:tc>
          <w:tcPr>
            <w:tcW w:w="1330" w:type="dxa"/>
            <w:vAlign w:val="center"/>
          </w:tcPr>
          <w:p w14:paraId="32EE8788">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增加较多</w:t>
            </w:r>
          </w:p>
        </w:tc>
        <w:tc>
          <w:tcPr>
            <w:tcW w:w="1219" w:type="dxa"/>
            <w:vAlign w:val="center"/>
          </w:tcPr>
          <w:p w14:paraId="45C3822C">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变化不大</w:t>
            </w:r>
          </w:p>
        </w:tc>
      </w:tr>
    </w:tbl>
    <w:p w14:paraId="5FCC9FCA">
      <w:pPr>
        <w:adjustRightInd w:val="0"/>
        <w:snapToGrid w:val="0"/>
        <w:ind w:firstLine="482"/>
        <w:rPr>
          <w:rFonts w:hint="default" w:ascii="Times New Roman" w:hAnsi="Times New Roman" w:eastAsia="宋体" w:cs="Times New Roman"/>
          <w:b/>
          <w:color w:val="000000" w:themeColor="text1"/>
          <w14:textFill>
            <w14:solidFill>
              <w14:schemeClr w14:val="tx1"/>
            </w14:solidFill>
          </w14:textFill>
        </w:rPr>
      </w:pPr>
      <w:r>
        <w:rPr>
          <w:rFonts w:hint="default" w:ascii="Times New Roman" w:hAnsi="Times New Roman" w:eastAsia="宋体" w:cs="Times New Roman"/>
          <w:b/>
          <w:color w:val="000000" w:themeColor="text1"/>
          <w14:textFill>
            <w14:solidFill>
              <w14:schemeClr w14:val="tx1"/>
            </w14:solidFill>
          </w14:textFill>
        </w:rPr>
        <w:t>（2）评价范围</w:t>
      </w:r>
    </w:p>
    <w:p w14:paraId="1ED10646">
      <w:pPr>
        <w:pStyle w:val="11"/>
        <w:adjustRightInd w:val="0"/>
        <w:snapToGrid w:val="0"/>
        <w:ind w:firstLine="476"/>
        <w:rPr>
          <w:rFonts w:hint="default" w:ascii="Times New Roman" w:hAnsi="Times New Roman" w:eastAsia="宋体" w:cs="Times New Roman"/>
          <w:color w:val="000000" w:themeColor="text1"/>
          <w:spacing w:val="-1"/>
          <w:lang w:eastAsia="zh-CN"/>
          <w14:textFill>
            <w14:solidFill>
              <w14:schemeClr w14:val="tx1"/>
            </w14:solidFill>
          </w14:textFill>
        </w:rPr>
      </w:pPr>
      <w:r>
        <w:rPr>
          <w:rFonts w:hint="default" w:ascii="Times New Roman" w:hAnsi="Times New Roman" w:eastAsia="宋体" w:cs="Times New Roman"/>
          <w:color w:val="000000" w:themeColor="text1"/>
          <w:spacing w:val="-1"/>
          <w:lang w:eastAsia="zh-CN"/>
          <w14:textFill>
            <w14:solidFill>
              <w14:schemeClr w14:val="tx1"/>
            </w14:solidFill>
          </w14:textFill>
        </w:rPr>
        <w:t>根据《环境影响评价技术导则·声环境》（HJ2.4-2021）规定，评价范围为本项目厂界外200m内区域。</w:t>
      </w:r>
    </w:p>
    <w:p w14:paraId="3F4627A5">
      <w:pPr>
        <w:pStyle w:val="11"/>
        <w:adjustRightInd w:val="0"/>
        <w:snapToGrid w:val="0"/>
        <w:ind w:firstLine="482"/>
        <w:outlineLvl w:val="2"/>
        <w:rPr>
          <w:rFonts w:hint="default" w:ascii="Times New Roman" w:hAnsi="Times New Roman" w:eastAsia="宋体" w:cs="Times New Roman"/>
          <w:b/>
          <w:color w:val="000000" w:themeColor="text1"/>
          <w:lang w:eastAsia="zh-CN"/>
          <w14:textFill>
            <w14:solidFill>
              <w14:schemeClr w14:val="tx1"/>
            </w14:solidFill>
          </w14:textFill>
        </w:rPr>
      </w:pPr>
      <w:bookmarkStart w:id="82" w:name="_TOC_250158"/>
      <w:bookmarkEnd w:id="82"/>
      <w:bookmarkStart w:id="83" w:name="_Toc28612"/>
      <w:r>
        <w:rPr>
          <w:rFonts w:hint="default" w:ascii="Times New Roman" w:hAnsi="Times New Roman" w:eastAsia="宋体" w:cs="Times New Roman"/>
          <w:b/>
          <w:color w:val="000000" w:themeColor="text1"/>
          <w:lang w:eastAsia="zh-CN"/>
          <w14:textFill>
            <w14:solidFill>
              <w14:schemeClr w14:val="tx1"/>
            </w14:solidFill>
          </w14:textFill>
        </w:rPr>
        <w:t>2.6.</w:t>
      </w:r>
      <w:r>
        <w:rPr>
          <w:rFonts w:hint="eastAsia" w:ascii="Times New Roman" w:hAnsi="Times New Roman" w:cs="Times New Roman"/>
          <w:b/>
          <w:color w:val="000000" w:themeColor="text1"/>
          <w:lang w:val="en-US" w:eastAsia="zh-CN"/>
          <w14:textFill>
            <w14:solidFill>
              <w14:schemeClr w14:val="tx1"/>
            </w14:solidFill>
          </w14:textFill>
        </w:rPr>
        <w:t>5</w:t>
      </w:r>
      <w:r>
        <w:rPr>
          <w:rFonts w:hint="default" w:ascii="Times New Roman" w:hAnsi="Times New Roman" w:eastAsia="宋体" w:cs="Times New Roman"/>
          <w:b/>
          <w:color w:val="000000" w:themeColor="text1"/>
          <w:lang w:eastAsia="zh-CN"/>
          <w14:textFill>
            <w14:solidFill>
              <w14:schemeClr w14:val="tx1"/>
            </w14:solidFill>
          </w14:textFill>
        </w:rPr>
        <w:t>生态环境</w:t>
      </w:r>
      <w:bookmarkEnd w:id="83"/>
    </w:p>
    <w:p w14:paraId="6652808C">
      <w:pPr>
        <w:numPr>
          <w:ilvl w:val="0"/>
          <w:numId w:val="0"/>
        </w:numPr>
        <w:ind w:firstLine="482" w:firstLineChars="200"/>
        <w:rPr>
          <w:rFonts w:hint="eastAsia" w:cs="Times New Roman"/>
          <w:b/>
          <w:bCs/>
          <w:color w:val="000000" w:themeColor="text1"/>
          <w:szCs w:val="28"/>
          <w:lang w:val="en-US" w:eastAsia="zh-CN"/>
          <w14:textFill>
            <w14:solidFill>
              <w14:schemeClr w14:val="tx1"/>
            </w14:solidFill>
          </w14:textFill>
        </w:rPr>
      </w:pPr>
      <w:r>
        <w:rPr>
          <w:rFonts w:hint="eastAsia" w:ascii="Times New Roman" w:hAnsi="Times New Roman" w:eastAsia="宋体" w:cs="Times New Roman"/>
          <w:b/>
          <w:bCs/>
          <w:color w:val="000000" w:themeColor="text1"/>
          <w:kern w:val="2"/>
          <w:sz w:val="24"/>
          <w:szCs w:val="28"/>
          <w:lang w:val="en-US" w:eastAsia="zh-CN" w:bidi="ar-SA"/>
          <w14:textFill>
            <w14:solidFill>
              <w14:schemeClr w14:val="tx1"/>
            </w14:solidFill>
          </w14:textFill>
        </w:rPr>
        <w:t>（1）</w:t>
      </w:r>
      <w:r>
        <w:rPr>
          <w:rFonts w:hint="eastAsia" w:cs="Times New Roman"/>
          <w:b/>
          <w:bCs/>
          <w:color w:val="000000" w:themeColor="text1"/>
          <w:szCs w:val="28"/>
          <w:lang w:val="en-US" w:eastAsia="zh-CN"/>
          <w14:textFill>
            <w14:solidFill>
              <w14:schemeClr w14:val="tx1"/>
            </w14:solidFill>
          </w14:textFill>
        </w:rPr>
        <w:t>评价等级</w:t>
      </w:r>
    </w:p>
    <w:p w14:paraId="77208866">
      <w:pPr>
        <w:numPr>
          <w:ilvl w:val="0"/>
          <w:numId w:val="0"/>
        </w:numPr>
        <w:ind w:firstLine="480" w:firstLineChars="200"/>
        <w:rPr>
          <w:rFonts w:hint="default" w:ascii="Times New Roman" w:hAnsi="Times New Roman" w:eastAsia="宋体" w:cs="Times New Roman"/>
          <w:color w:val="000000" w:themeColor="text1"/>
          <w:szCs w:val="28"/>
          <w14:textFill>
            <w14:solidFill>
              <w14:schemeClr w14:val="tx1"/>
            </w14:solidFill>
          </w14:textFill>
        </w:rPr>
      </w:pPr>
      <w:r>
        <w:rPr>
          <w:rFonts w:hint="default" w:ascii="Times New Roman" w:hAnsi="Times New Roman" w:eastAsia="宋体" w:cs="Times New Roman"/>
          <w:color w:val="000000" w:themeColor="text1"/>
          <w:szCs w:val="28"/>
          <w14:textFill>
            <w14:solidFill>
              <w14:schemeClr w14:val="tx1"/>
            </w14:solidFill>
          </w14:textFill>
        </w:rPr>
        <w:t>根据《环境影响评价技术导则生态影响》（HJ19-2021），评价等级按以下原则确定：</w:t>
      </w:r>
    </w:p>
    <w:p w14:paraId="645D8683">
      <w:pPr>
        <w:ind w:firstLine="480"/>
        <w:rPr>
          <w:rFonts w:hint="default" w:ascii="Times New Roman" w:hAnsi="Times New Roman" w:eastAsia="宋体" w:cs="Times New Roman"/>
          <w:color w:val="000000" w:themeColor="text1"/>
          <w:szCs w:val="28"/>
          <w14:textFill>
            <w14:solidFill>
              <w14:schemeClr w14:val="tx1"/>
            </w14:solidFill>
          </w14:textFill>
        </w:rPr>
      </w:pPr>
      <w:r>
        <w:rPr>
          <w:rFonts w:hint="default" w:ascii="Times New Roman" w:hAnsi="Times New Roman" w:eastAsia="宋体" w:cs="Times New Roman"/>
          <w:color w:val="000000" w:themeColor="text1"/>
          <w:szCs w:val="28"/>
          <w14:textFill>
            <w14:solidFill>
              <w14:schemeClr w14:val="tx1"/>
            </w14:solidFill>
          </w14:textFill>
        </w:rPr>
        <w:t>a）涉及国家公园、自然保护区、世界自然遗产、重要生境时，评价等级为一级；</w:t>
      </w:r>
    </w:p>
    <w:p w14:paraId="186D12E1">
      <w:pPr>
        <w:ind w:firstLine="480"/>
        <w:rPr>
          <w:rFonts w:hint="default" w:ascii="Times New Roman" w:hAnsi="Times New Roman" w:eastAsia="宋体" w:cs="Times New Roman"/>
          <w:color w:val="000000" w:themeColor="text1"/>
          <w:szCs w:val="28"/>
          <w14:textFill>
            <w14:solidFill>
              <w14:schemeClr w14:val="tx1"/>
            </w14:solidFill>
          </w14:textFill>
        </w:rPr>
      </w:pPr>
      <w:r>
        <w:rPr>
          <w:rFonts w:hint="default" w:ascii="Times New Roman" w:hAnsi="Times New Roman" w:eastAsia="宋体" w:cs="Times New Roman"/>
          <w:color w:val="000000" w:themeColor="text1"/>
          <w:szCs w:val="28"/>
          <w14:textFill>
            <w14:solidFill>
              <w14:schemeClr w14:val="tx1"/>
            </w14:solidFill>
          </w14:textFill>
        </w:rPr>
        <w:t>b）涉及自然公园时，评价等级为二级；</w:t>
      </w:r>
    </w:p>
    <w:p w14:paraId="5422B87F">
      <w:pPr>
        <w:ind w:firstLine="480"/>
        <w:rPr>
          <w:rFonts w:hint="default" w:ascii="Times New Roman" w:hAnsi="Times New Roman" w:eastAsia="宋体" w:cs="Times New Roman"/>
          <w:color w:val="000000" w:themeColor="text1"/>
          <w:szCs w:val="28"/>
          <w14:textFill>
            <w14:solidFill>
              <w14:schemeClr w14:val="tx1"/>
            </w14:solidFill>
          </w14:textFill>
        </w:rPr>
      </w:pPr>
      <w:r>
        <w:rPr>
          <w:rFonts w:hint="default" w:ascii="Times New Roman" w:hAnsi="Times New Roman" w:eastAsia="宋体" w:cs="Times New Roman"/>
          <w:color w:val="000000" w:themeColor="text1"/>
          <w:szCs w:val="28"/>
          <w14:textFill>
            <w14:solidFill>
              <w14:schemeClr w14:val="tx1"/>
            </w14:solidFill>
          </w14:textFill>
        </w:rPr>
        <w:t>c）涉及生态保护红线时，评价等级不低于二级；</w:t>
      </w:r>
    </w:p>
    <w:p w14:paraId="44E1C49A">
      <w:pPr>
        <w:ind w:firstLine="480"/>
        <w:rPr>
          <w:rFonts w:hint="default" w:ascii="Times New Roman" w:hAnsi="Times New Roman" w:eastAsia="宋体" w:cs="Times New Roman"/>
          <w:color w:val="000000" w:themeColor="text1"/>
          <w:szCs w:val="28"/>
          <w14:textFill>
            <w14:solidFill>
              <w14:schemeClr w14:val="tx1"/>
            </w14:solidFill>
          </w14:textFill>
        </w:rPr>
      </w:pPr>
      <w:r>
        <w:rPr>
          <w:rFonts w:hint="default" w:ascii="Times New Roman" w:hAnsi="Times New Roman" w:eastAsia="宋体" w:cs="Times New Roman"/>
          <w:color w:val="000000" w:themeColor="text1"/>
          <w:szCs w:val="28"/>
          <w14:textFill>
            <w14:solidFill>
              <w14:schemeClr w14:val="tx1"/>
            </w14:solidFill>
          </w14:textFill>
        </w:rPr>
        <w:t>d）根据HJ2.3判断属于水文要素影响型且地表水评价等级不低于二级的建设项目，生态影响评价等级不低于二级；</w:t>
      </w:r>
    </w:p>
    <w:p w14:paraId="7395045C">
      <w:pPr>
        <w:ind w:firstLine="480"/>
        <w:rPr>
          <w:rFonts w:hint="default" w:ascii="Times New Roman" w:hAnsi="Times New Roman" w:eastAsia="宋体" w:cs="Times New Roman"/>
          <w:color w:val="000000" w:themeColor="text1"/>
          <w:szCs w:val="28"/>
          <w14:textFill>
            <w14:solidFill>
              <w14:schemeClr w14:val="tx1"/>
            </w14:solidFill>
          </w14:textFill>
        </w:rPr>
      </w:pPr>
      <w:r>
        <w:rPr>
          <w:rFonts w:hint="default" w:ascii="Times New Roman" w:hAnsi="Times New Roman" w:eastAsia="宋体" w:cs="Times New Roman"/>
          <w:color w:val="000000" w:themeColor="text1"/>
          <w:szCs w:val="28"/>
          <w14:textFill>
            <w14:solidFill>
              <w14:schemeClr w14:val="tx1"/>
            </w14:solidFill>
          </w14:textFill>
        </w:rPr>
        <w:t>e）根据HJ610、HJ964判断地下水水位或土壤影响范围内分布有天然林、公益林、湿地等生态保护目标的建设项目，生态影响评价等级不低于二级；</w:t>
      </w:r>
    </w:p>
    <w:p w14:paraId="77BC19B8">
      <w:pPr>
        <w:ind w:firstLine="480"/>
        <w:rPr>
          <w:rFonts w:hint="default" w:ascii="Times New Roman" w:hAnsi="Times New Roman" w:eastAsia="宋体" w:cs="Times New Roman"/>
          <w:color w:val="000000" w:themeColor="text1"/>
          <w:szCs w:val="28"/>
          <w14:textFill>
            <w14:solidFill>
              <w14:schemeClr w14:val="tx1"/>
            </w14:solidFill>
          </w14:textFill>
        </w:rPr>
      </w:pPr>
      <w:r>
        <w:rPr>
          <w:rFonts w:hint="default" w:ascii="Times New Roman" w:hAnsi="Times New Roman" w:eastAsia="宋体" w:cs="Times New Roman"/>
          <w:color w:val="000000" w:themeColor="text1"/>
          <w:szCs w:val="28"/>
          <w14:textFill>
            <w14:solidFill>
              <w14:schemeClr w14:val="tx1"/>
            </w14:solidFill>
          </w14:textFill>
        </w:rPr>
        <w:t>f）当工程占地规模大于20km</w:t>
      </w:r>
      <w:r>
        <w:rPr>
          <w:rFonts w:hint="default" w:ascii="Times New Roman" w:hAnsi="Times New Roman" w:eastAsia="宋体" w:cs="Times New Roman"/>
          <w:color w:val="000000" w:themeColor="text1"/>
          <w:szCs w:val="28"/>
          <w:vertAlign w:val="superscript"/>
          <w14:textFill>
            <w14:solidFill>
              <w14:schemeClr w14:val="tx1"/>
            </w14:solidFill>
          </w14:textFill>
        </w:rPr>
        <w:t>2</w:t>
      </w:r>
      <w:r>
        <w:rPr>
          <w:rFonts w:hint="default" w:ascii="Times New Roman" w:hAnsi="Times New Roman" w:eastAsia="宋体" w:cs="Times New Roman"/>
          <w:color w:val="000000" w:themeColor="text1"/>
          <w:szCs w:val="28"/>
          <w14:textFill>
            <w14:solidFill>
              <w14:schemeClr w14:val="tx1"/>
            </w14:solidFill>
          </w14:textFill>
        </w:rPr>
        <w:t>时（包括永久和临时占用陆域和水域），评价等级不低于二级；改扩建项目的占地范围以新增占地（包括陆域和水域）确定；</w:t>
      </w:r>
    </w:p>
    <w:p w14:paraId="0E447DB9">
      <w:pPr>
        <w:ind w:firstLine="480"/>
        <w:rPr>
          <w:rFonts w:hint="default" w:ascii="Times New Roman" w:hAnsi="Times New Roman" w:eastAsia="宋体" w:cs="Times New Roman"/>
          <w:color w:val="000000" w:themeColor="text1"/>
          <w:szCs w:val="28"/>
          <w14:textFill>
            <w14:solidFill>
              <w14:schemeClr w14:val="tx1"/>
            </w14:solidFill>
          </w14:textFill>
        </w:rPr>
      </w:pPr>
      <w:r>
        <w:rPr>
          <w:rFonts w:hint="default" w:ascii="Times New Roman" w:hAnsi="Times New Roman" w:eastAsia="宋体" w:cs="Times New Roman"/>
          <w:color w:val="000000" w:themeColor="text1"/>
          <w:szCs w:val="28"/>
          <w14:textFill>
            <w14:solidFill>
              <w14:schemeClr w14:val="tx1"/>
            </w14:solidFill>
          </w14:textFill>
        </w:rPr>
        <w:t>g）除本条a）、b）、c）、d）、e）、f）以外的情况，评价等级为三级；</w:t>
      </w:r>
    </w:p>
    <w:p w14:paraId="36E1BF40">
      <w:pPr>
        <w:ind w:firstLine="480"/>
        <w:rPr>
          <w:rFonts w:hint="default" w:ascii="Times New Roman" w:hAnsi="Times New Roman" w:eastAsia="宋体" w:cs="Times New Roman"/>
          <w:color w:val="000000" w:themeColor="text1"/>
          <w:szCs w:val="28"/>
          <w14:textFill>
            <w14:solidFill>
              <w14:schemeClr w14:val="tx1"/>
            </w14:solidFill>
          </w14:textFill>
        </w:rPr>
      </w:pPr>
      <w:r>
        <w:rPr>
          <w:rFonts w:hint="default" w:ascii="Times New Roman" w:hAnsi="Times New Roman" w:eastAsia="宋体" w:cs="Times New Roman"/>
          <w:color w:val="000000" w:themeColor="text1"/>
          <w:szCs w:val="28"/>
          <w14:textFill>
            <w14:solidFill>
              <w14:schemeClr w14:val="tx1"/>
            </w14:solidFill>
          </w14:textFill>
        </w:rPr>
        <w:t>h）当评价等级判定同时符合上述多种情况时，应采用其中最高的评价等级。</w:t>
      </w:r>
    </w:p>
    <w:p w14:paraId="0D813908">
      <w:pPr>
        <w:ind w:firstLine="480"/>
        <w:rPr>
          <w:rFonts w:hint="default" w:ascii="Times New Roman" w:hAnsi="Times New Roman" w:eastAsia="宋体" w:cs="Times New Roman"/>
          <w:color w:val="000000" w:themeColor="text1"/>
          <w:szCs w:val="28"/>
          <w14:textFill>
            <w14:solidFill>
              <w14:schemeClr w14:val="tx1"/>
            </w14:solidFill>
          </w14:textFill>
        </w:rPr>
      </w:pPr>
      <w:r>
        <w:rPr>
          <w:rFonts w:hint="default" w:ascii="Times New Roman" w:hAnsi="Times New Roman" w:eastAsia="宋体" w:cs="Times New Roman"/>
          <w:color w:val="000000" w:themeColor="text1"/>
          <w:szCs w:val="28"/>
          <w14:textFill>
            <w14:solidFill>
              <w14:schemeClr w14:val="tx1"/>
            </w14:solidFill>
          </w14:textFill>
        </w:rPr>
        <w:t>结合项目特点及现场调查，区域内无特殊生态敏感区且不属于上述a）、b）、c）、d）、e）、f）所列情况，因此生态影响评价工作等级为三级，对区域生态环境的影响主要集中在施工期。</w:t>
      </w:r>
    </w:p>
    <w:p w14:paraId="1CDE2F6B">
      <w:pPr>
        <w:ind w:firstLine="480"/>
        <w:rPr>
          <w:rFonts w:hint="default" w:ascii="Times New Roman" w:hAnsi="Times New Roman" w:eastAsia="宋体" w:cs="Times New Roman"/>
          <w:b/>
          <w:bCs/>
        </w:rPr>
      </w:pPr>
      <w:r>
        <w:rPr>
          <w:rFonts w:hint="eastAsia"/>
          <w:b/>
          <w:bCs/>
          <w:spacing w:val="0"/>
          <w:w w:val="100"/>
          <w:position w:val="0"/>
          <w:sz w:val="24"/>
          <w:szCs w:val="24"/>
          <w:highlight w:val="none"/>
          <w:lang w:eastAsia="zh-CN"/>
        </w:rPr>
        <w:t>（</w:t>
      </w:r>
      <w:r>
        <w:rPr>
          <w:rFonts w:hint="eastAsia"/>
          <w:b/>
          <w:bCs/>
          <w:spacing w:val="0"/>
          <w:w w:val="100"/>
          <w:position w:val="0"/>
          <w:sz w:val="24"/>
          <w:szCs w:val="24"/>
          <w:highlight w:val="none"/>
          <w:lang w:val="en-US" w:eastAsia="zh-CN"/>
        </w:rPr>
        <w:t>2</w:t>
      </w:r>
      <w:r>
        <w:rPr>
          <w:rFonts w:hint="eastAsia"/>
          <w:b/>
          <w:bCs/>
          <w:spacing w:val="0"/>
          <w:w w:val="100"/>
          <w:position w:val="0"/>
          <w:sz w:val="24"/>
          <w:szCs w:val="24"/>
          <w:highlight w:val="none"/>
          <w:lang w:eastAsia="zh-CN"/>
        </w:rPr>
        <w:t>）</w:t>
      </w:r>
      <w:r>
        <w:rPr>
          <w:rFonts w:ascii="Times New Roman" w:hAnsi="Times New Roman" w:eastAsia="宋体"/>
          <w:b/>
          <w:bCs/>
          <w:spacing w:val="0"/>
          <w:w w:val="100"/>
          <w:position w:val="0"/>
          <w:sz w:val="24"/>
          <w:szCs w:val="24"/>
          <w:highlight w:val="none"/>
        </w:rPr>
        <w:t>评价范围</w:t>
      </w:r>
    </w:p>
    <w:p w14:paraId="37F936EA">
      <w:pPr>
        <w:keepNext w:val="0"/>
        <w:keepLines w:val="0"/>
        <w:pageBreakBefore w:val="0"/>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rPr>
      </w:pPr>
      <w:r>
        <w:rPr>
          <w:rFonts w:hint="default" w:ascii="Times New Roman" w:hAnsi="Times New Roman" w:eastAsia="宋体" w:cs="Times New Roman"/>
        </w:rPr>
        <w:t>生态影响评价应能够充分体现生态完整性和生物多样性保护要求，涵盖评价项目全部活动的直接影响区域和间接影响区域。评价范围应依据评价项目对生态因子的影响方式、影响程度和生态因子之间的相互影响和相互依存关系确定。</w:t>
      </w:r>
    </w:p>
    <w:p w14:paraId="1583F900">
      <w:pPr>
        <w:keepNext w:val="0"/>
        <w:keepLines w:val="0"/>
        <w:pageBreakBefore w:val="0"/>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rPr>
      </w:pPr>
      <w:r>
        <w:rPr>
          <w:rFonts w:hint="default" w:ascii="Times New Roman" w:hAnsi="Times New Roman" w:eastAsia="宋体" w:cs="Times New Roman"/>
        </w:rPr>
        <w:t>根据《环境影响评价技术导则</w:t>
      </w:r>
      <w:r>
        <w:rPr>
          <w:rFonts w:hint="eastAsia" w:ascii="Times New Roman" w:hAnsi="Times New Roman" w:eastAsia="宋体" w:cs="Times New Roman"/>
          <w:lang w:val="en-US" w:eastAsia="zh-CN"/>
        </w:rPr>
        <w:t>-</w:t>
      </w:r>
      <w:r>
        <w:rPr>
          <w:rFonts w:hint="default" w:ascii="Times New Roman" w:hAnsi="Times New Roman" w:eastAsia="宋体" w:cs="Times New Roman"/>
        </w:rPr>
        <w:t>生态影响》</w:t>
      </w:r>
      <w:r>
        <w:rPr>
          <w:rFonts w:hint="eastAsia" w:cs="Times New Roman"/>
          <w:lang w:val="en-US" w:eastAsia="zh-CN"/>
        </w:rPr>
        <w:t>（</w:t>
      </w:r>
      <w:r>
        <w:rPr>
          <w:rFonts w:hint="default" w:ascii="Times New Roman" w:hAnsi="Times New Roman" w:eastAsia="宋体" w:cs="Times New Roman"/>
        </w:rPr>
        <w:t>HJ19-2022</w:t>
      </w:r>
      <w:r>
        <w:rPr>
          <w:rFonts w:hint="eastAsia" w:cs="Times New Roman"/>
          <w:lang w:val="en-US" w:eastAsia="zh-CN"/>
        </w:rPr>
        <w:t>）</w:t>
      </w:r>
      <w:r>
        <w:rPr>
          <w:rFonts w:hint="default" w:ascii="Times New Roman" w:hAnsi="Times New Roman" w:eastAsia="宋体" w:cs="Times New Roman"/>
        </w:rPr>
        <w:t>中关于评价范围的确定方法，本项目生态评价范围为项目范围外延</w:t>
      </w:r>
      <w:r>
        <w:rPr>
          <w:rFonts w:hint="eastAsia" w:cs="Times New Roman"/>
          <w:lang w:val="en-US" w:eastAsia="zh-CN"/>
        </w:rPr>
        <w:t>10</w:t>
      </w:r>
      <w:r>
        <w:rPr>
          <w:rFonts w:hint="default" w:ascii="Times New Roman" w:hAnsi="Times New Roman" w:eastAsia="宋体" w:cs="Times New Roman"/>
          <w:lang w:val="en-US" w:eastAsia="zh-CN"/>
        </w:rPr>
        <w:t>00</w:t>
      </w:r>
      <w:r>
        <w:rPr>
          <w:rFonts w:hint="default" w:ascii="Times New Roman" w:hAnsi="Times New Roman" w:eastAsia="宋体" w:cs="Times New Roman"/>
        </w:rPr>
        <w:t>m。</w:t>
      </w:r>
    </w:p>
    <w:p w14:paraId="3FF9A2F6">
      <w:pPr>
        <w:pStyle w:val="2"/>
        <w:rPr>
          <w:rFonts w:hint="default"/>
        </w:rPr>
      </w:pPr>
    </w:p>
    <w:p w14:paraId="5A82C9E6">
      <w:pPr>
        <w:pStyle w:val="11"/>
        <w:adjustRightInd w:val="0"/>
        <w:snapToGrid w:val="0"/>
        <w:ind w:firstLine="482"/>
        <w:outlineLvl w:val="2"/>
        <w:rPr>
          <w:rFonts w:hint="default" w:ascii="Times New Roman" w:hAnsi="Times New Roman" w:eastAsia="宋体" w:cs="Times New Roman"/>
          <w:b/>
          <w:color w:val="000000" w:themeColor="text1"/>
          <w:lang w:eastAsia="zh-CN"/>
          <w14:textFill>
            <w14:solidFill>
              <w14:schemeClr w14:val="tx1"/>
            </w14:solidFill>
          </w14:textFill>
        </w:rPr>
      </w:pPr>
      <w:bookmarkStart w:id="84" w:name="_Toc5874"/>
      <w:r>
        <w:rPr>
          <w:rFonts w:hint="default" w:ascii="Times New Roman" w:hAnsi="Times New Roman" w:eastAsia="宋体" w:cs="Times New Roman"/>
          <w:b/>
          <w:color w:val="000000" w:themeColor="text1"/>
          <w:lang w:eastAsia="zh-CN"/>
          <w14:textFill>
            <w14:solidFill>
              <w14:schemeClr w14:val="tx1"/>
            </w14:solidFill>
          </w14:textFill>
        </w:rPr>
        <w:t>2.6.6土壤环境</w:t>
      </w:r>
      <w:bookmarkEnd w:id="84"/>
    </w:p>
    <w:p w14:paraId="008CB721">
      <w:pPr>
        <w:adjustRightInd w:val="0"/>
        <w:snapToGrid w:val="0"/>
        <w:ind w:firstLine="482"/>
        <w:rPr>
          <w:rFonts w:hint="default" w:ascii="Times New Roman" w:hAnsi="Times New Roman" w:eastAsia="宋体" w:cs="Times New Roman"/>
          <w:b/>
          <w:color w:val="000000" w:themeColor="text1"/>
          <w14:textFill>
            <w14:solidFill>
              <w14:schemeClr w14:val="tx1"/>
            </w14:solidFill>
          </w14:textFill>
        </w:rPr>
      </w:pPr>
      <w:r>
        <w:rPr>
          <w:rFonts w:hint="default" w:ascii="Times New Roman" w:hAnsi="Times New Roman" w:eastAsia="宋体" w:cs="Times New Roman"/>
          <w:b/>
          <w:color w:val="000000" w:themeColor="text1"/>
          <w14:textFill>
            <w14:solidFill>
              <w14:schemeClr w14:val="tx1"/>
            </w14:solidFill>
          </w14:textFill>
        </w:rPr>
        <w:t>（1）评价等级</w:t>
      </w:r>
    </w:p>
    <w:p w14:paraId="4B8E9BBC">
      <w:pPr>
        <w:pStyle w:val="11"/>
        <w:adjustRightInd w:val="0"/>
        <w:snapToGrid w:val="0"/>
        <w:ind w:firstLine="476"/>
        <w:rPr>
          <w:rFonts w:hint="default" w:ascii="Times New Roman" w:hAnsi="Times New Roman" w:eastAsia="宋体" w:cs="Times New Roman"/>
          <w:color w:val="000000" w:themeColor="text1"/>
          <w:spacing w:val="-1"/>
          <w:lang w:eastAsia="zh-CN"/>
          <w14:textFill>
            <w14:solidFill>
              <w14:schemeClr w14:val="tx1"/>
            </w14:solidFill>
          </w14:textFill>
        </w:rPr>
      </w:pPr>
      <w:r>
        <w:rPr>
          <w:rFonts w:hint="default" w:ascii="Times New Roman" w:hAnsi="Times New Roman" w:eastAsia="宋体" w:cs="Times New Roman"/>
          <w:color w:val="000000" w:themeColor="text1"/>
          <w:spacing w:val="-1"/>
          <w:lang w:eastAsia="zh-CN"/>
          <w14:textFill>
            <w14:solidFill>
              <w14:schemeClr w14:val="tx1"/>
            </w14:solidFill>
          </w14:textFill>
        </w:rPr>
        <w:t>按照《环境影响评价技术导则土壤环境》（HJ964-2018）要求，本建设项目对土壤环境可能产生生态影响和污染影响，其中本导则土壤环境生态影响型划分应依据土壤环境影响评价项目类别和土壤环境敏感程度分级进行判定，土壤环境污染影响型划分应依据土壤环境影响评价项目类别、占地规模与土壤环境敏感程度分级进行判定。</w:t>
      </w:r>
    </w:p>
    <w:p w14:paraId="1F26C0C7">
      <w:pPr>
        <w:pStyle w:val="11"/>
        <w:adjustRightInd w:val="0"/>
        <w:snapToGrid w:val="0"/>
        <w:ind w:firstLine="476"/>
        <w:rPr>
          <w:rFonts w:hint="default" w:ascii="Times New Roman" w:hAnsi="Times New Roman" w:eastAsia="宋体" w:cs="Times New Roman"/>
          <w:color w:val="000000" w:themeColor="text1"/>
          <w:spacing w:val="-1"/>
          <w:lang w:eastAsia="zh-CN"/>
          <w14:textFill>
            <w14:solidFill>
              <w14:schemeClr w14:val="tx1"/>
            </w14:solidFill>
          </w14:textFill>
        </w:rPr>
      </w:pPr>
      <w:r>
        <w:rPr>
          <w:rFonts w:hint="default" w:ascii="Times New Roman" w:hAnsi="Times New Roman" w:eastAsia="宋体" w:cs="Times New Roman"/>
          <w:color w:val="000000" w:themeColor="text1"/>
          <w:spacing w:val="-1"/>
          <w:lang w:eastAsia="zh-CN"/>
          <w14:textFill>
            <w14:solidFill>
              <w14:schemeClr w14:val="tx1"/>
            </w14:solidFill>
          </w14:textFill>
        </w:rPr>
        <w:t>1）生态影响型</w:t>
      </w:r>
    </w:p>
    <w:p w14:paraId="4EF099F2">
      <w:pPr>
        <w:pStyle w:val="11"/>
        <w:adjustRightInd w:val="0"/>
        <w:snapToGrid w:val="0"/>
        <w:ind w:firstLine="476"/>
        <w:rPr>
          <w:rFonts w:hint="default" w:ascii="Times New Roman" w:hAnsi="Times New Roman" w:eastAsia="宋体" w:cs="Times New Roman"/>
          <w:color w:val="000000" w:themeColor="text1"/>
          <w:spacing w:val="-1"/>
          <w:lang w:eastAsia="zh-CN"/>
          <w14:textFill>
            <w14:solidFill>
              <w14:schemeClr w14:val="tx1"/>
            </w14:solidFill>
          </w14:textFill>
        </w:rPr>
      </w:pPr>
      <w:r>
        <w:rPr>
          <w:rFonts w:hint="default" w:ascii="Times New Roman" w:hAnsi="Times New Roman" w:eastAsia="宋体" w:cs="Times New Roman"/>
          <w:color w:val="000000" w:themeColor="text1"/>
          <w:spacing w:val="-1"/>
          <w:lang w:eastAsia="zh-CN"/>
          <w14:textFill>
            <w14:solidFill>
              <w14:schemeClr w14:val="tx1"/>
            </w14:solidFill>
          </w14:textFill>
        </w:rPr>
        <w:t>①项目类别</w:t>
      </w:r>
    </w:p>
    <w:p w14:paraId="3DDC3692">
      <w:pPr>
        <w:pStyle w:val="11"/>
        <w:adjustRightInd w:val="0"/>
        <w:snapToGrid w:val="0"/>
        <w:ind w:firstLine="476"/>
        <w:rPr>
          <w:rFonts w:hint="default" w:ascii="Times New Roman" w:hAnsi="Times New Roman" w:eastAsia="宋体" w:cs="Times New Roman"/>
          <w:color w:val="000000" w:themeColor="text1"/>
          <w:spacing w:val="-1"/>
          <w:lang w:eastAsia="zh-CN"/>
          <w14:textFill>
            <w14:solidFill>
              <w14:schemeClr w14:val="tx1"/>
            </w14:solidFill>
          </w14:textFill>
        </w:rPr>
      </w:pPr>
      <w:r>
        <w:rPr>
          <w:rFonts w:hint="default" w:ascii="Times New Roman" w:hAnsi="Times New Roman" w:eastAsia="宋体" w:cs="Times New Roman"/>
          <w:color w:val="000000" w:themeColor="text1"/>
          <w:spacing w:val="-1"/>
          <w:lang w:eastAsia="zh-CN"/>
          <w14:textFill>
            <w14:solidFill>
              <w14:schemeClr w14:val="tx1"/>
            </w14:solidFill>
          </w14:textFill>
        </w:rPr>
        <w:t>根据项目建设内容，参照《环境影响评价技术导则土壤环境》（HJ964-2018）附录A.1中的土壤环境影响评价项目类别，本项目为“农林牧渔业中的年出栏生猪10万头及以上的畜禽养殖场或养殖小区”，属于</w:t>
      </w:r>
      <w:r>
        <w:rPr>
          <w:rFonts w:hint="default" w:ascii="Times New Roman" w:hAnsi="Times New Roman" w:eastAsia="宋体" w:cs="Times New Roman"/>
          <w:color w:val="000000" w:themeColor="text1"/>
          <w:spacing w:val="-1"/>
          <w:sz w:val="28"/>
          <w:szCs w:val="28"/>
          <w:lang w:eastAsia="zh-CN"/>
          <w14:textFill>
            <w14:solidFill>
              <w14:schemeClr w14:val="tx1"/>
            </w14:solidFill>
          </w14:textFill>
        </w:rPr>
        <w:t>II</w:t>
      </w:r>
      <w:r>
        <w:rPr>
          <w:rFonts w:hint="default" w:ascii="Times New Roman" w:hAnsi="Times New Roman" w:eastAsia="宋体" w:cs="Times New Roman"/>
          <w:color w:val="000000" w:themeColor="text1"/>
          <w:spacing w:val="-1"/>
          <w:lang w:eastAsia="zh-CN"/>
          <w14:textFill>
            <w14:solidFill>
              <w14:schemeClr w14:val="tx1"/>
            </w14:solidFill>
          </w14:textFill>
        </w:rPr>
        <w:t>类建设项目。</w:t>
      </w:r>
    </w:p>
    <w:p w14:paraId="342E282F">
      <w:pPr>
        <w:pStyle w:val="11"/>
        <w:adjustRightInd w:val="0"/>
        <w:snapToGrid w:val="0"/>
        <w:ind w:firstLine="476"/>
        <w:rPr>
          <w:rFonts w:hint="default" w:ascii="Times New Roman" w:hAnsi="Times New Roman" w:eastAsia="宋体" w:cs="Times New Roman"/>
          <w:color w:val="000000" w:themeColor="text1"/>
          <w:spacing w:val="-1"/>
          <w:lang w:eastAsia="zh-CN"/>
          <w14:textFill>
            <w14:solidFill>
              <w14:schemeClr w14:val="tx1"/>
            </w14:solidFill>
          </w14:textFill>
        </w:rPr>
      </w:pPr>
      <w:r>
        <w:rPr>
          <w:rFonts w:hint="default" w:ascii="Times New Roman" w:hAnsi="Times New Roman" w:eastAsia="宋体" w:cs="Times New Roman"/>
          <w:color w:val="000000" w:themeColor="text1"/>
          <w:spacing w:val="-1"/>
          <w:lang w:eastAsia="zh-CN"/>
          <w14:textFill>
            <w14:solidFill>
              <w14:schemeClr w14:val="tx1"/>
            </w14:solidFill>
          </w14:textFill>
        </w:rPr>
        <w:t>②土壤环境敏感程度</w:t>
      </w:r>
    </w:p>
    <w:p w14:paraId="77A6C680">
      <w:pPr>
        <w:pStyle w:val="11"/>
        <w:adjustRightInd w:val="0"/>
        <w:snapToGrid w:val="0"/>
        <w:ind w:firstLine="476"/>
        <w:rPr>
          <w:rFonts w:hint="default" w:ascii="Times New Roman" w:hAnsi="Times New Roman" w:eastAsia="宋体" w:cs="Times New Roman"/>
          <w:color w:val="000000" w:themeColor="text1"/>
          <w:spacing w:val="-1"/>
          <w:lang w:eastAsia="zh-CN"/>
          <w14:textFill>
            <w14:solidFill>
              <w14:schemeClr w14:val="tx1"/>
            </w14:solidFill>
          </w14:textFill>
        </w:rPr>
      </w:pPr>
      <w:r>
        <w:rPr>
          <w:rFonts w:hint="default" w:ascii="Times New Roman" w:hAnsi="Times New Roman" w:eastAsia="宋体" w:cs="Times New Roman"/>
          <w:color w:val="000000" w:themeColor="text1"/>
          <w:spacing w:val="-1"/>
          <w:lang w:eastAsia="zh-CN"/>
          <w14:textFill>
            <w14:solidFill>
              <w14:schemeClr w14:val="tx1"/>
            </w14:solidFill>
          </w14:textFill>
        </w:rPr>
        <w:t>建设项目所在地土壤环境敏感程度可分为敏感、较敏感、不敏感三级，判别依据见表2.6-11。</w:t>
      </w:r>
    </w:p>
    <w:p w14:paraId="7EC524E9">
      <w:pPr>
        <w:pStyle w:val="11"/>
        <w:adjustRightInd w:val="0"/>
        <w:snapToGrid w:val="0"/>
        <w:ind w:firstLine="478"/>
        <w:jc w:val="center"/>
        <w:rPr>
          <w:rFonts w:hint="default" w:ascii="Times New Roman" w:hAnsi="Times New Roman" w:eastAsia="宋体" w:cs="Times New Roman"/>
          <w:b/>
          <w:color w:val="000000" w:themeColor="text1"/>
          <w:spacing w:val="-1"/>
          <w:lang w:eastAsia="zh-CN"/>
          <w14:textFill>
            <w14:solidFill>
              <w14:schemeClr w14:val="tx1"/>
            </w14:solidFill>
          </w14:textFill>
        </w:rPr>
      </w:pPr>
      <w:r>
        <w:rPr>
          <w:rFonts w:hint="default" w:ascii="Times New Roman" w:hAnsi="Times New Roman" w:eastAsia="宋体" w:cs="Times New Roman"/>
          <w:b/>
          <w:color w:val="000000" w:themeColor="text1"/>
          <w:spacing w:val="-1"/>
          <w:lang w:eastAsia="zh-CN"/>
          <w14:textFill>
            <w14:solidFill>
              <w14:schemeClr w14:val="tx1"/>
            </w14:solidFill>
          </w14:textFill>
        </w:rPr>
        <w:t>表2.6-11生态影响型敏感程度分级表</w:t>
      </w:r>
    </w:p>
    <w:tbl>
      <w:tblPr>
        <w:tblStyle w:val="3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8"/>
        <w:gridCol w:w="5308"/>
        <w:gridCol w:w="1237"/>
        <w:gridCol w:w="1237"/>
      </w:tblGrid>
      <w:tr w14:paraId="77025C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7" w:type="pct"/>
            <w:vMerge w:val="restart"/>
            <w:vAlign w:val="center"/>
          </w:tcPr>
          <w:p w14:paraId="7EB8FAF1">
            <w:pPr>
              <w:pStyle w:val="11"/>
              <w:adjustRightInd w:val="0"/>
              <w:snapToGrid w:val="0"/>
              <w:spacing w:line="240" w:lineRule="auto"/>
              <w:ind w:firstLine="0" w:firstLineChars="0"/>
              <w:jc w:val="center"/>
              <w:rPr>
                <w:rFonts w:hint="default" w:ascii="Times New Roman" w:hAnsi="Times New Roman" w:eastAsia="宋体" w:cs="Times New Roman"/>
                <w:b/>
                <w:bCs/>
                <w:color w:val="000000" w:themeColor="text1"/>
                <w:spacing w:val="-1"/>
                <w:sz w:val="21"/>
                <w:szCs w:val="21"/>
                <w14:textFill>
                  <w14:solidFill>
                    <w14:schemeClr w14:val="tx1"/>
                  </w14:solidFill>
                </w14:textFill>
              </w:rPr>
            </w:pPr>
            <w:r>
              <w:rPr>
                <w:rFonts w:hint="default" w:ascii="Times New Roman" w:hAnsi="Times New Roman" w:eastAsia="宋体" w:cs="Times New Roman"/>
                <w:b/>
                <w:bCs/>
                <w:color w:val="000000" w:themeColor="text1"/>
                <w:spacing w:val="-1"/>
                <w:sz w:val="21"/>
                <w:szCs w:val="21"/>
                <w14:textFill>
                  <w14:solidFill>
                    <w14:schemeClr w14:val="tx1"/>
                  </w14:solidFill>
                </w14:textFill>
              </w:rPr>
              <w:t>敏感程度</w:t>
            </w:r>
          </w:p>
        </w:tc>
        <w:tc>
          <w:tcPr>
            <w:tcW w:w="4473" w:type="pct"/>
            <w:gridSpan w:val="3"/>
            <w:vAlign w:val="center"/>
          </w:tcPr>
          <w:p w14:paraId="2CEF171D">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1"/>
                <w:sz w:val="21"/>
                <w:szCs w:val="21"/>
                <w14:textFill>
                  <w14:solidFill>
                    <w14:schemeClr w14:val="tx1"/>
                  </w14:solidFill>
                </w14:textFill>
              </w:rPr>
            </w:pPr>
            <w:r>
              <w:rPr>
                <w:rFonts w:hint="default" w:ascii="Times New Roman" w:hAnsi="Times New Roman" w:eastAsia="宋体" w:cs="Times New Roman"/>
                <w:b/>
                <w:bCs/>
                <w:color w:val="000000" w:themeColor="text1"/>
                <w:spacing w:val="-1"/>
                <w:sz w:val="21"/>
                <w:szCs w:val="21"/>
                <w14:textFill>
                  <w14:solidFill>
                    <w14:schemeClr w14:val="tx1"/>
                  </w14:solidFill>
                </w14:textFill>
              </w:rPr>
              <w:t>判别依据</w:t>
            </w:r>
          </w:p>
        </w:tc>
      </w:tr>
      <w:tr w14:paraId="2FB379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7" w:type="pct"/>
            <w:vMerge w:val="continue"/>
            <w:vAlign w:val="center"/>
          </w:tcPr>
          <w:p w14:paraId="2BF6306C">
            <w:pPr>
              <w:pStyle w:val="11"/>
              <w:adjustRightInd w:val="0"/>
              <w:snapToGrid w:val="0"/>
              <w:spacing w:line="240" w:lineRule="auto"/>
              <w:ind w:firstLine="0" w:firstLineChars="0"/>
              <w:jc w:val="center"/>
              <w:rPr>
                <w:rFonts w:hint="default" w:ascii="Times New Roman" w:hAnsi="Times New Roman" w:eastAsia="宋体" w:cs="Times New Roman"/>
                <w:b/>
                <w:bCs/>
                <w:color w:val="000000" w:themeColor="text1"/>
                <w:spacing w:val="-1"/>
                <w:sz w:val="21"/>
                <w:szCs w:val="21"/>
                <w14:textFill>
                  <w14:solidFill>
                    <w14:schemeClr w14:val="tx1"/>
                  </w14:solidFill>
                </w14:textFill>
              </w:rPr>
            </w:pPr>
          </w:p>
        </w:tc>
        <w:tc>
          <w:tcPr>
            <w:tcW w:w="3209" w:type="pct"/>
            <w:vAlign w:val="center"/>
          </w:tcPr>
          <w:p w14:paraId="76D6F44D">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1"/>
                <w:sz w:val="21"/>
                <w:szCs w:val="21"/>
                <w14:textFill>
                  <w14:solidFill>
                    <w14:schemeClr w14:val="tx1"/>
                  </w14:solidFill>
                </w14:textFill>
              </w:rPr>
            </w:pPr>
            <w:r>
              <w:rPr>
                <w:rFonts w:hint="default" w:ascii="Times New Roman" w:hAnsi="Times New Roman" w:eastAsia="宋体" w:cs="Times New Roman"/>
                <w:color w:val="000000" w:themeColor="text1"/>
                <w:spacing w:val="-1"/>
                <w:sz w:val="21"/>
                <w:szCs w:val="21"/>
                <w14:textFill>
                  <w14:solidFill>
                    <w14:schemeClr w14:val="tx1"/>
                  </w14:solidFill>
                </w14:textFill>
              </w:rPr>
              <w:t>盐化</w:t>
            </w:r>
          </w:p>
        </w:tc>
        <w:tc>
          <w:tcPr>
            <w:tcW w:w="632" w:type="pct"/>
            <w:vAlign w:val="center"/>
          </w:tcPr>
          <w:p w14:paraId="5B54CCDC">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1"/>
                <w:sz w:val="21"/>
                <w:szCs w:val="21"/>
                <w14:textFill>
                  <w14:solidFill>
                    <w14:schemeClr w14:val="tx1"/>
                  </w14:solidFill>
                </w14:textFill>
              </w:rPr>
            </w:pPr>
            <w:r>
              <w:rPr>
                <w:rFonts w:hint="default" w:ascii="Times New Roman" w:hAnsi="Times New Roman" w:eastAsia="宋体" w:cs="Times New Roman"/>
                <w:color w:val="000000" w:themeColor="text1"/>
                <w:spacing w:val="-1"/>
                <w:sz w:val="21"/>
                <w:szCs w:val="21"/>
                <w14:textFill>
                  <w14:solidFill>
                    <w14:schemeClr w14:val="tx1"/>
                  </w14:solidFill>
                </w14:textFill>
              </w:rPr>
              <w:t>酸化</w:t>
            </w:r>
          </w:p>
        </w:tc>
        <w:tc>
          <w:tcPr>
            <w:tcW w:w="632" w:type="pct"/>
            <w:vAlign w:val="center"/>
          </w:tcPr>
          <w:p w14:paraId="2BED1E21">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1"/>
                <w:sz w:val="21"/>
                <w:szCs w:val="21"/>
                <w14:textFill>
                  <w14:solidFill>
                    <w14:schemeClr w14:val="tx1"/>
                  </w14:solidFill>
                </w14:textFill>
              </w:rPr>
            </w:pPr>
            <w:r>
              <w:rPr>
                <w:rFonts w:hint="default" w:ascii="Times New Roman" w:hAnsi="Times New Roman" w:eastAsia="宋体" w:cs="Times New Roman"/>
                <w:color w:val="000000" w:themeColor="text1"/>
                <w:spacing w:val="-1"/>
                <w:sz w:val="21"/>
                <w:szCs w:val="21"/>
                <w14:textFill>
                  <w14:solidFill>
                    <w14:schemeClr w14:val="tx1"/>
                  </w14:solidFill>
                </w14:textFill>
              </w:rPr>
              <w:t>碱化</w:t>
            </w:r>
          </w:p>
        </w:tc>
      </w:tr>
      <w:tr w14:paraId="183D9E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7" w:type="pct"/>
            <w:vAlign w:val="center"/>
          </w:tcPr>
          <w:p w14:paraId="3EDBBD09">
            <w:pPr>
              <w:pStyle w:val="11"/>
              <w:adjustRightInd w:val="0"/>
              <w:snapToGrid w:val="0"/>
              <w:spacing w:line="240" w:lineRule="auto"/>
              <w:ind w:firstLine="0" w:firstLineChars="0"/>
              <w:jc w:val="center"/>
              <w:rPr>
                <w:rFonts w:hint="default" w:ascii="Times New Roman" w:hAnsi="Times New Roman" w:eastAsia="宋体" w:cs="Times New Roman"/>
                <w:b/>
                <w:bCs/>
                <w:color w:val="000000" w:themeColor="text1"/>
                <w:spacing w:val="-1"/>
                <w:sz w:val="21"/>
                <w:szCs w:val="21"/>
                <w14:textFill>
                  <w14:solidFill>
                    <w14:schemeClr w14:val="tx1"/>
                  </w14:solidFill>
                </w14:textFill>
              </w:rPr>
            </w:pPr>
            <w:r>
              <w:rPr>
                <w:rFonts w:hint="default" w:ascii="Times New Roman" w:hAnsi="Times New Roman" w:eastAsia="宋体" w:cs="Times New Roman"/>
                <w:b/>
                <w:bCs/>
                <w:color w:val="000000" w:themeColor="text1"/>
                <w:spacing w:val="-1"/>
                <w:sz w:val="21"/>
                <w:szCs w:val="21"/>
                <w14:textFill>
                  <w14:solidFill>
                    <w14:schemeClr w14:val="tx1"/>
                  </w14:solidFill>
                </w14:textFill>
              </w:rPr>
              <w:t>敏感</w:t>
            </w:r>
          </w:p>
        </w:tc>
        <w:tc>
          <w:tcPr>
            <w:tcW w:w="3209" w:type="pct"/>
            <w:vAlign w:val="center"/>
          </w:tcPr>
          <w:p w14:paraId="7066DB1B">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1"/>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1"/>
                <w:sz w:val="21"/>
                <w:szCs w:val="21"/>
                <w:lang w:eastAsia="zh-CN"/>
                <w14:textFill>
                  <w14:solidFill>
                    <w14:schemeClr w14:val="tx1"/>
                  </w14:solidFill>
                </w14:textFill>
              </w:rPr>
              <w:t>建设项目所在地干燥度&gt;2.6且常年地下水位平均埋深&lt;1.6m的地势平坦区域；或土壤含盐量&gt;4g/kg的区域。</w:t>
            </w:r>
          </w:p>
        </w:tc>
        <w:tc>
          <w:tcPr>
            <w:tcW w:w="632" w:type="pct"/>
            <w:vAlign w:val="center"/>
          </w:tcPr>
          <w:p w14:paraId="5045A1D6">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1"/>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1"/>
                <w:sz w:val="21"/>
                <w:szCs w:val="21"/>
                <w14:textFill>
                  <w14:solidFill>
                    <w14:schemeClr w14:val="tx1"/>
                  </w14:solidFill>
                </w14:textFill>
              </w:rPr>
              <w:t>PH≤4</w:t>
            </w:r>
            <w:r>
              <w:rPr>
                <w:rFonts w:hint="default" w:ascii="Times New Roman" w:hAnsi="Times New Roman" w:eastAsia="宋体" w:cs="Times New Roman"/>
                <w:color w:val="000000" w:themeColor="text1"/>
                <w:spacing w:val="-1"/>
                <w:sz w:val="21"/>
                <w:szCs w:val="21"/>
                <w:lang w:eastAsia="zh-CN"/>
                <w14:textFill>
                  <w14:solidFill>
                    <w14:schemeClr w14:val="tx1"/>
                  </w14:solidFill>
                </w14:textFill>
              </w:rPr>
              <w:t>.6</w:t>
            </w:r>
          </w:p>
        </w:tc>
        <w:tc>
          <w:tcPr>
            <w:tcW w:w="632" w:type="pct"/>
            <w:vAlign w:val="center"/>
          </w:tcPr>
          <w:p w14:paraId="099AE3E1">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1"/>
                <w:sz w:val="21"/>
                <w:szCs w:val="21"/>
                <w14:textFill>
                  <w14:solidFill>
                    <w14:schemeClr w14:val="tx1"/>
                  </w14:solidFill>
                </w14:textFill>
              </w:rPr>
            </w:pPr>
            <w:r>
              <w:rPr>
                <w:rFonts w:hint="default" w:ascii="Times New Roman" w:hAnsi="Times New Roman" w:eastAsia="宋体" w:cs="Times New Roman"/>
                <w:color w:val="000000" w:themeColor="text1"/>
                <w:spacing w:val="-1"/>
                <w:sz w:val="21"/>
                <w:szCs w:val="21"/>
                <w14:textFill>
                  <w14:solidFill>
                    <w14:schemeClr w14:val="tx1"/>
                  </w14:solidFill>
                </w14:textFill>
              </w:rPr>
              <w:t>PH≥9.0</w:t>
            </w:r>
          </w:p>
        </w:tc>
      </w:tr>
      <w:tr w14:paraId="6ED150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7" w:type="pct"/>
            <w:vAlign w:val="center"/>
          </w:tcPr>
          <w:p w14:paraId="7E70CAC5">
            <w:pPr>
              <w:pStyle w:val="11"/>
              <w:adjustRightInd w:val="0"/>
              <w:snapToGrid w:val="0"/>
              <w:spacing w:line="240" w:lineRule="auto"/>
              <w:ind w:firstLine="0" w:firstLineChars="0"/>
              <w:jc w:val="center"/>
              <w:rPr>
                <w:rFonts w:hint="default" w:ascii="Times New Roman" w:hAnsi="Times New Roman" w:eastAsia="宋体" w:cs="Times New Roman"/>
                <w:b/>
                <w:bCs/>
                <w:color w:val="000000" w:themeColor="text1"/>
                <w:spacing w:val="-1"/>
                <w:sz w:val="21"/>
                <w:szCs w:val="21"/>
                <w14:textFill>
                  <w14:solidFill>
                    <w14:schemeClr w14:val="tx1"/>
                  </w14:solidFill>
                </w14:textFill>
              </w:rPr>
            </w:pPr>
            <w:r>
              <w:rPr>
                <w:rFonts w:hint="default" w:ascii="Times New Roman" w:hAnsi="Times New Roman" w:eastAsia="宋体" w:cs="Times New Roman"/>
                <w:b/>
                <w:bCs/>
                <w:color w:val="000000" w:themeColor="text1"/>
                <w:spacing w:val="-1"/>
                <w:sz w:val="21"/>
                <w:szCs w:val="21"/>
                <w14:textFill>
                  <w14:solidFill>
                    <w14:schemeClr w14:val="tx1"/>
                  </w14:solidFill>
                </w14:textFill>
              </w:rPr>
              <w:t>较敏感</w:t>
            </w:r>
          </w:p>
        </w:tc>
        <w:tc>
          <w:tcPr>
            <w:tcW w:w="3209" w:type="pct"/>
            <w:vAlign w:val="center"/>
          </w:tcPr>
          <w:p w14:paraId="7A7DA398">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1"/>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1"/>
                <w:sz w:val="21"/>
                <w:szCs w:val="21"/>
                <w:lang w:eastAsia="zh-CN"/>
                <w14:textFill>
                  <w14:solidFill>
                    <w14:schemeClr w14:val="tx1"/>
                  </w14:solidFill>
                </w14:textFill>
              </w:rPr>
              <w:t>建设项目所在地干燥度&gt;2.6且常年地下水位平均埋深≥1.6m的，或1.8&lt;干燥度≤2.6且常年地下水位平均埋深&lt;1.8m的地势平坦区域；</w:t>
            </w:r>
          </w:p>
          <w:p w14:paraId="09AC42FE">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1"/>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1"/>
                <w:sz w:val="21"/>
                <w:szCs w:val="21"/>
                <w:lang w:eastAsia="zh-CN"/>
                <w14:textFill>
                  <w14:solidFill>
                    <w14:schemeClr w14:val="tx1"/>
                  </w14:solidFill>
                </w14:textFill>
              </w:rPr>
              <w:t>建设项目所在地干燥度&gt;2.6或常年地下水位平均埋深&lt;1.6m的平原区；或2g/kg&lt;土壤含盐量≤4g/kg的区域。</w:t>
            </w:r>
          </w:p>
        </w:tc>
        <w:tc>
          <w:tcPr>
            <w:tcW w:w="632" w:type="pct"/>
            <w:vAlign w:val="center"/>
          </w:tcPr>
          <w:p w14:paraId="17565F6F">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1"/>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1"/>
                <w:sz w:val="21"/>
                <w:szCs w:val="21"/>
                <w14:textFill>
                  <w14:solidFill>
                    <w14:schemeClr w14:val="tx1"/>
                  </w14:solidFill>
                </w14:textFill>
              </w:rPr>
              <w:t>4</w:t>
            </w:r>
            <w:r>
              <w:rPr>
                <w:rFonts w:hint="default" w:ascii="Times New Roman" w:hAnsi="Times New Roman" w:eastAsia="宋体" w:cs="Times New Roman"/>
                <w:color w:val="000000" w:themeColor="text1"/>
                <w:spacing w:val="-1"/>
                <w:sz w:val="21"/>
                <w:szCs w:val="21"/>
                <w:lang w:eastAsia="zh-CN"/>
                <w14:textFill>
                  <w14:solidFill>
                    <w14:schemeClr w14:val="tx1"/>
                  </w14:solidFill>
                </w14:textFill>
              </w:rPr>
              <w:t>.6</w:t>
            </w:r>
            <w:r>
              <w:rPr>
                <w:rFonts w:hint="default" w:ascii="Times New Roman" w:hAnsi="Times New Roman" w:eastAsia="宋体" w:cs="Times New Roman"/>
                <w:color w:val="000000" w:themeColor="text1"/>
                <w:spacing w:val="-1"/>
                <w:sz w:val="21"/>
                <w:szCs w:val="21"/>
                <w14:textFill>
                  <w14:solidFill>
                    <w14:schemeClr w14:val="tx1"/>
                  </w14:solidFill>
                </w14:textFill>
              </w:rPr>
              <w:t>&lt;PH&lt;5</w:t>
            </w:r>
            <w:r>
              <w:rPr>
                <w:rFonts w:hint="default" w:ascii="Times New Roman" w:hAnsi="Times New Roman" w:eastAsia="宋体" w:cs="Times New Roman"/>
                <w:color w:val="000000" w:themeColor="text1"/>
                <w:spacing w:val="-1"/>
                <w:sz w:val="21"/>
                <w:szCs w:val="21"/>
                <w:lang w:eastAsia="zh-CN"/>
                <w14:textFill>
                  <w14:solidFill>
                    <w14:schemeClr w14:val="tx1"/>
                  </w14:solidFill>
                </w14:textFill>
              </w:rPr>
              <w:t>.6</w:t>
            </w:r>
          </w:p>
        </w:tc>
        <w:tc>
          <w:tcPr>
            <w:tcW w:w="632" w:type="pct"/>
            <w:vAlign w:val="center"/>
          </w:tcPr>
          <w:p w14:paraId="32F80231">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1"/>
                <w:sz w:val="21"/>
                <w:szCs w:val="21"/>
                <w14:textFill>
                  <w14:solidFill>
                    <w14:schemeClr w14:val="tx1"/>
                  </w14:solidFill>
                </w14:textFill>
              </w:rPr>
            </w:pPr>
            <w:r>
              <w:rPr>
                <w:rFonts w:hint="default" w:ascii="Times New Roman" w:hAnsi="Times New Roman" w:eastAsia="宋体" w:cs="Times New Roman"/>
                <w:color w:val="000000" w:themeColor="text1"/>
                <w:spacing w:val="-1"/>
                <w:sz w:val="21"/>
                <w:szCs w:val="21"/>
                <w14:textFill>
                  <w14:solidFill>
                    <w14:schemeClr w14:val="tx1"/>
                  </w14:solidFill>
                </w14:textFill>
              </w:rPr>
              <w:t>8</w:t>
            </w:r>
            <w:r>
              <w:rPr>
                <w:rFonts w:hint="default" w:ascii="Times New Roman" w:hAnsi="Times New Roman" w:eastAsia="宋体" w:cs="Times New Roman"/>
                <w:color w:val="000000" w:themeColor="text1"/>
                <w:spacing w:val="-1"/>
                <w:sz w:val="21"/>
                <w:szCs w:val="21"/>
                <w:lang w:eastAsia="zh-CN"/>
                <w14:textFill>
                  <w14:solidFill>
                    <w14:schemeClr w14:val="tx1"/>
                  </w14:solidFill>
                </w14:textFill>
              </w:rPr>
              <w:t>.6</w:t>
            </w:r>
            <w:r>
              <w:rPr>
                <w:rFonts w:hint="default" w:ascii="Times New Roman" w:hAnsi="Times New Roman" w:eastAsia="宋体" w:cs="Times New Roman"/>
                <w:color w:val="000000" w:themeColor="text1"/>
                <w:spacing w:val="-1"/>
                <w:sz w:val="21"/>
                <w:szCs w:val="21"/>
                <w14:textFill>
                  <w14:solidFill>
                    <w14:schemeClr w14:val="tx1"/>
                  </w14:solidFill>
                </w14:textFill>
              </w:rPr>
              <w:t>&lt;PH&lt;9.0</w:t>
            </w:r>
          </w:p>
        </w:tc>
      </w:tr>
      <w:tr w14:paraId="1CAF67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7" w:type="pct"/>
            <w:vAlign w:val="center"/>
          </w:tcPr>
          <w:p w14:paraId="4B37F54A">
            <w:pPr>
              <w:pStyle w:val="11"/>
              <w:adjustRightInd w:val="0"/>
              <w:snapToGrid w:val="0"/>
              <w:spacing w:line="240" w:lineRule="auto"/>
              <w:ind w:firstLine="0" w:firstLineChars="0"/>
              <w:jc w:val="center"/>
              <w:rPr>
                <w:rFonts w:hint="default" w:ascii="Times New Roman" w:hAnsi="Times New Roman" w:eastAsia="宋体" w:cs="Times New Roman"/>
                <w:b/>
                <w:bCs/>
                <w:color w:val="000000" w:themeColor="text1"/>
                <w:spacing w:val="-1"/>
                <w:sz w:val="21"/>
                <w:szCs w:val="21"/>
                <w14:textFill>
                  <w14:solidFill>
                    <w14:schemeClr w14:val="tx1"/>
                  </w14:solidFill>
                </w14:textFill>
              </w:rPr>
            </w:pPr>
            <w:r>
              <w:rPr>
                <w:rFonts w:hint="default" w:ascii="Times New Roman" w:hAnsi="Times New Roman" w:eastAsia="宋体" w:cs="Times New Roman"/>
                <w:b/>
                <w:bCs/>
                <w:color w:val="000000" w:themeColor="text1"/>
                <w:spacing w:val="-1"/>
                <w:sz w:val="21"/>
                <w:szCs w:val="21"/>
                <w14:textFill>
                  <w14:solidFill>
                    <w14:schemeClr w14:val="tx1"/>
                  </w14:solidFill>
                </w14:textFill>
              </w:rPr>
              <w:t>不敏感</w:t>
            </w:r>
          </w:p>
        </w:tc>
        <w:tc>
          <w:tcPr>
            <w:tcW w:w="3209" w:type="pct"/>
            <w:vAlign w:val="center"/>
          </w:tcPr>
          <w:p w14:paraId="1C8AF88C">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1"/>
                <w:sz w:val="21"/>
                <w:szCs w:val="21"/>
                <w14:textFill>
                  <w14:solidFill>
                    <w14:schemeClr w14:val="tx1"/>
                  </w14:solidFill>
                </w14:textFill>
              </w:rPr>
            </w:pPr>
            <w:r>
              <w:rPr>
                <w:rFonts w:hint="default" w:ascii="Times New Roman" w:hAnsi="Times New Roman" w:eastAsia="宋体" w:cs="Times New Roman"/>
                <w:color w:val="000000" w:themeColor="text1"/>
                <w:spacing w:val="-1"/>
                <w:sz w:val="21"/>
                <w:szCs w:val="21"/>
                <w14:textFill>
                  <w14:solidFill>
                    <w14:schemeClr w14:val="tx1"/>
                  </w14:solidFill>
                </w14:textFill>
              </w:rPr>
              <w:t>其他</w:t>
            </w:r>
          </w:p>
        </w:tc>
        <w:tc>
          <w:tcPr>
            <w:tcW w:w="1264" w:type="pct"/>
            <w:gridSpan w:val="2"/>
            <w:vAlign w:val="center"/>
          </w:tcPr>
          <w:p w14:paraId="6857D4C3">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1"/>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1"/>
                <w:sz w:val="21"/>
                <w:szCs w:val="21"/>
                <w14:textFill>
                  <w14:solidFill>
                    <w14:schemeClr w14:val="tx1"/>
                  </w14:solidFill>
                </w14:textFill>
              </w:rPr>
              <w:t>5</w:t>
            </w:r>
            <w:r>
              <w:rPr>
                <w:rFonts w:hint="default" w:ascii="Times New Roman" w:hAnsi="Times New Roman" w:eastAsia="宋体" w:cs="Times New Roman"/>
                <w:color w:val="000000" w:themeColor="text1"/>
                <w:spacing w:val="-1"/>
                <w:sz w:val="21"/>
                <w:szCs w:val="21"/>
                <w:lang w:eastAsia="zh-CN"/>
                <w14:textFill>
                  <w14:solidFill>
                    <w14:schemeClr w14:val="tx1"/>
                  </w14:solidFill>
                </w14:textFill>
              </w:rPr>
              <w:t>.6</w:t>
            </w:r>
            <w:r>
              <w:rPr>
                <w:rFonts w:hint="default" w:ascii="Times New Roman" w:hAnsi="Times New Roman" w:eastAsia="宋体" w:cs="Times New Roman"/>
                <w:color w:val="000000" w:themeColor="text1"/>
                <w:spacing w:val="-1"/>
                <w:sz w:val="21"/>
                <w:szCs w:val="21"/>
                <w14:textFill>
                  <w14:solidFill>
                    <w14:schemeClr w14:val="tx1"/>
                  </w14:solidFill>
                </w14:textFill>
              </w:rPr>
              <w:t>&lt;PH&lt;8</w:t>
            </w:r>
            <w:r>
              <w:rPr>
                <w:rFonts w:hint="default" w:ascii="Times New Roman" w:hAnsi="Times New Roman" w:eastAsia="宋体" w:cs="Times New Roman"/>
                <w:color w:val="000000" w:themeColor="text1"/>
                <w:spacing w:val="-1"/>
                <w:sz w:val="21"/>
                <w:szCs w:val="21"/>
                <w:lang w:eastAsia="zh-CN"/>
                <w14:textFill>
                  <w14:solidFill>
                    <w14:schemeClr w14:val="tx1"/>
                  </w14:solidFill>
                </w14:textFill>
              </w:rPr>
              <w:t>.6</w:t>
            </w:r>
          </w:p>
        </w:tc>
      </w:tr>
      <w:tr w14:paraId="6DB664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4"/>
            <w:vAlign w:val="center"/>
          </w:tcPr>
          <w:p w14:paraId="0E54FA91">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1"/>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1"/>
                <w:sz w:val="21"/>
                <w:szCs w:val="21"/>
                <w:lang w:eastAsia="zh-CN"/>
                <w14:textFill>
                  <w14:solidFill>
                    <w14:schemeClr w14:val="tx1"/>
                  </w14:solidFill>
                </w14:textFill>
              </w:rPr>
              <w:t>是指采用观测的多年平均水面蒸发量与降水量的比值，即蒸降比值</w:t>
            </w:r>
          </w:p>
        </w:tc>
      </w:tr>
    </w:tbl>
    <w:p w14:paraId="6547EC73">
      <w:pPr>
        <w:pStyle w:val="11"/>
        <w:adjustRightInd w:val="0"/>
        <w:snapToGrid w:val="0"/>
        <w:ind w:firstLine="476"/>
        <w:rPr>
          <w:rFonts w:hint="default" w:ascii="Times New Roman" w:hAnsi="Times New Roman" w:eastAsia="宋体" w:cs="Times New Roman"/>
          <w:color w:val="000000" w:themeColor="text1"/>
          <w:spacing w:val="-1"/>
          <w:lang w:eastAsia="zh-CN"/>
          <w14:textFill>
            <w14:solidFill>
              <w14:schemeClr w14:val="tx1"/>
            </w14:solidFill>
          </w14:textFill>
        </w:rPr>
      </w:pPr>
      <w:r>
        <w:rPr>
          <w:rFonts w:hint="default" w:ascii="Times New Roman" w:hAnsi="Times New Roman" w:eastAsia="宋体" w:cs="Times New Roman"/>
          <w:color w:val="000000" w:themeColor="text1"/>
          <w:spacing w:val="-1"/>
          <w:lang w:eastAsia="zh-CN"/>
          <w14:textFill>
            <w14:solidFill>
              <w14:schemeClr w14:val="tx1"/>
            </w14:solidFill>
          </w14:textFill>
        </w:rPr>
        <w:t>建设项目所在地干燥度为17.8（大于2.6），PH为</w:t>
      </w:r>
      <w:r>
        <w:rPr>
          <w:rFonts w:hint="default" w:ascii="Times New Roman" w:hAnsi="Times New Roman" w:eastAsia="宋体" w:cs="Times New Roman"/>
          <w:color w:val="000000" w:themeColor="text1"/>
          <w:spacing w:val="-1"/>
          <w:lang w:val="en-US" w:eastAsia="zh-CN"/>
          <w14:textFill>
            <w14:solidFill>
              <w14:schemeClr w14:val="tx1"/>
            </w14:solidFill>
          </w14:textFill>
        </w:rPr>
        <w:t>8.17-8.25</w:t>
      </w:r>
      <w:r>
        <w:rPr>
          <w:rFonts w:hint="default" w:ascii="Times New Roman" w:hAnsi="Times New Roman" w:eastAsia="宋体" w:cs="Times New Roman"/>
          <w:color w:val="000000" w:themeColor="text1"/>
          <w:spacing w:val="-1"/>
          <w:lang w:eastAsia="zh-CN"/>
          <w14:textFill>
            <w14:solidFill>
              <w14:schemeClr w14:val="tx1"/>
            </w14:solidFill>
          </w14:textFill>
        </w:rPr>
        <w:t>（5.6&lt;PH&lt;8.6），常年地下水水位平均埋深2m，因此土壤环境敏感程度属于不敏感区。</w:t>
      </w:r>
    </w:p>
    <w:p w14:paraId="6DBA18A9">
      <w:pPr>
        <w:pStyle w:val="11"/>
        <w:adjustRightInd w:val="0"/>
        <w:snapToGrid w:val="0"/>
        <w:ind w:firstLine="476"/>
        <w:rPr>
          <w:rFonts w:hint="default" w:ascii="Times New Roman" w:hAnsi="Times New Roman" w:eastAsia="宋体" w:cs="Times New Roman"/>
          <w:color w:val="000000" w:themeColor="text1"/>
          <w:spacing w:val="-1"/>
          <w:lang w:eastAsia="zh-CN"/>
          <w14:textFill>
            <w14:solidFill>
              <w14:schemeClr w14:val="tx1"/>
            </w14:solidFill>
          </w14:textFill>
        </w:rPr>
      </w:pPr>
      <w:r>
        <w:rPr>
          <w:rFonts w:hint="default" w:ascii="Times New Roman" w:hAnsi="Times New Roman" w:eastAsia="宋体" w:cs="Times New Roman"/>
          <w:color w:val="000000" w:themeColor="text1"/>
          <w:spacing w:val="-1"/>
          <w:lang w:eastAsia="zh-CN"/>
          <w14:textFill>
            <w14:solidFill>
              <w14:schemeClr w14:val="tx1"/>
            </w14:solidFill>
          </w14:textFill>
        </w:rPr>
        <w:t>③土壤环境生态影响型评价工作等级</w:t>
      </w:r>
    </w:p>
    <w:p w14:paraId="6C0EA2D3">
      <w:pPr>
        <w:pStyle w:val="11"/>
        <w:adjustRightInd w:val="0"/>
        <w:snapToGrid w:val="0"/>
        <w:ind w:firstLine="476"/>
        <w:rPr>
          <w:rFonts w:hint="default" w:ascii="Times New Roman" w:hAnsi="Times New Roman" w:eastAsia="宋体" w:cs="Times New Roman"/>
          <w:color w:val="000000" w:themeColor="text1"/>
          <w:spacing w:val="-1"/>
          <w:lang w:eastAsia="zh-CN"/>
          <w14:textFill>
            <w14:solidFill>
              <w14:schemeClr w14:val="tx1"/>
            </w14:solidFill>
          </w14:textFill>
        </w:rPr>
      </w:pPr>
      <w:r>
        <w:rPr>
          <w:rFonts w:hint="default" w:ascii="Times New Roman" w:hAnsi="Times New Roman" w:eastAsia="宋体" w:cs="Times New Roman"/>
          <w:color w:val="000000" w:themeColor="text1"/>
          <w:spacing w:val="-1"/>
          <w:lang w:eastAsia="zh-CN"/>
          <w14:textFill>
            <w14:solidFill>
              <w14:schemeClr w14:val="tx1"/>
            </w14:solidFill>
          </w14:textFill>
        </w:rPr>
        <w:t>建设项目土壤环境生态影响型评价工作等级划分见表2.6-12。</w:t>
      </w:r>
    </w:p>
    <w:p w14:paraId="03B766BF">
      <w:pPr>
        <w:pStyle w:val="11"/>
        <w:adjustRightInd w:val="0"/>
        <w:snapToGrid w:val="0"/>
        <w:ind w:firstLine="478"/>
        <w:jc w:val="center"/>
        <w:rPr>
          <w:rFonts w:hint="default" w:ascii="Times New Roman" w:hAnsi="Times New Roman" w:eastAsia="宋体" w:cs="Times New Roman"/>
          <w:b/>
          <w:color w:val="000000" w:themeColor="text1"/>
          <w:spacing w:val="-1"/>
          <w:lang w:eastAsia="zh-CN"/>
          <w14:textFill>
            <w14:solidFill>
              <w14:schemeClr w14:val="tx1"/>
            </w14:solidFill>
          </w14:textFill>
        </w:rPr>
      </w:pPr>
      <w:r>
        <w:rPr>
          <w:rFonts w:hint="default" w:ascii="Times New Roman" w:hAnsi="Times New Roman" w:eastAsia="宋体" w:cs="Times New Roman"/>
          <w:b/>
          <w:color w:val="000000" w:themeColor="text1"/>
          <w:spacing w:val="-1"/>
          <w:lang w:eastAsia="zh-CN"/>
          <w14:textFill>
            <w14:solidFill>
              <w14:schemeClr w14:val="tx1"/>
            </w14:solidFill>
          </w14:textFill>
        </w:rPr>
        <w:t>表2.6-12生态影响型评价工作等级划分表</w:t>
      </w:r>
    </w:p>
    <w:tbl>
      <w:tblPr>
        <w:tblStyle w:val="3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3302"/>
        <w:gridCol w:w="1671"/>
        <w:gridCol w:w="1671"/>
        <w:gridCol w:w="1670"/>
      </w:tblGrid>
      <w:tr w14:paraId="204915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15" w:hRule="atLeast"/>
        </w:trPr>
        <w:tc>
          <w:tcPr>
            <w:tcW w:w="1986" w:type="pct"/>
            <w:vAlign w:val="center"/>
          </w:tcPr>
          <w:p w14:paraId="2F0510B8">
            <w:pPr>
              <w:pStyle w:val="36"/>
              <w:adjustRightInd w:val="0"/>
              <w:snapToGrid w:val="0"/>
              <w:ind w:firstLine="482"/>
              <w:jc w:val="right"/>
              <w:rPr>
                <w:rFonts w:hint="default" w:ascii="Times New Roman" w:hAnsi="Times New Roman" w:eastAsia="宋体" w:cs="Times New Roman"/>
                <w:b/>
                <w:bCs/>
                <w:color w:val="000000" w:themeColor="text1"/>
                <w:sz w:val="21"/>
                <w14:textFill>
                  <w14:solidFill>
                    <w14:schemeClr w14:val="tx1"/>
                  </w14:solidFill>
                </w14:textFill>
              </w:rPr>
            </w:pPr>
            <w:r>
              <w:rPr>
                <w:rFonts w:hint="default" w:ascii="Times New Roman" w:hAnsi="Times New Roman" w:eastAsia="宋体" w:cs="Times New Roman"/>
                <w:b/>
                <w:bCs/>
                <w:color w:val="000000" w:themeColor="text1"/>
                <w:sz w:val="21"/>
                <w14:textFill>
                  <w14:solidFill>
                    <w14:schemeClr w14:val="tx1"/>
                  </w14:solidFill>
                </w14:textFill>
              </w:rPr>
              <w:t>占地规模</w:t>
            </w:r>
          </w:p>
          <w:p w14:paraId="12F78EE9">
            <w:pPr>
              <w:pStyle w:val="36"/>
              <w:adjustRightInd w:val="0"/>
              <w:snapToGrid w:val="0"/>
              <w:ind w:firstLine="1160" w:firstLineChars="550"/>
              <w:jc w:val="left"/>
              <w:rPr>
                <w:rFonts w:hint="default" w:ascii="Times New Roman" w:hAnsi="Times New Roman" w:eastAsia="宋体" w:cs="Times New Roman"/>
                <w:b/>
                <w:bCs/>
                <w:color w:val="000000" w:themeColor="text1"/>
                <w:sz w:val="21"/>
                <w14:textFill>
                  <w14:solidFill>
                    <w14:schemeClr w14:val="tx1"/>
                  </w14:solidFill>
                </w14:textFill>
              </w:rPr>
            </w:pPr>
            <w:r>
              <w:rPr>
                <w:rFonts w:hint="default" w:ascii="Times New Roman" w:hAnsi="Times New Roman" w:eastAsia="宋体" w:cs="Times New Roman"/>
                <w:b/>
                <w:bCs/>
                <w:color w:val="000000" w:themeColor="text1"/>
                <w:sz w:val="21"/>
                <w14:textFill>
                  <w14:solidFill>
                    <w14:schemeClr w14:val="tx1"/>
                  </w14:solidFill>
                </w14:textFill>
              </w:rPr>
              <w:t>评价等级</w:t>
            </w:r>
          </w:p>
          <w:p w14:paraId="71E80078">
            <w:pPr>
              <w:pStyle w:val="36"/>
              <w:adjustRightInd w:val="0"/>
              <w:snapToGrid w:val="0"/>
              <w:ind w:firstLine="211" w:firstLineChars="100"/>
              <w:jc w:val="left"/>
              <w:rPr>
                <w:rFonts w:hint="default" w:ascii="Times New Roman" w:hAnsi="Times New Roman" w:eastAsia="宋体" w:cs="Times New Roman"/>
                <w:b/>
                <w:bCs/>
                <w:color w:val="000000" w:themeColor="text1"/>
                <w:sz w:val="21"/>
                <w14:textFill>
                  <w14:solidFill>
                    <w14:schemeClr w14:val="tx1"/>
                  </w14:solidFill>
                </w14:textFill>
              </w:rPr>
            </w:pPr>
            <w:r>
              <w:rPr>
                <w:rFonts w:hint="default" w:ascii="Times New Roman" w:hAnsi="Times New Roman" w:eastAsia="宋体" w:cs="Times New Roman"/>
                <w:b/>
                <w:bCs/>
                <w:color w:val="000000" w:themeColor="text1"/>
                <w:sz w:val="21"/>
                <w14:textFill>
                  <w14:solidFill>
                    <w14:schemeClr w14:val="tx1"/>
                  </w14:solidFill>
                </w14:textFill>
              </w:rPr>
              <w:t>敏感程度</w:t>
            </w:r>
          </w:p>
        </w:tc>
        <w:tc>
          <w:tcPr>
            <w:tcW w:w="1005" w:type="pct"/>
            <w:vAlign w:val="center"/>
          </w:tcPr>
          <w:p w14:paraId="538D0958">
            <w:pPr>
              <w:pStyle w:val="36"/>
              <w:adjustRightInd w:val="0"/>
              <w:snapToGrid w:val="0"/>
              <w:ind w:firstLine="42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Ⅰ类</w:t>
            </w:r>
          </w:p>
        </w:tc>
        <w:tc>
          <w:tcPr>
            <w:tcW w:w="1005" w:type="pct"/>
            <w:vAlign w:val="center"/>
          </w:tcPr>
          <w:p w14:paraId="164F3F5E">
            <w:pPr>
              <w:pStyle w:val="36"/>
              <w:adjustRightInd w:val="0"/>
              <w:snapToGrid w:val="0"/>
              <w:ind w:firstLine="42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Ⅱ类</w:t>
            </w:r>
          </w:p>
        </w:tc>
        <w:tc>
          <w:tcPr>
            <w:tcW w:w="1005" w:type="pct"/>
            <w:vAlign w:val="center"/>
          </w:tcPr>
          <w:p w14:paraId="1AA12438">
            <w:pPr>
              <w:pStyle w:val="36"/>
              <w:adjustRightInd w:val="0"/>
              <w:snapToGrid w:val="0"/>
              <w:ind w:firstLine="42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Ⅲ类</w:t>
            </w:r>
          </w:p>
        </w:tc>
      </w:tr>
      <w:tr w14:paraId="5CC7C0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8" w:hRule="atLeast"/>
        </w:trPr>
        <w:tc>
          <w:tcPr>
            <w:tcW w:w="1986" w:type="pct"/>
            <w:vAlign w:val="center"/>
          </w:tcPr>
          <w:p w14:paraId="05BC02C0">
            <w:pPr>
              <w:pStyle w:val="36"/>
              <w:adjustRightInd w:val="0"/>
              <w:snapToGrid w:val="0"/>
              <w:ind w:firstLine="422"/>
              <w:rPr>
                <w:rFonts w:hint="default" w:ascii="Times New Roman" w:hAnsi="Times New Roman" w:eastAsia="宋体" w:cs="Times New Roman"/>
                <w:b/>
                <w:bCs/>
                <w:color w:val="000000" w:themeColor="text1"/>
                <w:sz w:val="21"/>
                <w14:textFill>
                  <w14:solidFill>
                    <w14:schemeClr w14:val="tx1"/>
                  </w14:solidFill>
                </w14:textFill>
              </w:rPr>
            </w:pPr>
            <w:r>
              <w:rPr>
                <w:rFonts w:hint="default" w:ascii="Times New Roman" w:hAnsi="Times New Roman" w:eastAsia="宋体" w:cs="Times New Roman"/>
                <w:b/>
                <w:bCs/>
                <w:color w:val="000000" w:themeColor="text1"/>
                <w:sz w:val="21"/>
                <w14:textFill>
                  <w14:solidFill>
                    <w14:schemeClr w14:val="tx1"/>
                  </w14:solidFill>
                </w14:textFill>
              </w:rPr>
              <w:t>敏感</w:t>
            </w:r>
          </w:p>
        </w:tc>
        <w:tc>
          <w:tcPr>
            <w:tcW w:w="1005" w:type="pct"/>
            <w:vAlign w:val="center"/>
          </w:tcPr>
          <w:p w14:paraId="27074C3B">
            <w:pPr>
              <w:pStyle w:val="36"/>
              <w:adjustRightInd w:val="0"/>
              <w:snapToGrid w:val="0"/>
              <w:ind w:firstLine="42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一级</w:t>
            </w:r>
          </w:p>
        </w:tc>
        <w:tc>
          <w:tcPr>
            <w:tcW w:w="1005" w:type="pct"/>
            <w:vAlign w:val="center"/>
          </w:tcPr>
          <w:p w14:paraId="721CE6C6">
            <w:pPr>
              <w:pStyle w:val="36"/>
              <w:adjustRightInd w:val="0"/>
              <w:snapToGrid w:val="0"/>
              <w:ind w:firstLine="42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二级</w:t>
            </w:r>
          </w:p>
        </w:tc>
        <w:tc>
          <w:tcPr>
            <w:tcW w:w="1005" w:type="pct"/>
            <w:vAlign w:val="center"/>
          </w:tcPr>
          <w:p w14:paraId="3971680F">
            <w:pPr>
              <w:pStyle w:val="36"/>
              <w:adjustRightInd w:val="0"/>
              <w:snapToGrid w:val="0"/>
              <w:ind w:firstLine="42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三级</w:t>
            </w:r>
          </w:p>
        </w:tc>
      </w:tr>
      <w:tr w14:paraId="0E0DE6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8" w:hRule="atLeast"/>
        </w:trPr>
        <w:tc>
          <w:tcPr>
            <w:tcW w:w="1986" w:type="pct"/>
            <w:vAlign w:val="center"/>
          </w:tcPr>
          <w:p w14:paraId="3B89FBED">
            <w:pPr>
              <w:pStyle w:val="36"/>
              <w:adjustRightInd w:val="0"/>
              <w:snapToGrid w:val="0"/>
              <w:ind w:firstLine="422"/>
              <w:rPr>
                <w:rFonts w:hint="default" w:ascii="Times New Roman" w:hAnsi="Times New Roman" w:eastAsia="宋体" w:cs="Times New Roman"/>
                <w:b/>
                <w:bCs/>
                <w:color w:val="000000" w:themeColor="text1"/>
                <w:sz w:val="21"/>
                <w14:textFill>
                  <w14:solidFill>
                    <w14:schemeClr w14:val="tx1"/>
                  </w14:solidFill>
                </w14:textFill>
              </w:rPr>
            </w:pPr>
            <w:r>
              <w:rPr>
                <w:rFonts w:hint="default" w:ascii="Times New Roman" w:hAnsi="Times New Roman" w:eastAsia="宋体" w:cs="Times New Roman"/>
                <w:b/>
                <w:bCs/>
                <w:color w:val="000000" w:themeColor="text1"/>
                <w:sz w:val="21"/>
                <w14:textFill>
                  <w14:solidFill>
                    <w14:schemeClr w14:val="tx1"/>
                  </w14:solidFill>
                </w14:textFill>
              </w:rPr>
              <w:t>较敏感</w:t>
            </w:r>
          </w:p>
        </w:tc>
        <w:tc>
          <w:tcPr>
            <w:tcW w:w="1005" w:type="pct"/>
            <w:vAlign w:val="center"/>
          </w:tcPr>
          <w:p w14:paraId="2C9652DC">
            <w:pPr>
              <w:pStyle w:val="36"/>
              <w:adjustRightInd w:val="0"/>
              <w:snapToGrid w:val="0"/>
              <w:ind w:firstLine="42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二级</w:t>
            </w:r>
          </w:p>
        </w:tc>
        <w:tc>
          <w:tcPr>
            <w:tcW w:w="1005" w:type="pct"/>
            <w:vAlign w:val="center"/>
          </w:tcPr>
          <w:p w14:paraId="32527A35">
            <w:pPr>
              <w:pStyle w:val="36"/>
              <w:adjustRightInd w:val="0"/>
              <w:snapToGrid w:val="0"/>
              <w:ind w:firstLine="42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二级</w:t>
            </w:r>
          </w:p>
        </w:tc>
        <w:tc>
          <w:tcPr>
            <w:tcW w:w="1005" w:type="pct"/>
            <w:vAlign w:val="center"/>
          </w:tcPr>
          <w:p w14:paraId="1C3F56DB">
            <w:pPr>
              <w:pStyle w:val="36"/>
              <w:adjustRightInd w:val="0"/>
              <w:snapToGrid w:val="0"/>
              <w:ind w:firstLine="42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三级</w:t>
            </w:r>
          </w:p>
        </w:tc>
      </w:tr>
      <w:tr w14:paraId="2076BE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9" w:hRule="atLeast"/>
        </w:trPr>
        <w:tc>
          <w:tcPr>
            <w:tcW w:w="1986" w:type="pct"/>
            <w:vAlign w:val="center"/>
          </w:tcPr>
          <w:p w14:paraId="18B19423">
            <w:pPr>
              <w:pStyle w:val="36"/>
              <w:adjustRightInd w:val="0"/>
              <w:snapToGrid w:val="0"/>
              <w:ind w:firstLine="422"/>
              <w:rPr>
                <w:rFonts w:hint="default" w:ascii="Times New Roman" w:hAnsi="Times New Roman" w:eastAsia="宋体" w:cs="Times New Roman"/>
                <w:b/>
                <w:bCs/>
                <w:color w:val="000000" w:themeColor="text1"/>
                <w:sz w:val="21"/>
                <w14:textFill>
                  <w14:solidFill>
                    <w14:schemeClr w14:val="tx1"/>
                  </w14:solidFill>
                </w14:textFill>
              </w:rPr>
            </w:pPr>
            <w:r>
              <w:rPr>
                <w:rFonts w:hint="default" w:ascii="Times New Roman" w:hAnsi="Times New Roman" w:eastAsia="宋体" w:cs="Times New Roman"/>
                <w:b/>
                <w:bCs/>
                <w:color w:val="000000" w:themeColor="text1"/>
                <w:sz w:val="21"/>
                <w14:textFill>
                  <w14:solidFill>
                    <w14:schemeClr w14:val="tx1"/>
                  </w14:solidFill>
                </w14:textFill>
              </w:rPr>
              <w:t>不敏感</w:t>
            </w:r>
          </w:p>
        </w:tc>
        <w:tc>
          <w:tcPr>
            <w:tcW w:w="1005" w:type="pct"/>
            <w:vAlign w:val="center"/>
          </w:tcPr>
          <w:p w14:paraId="6D86C2E1">
            <w:pPr>
              <w:pStyle w:val="36"/>
              <w:adjustRightInd w:val="0"/>
              <w:snapToGrid w:val="0"/>
              <w:ind w:firstLine="42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二级</w:t>
            </w:r>
          </w:p>
        </w:tc>
        <w:tc>
          <w:tcPr>
            <w:tcW w:w="1005" w:type="pct"/>
            <w:vAlign w:val="center"/>
          </w:tcPr>
          <w:p w14:paraId="2B570EC8">
            <w:pPr>
              <w:pStyle w:val="36"/>
              <w:adjustRightInd w:val="0"/>
              <w:snapToGrid w:val="0"/>
              <w:ind w:firstLine="42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shd w:val="pct10" w:color="auto" w:fill="FFFFFF"/>
                <w14:textFill>
                  <w14:solidFill>
                    <w14:schemeClr w14:val="tx1"/>
                  </w14:solidFill>
                </w14:textFill>
              </w:rPr>
              <w:t>三级</w:t>
            </w:r>
          </w:p>
        </w:tc>
        <w:tc>
          <w:tcPr>
            <w:tcW w:w="1005" w:type="pct"/>
            <w:vAlign w:val="center"/>
          </w:tcPr>
          <w:p w14:paraId="5E223088">
            <w:pPr>
              <w:pStyle w:val="36"/>
              <w:adjustRightInd w:val="0"/>
              <w:snapToGrid w:val="0"/>
              <w:ind w:firstLine="42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w:t>
            </w:r>
          </w:p>
        </w:tc>
      </w:tr>
    </w:tbl>
    <w:p w14:paraId="6A2D662B">
      <w:pPr>
        <w:pStyle w:val="11"/>
        <w:adjustRightInd w:val="0"/>
        <w:snapToGrid w:val="0"/>
        <w:ind w:firstLine="476"/>
        <w:rPr>
          <w:rFonts w:hint="default" w:ascii="Times New Roman" w:hAnsi="Times New Roman" w:eastAsia="宋体" w:cs="Times New Roman"/>
          <w:color w:val="000000" w:themeColor="text1"/>
          <w:spacing w:val="-1"/>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1"/>
          <w:sz w:val="21"/>
          <w:szCs w:val="21"/>
          <w:lang w:eastAsia="zh-CN"/>
          <w14:textFill>
            <w14:solidFill>
              <w14:schemeClr w14:val="tx1"/>
            </w14:solidFill>
          </w14:textFill>
        </w:rPr>
        <w:t>注：“—”表示可不开展土壤环境影响评价工作</w:t>
      </w:r>
    </w:p>
    <w:p w14:paraId="173D1302">
      <w:pPr>
        <w:pStyle w:val="11"/>
        <w:adjustRightInd w:val="0"/>
        <w:snapToGrid w:val="0"/>
        <w:ind w:firstLine="476"/>
        <w:rPr>
          <w:rFonts w:hint="default" w:ascii="Times New Roman" w:hAnsi="Times New Roman" w:eastAsia="宋体" w:cs="Times New Roman"/>
          <w:color w:val="000000" w:themeColor="text1"/>
          <w:spacing w:val="-1"/>
          <w:lang w:eastAsia="zh-CN"/>
          <w14:textFill>
            <w14:solidFill>
              <w14:schemeClr w14:val="tx1"/>
            </w14:solidFill>
          </w14:textFill>
        </w:rPr>
      </w:pPr>
      <w:r>
        <w:rPr>
          <w:rFonts w:hint="default" w:ascii="Times New Roman" w:hAnsi="Times New Roman" w:eastAsia="宋体" w:cs="Times New Roman"/>
          <w:color w:val="000000" w:themeColor="text1"/>
          <w:spacing w:val="-1"/>
          <w:lang w:eastAsia="zh-CN"/>
          <w14:textFill>
            <w14:solidFill>
              <w14:schemeClr w14:val="tx1"/>
            </w14:solidFill>
          </w14:textFill>
        </w:rPr>
        <w:t>本项目为“农林牧渔业中的年出栏生猪5000头及以上的畜禽养殖场或养殖小区”，属于III类建设项目。建设项目所在地干燥度为17.8（大于2.6），PH为7.85（5.6&lt;PH&lt;8.6），常年地下水水位平均埋深2m，项目土壤环境敏感程度属于不敏感区。根据《环境影响评价技术导则土壤环境》（HJ964-2018）中评价工作分级的有关规定，本项目土壤环境污染评价等级为三级。</w:t>
      </w:r>
    </w:p>
    <w:p w14:paraId="5C4B4CAA">
      <w:pPr>
        <w:pStyle w:val="11"/>
        <w:adjustRightInd w:val="0"/>
        <w:snapToGrid w:val="0"/>
        <w:ind w:firstLine="476"/>
        <w:rPr>
          <w:rFonts w:hint="default" w:ascii="Times New Roman" w:hAnsi="Times New Roman" w:eastAsia="宋体" w:cs="Times New Roman"/>
          <w:color w:val="000000" w:themeColor="text1"/>
          <w:spacing w:val="-1"/>
          <w:lang w:eastAsia="zh-CN"/>
          <w14:textFill>
            <w14:solidFill>
              <w14:schemeClr w14:val="tx1"/>
            </w14:solidFill>
          </w14:textFill>
        </w:rPr>
      </w:pPr>
      <w:r>
        <w:rPr>
          <w:rFonts w:hint="default" w:ascii="Times New Roman" w:hAnsi="Times New Roman" w:eastAsia="宋体" w:cs="Times New Roman"/>
          <w:color w:val="000000" w:themeColor="text1"/>
          <w:spacing w:val="-1"/>
          <w:lang w:eastAsia="zh-CN"/>
          <w14:textFill>
            <w14:solidFill>
              <w14:schemeClr w14:val="tx1"/>
            </w14:solidFill>
          </w14:textFill>
        </w:rPr>
        <w:t>2）污染影响型</w:t>
      </w:r>
    </w:p>
    <w:p w14:paraId="589ABE2A">
      <w:pPr>
        <w:pStyle w:val="11"/>
        <w:adjustRightInd w:val="0"/>
        <w:snapToGrid w:val="0"/>
        <w:ind w:firstLine="480"/>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eastAsia="宋体" w:cs="Times New Roman"/>
          <w:color w:val="000000" w:themeColor="text1"/>
          <w:lang w:eastAsia="zh-CN"/>
          <w14:textFill>
            <w14:solidFill>
              <w14:schemeClr w14:val="tx1"/>
            </w14:solidFill>
          </w14:textFill>
        </w:rPr>
        <w:t>根据《环境影响评价技术导则土壤环境》（HJ964-2018），将建设项目占地规模分为大型（&gt;50hm</w:t>
      </w:r>
      <w:r>
        <w:rPr>
          <w:rFonts w:hint="default" w:ascii="Times New Roman" w:hAnsi="Times New Roman" w:eastAsia="宋体" w:cs="Times New Roman"/>
          <w:color w:val="000000" w:themeColor="text1"/>
          <w:vertAlign w:val="superscript"/>
          <w:lang w:eastAsia="zh-CN"/>
          <w14:textFill>
            <w14:solidFill>
              <w14:schemeClr w14:val="tx1"/>
            </w14:solidFill>
          </w14:textFill>
        </w:rPr>
        <w:t>2</w:t>
      </w:r>
      <w:r>
        <w:rPr>
          <w:rFonts w:hint="default" w:ascii="Times New Roman" w:hAnsi="Times New Roman" w:eastAsia="宋体" w:cs="Times New Roman"/>
          <w:color w:val="000000" w:themeColor="text1"/>
          <w:lang w:eastAsia="zh-CN"/>
          <w14:textFill>
            <w14:solidFill>
              <w14:schemeClr w14:val="tx1"/>
            </w14:solidFill>
          </w14:textFill>
        </w:rPr>
        <w:t>）、中型（5~50hm</w:t>
      </w:r>
      <w:r>
        <w:rPr>
          <w:rFonts w:hint="default" w:ascii="Times New Roman" w:hAnsi="Times New Roman" w:eastAsia="宋体" w:cs="Times New Roman"/>
          <w:color w:val="000000" w:themeColor="text1"/>
          <w:vertAlign w:val="superscript"/>
          <w:lang w:eastAsia="zh-CN"/>
          <w14:textFill>
            <w14:solidFill>
              <w14:schemeClr w14:val="tx1"/>
            </w14:solidFill>
          </w14:textFill>
        </w:rPr>
        <w:t>2</w:t>
      </w:r>
      <w:r>
        <w:rPr>
          <w:rFonts w:hint="default" w:ascii="Times New Roman" w:hAnsi="Times New Roman" w:eastAsia="宋体" w:cs="Times New Roman"/>
          <w:color w:val="000000" w:themeColor="text1"/>
          <w:lang w:eastAsia="zh-CN"/>
          <w14:textFill>
            <w14:solidFill>
              <w14:schemeClr w14:val="tx1"/>
            </w14:solidFill>
          </w14:textFill>
        </w:rPr>
        <w:t>）、小型（&lt;5hm</w:t>
      </w:r>
      <w:r>
        <w:rPr>
          <w:rFonts w:hint="default" w:ascii="Times New Roman" w:hAnsi="Times New Roman" w:eastAsia="宋体" w:cs="Times New Roman"/>
          <w:color w:val="000000" w:themeColor="text1"/>
          <w:vertAlign w:val="superscript"/>
          <w:lang w:eastAsia="zh-CN"/>
          <w14:textFill>
            <w14:solidFill>
              <w14:schemeClr w14:val="tx1"/>
            </w14:solidFill>
          </w14:textFill>
        </w:rPr>
        <w:t>2</w:t>
      </w:r>
      <w:r>
        <w:rPr>
          <w:rFonts w:hint="default" w:ascii="Times New Roman" w:hAnsi="Times New Roman" w:eastAsia="宋体" w:cs="Times New Roman"/>
          <w:color w:val="000000" w:themeColor="text1"/>
          <w:lang w:eastAsia="zh-CN"/>
          <w14:textFill>
            <w14:solidFill>
              <w14:schemeClr w14:val="tx1"/>
            </w14:solidFill>
          </w14:textFill>
        </w:rPr>
        <w:t>），本项目</w:t>
      </w:r>
      <w:r>
        <w:rPr>
          <w:rFonts w:hint="default" w:ascii="Times New Roman" w:hAnsi="Times New Roman" w:eastAsia="宋体" w:cs="Times New Roman"/>
          <w:color w:val="000000" w:themeColor="text1"/>
          <w:spacing w:val="-15"/>
          <w:lang w:eastAsia="zh-CN"/>
          <w14:textFill>
            <w14:solidFill>
              <w14:schemeClr w14:val="tx1"/>
            </w14:solidFill>
          </w14:textFill>
        </w:rPr>
        <w:t>占地面积10.48</w:t>
      </w:r>
      <w:r>
        <w:rPr>
          <w:rFonts w:hint="default" w:ascii="Times New Roman" w:hAnsi="Times New Roman" w:eastAsia="宋体" w:cs="Times New Roman"/>
          <w:color w:val="000000" w:themeColor="text1"/>
          <w:spacing w:val="-3"/>
          <w:lang w:eastAsia="zh-CN"/>
          <w14:textFill>
            <w14:solidFill>
              <w14:schemeClr w14:val="tx1"/>
            </w14:solidFill>
          </w14:textFill>
        </w:rPr>
        <w:t>hm</w:t>
      </w:r>
      <w:r>
        <w:rPr>
          <w:rFonts w:hint="default" w:ascii="Times New Roman" w:hAnsi="Times New Roman" w:eastAsia="宋体" w:cs="Times New Roman"/>
          <w:color w:val="000000" w:themeColor="text1"/>
          <w:spacing w:val="-3"/>
          <w:vertAlign w:val="superscript"/>
          <w:lang w:eastAsia="zh-CN"/>
          <w14:textFill>
            <w14:solidFill>
              <w14:schemeClr w14:val="tx1"/>
            </w14:solidFill>
          </w14:textFill>
        </w:rPr>
        <w:t>2</w:t>
      </w:r>
      <w:r>
        <w:rPr>
          <w:rFonts w:hint="default" w:ascii="Times New Roman" w:hAnsi="Times New Roman" w:eastAsia="宋体" w:cs="Times New Roman"/>
          <w:color w:val="000000" w:themeColor="text1"/>
          <w:lang w:eastAsia="zh-CN"/>
          <w14:textFill>
            <w14:solidFill>
              <w14:schemeClr w14:val="tx1"/>
            </w14:solidFill>
          </w14:textFill>
        </w:rPr>
        <w:t>属于中型占地规模。</w:t>
      </w:r>
    </w:p>
    <w:p w14:paraId="70768017">
      <w:pPr>
        <w:pStyle w:val="11"/>
        <w:adjustRightInd w:val="0"/>
        <w:snapToGrid w:val="0"/>
        <w:ind w:firstLine="456"/>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eastAsia="宋体" w:cs="Times New Roman"/>
          <w:color w:val="000000" w:themeColor="text1"/>
          <w:spacing w:val="-6"/>
          <w:lang w:eastAsia="zh-CN"/>
          <w14:textFill>
            <w14:solidFill>
              <w14:schemeClr w14:val="tx1"/>
            </w14:solidFill>
          </w14:textFill>
        </w:rPr>
        <w:t>建设项目所在地周边的土壤环境敏感程度分为敏感、较敏感、不敏感，判断依据见</w:t>
      </w:r>
      <w:r>
        <w:rPr>
          <w:rFonts w:hint="default" w:ascii="Times New Roman" w:hAnsi="Times New Roman" w:eastAsia="宋体" w:cs="Times New Roman"/>
          <w:color w:val="000000" w:themeColor="text1"/>
          <w:spacing w:val="-30"/>
          <w:lang w:eastAsia="zh-CN"/>
          <w14:textFill>
            <w14:solidFill>
              <w14:schemeClr w14:val="tx1"/>
            </w14:solidFill>
          </w14:textFill>
        </w:rPr>
        <w:t>表</w:t>
      </w:r>
      <w:r>
        <w:rPr>
          <w:rFonts w:hint="default" w:ascii="Times New Roman" w:hAnsi="Times New Roman" w:eastAsia="宋体" w:cs="Times New Roman"/>
          <w:color w:val="000000" w:themeColor="text1"/>
          <w:lang w:eastAsia="zh-CN"/>
          <w14:textFill>
            <w14:solidFill>
              <w14:schemeClr w14:val="tx1"/>
            </w14:solidFill>
          </w14:textFill>
        </w:rPr>
        <w:t>2.6-13。</w:t>
      </w:r>
    </w:p>
    <w:p w14:paraId="560F7BE2">
      <w:pPr>
        <w:tabs>
          <w:tab w:val="left" w:pos="2771"/>
          <w:tab w:val="left" w:pos="6612"/>
        </w:tabs>
        <w:adjustRightInd w:val="0"/>
        <w:snapToGrid w:val="0"/>
        <w:ind w:firstLine="482"/>
        <w:jc w:val="center"/>
        <w:rPr>
          <w:rFonts w:hint="default" w:ascii="Times New Roman" w:hAnsi="Times New Roman" w:eastAsia="宋体" w:cs="Times New Roman"/>
          <w:b/>
          <w:color w:val="000000" w:themeColor="text1"/>
          <w14:textFill>
            <w14:solidFill>
              <w14:schemeClr w14:val="tx1"/>
            </w14:solidFill>
          </w14:textFill>
        </w:rPr>
      </w:pPr>
      <w:r>
        <w:rPr>
          <w:rFonts w:hint="default" w:ascii="Times New Roman" w:hAnsi="Times New Roman" w:eastAsia="宋体" w:cs="Times New Roman"/>
          <w:b/>
          <w:color w:val="000000" w:themeColor="text1"/>
          <w14:textFill>
            <w14:solidFill>
              <w14:schemeClr w14:val="tx1"/>
            </w14:solidFill>
          </w14:textFill>
        </w:rPr>
        <w:t>表2.6-13污染影响型敏感程度分级表</w:t>
      </w:r>
    </w:p>
    <w:tbl>
      <w:tblPr>
        <w:tblStyle w:val="35"/>
        <w:tblW w:w="850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2253"/>
        <w:gridCol w:w="6251"/>
      </w:tblGrid>
      <w:tr w14:paraId="5ADDE7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55" w:hRule="atLeast"/>
          <w:jc w:val="center"/>
        </w:trPr>
        <w:tc>
          <w:tcPr>
            <w:tcW w:w="2253" w:type="dxa"/>
            <w:vAlign w:val="center"/>
          </w:tcPr>
          <w:p w14:paraId="22EDFD84">
            <w:pPr>
              <w:pStyle w:val="36"/>
              <w:spacing w:line="240" w:lineRule="auto"/>
              <w:ind w:firstLine="0" w:firstLineChars="0"/>
              <w:rPr>
                <w:rFonts w:hint="default" w:ascii="Times New Roman" w:hAnsi="Times New Roman" w:eastAsia="宋体" w:cs="Times New Roman"/>
                <w:b/>
                <w:bCs/>
                <w:color w:val="000000" w:themeColor="text1"/>
                <w:sz w:val="21"/>
                <w14:textFill>
                  <w14:solidFill>
                    <w14:schemeClr w14:val="tx1"/>
                  </w14:solidFill>
                </w14:textFill>
              </w:rPr>
            </w:pPr>
            <w:r>
              <w:rPr>
                <w:rFonts w:hint="default" w:ascii="Times New Roman" w:hAnsi="Times New Roman" w:eastAsia="宋体" w:cs="Times New Roman"/>
                <w:b/>
                <w:bCs/>
                <w:color w:val="000000" w:themeColor="text1"/>
                <w:sz w:val="21"/>
                <w14:textFill>
                  <w14:solidFill>
                    <w14:schemeClr w14:val="tx1"/>
                  </w14:solidFill>
                </w14:textFill>
              </w:rPr>
              <w:t>敏感程度</w:t>
            </w:r>
          </w:p>
        </w:tc>
        <w:tc>
          <w:tcPr>
            <w:tcW w:w="6251" w:type="dxa"/>
            <w:vAlign w:val="center"/>
          </w:tcPr>
          <w:p w14:paraId="0A2DE7A7">
            <w:pPr>
              <w:pStyle w:val="36"/>
              <w:spacing w:before="141"/>
              <w:ind w:left="101" w:right="63"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b/>
                <w:bCs/>
                <w:color w:val="000000" w:themeColor="text1"/>
                <w:sz w:val="21"/>
                <w14:textFill>
                  <w14:solidFill>
                    <w14:schemeClr w14:val="tx1"/>
                  </w14:solidFill>
                </w14:textFill>
              </w:rPr>
              <w:t>判断依据</w:t>
            </w:r>
          </w:p>
        </w:tc>
      </w:tr>
      <w:tr w14:paraId="2FB908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23" w:hRule="atLeast"/>
          <w:jc w:val="center"/>
        </w:trPr>
        <w:tc>
          <w:tcPr>
            <w:tcW w:w="2253" w:type="dxa"/>
            <w:vAlign w:val="center"/>
          </w:tcPr>
          <w:p w14:paraId="4B31445D">
            <w:pPr>
              <w:pStyle w:val="36"/>
              <w:spacing w:line="240" w:lineRule="auto"/>
              <w:ind w:firstLine="0" w:firstLineChars="0"/>
              <w:rPr>
                <w:rFonts w:hint="default" w:ascii="Times New Roman" w:hAnsi="Times New Roman" w:eastAsia="宋体" w:cs="Times New Roman"/>
                <w:b/>
                <w:bCs/>
                <w:color w:val="000000" w:themeColor="text1"/>
                <w:sz w:val="21"/>
                <w14:textFill>
                  <w14:solidFill>
                    <w14:schemeClr w14:val="tx1"/>
                  </w14:solidFill>
                </w14:textFill>
              </w:rPr>
            </w:pPr>
            <w:r>
              <w:rPr>
                <w:rFonts w:hint="default" w:ascii="Times New Roman" w:hAnsi="Times New Roman" w:eastAsia="宋体" w:cs="Times New Roman"/>
                <w:b/>
                <w:bCs/>
                <w:color w:val="000000" w:themeColor="text1"/>
                <w:sz w:val="21"/>
                <w14:textFill>
                  <w14:solidFill>
                    <w14:schemeClr w14:val="tx1"/>
                  </w14:solidFill>
                </w14:textFill>
              </w:rPr>
              <w:t>敏感</w:t>
            </w:r>
          </w:p>
        </w:tc>
        <w:tc>
          <w:tcPr>
            <w:tcW w:w="6251" w:type="dxa"/>
            <w:vAlign w:val="center"/>
          </w:tcPr>
          <w:p w14:paraId="24A1E727">
            <w:pPr>
              <w:pStyle w:val="36"/>
              <w:spacing w:before="20"/>
              <w:ind w:left="207" w:right="63"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pacing w:val="-12"/>
                <w:sz w:val="21"/>
                <w14:textFill>
                  <w14:solidFill>
                    <w14:schemeClr w14:val="tx1"/>
                  </w14:solidFill>
                </w14:textFill>
              </w:rPr>
              <w:t>建设项目周边存在耕地、园地、牧草地、饮用水水源地或居民区、学校、</w:t>
            </w:r>
          </w:p>
          <w:p w14:paraId="5DD168C6">
            <w:pPr>
              <w:pStyle w:val="36"/>
              <w:spacing w:before="43"/>
              <w:ind w:left="101" w:right="63"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医院、疗养院、养老院等土壤环境敏感目标的</w:t>
            </w:r>
          </w:p>
        </w:tc>
      </w:tr>
      <w:tr w14:paraId="56F7AD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8" w:hRule="atLeast"/>
          <w:jc w:val="center"/>
        </w:trPr>
        <w:tc>
          <w:tcPr>
            <w:tcW w:w="2253" w:type="dxa"/>
            <w:vAlign w:val="center"/>
          </w:tcPr>
          <w:p w14:paraId="486E1ED3">
            <w:pPr>
              <w:pStyle w:val="36"/>
              <w:spacing w:line="240" w:lineRule="auto"/>
              <w:ind w:firstLine="0" w:firstLineChars="0"/>
              <w:rPr>
                <w:rFonts w:hint="default" w:ascii="Times New Roman" w:hAnsi="Times New Roman" w:eastAsia="宋体" w:cs="Times New Roman"/>
                <w:b/>
                <w:bCs/>
                <w:color w:val="000000" w:themeColor="text1"/>
                <w:sz w:val="21"/>
                <w14:textFill>
                  <w14:solidFill>
                    <w14:schemeClr w14:val="tx1"/>
                  </w14:solidFill>
                </w14:textFill>
              </w:rPr>
            </w:pPr>
            <w:r>
              <w:rPr>
                <w:rFonts w:hint="default" w:ascii="Times New Roman" w:hAnsi="Times New Roman" w:eastAsia="宋体" w:cs="Times New Roman"/>
                <w:b/>
                <w:bCs/>
                <w:color w:val="000000" w:themeColor="text1"/>
                <w:sz w:val="21"/>
                <w14:textFill>
                  <w14:solidFill>
                    <w14:schemeClr w14:val="tx1"/>
                  </w14:solidFill>
                </w14:textFill>
              </w:rPr>
              <w:t>较敏感</w:t>
            </w:r>
          </w:p>
        </w:tc>
        <w:tc>
          <w:tcPr>
            <w:tcW w:w="6251" w:type="dxa"/>
            <w:vAlign w:val="center"/>
          </w:tcPr>
          <w:p w14:paraId="4D56EF18">
            <w:pPr>
              <w:pStyle w:val="36"/>
              <w:spacing w:before="50"/>
              <w:ind w:left="99" w:right="63"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建设项目周边存在其他土壤环境敏感目标的</w:t>
            </w:r>
          </w:p>
        </w:tc>
      </w:tr>
      <w:tr w14:paraId="076A66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2253" w:type="dxa"/>
            <w:vAlign w:val="center"/>
          </w:tcPr>
          <w:p w14:paraId="1DFEA015">
            <w:pPr>
              <w:pStyle w:val="36"/>
              <w:spacing w:line="240" w:lineRule="auto"/>
              <w:ind w:firstLine="0" w:firstLineChars="0"/>
              <w:rPr>
                <w:rFonts w:hint="default" w:ascii="Times New Roman" w:hAnsi="Times New Roman" w:eastAsia="宋体" w:cs="Times New Roman"/>
                <w:b/>
                <w:bCs/>
                <w:color w:val="000000" w:themeColor="text1"/>
                <w:sz w:val="21"/>
                <w14:textFill>
                  <w14:solidFill>
                    <w14:schemeClr w14:val="tx1"/>
                  </w14:solidFill>
                </w14:textFill>
              </w:rPr>
            </w:pPr>
            <w:r>
              <w:rPr>
                <w:rFonts w:hint="default" w:ascii="Times New Roman" w:hAnsi="Times New Roman" w:eastAsia="宋体" w:cs="Times New Roman"/>
                <w:b/>
                <w:bCs/>
                <w:color w:val="000000" w:themeColor="text1"/>
                <w:sz w:val="21"/>
                <w14:textFill>
                  <w14:solidFill>
                    <w14:schemeClr w14:val="tx1"/>
                  </w14:solidFill>
                </w14:textFill>
              </w:rPr>
              <w:t>不敏感</w:t>
            </w:r>
          </w:p>
        </w:tc>
        <w:tc>
          <w:tcPr>
            <w:tcW w:w="6251" w:type="dxa"/>
            <w:vAlign w:val="center"/>
          </w:tcPr>
          <w:p w14:paraId="6D592894">
            <w:pPr>
              <w:pStyle w:val="36"/>
              <w:spacing w:before="50"/>
              <w:ind w:left="101" w:right="63"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其他情况</w:t>
            </w:r>
          </w:p>
        </w:tc>
      </w:tr>
    </w:tbl>
    <w:p w14:paraId="3E9B9D09">
      <w:pPr>
        <w:pStyle w:val="11"/>
        <w:adjustRightInd w:val="0"/>
        <w:snapToGrid w:val="0"/>
        <w:ind w:firstLine="480"/>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eastAsia="宋体" w:cs="Times New Roman"/>
          <w:color w:val="000000" w:themeColor="text1"/>
          <w:lang w:eastAsia="zh-CN"/>
          <w14:textFill>
            <w14:solidFill>
              <w14:schemeClr w14:val="tx1"/>
            </w14:solidFill>
          </w14:textFill>
        </w:rPr>
        <w:t>本项目周边存在林地和草地，因此敏感程度为“敏感”。根据土壤环境影响评价项目类别、占地规模与敏感程度划分评价工作等级，详见表2.4-14。</w:t>
      </w:r>
    </w:p>
    <w:p w14:paraId="7D609998">
      <w:pPr>
        <w:tabs>
          <w:tab w:val="left" w:pos="2771"/>
          <w:tab w:val="left" w:pos="6612"/>
        </w:tabs>
        <w:adjustRightInd w:val="0"/>
        <w:snapToGrid w:val="0"/>
        <w:ind w:firstLine="482"/>
        <w:jc w:val="center"/>
        <w:rPr>
          <w:rFonts w:hint="default" w:ascii="Times New Roman" w:hAnsi="Times New Roman" w:eastAsia="宋体" w:cs="Times New Roman"/>
          <w:b/>
          <w:color w:val="000000" w:themeColor="text1"/>
          <w:sz w:val="6"/>
          <w14:textFill>
            <w14:solidFill>
              <w14:schemeClr w14:val="tx1"/>
            </w14:solidFill>
          </w14:textFill>
        </w:rPr>
      </w:pPr>
      <w:r>
        <w:rPr>
          <w:rFonts w:hint="default" w:ascii="Times New Roman" w:hAnsi="Times New Roman" w:eastAsia="宋体" w:cs="Times New Roman"/>
          <w:b/>
          <w:color w:val="000000" w:themeColor="text1"/>
          <w14:textFill>
            <w14:solidFill>
              <w14:schemeClr w14:val="tx1"/>
            </w14:solidFill>
          </w14:textFill>
        </w:rPr>
        <w:t>表2.6-14污染影响型评价工作等级划分表</w:t>
      </w:r>
    </w:p>
    <w:tbl>
      <w:tblPr>
        <w:tblStyle w:val="35"/>
        <w:tblW w:w="850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2025"/>
        <w:gridCol w:w="897"/>
        <w:gridCol w:w="665"/>
        <w:gridCol w:w="796"/>
        <w:gridCol w:w="665"/>
        <w:gridCol w:w="665"/>
        <w:gridCol w:w="664"/>
        <w:gridCol w:w="798"/>
        <w:gridCol w:w="666"/>
        <w:gridCol w:w="663"/>
      </w:tblGrid>
      <w:tr w14:paraId="5ED141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84" w:hRule="atLeast"/>
          <w:jc w:val="center"/>
        </w:trPr>
        <w:tc>
          <w:tcPr>
            <w:tcW w:w="2025" w:type="dxa"/>
            <w:vMerge w:val="restart"/>
            <w:vAlign w:val="center"/>
          </w:tcPr>
          <w:p w14:paraId="627D9F3E">
            <w:pPr>
              <w:pStyle w:val="36"/>
              <w:spacing w:before="20"/>
              <w:ind w:left="1134" w:firstLine="0" w:firstLineChars="0"/>
              <w:jc w:val="left"/>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b/>
                <w:color w:val="000000" w:themeColor="text1"/>
                <w:lang w:val="en-US" w:bidi="ar-SA"/>
                <w14:textFill>
                  <w14:solidFill>
                    <w14:schemeClr w14:val="tx1"/>
                  </w14:solidFill>
                </w14:textFill>
              </w:rPr>
              <mc:AlternateContent>
                <mc:Choice Requires="wpg">
                  <w:drawing>
                    <wp:anchor distT="0" distB="0" distL="114300" distR="114300" simplePos="0" relativeHeight="251660288" behindDoc="1" locked="0" layoutInCell="1" allowOverlap="1">
                      <wp:simplePos x="0" y="0"/>
                      <wp:positionH relativeFrom="page">
                        <wp:posOffset>27305</wp:posOffset>
                      </wp:positionH>
                      <wp:positionV relativeFrom="paragraph">
                        <wp:posOffset>9525</wp:posOffset>
                      </wp:positionV>
                      <wp:extent cx="1262380" cy="806450"/>
                      <wp:effectExtent l="0" t="0" r="17145" b="14605"/>
                      <wp:wrapNone/>
                      <wp:docPr id="23" name="组合 23"/>
                      <wp:cNvGraphicFramePr/>
                      <a:graphic xmlns:a="http://schemas.openxmlformats.org/drawingml/2006/main">
                        <a:graphicData uri="http://schemas.microsoft.com/office/word/2010/wordprocessingGroup">
                          <wpg:wgp>
                            <wpg:cNvGrpSpPr/>
                            <wpg:grpSpPr>
                              <a:xfrm>
                                <a:off x="0" y="0"/>
                                <a:ext cx="1262380" cy="806450"/>
                                <a:chOff x="1429" y="415"/>
                                <a:chExt cx="2152" cy="1255"/>
                              </a:xfrm>
                            </wpg:grpSpPr>
                            <wps:wsp>
                              <wps:cNvPr id="21" name="直接连接符 21"/>
                              <wps:cNvCnPr/>
                              <wps:spPr>
                                <a:xfrm>
                                  <a:off x="1437" y="965"/>
                                  <a:ext cx="2132" cy="698"/>
                                </a:xfrm>
                                <a:prstGeom prst="line">
                                  <a:avLst/>
                                </a:prstGeom>
                                <a:ln w="9525" cap="flat" cmpd="sng">
                                  <a:solidFill>
                                    <a:srgbClr val="000000"/>
                                  </a:solidFill>
                                  <a:prstDash val="solid"/>
                                  <a:headEnd type="none" w="med" len="med"/>
                                  <a:tailEnd type="none" w="med" len="med"/>
                                </a:ln>
                              </wps:spPr>
                              <wps:bodyPr/>
                            </wps:wsp>
                            <wps:wsp>
                              <wps:cNvPr id="22" name="直接连接符 22"/>
                              <wps:cNvCnPr/>
                              <wps:spPr>
                                <a:xfrm>
                                  <a:off x="2314" y="423"/>
                                  <a:ext cx="1260" cy="1240"/>
                                </a:xfrm>
                                <a:prstGeom prst="line">
                                  <a:avLst/>
                                </a:prstGeom>
                                <a:ln w="9525" cap="flat" cmpd="sng">
                                  <a:solidFill>
                                    <a:srgbClr val="000000"/>
                                  </a:solidFill>
                                  <a:prstDash val="solid"/>
                                  <a:headEnd type="none" w="med" len="med"/>
                                  <a:tailEnd type="none" w="med" len="med"/>
                                </a:ln>
                              </wps:spPr>
                              <wps:bodyPr/>
                            </wps:wsp>
                          </wpg:wgp>
                        </a:graphicData>
                      </a:graphic>
                    </wp:anchor>
                  </w:drawing>
                </mc:Choice>
                <mc:Fallback>
                  <w:pict>
                    <v:group id="_x0000_s1026" o:spid="_x0000_s1026" o:spt="203" style="position:absolute;left:0pt;margin-left:2.15pt;margin-top:0.75pt;height:63.5pt;width:99.4pt;mso-position-horizontal-relative:page;z-index:-251656192;mso-width-relative:page;mso-height-relative:page;" coordorigin="1429,415" coordsize="2152,1255" o:gfxdata="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">
                      <o:lock v:ext="edit" aspectratio="f"/>
                      <v:line id="_x0000_s1026" o:spid="_x0000_s1026" o:spt="20" style="position:absolute;left:1437;top:965;height:698;width:2132;" filled="f" stroked="t" coordsize="21600,21600" o:gfxdata="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Ycv468AAAA&#10;2wAAAA8AAAAAAAAAAQAgAAAAIgAAAGRycy9kb3ducmV2LnhtbFBLAQIUABQAAAAIAIdO4kAzLwWe&#10;OwAAADkAAAAQAAAAAAAAAAEAIAAAAAsBAABkcnMvc2hhcGV4bWwueG1sUEsFBgAAAAAGAAYAWwEA&#10;ALUDAAAAAA==&#10;">
                        <v:fill on="f" focussize="0,0"/>
                        <v:stroke color="#000000" joinstyle="round"/>
                        <v:imagedata o:title=""/>
                        <o:lock v:ext="edit" aspectratio="f"/>
                      </v:line>
                      <v:line id="_x0000_s1026" o:spid="_x0000_s1026" o:spt="20" style="position:absolute;left:2314;top:423;height:1240;width:1260;" filled="f" stroked="t" coordsize="21600,21600" o:gfxdata="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2ziH5vQAA&#10;ANsAAAAPAAAAAAAAAAEAIAAAACIAAABkcnMvZG93bnJldi54bWxQSwECFAAUAAAACACHTuJAMy8F&#10;njsAAAA5AAAAEAAAAAAAAAABACAAAAAMAQAAZHJzL3NoYXBleG1sLnhtbFBLBQYAAAAABgAGAFsB&#10;AAC2AwAAAAA=&#10;">
                        <v:fill on="f" focussize="0,0"/>
                        <v:stroke color="#000000" joinstyle="round"/>
                        <v:imagedata o:title=""/>
                        <o:lock v:ext="edit" aspectratio="f"/>
                      </v:line>
                    </v:group>
                  </w:pict>
                </mc:Fallback>
              </mc:AlternateContent>
            </w:r>
            <w:r>
              <w:rPr>
                <w:rFonts w:hint="default" w:ascii="Times New Roman" w:hAnsi="Times New Roman" w:eastAsia="宋体" w:cs="Times New Roman"/>
                <w:color w:val="000000" w:themeColor="text1"/>
                <w:sz w:val="21"/>
                <w14:textFill>
                  <w14:solidFill>
                    <w14:schemeClr w14:val="tx1"/>
                  </w14:solidFill>
                </w14:textFill>
              </w:rPr>
              <w:t>占地规模</w:t>
            </w:r>
          </w:p>
          <w:p w14:paraId="0C79AF46">
            <w:pPr>
              <w:pStyle w:val="36"/>
              <w:spacing w:before="43"/>
              <w:ind w:left="3"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评价等级</w:t>
            </w:r>
          </w:p>
          <w:p w14:paraId="5C574273">
            <w:pPr>
              <w:pStyle w:val="36"/>
              <w:ind w:left="108" w:firstLine="0" w:firstLineChars="0"/>
              <w:jc w:val="left"/>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敏感程度</w:t>
            </w:r>
          </w:p>
        </w:tc>
        <w:tc>
          <w:tcPr>
            <w:tcW w:w="2358" w:type="dxa"/>
            <w:gridSpan w:val="3"/>
            <w:vAlign w:val="center"/>
          </w:tcPr>
          <w:p w14:paraId="382C9172">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Ⅰ类</w:t>
            </w:r>
          </w:p>
        </w:tc>
        <w:tc>
          <w:tcPr>
            <w:tcW w:w="1994" w:type="dxa"/>
            <w:gridSpan w:val="3"/>
            <w:vAlign w:val="center"/>
          </w:tcPr>
          <w:p w14:paraId="6C1DF71C">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Ⅱ类</w:t>
            </w:r>
          </w:p>
        </w:tc>
        <w:tc>
          <w:tcPr>
            <w:tcW w:w="2127" w:type="dxa"/>
            <w:gridSpan w:val="3"/>
            <w:vAlign w:val="center"/>
          </w:tcPr>
          <w:p w14:paraId="3E72D749">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Ⅲ类</w:t>
            </w:r>
          </w:p>
        </w:tc>
      </w:tr>
      <w:tr w14:paraId="23EB23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7" w:hRule="atLeast"/>
          <w:jc w:val="center"/>
        </w:trPr>
        <w:tc>
          <w:tcPr>
            <w:tcW w:w="2025" w:type="dxa"/>
            <w:vMerge w:val="continue"/>
            <w:vAlign w:val="center"/>
          </w:tcPr>
          <w:p w14:paraId="18077277">
            <w:pPr>
              <w:ind w:firstLine="0" w:firstLineChars="0"/>
              <w:rPr>
                <w:rFonts w:hint="default" w:ascii="Times New Roman" w:hAnsi="Times New Roman" w:eastAsia="宋体" w:cs="Times New Roman"/>
                <w:color w:val="000000" w:themeColor="text1"/>
                <w:sz w:val="2"/>
                <w:szCs w:val="2"/>
                <w14:textFill>
                  <w14:solidFill>
                    <w14:schemeClr w14:val="tx1"/>
                  </w14:solidFill>
                </w14:textFill>
              </w:rPr>
            </w:pPr>
          </w:p>
        </w:tc>
        <w:tc>
          <w:tcPr>
            <w:tcW w:w="897" w:type="dxa"/>
            <w:vAlign w:val="center"/>
          </w:tcPr>
          <w:p w14:paraId="247C839E">
            <w:pPr>
              <w:pStyle w:val="36"/>
              <w:spacing w:before="139"/>
              <w:ind w:left="28"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大</w:t>
            </w:r>
          </w:p>
        </w:tc>
        <w:tc>
          <w:tcPr>
            <w:tcW w:w="665" w:type="dxa"/>
            <w:vAlign w:val="center"/>
          </w:tcPr>
          <w:p w14:paraId="21C416C1">
            <w:pPr>
              <w:pStyle w:val="36"/>
              <w:spacing w:before="139"/>
              <w:ind w:left="26"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中</w:t>
            </w:r>
          </w:p>
        </w:tc>
        <w:tc>
          <w:tcPr>
            <w:tcW w:w="796" w:type="dxa"/>
            <w:vAlign w:val="center"/>
          </w:tcPr>
          <w:p w14:paraId="5802D295">
            <w:pPr>
              <w:pStyle w:val="36"/>
              <w:spacing w:before="139"/>
              <w:ind w:left="26"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小</w:t>
            </w:r>
          </w:p>
        </w:tc>
        <w:tc>
          <w:tcPr>
            <w:tcW w:w="665" w:type="dxa"/>
            <w:vAlign w:val="center"/>
          </w:tcPr>
          <w:p w14:paraId="5B8E0A8B">
            <w:pPr>
              <w:pStyle w:val="36"/>
              <w:spacing w:before="139"/>
              <w:ind w:left="23"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大</w:t>
            </w:r>
          </w:p>
        </w:tc>
        <w:tc>
          <w:tcPr>
            <w:tcW w:w="665" w:type="dxa"/>
            <w:vAlign w:val="center"/>
          </w:tcPr>
          <w:p w14:paraId="25EE42CB">
            <w:pPr>
              <w:pStyle w:val="36"/>
              <w:spacing w:before="139"/>
              <w:ind w:left="22"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中</w:t>
            </w:r>
          </w:p>
        </w:tc>
        <w:tc>
          <w:tcPr>
            <w:tcW w:w="664" w:type="dxa"/>
            <w:vAlign w:val="center"/>
          </w:tcPr>
          <w:p w14:paraId="2227E3E1">
            <w:pPr>
              <w:pStyle w:val="36"/>
              <w:spacing w:before="139"/>
              <w:ind w:left="21"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小</w:t>
            </w:r>
          </w:p>
        </w:tc>
        <w:tc>
          <w:tcPr>
            <w:tcW w:w="798" w:type="dxa"/>
            <w:vAlign w:val="center"/>
          </w:tcPr>
          <w:p w14:paraId="10226927">
            <w:pPr>
              <w:pStyle w:val="36"/>
              <w:spacing w:before="139"/>
              <w:ind w:left="20"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大</w:t>
            </w:r>
          </w:p>
        </w:tc>
        <w:tc>
          <w:tcPr>
            <w:tcW w:w="666" w:type="dxa"/>
            <w:vAlign w:val="center"/>
          </w:tcPr>
          <w:p w14:paraId="74C0F9D1">
            <w:pPr>
              <w:pStyle w:val="36"/>
              <w:spacing w:before="139"/>
              <w:ind w:left="16"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中</w:t>
            </w:r>
          </w:p>
        </w:tc>
        <w:tc>
          <w:tcPr>
            <w:tcW w:w="663" w:type="dxa"/>
            <w:vAlign w:val="center"/>
          </w:tcPr>
          <w:p w14:paraId="4569B8EB">
            <w:pPr>
              <w:pStyle w:val="36"/>
              <w:spacing w:before="139"/>
              <w:ind w:left="24"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小</w:t>
            </w:r>
          </w:p>
        </w:tc>
      </w:tr>
      <w:tr w14:paraId="24EF9C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8" w:hRule="atLeast"/>
          <w:jc w:val="center"/>
        </w:trPr>
        <w:tc>
          <w:tcPr>
            <w:tcW w:w="2025" w:type="dxa"/>
            <w:vAlign w:val="center"/>
          </w:tcPr>
          <w:p w14:paraId="39F2862E">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敏感</w:t>
            </w:r>
          </w:p>
        </w:tc>
        <w:tc>
          <w:tcPr>
            <w:tcW w:w="897" w:type="dxa"/>
            <w:vAlign w:val="center"/>
          </w:tcPr>
          <w:p w14:paraId="1D5C5311">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一级</w:t>
            </w:r>
          </w:p>
        </w:tc>
        <w:tc>
          <w:tcPr>
            <w:tcW w:w="665" w:type="dxa"/>
            <w:vAlign w:val="center"/>
          </w:tcPr>
          <w:p w14:paraId="6A03231A">
            <w:pPr>
              <w:pStyle w:val="36"/>
              <w:spacing w:before="49"/>
              <w:ind w:left="126" w:right="99"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一级</w:t>
            </w:r>
          </w:p>
        </w:tc>
        <w:tc>
          <w:tcPr>
            <w:tcW w:w="796" w:type="dxa"/>
            <w:vAlign w:val="center"/>
          </w:tcPr>
          <w:p w14:paraId="3C32368C">
            <w:pPr>
              <w:pStyle w:val="36"/>
              <w:spacing w:before="49"/>
              <w:ind w:left="95" w:right="68"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一级</w:t>
            </w:r>
          </w:p>
        </w:tc>
        <w:tc>
          <w:tcPr>
            <w:tcW w:w="665" w:type="dxa"/>
            <w:vAlign w:val="center"/>
          </w:tcPr>
          <w:p w14:paraId="1767AB34">
            <w:pPr>
              <w:pStyle w:val="36"/>
              <w:spacing w:before="49"/>
              <w:ind w:left="126" w:right="102"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二级</w:t>
            </w:r>
          </w:p>
        </w:tc>
        <w:tc>
          <w:tcPr>
            <w:tcW w:w="665" w:type="dxa"/>
            <w:vAlign w:val="center"/>
          </w:tcPr>
          <w:p w14:paraId="3B1B2B07">
            <w:pPr>
              <w:pStyle w:val="36"/>
              <w:spacing w:before="49"/>
              <w:ind w:left="126" w:right="103"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二级</w:t>
            </w:r>
          </w:p>
        </w:tc>
        <w:tc>
          <w:tcPr>
            <w:tcW w:w="664" w:type="dxa"/>
            <w:vAlign w:val="center"/>
          </w:tcPr>
          <w:p w14:paraId="09BB967F">
            <w:pPr>
              <w:pStyle w:val="36"/>
              <w:spacing w:before="49"/>
              <w:ind w:left="128" w:right="106"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二级</w:t>
            </w:r>
          </w:p>
        </w:tc>
        <w:tc>
          <w:tcPr>
            <w:tcW w:w="798" w:type="dxa"/>
            <w:vAlign w:val="center"/>
          </w:tcPr>
          <w:p w14:paraId="516A74B7">
            <w:pPr>
              <w:pStyle w:val="36"/>
              <w:spacing w:before="49"/>
              <w:ind w:left="61" w:right="42"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三级</w:t>
            </w:r>
          </w:p>
        </w:tc>
        <w:tc>
          <w:tcPr>
            <w:tcW w:w="666" w:type="dxa"/>
            <w:vAlign w:val="center"/>
          </w:tcPr>
          <w:p w14:paraId="461BF18D">
            <w:pPr>
              <w:pStyle w:val="36"/>
              <w:spacing w:before="49"/>
              <w:ind w:left="121" w:right="104"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三级</w:t>
            </w:r>
          </w:p>
        </w:tc>
        <w:tc>
          <w:tcPr>
            <w:tcW w:w="663" w:type="dxa"/>
            <w:vAlign w:val="center"/>
          </w:tcPr>
          <w:p w14:paraId="45E93C27">
            <w:pPr>
              <w:pStyle w:val="36"/>
              <w:spacing w:before="49"/>
              <w:ind w:left="123" w:right="100"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三级</w:t>
            </w:r>
          </w:p>
        </w:tc>
      </w:tr>
      <w:tr w14:paraId="5DF292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8" w:hRule="atLeast"/>
          <w:jc w:val="center"/>
        </w:trPr>
        <w:tc>
          <w:tcPr>
            <w:tcW w:w="2025" w:type="dxa"/>
            <w:vAlign w:val="center"/>
          </w:tcPr>
          <w:p w14:paraId="60FB3A84">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较敏感</w:t>
            </w:r>
          </w:p>
        </w:tc>
        <w:tc>
          <w:tcPr>
            <w:tcW w:w="897" w:type="dxa"/>
            <w:vAlign w:val="center"/>
          </w:tcPr>
          <w:p w14:paraId="62A5EFDD">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一级</w:t>
            </w:r>
          </w:p>
        </w:tc>
        <w:tc>
          <w:tcPr>
            <w:tcW w:w="665" w:type="dxa"/>
            <w:vAlign w:val="center"/>
          </w:tcPr>
          <w:p w14:paraId="1B62F183">
            <w:pPr>
              <w:pStyle w:val="36"/>
              <w:spacing w:before="49"/>
              <w:ind w:left="126" w:right="99"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一级</w:t>
            </w:r>
          </w:p>
        </w:tc>
        <w:tc>
          <w:tcPr>
            <w:tcW w:w="796" w:type="dxa"/>
            <w:vAlign w:val="center"/>
          </w:tcPr>
          <w:p w14:paraId="60A00FD6">
            <w:pPr>
              <w:pStyle w:val="36"/>
              <w:spacing w:before="49"/>
              <w:ind w:left="95" w:right="68"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二级</w:t>
            </w:r>
          </w:p>
        </w:tc>
        <w:tc>
          <w:tcPr>
            <w:tcW w:w="665" w:type="dxa"/>
            <w:vAlign w:val="center"/>
          </w:tcPr>
          <w:p w14:paraId="612A53D5">
            <w:pPr>
              <w:pStyle w:val="36"/>
              <w:spacing w:before="49"/>
              <w:ind w:left="126" w:right="102"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二级</w:t>
            </w:r>
          </w:p>
        </w:tc>
        <w:tc>
          <w:tcPr>
            <w:tcW w:w="665" w:type="dxa"/>
            <w:vAlign w:val="center"/>
          </w:tcPr>
          <w:p w14:paraId="4863665D">
            <w:pPr>
              <w:pStyle w:val="36"/>
              <w:spacing w:before="49"/>
              <w:ind w:left="126" w:right="103"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二级</w:t>
            </w:r>
          </w:p>
        </w:tc>
        <w:tc>
          <w:tcPr>
            <w:tcW w:w="664" w:type="dxa"/>
            <w:vAlign w:val="center"/>
          </w:tcPr>
          <w:p w14:paraId="332572B4">
            <w:pPr>
              <w:pStyle w:val="36"/>
              <w:spacing w:before="49"/>
              <w:ind w:left="128" w:right="106"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三级</w:t>
            </w:r>
          </w:p>
        </w:tc>
        <w:tc>
          <w:tcPr>
            <w:tcW w:w="798" w:type="dxa"/>
            <w:vAlign w:val="center"/>
          </w:tcPr>
          <w:p w14:paraId="39FF4334">
            <w:pPr>
              <w:pStyle w:val="36"/>
              <w:spacing w:before="49"/>
              <w:ind w:left="61" w:right="42"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三级</w:t>
            </w:r>
          </w:p>
        </w:tc>
        <w:tc>
          <w:tcPr>
            <w:tcW w:w="666" w:type="dxa"/>
            <w:vAlign w:val="center"/>
          </w:tcPr>
          <w:p w14:paraId="7C77E295">
            <w:pPr>
              <w:pStyle w:val="36"/>
              <w:spacing w:before="49"/>
              <w:ind w:left="121" w:right="104"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三级</w:t>
            </w:r>
          </w:p>
        </w:tc>
        <w:tc>
          <w:tcPr>
            <w:tcW w:w="663" w:type="dxa"/>
            <w:vAlign w:val="center"/>
          </w:tcPr>
          <w:p w14:paraId="30A2FBCE">
            <w:pPr>
              <w:pStyle w:val="36"/>
              <w:spacing w:before="49"/>
              <w:ind w:left="24"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w:t>
            </w:r>
          </w:p>
        </w:tc>
      </w:tr>
      <w:tr w14:paraId="47FD65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2025" w:type="dxa"/>
            <w:vAlign w:val="center"/>
          </w:tcPr>
          <w:p w14:paraId="66640705">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不敏感</w:t>
            </w:r>
          </w:p>
        </w:tc>
        <w:tc>
          <w:tcPr>
            <w:tcW w:w="897" w:type="dxa"/>
            <w:vAlign w:val="center"/>
          </w:tcPr>
          <w:p w14:paraId="16170CE4">
            <w:pPr>
              <w:pStyle w:val="36"/>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一级</w:t>
            </w:r>
          </w:p>
        </w:tc>
        <w:tc>
          <w:tcPr>
            <w:tcW w:w="665" w:type="dxa"/>
            <w:vAlign w:val="center"/>
          </w:tcPr>
          <w:p w14:paraId="36C16878">
            <w:pPr>
              <w:pStyle w:val="36"/>
              <w:spacing w:before="49"/>
              <w:ind w:left="126" w:right="99"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二级</w:t>
            </w:r>
          </w:p>
        </w:tc>
        <w:tc>
          <w:tcPr>
            <w:tcW w:w="796" w:type="dxa"/>
            <w:vAlign w:val="center"/>
          </w:tcPr>
          <w:p w14:paraId="691123FB">
            <w:pPr>
              <w:pStyle w:val="36"/>
              <w:spacing w:before="49"/>
              <w:ind w:left="95" w:right="68"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二级</w:t>
            </w:r>
          </w:p>
        </w:tc>
        <w:tc>
          <w:tcPr>
            <w:tcW w:w="665" w:type="dxa"/>
            <w:vAlign w:val="center"/>
          </w:tcPr>
          <w:p w14:paraId="385F4F75">
            <w:pPr>
              <w:pStyle w:val="36"/>
              <w:spacing w:before="49"/>
              <w:ind w:left="126" w:right="102"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二级</w:t>
            </w:r>
          </w:p>
        </w:tc>
        <w:tc>
          <w:tcPr>
            <w:tcW w:w="665" w:type="dxa"/>
            <w:vAlign w:val="center"/>
          </w:tcPr>
          <w:p w14:paraId="71351804">
            <w:pPr>
              <w:pStyle w:val="36"/>
              <w:spacing w:before="49"/>
              <w:ind w:left="126" w:right="103"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三级</w:t>
            </w:r>
          </w:p>
        </w:tc>
        <w:tc>
          <w:tcPr>
            <w:tcW w:w="664" w:type="dxa"/>
            <w:vAlign w:val="center"/>
          </w:tcPr>
          <w:p w14:paraId="0E8AAA97">
            <w:pPr>
              <w:pStyle w:val="36"/>
              <w:spacing w:before="49"/>
              <w:ind w:left="128" w:right="106"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三级</w:t>
            </w:r>
          </w:p>
        </w:tc>
        <w:tc>
          <w:tcPr>
            <w:tcW w:w="798" w:type="dxa"/>
            <w:vAlign w:val="center"/>
          </w:tcPr>
          <w:p w14:paraId="01306E18">
            <w:pPr>
              <w:pStyle w:val="36"/>
              <w:spacing w:before="49"/>
              <w:ind w:left="61" w:right="42"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三级</w:t>
            </w:r>
          </w:p>
        </w:tc>
        <w:tc>
          <w:tcPr>
            <w:tcW w:w="666" w:type="dxa"/>
            <w:vAlign w:val="center"/>
          </w:tcPr>
          <w:p w14:paraId="51F79867">
            <w:pPr>
              <w:pStyle w:val="36"/>
              <w:spacing w:before="49"/>
              <w:ind w:left="15"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w:t>
            </w:r>
          </w:p>
        </w:tc>
        <w:tc>
          <w:tcPr>
            <w:tcW w:w="663" w:type="dxa"/>
            <w:vAlign w:val="center"/>
          </w:tcPr>
          <w:p w14:paraId="4E92C8C3">
            <w:pPr>
              <w:pStyle w:val="36"/>
              <w:spacing w:before="49"/>
              <w:ind w:left="24"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w:t>
            </w:r>
          </w:p>
        </w:tc>
      </w:tr>
    </w:tbl>
    <w:p w14:paraId="5681B3C2">
      <w:pPr>
        <w:pStyle w:val="11"/>
        <w:adjustRightInd w:val="0"/>
        <w:snapToGrid w:val="0"/>
        <w:ind w:firstLine="468"/>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eastAsia="宋体" w:cs="Times New Roman"/>
          <w:color w:val="000000" w:themeColor="text1"/>
          <w:spacing w:val="-3"/>
          <w:lang w:eastAsia="zh-CN"/>
          <w14:textFill>
            <w14:solidFill>
              <w14:schemeClr w14:val="tx1"/>
            </w14:solidFill>
          </w14:textFill>
        </w:rPr>
        <w:t>综上所述，本项目属于</w:t>
      </w:r>
      <w:r>
        <w:rPr>
          <w:rFonts w:hint="default" w:ascii="Times New Roman" w:hAnsi="Times New Roman" w:eastAsia="宋体" w:cs="Times New Roman"/>
          <w:color w:val="000000" w:themeColor="text1"/>
          <w:spacing w:val="-1"/>
          <w:sz w:val="28"/>
          <w:szCs w:val="28"/>
          <w:lang w:eastAsia="zh-CN"/>
          <w14:textFill>
            <w14:solidFill>
              <w14:schemeClr w14:val="tx1"/>
            </w14:solidFill>
          </w14:textFill>
        </w:rPr>
        <w:t>II</w:t>
      </w:r>
      <w:r>
        <w:rPr>
          <w:rFonts w:hint="default" w:ascii="Times New Roman" w:hAnsi="Times New Roman" w:eastAsia="宋体" w:cs="Times New Roman"/>
          <w:color w:val="000000" w:themeColor="text1"/>
          <w:spacing w:val="-15"/>
          <w:lang w:eastAsia="zh-CN"/>
          <w14:textFill>
            <w14:solidFill>
              <w14:schemeClr w14:val="tx1"/>
            </w14:solidFill>
          </w14:textFill>
        </w:rPr>
        <w:t>类项目，占地面积10.48</w:t>
      </w:r>
      <w:r>
        <w:rPr>
          <w:rFonts w:hint="default" w:ascii="Times New Roman" w:hAnsi="Times New Roman" w:eastAsia="宋体" w:cs="Times New Roman"/>
          <w:color w:val="000000" w:themeColor="text1"/>
          <w:spacing w:val="-3"/>
          <w:lang w:eastAsia="zh-CN"/>
          <w14:textFill>
            <w14:solidFill>
              <w14:schemeClr w14:val="tx1"/>
            </w14:solidFill>
          </w14:textFill>
        </w:rPr>
        <w:t>hm</w:t>
      </w:r>
      <w:r>
        <w:rPr>
          <w:rFonts w:hint="default" w:ascii="Times New Roman" w:hAnsi="Times New Roman" w:eastAsia="宋体" w:cs="Times New Roman"/>
          <w:color w:val="000000" w:themeColor="text1"/>
          <w:spacing w:val="-3"/>
          <w:vertAlign w:val="superscript"/>
          <w:lang w:eastAsia="zh-CN"/>
          <w14:textFill>
            <w14:solidFill>
              <w14:schemeClr w14:val="tx1"/>
            </w14:solidFill>
          </w14:textFill>
        </w:rPr>
        <w:t>2</w:t>
      </w:r>
      <w:r>
        <w:rPr>
          <w:rFonts w:hint="default" w:ascii="Times New Roman" w:hAnsi="Times New Roman" w:eastAsia="宋体" w:cs="Times New Roman"/>
          <w:color w:val="000000" w:themeColor="text1"/>
          <w:spacing w:val="-3"/>
          <w:lang w:eastAsia="zh-CN"/>
          <w14:textFill>
            <w14:solidFill>
              <w14:schemeClr w14:val="tx1"/>
            </w14:solidFill>
          </w14:textFill>
        </w:rPr>
        <w:t>，</w:t>
      </w:r>
      <w:r>
        <w:rPr>
          <w:rFonts w:hint="default" w:ascii="Times New Roman" w:hAnsi="Times New Roman" w:eastAsia="宋体" w:cs="Times New Roman"/>
          <w:color w:val="000000" w:themeColor="text1"/>
          <w:lang w:eastAsia="zh-CN"/>
          <w14:textFill>
            <w14:solidFill>
              <w14:schemeClr w14:val="tx1"/>
            </w14:solidFill>
          </w14:textFill>
        </w:rPr>
        <w:t>为中型，环境敏感性为“敏感”。因此，本项目土壤评价等级为“二级”。</w:t>
      </w:r>
    </w:p>
    <w:p w14:paraId="76A53D38">
      <w:pPr>
        <w:adjustRightInd w:val="0"/>
        <w:snapToGrid w:val="0"/>
        <w:ind w:firstLine="482"/>
        <w:rPr>
          <w:rFonts w:hint="default" w:ascii="Times New Roman" w:hAnsi="Times New Roman" w:eastAsia="宋体" w:cs="Times New Roman"/>
          <w:b/>
          <w:color w:val="000000" w:themeColor="text1"/>
          <w14:textFill>
            <w14:solidFill>
              <w14:schemeClr w14:val="tx1"/>
            </w14:solidFill>
          </w14:textFill>
        </w:rPr>
      </w:pPr>
      <w:r>
        <w:rPr>
          <w:rFonts w:hint="default" w:ascii="Times New Roman" w:hAnsi="Times New Roman" w:eastAsia="宋体" w:cs="Times New Roman"/>
          <w:b/>
          <w:color w:val="000000" w:themeColor="text1"/>
          <w14:textFill>
            <w14:solidFill>
              <w14:schemeClr w14:val="tx1"/>
            </w14:solidFill>
          </w14:textFill>
        </w:rPr>
        <w:t>（2）评价范围</w:t>
      </w:r>
    </w:p>
    <w:p w14:paraId="22172D6E">
      <w:pPr>
        <w:pStyle w:val="11"/>
        <w:adjustRightInd w:val="0"/>
        <w:snapToGrid w:val="0"/>
        <w:ind w:firstLine="456"/>
        <w:rPr>
          <w:rFonts w:hint="default" w:ascii="Times New Roman" w:hAnsi="Times New Roman" w:eastAsia="宋体" w:cs="Times New Roman"/>
          <w:color w:val="000000" w:themeColor="text1"/>
          <w:lang w:eastAsia="zh-CN"/>
          <w14:textFill>
            <w14:solidFill>
              <w14:schemeClr w14:val="tx1"/>
            </w14:solidFill>
          </w14:textFill>
        </w:rPr>
      </w:pPr>
      <w:bookmarkStart w:id="85" w:name="2.7控制污染目标与环境保护目标"/>
      <w:bookmarkEnd w:id="85"/>
      <w:bookmarkStart w:id="86" w:name="2.6.2_评价重点"/>
      <w:bookmarkEnd w:id="86"/>
      <w:r>
        <w:rPr>
          <w:rFonts w:hint="default" w:ascii="Times New Roman" w:hAnsi="Times New Roman" w:eastAsia="宋体" w:cs="Times New Roman"/>
          <w:color w:val="000000" w:themeColor="text1"/>
          <w:spacing w:val="-6"/>
          <w:lang w:eastAsia="zh-CN"/>
          <w14:textFill>
            <w14:solidFill>
              <w14:schemeClr w14:val="tx1"/>
            </w14:solidFill>
          </w14:textFill>
        </w:rPr>
        <w:t>根据《环境影响评价技术导则土壤环境</w:t>
      </w:r>
      <w:r>
        <w:rPr>
          <w:rFonts w:hint="default" w:ascii="Times New Roman" w:hAnsi="Times New Roman" w:eastAsia="宋体" w:cs="Times New Roman"/>
          <w:color w:val="000000" w:themeColor="text1"/>
          <w:spacing w:val="-141"/>
          <w:lang w:eastAsia="zh-CN"/>
          <w14:textFill>
            <w14:solidFill>
              <w14:schemeClr w14:val="tx1"/>
            </w14:solidFill>
          </w14:textFill>
        </w:rPr>
        <w:t>》</w:t>
      </w:r>
      <w:r>
        <w:rPr>
          <w:rFonts w:hint="default" w:ascii="Times New Roman" w:hAnsi="Times New Roman" w:eastAsia="宋体" w:cs="Times New Roman"/>
          <w:color w:val="000000" w:themeColor="text1"/>
          <w:lang w:eastAsia="zh-CN"/>
          <w14:textFill>
            <w14:solidFill>
              <w14:schemeClr w14:val="tx1"/>
            </w14:solidFill>
          </w14:textFill>
        </w:rPr>
        <w:t>（HJ964-2018）</w:t>
      </w:r>
      <w:r>
        <w:rPr>
          <w:rFonts w:hint="default" w:ascii="Times New Roman" w:hAnsi="Times New Roman" w:eastAsia="宋体" w:cs="Times New Roman"/>
          <w:color w:val="000000" w:themeColor="text1"/>
          <w:spacing w:val="-6"/>
          <w:lang w:eastAsia="zh-CN"/>
          <w14:textFill>
            <w14:solidFill>
              <w14:schemeClr w14:val="tx1"/>
            </w14:solidFill>
          </w14:textFill>
        </w:rPr>
        <w:t>中的规定，本项目土壤环</w:t>
      </w:r>
      <w:r>
        <w:rPr>
          <w:rFonts w:hint="default" w:ascii="Times New Roman" w:hAnsi="Times New Roman" w:eastAsia="宋体" w:cs="Times New Roman"/>
          <w:color w:val="000000" w:themeColor="text1"/>
          <w:spacing w:val="-5"/>
          <w:lang w:eastAsia="zh-CN"/>
          <w14:textFill>
            <w14:solidFill>
              <w14:schemeClr w14:val="tx1"/>
            </w14:solidFill>
          </w14:textFill>
        </w:rPr>
        <w:t>境评价范围定为项目区外扩</w:t>
      </w:r>
      <w:r>
        <w:rPr>
          <w:rFonts w:hint="default" w:ascii="Times New Roman" w:hAnsi="Times New Roman" w:eastAsia="宋体" w:cs="Times New Roman"/>
          <w:color w:val="000000" w:themeColor="text1"/>
          <w:lang w:eastAsia="zh-CN"/>
          <w14:textFill>
            <w14:solidFill>
              <w14:schemeClr w14:val="tx1"/>
            </w14:solidFill>
          </w14:textFill>
        </w:rPr>
        <w:t>0.2km的范围内。</w:t>
      </w:r>
    </w:p>
    <w:p w14:paraId="4376CFCA">
      <w:pPr>
        <w:pStyle w:val="11"/>
        <w:adjustRightInd w:val="0"/>
        <w:snapToGrid w:val="0"/>
        <w:ind w:firstLine="482"/>
        <w:outlineLvl w:val="2"/>
        <w:rPr>
          <w:rFonts w:hint="default" w:ascii="Times New Roman" w:hAnsi="Times New Roman" w:eastAsia="宋体" w:cs="Times New Roman"/>
          <w:b/>
          <w:color w:val="000000" w:themeColor="text1"/>
          <w:lang w:eastAsia="zh-CN"/>
          <w14:textFill>
            <w14:solidFill>
              <w14:schemeClr w14:val="tx1"/>
            </w14:solidFill>
          </w14:textFill>
        </w:rPr>
      </w:pPr>
      <w:bookmarkStart w:id="87" w:name="_TOC_250157"/>
      <w:bookmarkEnd w:id="87"/>
      <w:bookmarkStart w:id="88" w:name="_Toc3918"/>
      <w:r>
        <w:rPr>
          <w:rFonts w:hint="default" w:ascii="Times New Roman" w:hAnsi="Times New Roman" w:eastAsia="宋体" w:cs="Times New Roman"/>
          <w:b/>
          <w:color w:val="000000" w:themeColor="text1"/>
          <w:lang w:eastAsia="zh-CN"/>
          <w14:textFill>
            <w14:solidFill>
              <w14:schemeClr w14:val="tx1"/>
            </w14:solidFill>
          </w14:textFill>
        </w:rPr>
        <w:t>2.6.7环境风险</w:t>
      </w:r>
      <w:bookmarkEnd w:id="88"/>
    </w:p>
    <w:p w14:paraId="206D778D">
      <w:pPr>
        <w:adjustRightInd w:val="0"/>
        <w:snapToGrid w:val="0"/>
        <w:ind w:firstLine="482"/>
        <w:rPr>
          <w:rFonts w:hint="default" w:ascii="Times New Roman" w:hAnsi="Times New Roman" w:eastAsia="宋体" w:cs="Times New Roman"/>
          <w:b/>
          <w:color w:val="000000" w:themeColor="text1"/>
          <w14:textFill>
            <w14:solidFill>
              <w14:schemeClr w14:val="tx1"/>
            </w14:solidFill>
          </w14:textFill>
        </w:rPr>
      </w:pPr>
      <w:r>
        <w:rPr>
          <w:rFonts w:hint="default" w:ascii="Times New Roman" w:hAnsi="Times New Roman" w:eastAsia="宋体" w:cs="Times New Roman"/>
          <w:b/>
          <w:color w:val="000000" w:themeColor="text1"/>
          <w:lang w:val="en-US" w:eastAsia="zh-CN"/>
          <w14:textFill>
            <w14:solidFill>
              <w14:schemeClr w14:val="tx1"/>
            </w14:solidFill>
          </w14:textFill>
        </w:rPr>
        <w:t>（1）风险调查</w:t>
      </w:r>
    </w:p>
    <w:p w14:paraId="27C418D3">
      <w:pPr>
        <w:adjustRightInd w:val="0"/>
        <w:snapToGrid w:val="0"/>
        <w:ind w:firstLine="482"/>
        <w:rPr>
          <w:rFonts w:hint="default" w:ascii="Times New Roman" w:hAnsi="Times New Roman" w:eastAsia="宋体" w:cs="Times New Roman"/>
          <w:b w:val="0"/>
          <w:bCs/>
          <w:color w:val="000000" w:themeColor="text1"/>
          <w:lang w:val="en-US" w:eastAsia="zh-CN"/>
          <w14:textFill>
            <w14:solidFill>
              <w14:schemeClr w14:val="tx1"/>
            </w14:solidFill>
          </w14:textFill>
        </w:rPr>
      </w:pPr>
      <w:r>
        <w:rPr>
          <w:rFonts w:hint="default" w:ascii="Times New Roman" w:hAnsi="Times New Roman" w:eastAsia="宋体" w:cs="Times New Roman"/>
          <w:b w:val="0"/>
          <w:bCs/>
          <w:color w:val="000000" w:themeColor="text1"/>
          <w:lang w:val="en-US" w:eastAsia="zh-CN"/>
          <w14:textFill>
            <w14:solidFill>
              <w14:schemeClr w14:val="tx1"/>
            </w14:solidFill>
          </w14:textFill>
        </w:rPr>
        <w:t>根据《建设项目环境风险评价技术导则》（HJ169-2018）附录B及《重大危险源辨识》（GB18218-2018），本项目主要风险物质为</w:t>
      </w:r>
      <w:r>
        <w:rPr>
          <w:rFonts w:hint="eastAsia" w:cs="Times New Roman"/>
          <w:b w:val="0"/>
          <w:bCs/>
          <w:color w:val="000000" w:themeColor="text1"/>
          <w:lang w:val="en-US" w:eastAsia="zh-CN"/>
          <w14:textFill>
            <w14:solidFill>
              <w14:schemeClr w14:val="tx1"/>
            </w14:solidFill>
          </w14:textFill>
        </w:rPr>
        <w:t>废机油</w:t>
      </w:r>
      <w:r>
        <w:rPr>
          <w:rFonts w:hint="default" w:ascii="Times New Roman" w:hAnsi="Times New Roman" w:eastAsia="宋体" w:cs="Times New Roman"/>
          <w:b w:val="0"/>
          <w:bCs/>
          <w:color w:val="000000" w:themeColor="text1"/>
          <w:lang w:val="en-US" w:eastAsia="zh-CN"/>
          <w14:textFill>
            <w14:solidFill>
              <w14:schemeClr w14:val="tx1"/>
            </w14:solidFill>
          </w14:textFill>
        </w:rPr>
        <w:t>。</w:t>
      </w:r>
    </w:p>
    <w:p w14:paraId="4CD379AC">
      <w:pPr>
        <w:adjustRightInd w:val="0"/>
        <w:snapToGrid w:val="0"/>
        <w:ind w:firstLine="482"/>
        <w:rPr>
          <w:rFonts w:hint="default" w:ascii="Times New Roman" w:hAnsi="Times New Roman" w:eastAsia="宋体" w:cs="Times New Roman"/>
          <w:b/>
          <w:color w:val="000000" w:themeColor="text1"/>
          <w14:textFill>
            <w14:solidFill>
              <w14:schemeClr w14:val="tx1"/>
            </w14:solidFill>
          </w14:textFill>
        </w:rPr>
      </w:pPr>
      <w:r>
        <w:rPr>
          <w:rFonts w:hint="default" w:ascii="Times New Roman" w:hAnsi="Times New Roman" w:eastAsia="宋体" w:cs="Times New Roman"/>
          <w:b/>
          <w:color w:val="000000" w:themeColor="text1"/>
          <w:lang w:val="en-US" w:eastAsia="zh-CN"/>
          <w14:textFill>
            <w14:solidFill>
              <w14:schemeClr w14:val="tx1"/>
            </w14:solidFill>
          </w14:textFill>
        </w:rPr>
        <w:t>（2）环境风险潜势初判</w:t>
      </w:r>
    </w:p>
    <w:p w14:paraId="2AF81349">
      <w:pPr>
        <w:adjustRightInd w:val="0"/>
        <w:snapToGrid w:val="0"/>
        <w:ind w:firstLine="482"/>
        <w:rPr>
          <w:rFonts w:hint="default" w:ascii="Times New Roman" w:hAnsi="Times New Roman" w:eastAsia="宋体" w:cs="Times New Roman"/>
          <w:b w:val="0"/>
          <w:bCs/>
          <w:color w:val="000000" w:themeColor="text1"/>
          <w14:textFill>
            <w14:solidFill>
              <w14:schemeClr w14:val="tx1"/>
            </w14:solidFill>
          </w14:textFill>
        </w:rPr>
      </w:pPr>
      <w:r>
        <w:rPr>
          <w:rFonts w:hint="default" w:ascii="Times New Roman" w:hAnsi="Times New Roman" w:eastAsia="宋体" w:cs="Times New Roman"/>
          <w:b w:val="0"/>
          <w:bCs/>
          <w:color w:val="000000" w:themeColor="text1"/>
          <w:lang w:val="en-US" w:eastAsia="zh-CN"/>
          <w14:textFill>
            <w14:solidFill>
              <w14:schemeClr w14:val="tx1"/>
            </w14:solidFill>
          </w14:textFill>
        </w:rPr>
        <w:t>根据建设项目涉及的物质和工艺系统的危险性及其所在地的环境敏感程度，结合事故情形下环境影响途径，对建设项目潜在环境危害程度进行概化分析，建设项目环境风险潜势划分表见下表。</w:t>
      </w:r>
    </w:p>
    <w:p w14:paraId="0570C7DA">
      <w:pPr>
        <w:adjustRightInd w:val="0"/>
        <w:snapToGrid w:val="0"/>
        <w:ind w:left="0" w:leftChars="0" w:firstLine="0" w:firstLineChars="0"/>
        <w:jc w:val="center"/>
        <w:rPr>
          <w:rFonts w:hint="default" w:ascii="Times New Roman" w:hAnsi="Times New Roman" w:eastAsia="宋体" w:cs="Times New Roman"/>
          <w:b/>
          <w:bCs w:val="0"/>
          <w:color w:val="000000" w:themeColor="text1"/>
          <w:lang w:val="en-US" w:eastAsia="zh-CN"/>
          <w14:textFill>
            <w14:solidFill>
              <w14:schemeClr w14:val="tx1"/>
            </w14:solidFill>
          </w14:textFill>
        </w:rPr>
      </w:pPr>
      <w:r>
        <w:rPr>
          <w:rFonts w:hint="default" w:ascii="Times New Roman" w:hAnsi="Times New Roman" w:eastAsia="宋体" w:cs="Times New Roman"/>
          <w:b/>
          <w:bCs w:val="0"/>
          <w:color w:val="000000" w:themeColor="text1"/>
          <w:lang w:val="en-US" w:eastAsia="zh-CN"/>
          <w14:textFill>
            <w14:solidFill>
              <w14:schemeClr w14:val="tx1"/>
            </w14:solidFill>
          </w14:textFill>
        </w:rPr>
        <w:t>表2.</w:t>
      </w:r>
      <w:r>
        <w:rPr>
          <w:rFonts w:hint="eastAsia" w:ascii="Times New Roman" w:hAnsi="Times New Roman" w:cs="Times New Roman"/>
          <w:b/>
          <w:bCs w:val="0"/>
          <w:color w:val="000000" w:themeColor="text1"/>
          <w:lang w:val="en-US" w:eastAsia="zh-CN"/>
          <w14:textFill>
            <w14:solidFill>
              <w14:schemeClr w14:val="tx1"/>
            </w14:solidFill>
          </w14:textFill>
        </w:rPr>
        <w:t>6-15</w:t>
      </w:r>
      <w:r>
        <w:rPr>
          <w:rFonts w:hint="default" w:ascii="Times New Roman" w:hAnsi="Times New Roman" w:eastAsia="宋体" w:cs="Times New Roman"/>
          <w:b/>
          <w:bCs w:val="0"/>
          <w:color w:val="000000" w:themeColor="text1"/>
          <w:lang w:val="en-US" w:eastAsia="zh-CN"/>
          <w14:textFill>
            <w14:solidFill>
              <w14:schemeClr w14:val="tx1"/>
            </w14:solidFill>
          </w14:textFill>
        </w:rPr>
        <w:t>建设项目环境风险潜势划分表</w:t>
      </w:r>
    </w:p>
    <w:tbl>
      <w:tblPr>
        <w:tblStyle w:val="35"/>
        <w:tblW w:w="869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2171"/>
        <w:gridCol w:w="1501"/>
        <w:gridCol w:w="1683"/>
        <w:gridCol w:w="1684"/>
        <w:gridCol w:w="1660"/>
      </w:tblGrid>
      <w:tr w14:paraId="444EA5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0" w:hRule="atLeast"/>
          <w:jc w:val="center"/>
        </w:trPr>
        <w:tc>
          <w:tcPr>
            <w:tcW w:w="2171" w:type="dxa"/>
            <w:vMerge w:val="restart"/>
            <w:vAlign w:val="center"/>
          </w:tcPr>
          <w:p w14:paraId="6394DF0B">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color w:val="000000" w:themeColor="text1"/>
                <w:sz w:val="21"/>
                <w:szCs w:val="21"/>
                <w14:textFill>
                  <w14:solidFill>
                    <w14:schemeClr w14:val="tx1"/>
                  </w14:solidFill>
                </w14:textFill>
              </w:rPr>
            </w:pPr>
            <w:r>
              <w:rPr>
                <w:rFonts w:hint="default" w:ascii="Times New Roman" w:hAnsi="Times New Roman" w:eastAsia="宋体" w:cs="Times New Roman"/>
                <w:b w:val="0"/>
                <w:bCs/>
                <w:color w:val="000000" w:themeColor="text1"/>
                <w:sz w:val="21"/>
                <w:szCs w:val="21"/>
                <w14:textFill>
                  <w14:solidFill>
                    <w14:schemeClr w14:val="tx1"/>
                  </w14:solidFill>
                </w14:textFill>
              </w:rPr>
              <w:t>环境敏感程度（E）</w:t>
            </w:r>
          </w:p>
        </w:tc>
        <w:tc>
          <w:tcPr>
            <w:tcW w:w="6528" w:type="dxa"/>
            <w:gridSpan w:val="4"/>
            <w:vAlign w:val="center"/>
          </w:tcPr>
          <w:p w14:paraId="0CCFF6BD">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color w:val="000000" w:themeColor="text1"/>
                <w:sz w:val="21"/>
                <w:szCs w:val="21"/>
                <w14:textFill>
                  <w14:solidFill>
                    <w14:schemeClr w14:val="tx1"/>
                  </w14:solidFill>
                </w14:textFill>
              </w:rPr>
            </w:pPr>
            <w:r>
              <w:rPr>
                <w:rFonts w:hint="default" w:ascii="Times New Roman" w:hAnsi="Times New Roman" w:eastAsia="宋体" w:cs="Times New Roman"/>
                <w:b w:val="0"/>
                <w:bCs/>
                <w:color w:val="000000" w:themeColor="text1"/>
                <w:sz w:val="21"/>
                <w:szCs w:val="21"/>
                <w14:textFill>
                  <w14:solidFill>
                    <w14:schemeClr w14:val="tx1"/>
                  </w14:solidFill>
                </w14:textFill>
              </w:rPr>
              <w:t>危险物质及工艺系统危险性（P）</w:t>
            </w:r>
          </w:p>
        </w:tc>
      </w:tr>
      <w:tr w14:paraId="246C57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0" w:hRule="atLeast"/>
          <w:jc w:val="center"/>
        </w:trPr>
        <w:tc>
          <w:tcPr>
            <w:tcW w:w="2171" w:type="dxa"/>
            <w:vMerge w:val="continue"/>
            <w:vAlign w:val="center"/>
          </w:tcPr>
          <w:p w14:paraId="1D60430F">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color w:val="000000" w:themeColor="text1"/>
                <w:sz w:val="21"/>
                <w:szCs w:val="21"/>
                <w14:textFill>
                  <w14:solidFill>
                    <w14:schemeClr w14:val="tx1"/>
                  </w14:solidFill>
                </w14:textFill>
              </w:rPr>
            </w:pPr>
          </w:p>
        </w:tc>
        <w:tc>
          <w:tcPr>
            <w:tcW w:w="1501" w:type="dxa"/>
            <w:vAlign w:val="center"/>
          </w:tcPr>
          <w:p w14:paraId="366FF0EA">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color w:val="000000" w:themeColor="text1"/>
                <w:sz w:val="21"/>
                <w:szCs w:val="21"/>
                <w14:textFill>
                  <w14:solidFill>
                    <w14:schemeClr w14:val="tx1"/>
                  </w14:solidFill>
                </w14:textFill>
              </w:rPr>
            </w:pPr>
            <w:r>
              <w:rPr>
                <w:rFonts w:hint="default" w:ascii="Times New Roman" w:hAnsi="Times New Roman" w:eastAsia="宋体" w:cs="Times New Roman"/>
                <w:b w:val="0"/>
                <w:bCs/>
                <w:color w:val="000000" w:themeColor="text1"/>
                <w:sz w:val="21"/>
                <w:szCs w:val="21"/>
                <w14:textFill>
                  <w14:solidFill>
                    <w14:schemeClr w14:val="tx1"/>
                  </w14:solidFill>
                </w14:textFill>
              </w:rPr>
              <w:t>极高危害（P1）</w:t>
            </w:r>
          </w:p>
        </w:tc>
        <w:tc>
          <w:tcPr>
            <w:tcW w:w="1683" w:type="dxa"/>
            <w:vAlign w:val="center"/>
          </w:tcPr>
          <w:p w14:paraId="502580D1">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color w:val="000000" w:themeColor="text1"/>
                <w:sz w:val="21"/>
                <w:szCs w:val="21"/>
                <w14:textFill>
                  <w14:solidFill>
                    <w14:schemeClr w14:val="tx1"/>
                  </w14:solidFill>
                </w14:textFill>
              </w:rPr>
            </w:pPr>
            <w:r>
              <w:rPr>
                <w:rFonts w:hint="default" w:ascii="Times New Roman" w:hAnsi="Times New Roman" w:eastAsia="宋体" w:cs="Times New Roman"/>
                <w:b w:val="0"/>
                <w:bCs/>
                <w:color w:val="000000" w:themeColor="text1"/>
                <w:sz w:val="21"/>
                <w:szCs w:val="21"/>
                <w14:textFill>
                  <w14:solidFill>
                    <w14:schemeClr w14:val="tx1"/>
                  </w14:solidFill>
                </w14:textFill>
              </w:rPr>
              <w:t>高度危害（P2）</w:t>
            </w:r>
          </w:p>
        </w:tc>
        <w:tc>
          <w:tcPr>
            <w:tcW w:w="1684" w:type="dxa"/>
            <w:vAlign w:val="center"/>
          </w:tcPr>
          <w:p w14:paraId="08E01A42">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color w:val="000000" w:themeColor="text1"/>
                <w:sz w:val="21"/>
                <w:szCs w:val="21"/>
                <w14:textFill>
                  <w14:solidFill>
                    <w14:schemeClr w14:val="tx1"/>
                  </w14:solidFill>
                </w14:textFill>
              </w:rPr>
            </w:pPr>
            <w:r>
              <w:rPr>
                <w:rFonts w:hint="default" w:ascii="Times New Roman" w:hAnsi="Times New Roman" w:eastAsia="宋体" w:cs="Times New Roman"/>
                <w:b w:val="0"/>
                <w:bCs/>
                <w:color w:val="000000" w:themeColor="text1"/>
                <w:sz w:val="21"/>
                <w:szCs w:val="21"/>
                <w14:textFill>
                  <w14:solidFill>
                    <w14:schemeClr w14:val="tx1"/>
                  </w14:solidFill>
                </w14:textFill>
              </w:rPr>
              <w:t>中度危害（P3）</w:t>
            </w:r>
          </w:p>
        </w:tc>
        <w:tc>
          <w:tcPr>
            <w:tcW w:w="1660" w:type="dxa"/>
            <w:vAlign w:val="center"/>
          </w:tcPr>
          <w:p w14:paraId="37FD81C1">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color w:val="000000" w:themeColor="text1"/>
                <w:sz w:val="21"/>
                <w:szCs w:val="21"/>
                <w14:textFill>
                  <w14:solidFill>
                    <w14:schemeClr w14:val="tx1"/>
                  </w14:solidFill>
                </w14:textFill>
              </w:rPr>
            </w:pPr>
            <w:r>
              <w:rPr>
                <w:rFonts w:hint="default" w:ascii="Times New Roman" w:hAnsi="Times New Roman" w:eastAsia="宋体" w:cs="Times New Roman"/>
                <w:b w:val="0"/>
                <w:bCs/>
                <w:color w:val="000000" w:themeColor="text1"/>
                <w:sz w:val="21"/>
                <w:szCs w:val="21"/>
                <w14:textFill>
                  <w14:solidFill>
                    <w14:schemeClr w14:val="tx1"/>
                  </w14:solidFill>
                </w14:textFill>
              </w:rPr>
              <w:t>轻度危害（P4）</w:t>
            </w:r>
          </w:p>
        </w:tc>
      </w:tr>
      <w:tr w14:paraId="688159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0" w:hRule="atLeast"/>
          <w:jc w:val="center"/>
        </w:trPr>
        <w:tc>
          <w:tcPr>
            <w:tcW w:w="2171" w:type="dxa"/>
            <w:vAlign w:val="center"/>
          </w:tcPr>
          <w:p w14:paraId="4FC0E739">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color w:val="000000" w:themeColor="text1"/>
                <w:sz w:val="21"/>
                <w:szCs w:val="21"/>
                <w14:textFill>
                  <w14:solidFill>
                    <w14:schemeClr w14:val="tx1"/>
                  </w14:solidFill>
                </w14:textFill>
              </w:rPr>
            </w:pPr>
            <w:r>
              <w:rPr>
                <w:rFonts w:hint="default" w:ascii="Times New Roman" w:hAnsi="Times New Roman" w:eastAsia="宋体" w:cs="Times New Roman"/>
                <w:b w:val="0"/>
                <w:bCs/>
                <w:color w:val="000000" w:themeColor="text1"/>
                <w:sz w:val="21"/>
                <w:szCs w:val="21"/>
                <w14:textFill>
                  <w14:solidFill>
                    <w14:schemeClr w14:val="tx1"/>
                  </w14:solidFill>
                </w14:textFill>
              </w:rPr>
              <w:t>环境高度敏感区（E1）</w:t>
            </w:r>
          </w:p>
        </w:tc>
        <w:tc>
          <w:tcPr>
            <w:tcW w:w="1501" w:type="dxa"/>
            <w:vAlign w:val="center"/>
          </w:tcPr>
          <w:p w14:paraId="1185B806">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color w:val="000000" w:themeColor="text1"/>
                <w:sz w:val="21"/>
                <w:szCs w:val="21"/>
                <w14:textFill>
                  <w14:solidFill>
                    <w14:schemeClr w14:val="tx1"/>
                  </w14:solidFill>
                </w14:textFill>
              </w:rPr>
            </w:pPr>
            <w:r>
              <w:rPr>
                <w:rFonts w:hint="default" w:ascii="Times New Roman" w:hAnsi="Times New Roman" w:eastAsia="宋体" w:cs="Times New Roman"/>
                <w:b w:val="0"/>
                <w:bCs/>
                <w:color w:val="000000" w:themeColor="text1"/>
                <w:sz w:val="21"/>
                <w:szCs w:val="21"/>
                <w14:textFill>
                  <w14:solidFill>
                    <w14:schemeClr w14:val="tx1"/>
                  </w14:solidFill>
                </w14:textFill>
              </w:rPr>
              <w:t>Ⅳ+</w:t>
            </w:r>
          </w:p>
        </w:tc>
        <w:tc>
          <w:tcPr>
            <w:tcW w:w="1683" w:type="dxa"/>
            <w:vAlign w:val="center"/>
          </w:tcPr>
          <w:p w14:paraId="27C3F3EC">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color w:val="000000" w:themeColor="text1"/>
                <w:sz w:val="21"/>
                <w:szCs w:val="21"/>
                <w14:textFill>
                  <w14:solidFill>
                    <w14:schemeClr w14:val="tx1"/>
                  </w14:solidFill>
                </w14:textFill>
              </w:rPr>
            </w:pPr>
            <w:r>
              <w:rPr>
                <w:rFonts w:hint="default" w:ascii="Times New Roman" w:hAnsi="Times New Roman" w:eastAsia="宋体" w:cs="Times New Roman"/>
                <w:b w:val="0"/>
                <w:bCs/>
                <w:color w:val="000000" w:themeColor="text1"/>
                <w:sz w:val="21"/>
                <w:szCs w:val="21"/>
                <w14:textFill>
                  <w14:solidFill>
                    <w14:schemeClr w14:val="tx1"/>
                  </w14:solidFill>
                </w14:textFill>
              </w:rPr>
              <w:t>Ⅳ</w:t>
            </w:r>
          </w:p>
        </w:tc>
        <w:tc>
          <w:tcPr>
            <w:tcW w:w="1684" w:type="dxa"/>
            <w:vAlign w:val="center"/>
          </w:tcPr>
          <w:p w14:paraId="39B9D2CC">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color w:val="000000" w:themeColor="text1"/>
                <w:sz w:val="21"/>
                <w:szCs w:val="21"/>
                <w14:textFill>
                  <w14:solidFill>
                    <w14:schemeClr w14:val="tx1"/>
                  </w14:solidFill>
                </w14:textFill>
              </w:rPr>
            </w:pPr>
            <w:r>
              <w:rPr>
                <w:rFonts w:hint="default" w:ascii="Times New Roman" w:hAnsi="Times New Roman" w:eastAsia="宋体" w:cs="Times New Roman"/>
                <w:b w:val="0"/>
                <w:bCs/>
                <w:color w:val="000000" w:themeColor="text1"/>
                <w:sz w:val="21"/>
                <w:szCs w:val="21"/>
                <w14:textFill>
                  <w14:solidFill>
                    <w14:schemeClr w14:val="tx1"/>
                  </w14:solidFill>
                </w14:textFill>
              </w:rPr>
              <w:t>Ⅲ</w:t>
            </w:r>
          </w:p>
        </w:tc>
        <w:tc>
          <w:tcPr>
            <w:tcW w:w="1660" w:type="dxa"/>
            <w:vAlign w:val="center"/>
          </w:tcPr>
          <w:p w14:paraId="31B0044A">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color w:val="000000" w:themeColor="text1"/>
                <w:sz w:val="21"/>
                <w:szCs w:val="21"/>
                <w14:textFill>
                  <w14:solidFill>
                    <w14:schemeClr w14:val="tx1"/>
                  </w14:solidFill>
                </w14:textFill>
              </w:rPr>
            </w:pPr>
            <w:r>
              <w:rPr>
                <w:rFonts w:hint="default" w:ascii="Times New Roman" w:hAnsi="Times New Roman" w:eastAsia="宋体" w:cs="Times New Roman"/>
                <w:b w:val="0"/>
                <w:bCs/>
                <w:color w:val="000000" w:themeColor="text1"/>
                <w:sz w:val="21"/>
                <w:szCs w:val="21"/>
                <w14:textFill>
                  <w14:solidFill>
                    <w14:schemeClr w14:val="tx1"/>
                  </w14:solidFill>
                </w14:textFill>
              </w:rPr>
              <w:t>Ⅲ</w:t>
            </w:r>
          </w:p>
        </w:tc>
      </w:tr>
      <w:tr w14:paraId="77793F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0" w:hRule="atLeast"/>
          <w:jc w:val="center"/>
        </w:trPr>
        <w:tc>
          <w:tcPr>
            <w:tcW w:w="2171" w:type="dxa"/>
            <w:vAlign w:val="center"/>
          </w:tcPr>
          <w:p w14:paraId="283F3B88">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color w:val="000000" w:themeColor="text1"/>
                <w:sz w:val="21"/>
                <w:szCs w:val="21"/>
                <w14:textFill>
                  <w14:solidFill>
                    <w14:schemeClr w14:val="tx1"/>
                  </w14:solidFill>
                </w14:textFill>
              </w:rPr>
            </w:pPr>
            <w:r>
              <w:rPr>
                <w:rFonts w:hint="default" w:ascii="Times New Roman" w:hAnsi="Times New Roman" w:eastAsia="宋体" w:cs="Times New Roman"/>
                <w:b w:val="0"/>
                <w:bCs/>
                <w:color w:val="000000" w:themeColor="text1"/>
                <w:sz w:val="21"/>
                <w:szCs w:val="21"/>
                <w14:textFill>
                  <w14:solidFill>
                    <w14:schemeClr w14:val="tx1"/>
                  </w14:solidFill>
                </w14:textFill>
              </w:rPr>
              <w:t>环境中度敏感区（E2）</w:t>
            </w:r>
          </w:p>
        </w:tc>
        <w:tc>
          <w:tcPr>
            <w:tcW w:w="1501" w:type="dxa"/>
            <w:vAlign w:val="center"/>
          </w:tcPr>
          <w:p w14:paraId="3DE607D0">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color w:val="000000" w:themeColor="text1"/>
                <w:sz w:val="21"/>
                <w:szCs w:val="21"/>
                <w14:textFill>
                  <w14:solidFill>
                    <w14:schemeClr w14:val="tx1"/>
                  </w14:solidFill>
                </w14:textFill>
              </w:rPr>
            </w:pPr>
            <w:r>
              <w:rPr>
                <w:rFonts w:hint="default" w:ascii="Times New Roman" w:hAnsi="Times New Roman" w:eastAsia="宋体" w:cs="Times New Roman"/>
                <w:b w:val="0"/>
                <w:bCs/>
                <w:color w:val="000000" w:themeColor="text1"/>
                <w:sz w:val="21"/>
                <w:szCs w:val="21"/>
                <w14:textFill>
                  <w14:solidFill>
                    <w14:schemeClr w14:val="tx1"/>
                  </w14:solidFill>
                </w14:textFill>
              </w:rPr>
              <w:t>Ⅳ</w:t>
            </w:r>
          </w:p>
        </w:tc>
        <w:tc>
          <w:tcPr>
            <w:tcW w:w="1683" w:type="dxa"/>
            <w:vAlign w:val="center"/>
          </w:tcPr>
          <w:p w14:paraId="18C4B5E6">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color w:val="000000" w:themeColor="text1"/>
                <w:sz w:val="21"/>
                <w:szCs w:val="21"/>
                <w14:textFill>
                  <w14:solidFill>
                    <w14:schemeClr w14:val="tx1"/>
                  </w14:solidFill>
                </w14:textFill>
              </w:rPr>
            </w:pPr>
            <w:r>
              <w:rPr>
                <w:rFonts w:hint="default" w:ascii="Times New Roman" w:hAnsi="Times New Roman" w:eastAsia="宋体" w:cs="Times New Roman"/>
                <w:b w:val="0"/>
                <w:bCs/>
                <w:color w:val="000000" w:themeColor="text1"/>
                <w:sz w:val="21"/>
                <w:szCs w:val="21"/>
                <w14:textFill>
                  <w14:solidFill>
                    <w14:schemeClr w14:val="tx1"/>
                  </w14:solidFill>
                </w14:textFill>
              </w:rPr>
              <w:t>Ⅲ</w:t>
            </w:r>
          </w:p>
        </w:tc>
        <w:tc>
          <w:tcPr>
            <w:tcW w:w="1684" w:type="dxa"/>
            <w:vAlign w:val="center"/>
          </w:tcPr>
          <w:p w14:paraId="4E727855">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color w:val="000000" w:themeColor="text1"/>
                <w:sz w:val="21"/>
                <w:szCs w:val="21"/>
                <w14:textFill>
                  <w14:solidFill>
                    <w14:schemeClr w14:val="tx1"/>
                  </w14:solidFill>
                </w14:textFill>
              </w:rPr>
            </w:pPr>
            <w:r>
              <w:rPr>
                <w:rFonts w:hint="default" w:ascii="Times New Roman" w:hAnsi="Times New Roman" w:eastAsia="宋体" w:cs="Times New Roman"/>
                <w:b w:val="0"/>
                <w:bCs/>
                <w:color w:val="000000" w:themeColor="text1"/>
                <w:sz w:val="21"/>
                <w:szCs w:val="21"/>
                <w14:textFill>
                  <w14:solidFill>
                    <w14:schemeClr w14:val="tx1"/>
                  </w14:solidFill>
                </w14:textFill>
              </w:rPr>
              <w:t>Ⅲ</w:t>
            </w:r>
          </w:p>
        </w:tc>
        <w:tc>
          <w:tcPr>
            <w:tcW w:w="1660" w:type="dxa"/>
            <w:vAlign w:val="center"/>
          </w:tcPr>
          <w:p w14:paraId="36379B79">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color w:val="000000" w:themeColor="text1"/>
                <w:sz w:val="21"/>
                <w:szCs w:val="21"/>
                <w14:textFill>
                  <w14:solidFill>
                    <w14:schemeClr w14:val="tx1"/>
                  </w14:solidFill>
                </w14:textFill>
              </w:rPr>
            </w:pPr>
            <w:r>
              <w:rPr>
                <w:rFonts w:hint="default" w:ascii="Times New Roman" w:hAnsi="Times New Roman" w:eastAsia="宋体" w:cs="Times New Roman"/>
                <w:b w:val="0"/>
                <w:bCs/>
                <w:color w:val="000000" w:themeColor="text1"/>
                <w:sz w:val="21"/>
                <w:szCs w:val="21"/>
                <w14:textFill>
                  <w14:solidFill>
                    <w14:schemeClr w14:val="tx1"/>
                  </w14:solidFill>
                </w14:textFill>
              </w:rPr>
              <w:t>Ⅱ</w:t>
            </w:r>
          </w:p>
        </w:tc>
      </w:tr>
      <w:tr w14:paraId="1D694F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1" w:hRule="atLeast"/>
          <w:jc w:val="center"/>
        </w:trPr>
        <w:tc>
          <w:tcPr>
            <w:tcW w:w="2171" w:type="dxa"/>
            <w:vAlign w:val="center"/>
          </w:tcPr>
          <w:p w14:paraId="20AF187B">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color w:val="000000" w:themeColor="text1"/>
                <w:sz w:val="21"/>
                <w:szCs w:val="21"/>
                <w14:textFill>
                  <w14:solidFill>
                    <w14:schemeClr w14:val="tx1"/>
                  </w14:solidFill>
                </w14:textFill>
              </w:rPr>
            </w:pPr>
            <w:r>
              <w:rPr>
                <w:rFonts w:hint="default" w:ascii="Times New Roman" w:hAnsi="Times New Roman" w:eastAsia="宋体" w:cs="Times New Roman"/>
                <w:b w:val="0"/>
                <w:bCs/>
                <w:color w:val="000000" w:themeColor="text1"/>
                <w:sz w:val="21"/>
                <w:szCs w:val="21"/>
                <w14:textFill>
                  <w14:solidFill>
                    <w14:schemeClr w14:val="tx1"/>
                  </w14:solidFill>
                </w14:textFill>
              </w:rPr>
              <w:t>环境低度敏感区（E3）</w:t>
            </w:r>
          </w:p>
        </w:tc>
        <w:tc>
          <w:tcPr>
            <w:tcW w:w="1501" w:type="dxa"/>
            <w:vAlign w:val="center"/>
          </w:tcPr>
          <w:p w14:paraId="3E290A7E">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color w:val="000000" w:themeColor="text1"/>
                <w:sz w:val="21"/>
                <w:szCs w:val="21"/>
                <w14:textFill>
                  <w14:solidFill>
                    <w14:schemeClr w14:val="tx1"/>
                  </w14:solidFill>
                </w14:textFill>
              </w:rPr>
            </w:pPr>
            <w:r>
              <w:rPr>
                <w:rFonts w:hint="default" w:ascii="Times New Roman" w:hAnsi="Times New Roman" w:eastAsia="宋体" w:cs="Times New Roman"/>
                <w:b w:val="0"/>
                <w:bCs/>
                <w:color w:val="000000" w:themeColor="text1"/>
                <w:sz w:val="21"/>
                <w:szCs w:val="21"/>
                <w14:textFill>
                  <w14:solidFill>
                    <w14:schemeClr w14:val="tx1"/>
                  </w14:solidFill>
                </w14:textFill>
              </w:rPr>
              <w:t>Ⅲ</w:t>
            </w:r>
          </w:p>
        </w:tc>
        <w:tc>
          <w:tcPr>
            <w:tcW w:w="1683" w:type="dxa"/>
            <w:vAlign w:val="center"/>
          </w:tcPr>
          <w:p w14:paraId="796D79B5">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color w:val="000000" w:themeColor="text1"/>
                <w:sz w:val="21"/>
                <w:szCs w:val="21"/>
                <w14:textFill>
                  <w14:solidFill>
                    <w14:schemeClr w14:val="tx1"/>
                  </w14:solidFill>
                </w14:textFill>
              </w:rPr>
            </w:pPr>
            <w:r>
              <w:rPr>
                <w:rFonts w:hint="default" w:ascii="Times New Roman" w:hAnsi="Times New Roman" w:eastAsia="宋体" w:cs="Times New Roman"/>
                <w:b w:val="0"/>
                <w:bCs/>
                <w:color w:val="000000" w:themeColor="text1"/>
                <w:sz w:val="21"/>
                <w:szCs w:val="21"/>
                <w14:textFill>
                  <w14:solidFill>
                    <w14:schemeClr w14:val="tx1"/>
                  </w14:solidFill>
                </w14:textFill>
              </w:rPr>
              <w:t>Ⅲ</w:t>
            </w:r>
          </w:p>
        </w:tc>
        <w:tc>
          <w:tcPr>
            <w:tcW w:w="1684" w:type="dxa"/>
            <w:vAlign w:val="center"/>
          </w:tcPr>
          <w:p w14:paraId="71CAB2B5">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color w:val="000000" w:themeColor="text1"/>
                <w:sz w:val="21"/>
                <w:szCs w:val="21"/>
                <w14:textFill>
                  <w14:solidFill>
                    <w14:schemeClr w14:val="tx1"/>
                  </w14:solidFill>
                </w14:textFill>
              </w:rPr>
            </w:pPr>
            <w:r>
              <w:rPr>
                <w:rFonts w:hint="default" w:ascii="Times New Roman" w:hAnsi="Times New Roman" w:eastAsia="宋体" w:cs="Times New Roman"/>
                <w:b w:val="0"/>
                <w:bCs/>
                <w:color w:val="000000" w:themeColor="text1"/>
                <w:sz w:val="21"/>
                <w:szCs w:val="21"/>
                <w14:textFill>
                  <w14:solidFill>
                    <w14:schemeClr w14:val="tx1"/>
                  </w14:solidFill>
                </w14:textFill>
              </w:rPr>
              <w:t>Ⅱ</w:t>
            </w:r>
          </w:p>
        </w:tc>
        <w:tc>
          <w:tcPr>
            <w:tcW w:w="1660" w:type="dxa"/>
            <w:vAlign w:val="center"/>
          </w:tcPr>
          <w:p w14:paraId="26D0D0F1">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color w:val="000000" w:themeColor="text1"/>
                <w:sz w:val="21"/>
                <w:szCs w:val="21"/>
                <w14:textFill>
                  <w14:solidFill>
                    <w14:schemeClr w14:val="tx1"/>
                  </w14:solidFill>
                </w14:textFill>
              </w:rPr>
            </w:pPr>
            <w:r>
              <w:rPr>
                <w:rFonts w:hint="default" w:ascii="Times New Roman" w:hAnsi="Times New Roman" w:eastAsia="宋体" w:cs="Times New Roman"/>
                <w:b w:val="0"/>
                <w:bCs/>
                <w:color w:val="000000" w:themeColor="text1"/>
                <w:sz w:val="21"/>
                <w:szCs w:val="21"/>
                <w14:textFill>
                  <w14:solidFill>
                    <w14:schemeClr w14:val="tx1"/>
                  </w14:solidFill>
                </w14:textFill>
              </w:rPr>
              <w:t>Ⅰ</w:t>
            </w:r>
          </w:p>
        </w:tc>
      </w:tr>
    </w:tbl>
    <w:p w14:paraId="0212D571">
      <w:pPr>
        <w:adjustRightInd w:val="0"/>
        <w:snapToGrid w:val="0"/>
        <w:ind w:firstLine="482"/>
        <w:rPr>
          <w:rFonts w:hint="default" w:ascii="Times New Roman" w:hAnsi="Times New Roman" w:eastAsia="宋体" w:cs="Times New Roman"/>
          <w:b w:val="0"/>
          <w:bCs/>
          <w:color w:val="000000" w:themeColor="text1"/>
          <w14:textFill>
            <w14:solidFill>
              <w14:schemeClr w14:val="tx1"/>
            </w14:solidFill>
          </w14:textFill>
        </w:rPr>
      </w:pPr>
      <w:r>
        <w:rPr>
          <w:rFonts w:hint="default" w:ascii="Times New Roman" w:hAnsi="Times New Roman" w:eastAsia="宋体" w:cs="Times New Roman"/>
          <w:b w:val="0"/>
          <w:bCs/>
          <w:color w:val="000000" w:themeColor="text1"/>
          <w:lang w:val="en-US" w:eastAsia="zh-CN"/>
          <w14:textFill>
            <w14:solidFill>
              <w14:schemeClr w14:val="tx1"/>
            </w14:solidFill>
          </w14:textFill>
        </w:rPr>
        <w:t>计算所涉及的每种危险物质在厂界内的最大存在总量与其在附录B中对应临界量的比值Q。</w:t>
      </w:r>
    </w:p>
    <w:p w14:paraId="742E247F">
      <w:pPr>
        <w:adjustRightInd w:val="0"/>
        <w:snapToGrid w:val="0"/>
        <w:ind w:firstLine="482"/>
        <w:rPr>
          <w:rFonts w:hint="default" w:ascii="Times New Roman" w:hAnsi="Times New Roman" w:eastAsia="宋体" w:cs="Times New Roman"/>
          <w:b w:val="0"/>
          <w:bCs/>
          <w:color w:val="000000" w:themeColor="text1"/>
          <w14:textFill>
            <w14:solidFill>
              <w14:schemeClr w14:val="tx1"/>
            </w14:solidFill>
          </w14:textFill>
        </w:rPr>
      </w:pPr>
      <w:r>
        <w:rPr>
          <w:rFonts w:hint="default" w:ascii="Times New Roman" w:hAnsi="Times New Roman" w:eastAsia="宋体" w:cs="Times New Roman"/>
          <w:b w:val="0"/>
          <w:bCs/>
          <w:color w:val="000000" w:themeColor="text1"/>
          <w:lang w:val="en-US" w:eastAsia="zh-CN"/>
          <w14:textFill>
            <w14:solidFill>
              <w14:schemeClr w14:val="tx1"/>
            </w14:solidFill>
          </w14:textFill>
        </w:rPr>
        <w:t>当只涉及一种危险物质时，计算该物质的总量与其临界量比值，即为Q；</w:t>
      </w:r>
    </w:p>
    <w:p w14:paraId="2DF14FE9">
      <w:pPr>
        <w:adjustRightInd w:val="0"/>
        <w:snapToGrid w:val="0"/>
        <w:ind w:firstLine="482"/>
        <w:rPr>
          <w:rFonts w:hint="default" w:ascii="Times New Roman" w:hAnsi="Times New Roman" w:eastAsia="宋体" w:cs="Times New Roman"/>
          <w:b w:val="0"/>
          <w:bCs/>
          <w:color w:val="000000" w:themeColor="text1"/>
          <w:lang w:val="en-US" w:eastAsia="zh-CN"/>
          <w14:textFill>
            <w14:solidFill>
              <w14:schemeClr w14:val="tx1"/>
            </w14:solidFill>
          </w14:textFill>
        </w:rPr>
      </w:pPr>
      <w:r>
        <w:rPr>
          <w:rFonts w:hint="default" w:ascii="Times New Roman" w:hAnsi="Times New Roman" w:eastAsia="宋体" w:cs="Times New Roman"/>
          <w:b w:val="0"/>
          <w:bCs/>
          <w:color w:val="000000" w:themeColor="text1"/>
          <w:lang w:val="en-US" w:eastAsia="zh-CN"/>
          <w14:textFill>
            <w14:solidFill>
              <w14:schemeClr w14:val="tx1"/>
            </w14:solidFill>
          </w14:textFill>
        </w:rPr>
        <w:t>当存在多种危险物质时，则按式（C.1）计算物质总量与其临界量比值（Q）：</w:t>
      </w:r>
    </w:p>
    <w:p w14:paraId="0CB93FCB">
      <w:pPr>
        <w:adjustRightInd w:val="0"/>
        <w:snapToGrid w:val="0"/>
        <w:ind w:firstLine="482"/>
        <w:rPr>
          <w:rFonts w:hint="default" w:ascii="Times New Roman" w:hAnsi="Times New Roman" w:eastAsia="宋体" w:cs="Times New Roman"/>
          <w:b w:val="0"/>
          <w:bCs/>
          <w:color w:val="000000" w:themeColor="text1"/>
          <w:lang w:val="en-US" w:eastAsia="zh-CN"/>
          <w14:textFill>
            <w14:solidFill>
              <w14:schemeClr w14:val="tx1"/>
            </w14:solidFill>
          </w14:textFill>
        </w:rPr>
      </w:pPr>
      <w:r>
        <w:rPr>
          <w:rFonts w:hint="default" w:ascii="Times New Roman" w:hAnsi="Times New Roman" w:eastAsia="宋体" w:cs="Times New Roman"/>
          <w:b w:val="0"/>
          <w:bCs/>
          <w:color w:val="000000" w:themeColor="text1"/>
          <w:lang w:val="en-US" w:eastAsia="zh-CN"/>
          <w14:textFill>
            <w14:solidFill>
              <w14:schemeClr w14:val="tx1"/>
            </w14:solidFill>
          </w14:textFill>
        </w:rPr>
        <w:drawing>
          <wp:inline distT="0" distB="0" distL="114300" distR="114300">
            <wp:extent cx="5272405" cy="877570"/>
            <wp:effectExtent l="0" t="0" r="4445" b="17780"/>
            <wp:docPr id="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
                    <pic:cNvPicPr>
                      <a:picLocks noChangeAspect="1"/>
                    </pic:cNvPicPr>
                  </pic:nvPicPr>
                  <pic:blipFill>
                    <a:blip r:embed="rId35"/>
                    <a:stretch>
                      <a:fillRect/>
                    </a:stretch>
                  </pic:blipFill>
                  <pic:spPr>
                    <a:xfrm>
                      <a:off x="0" y="0"/>
                      <a:ext cx="5272405" cy="877570"/>
                    </a:xfrm>
                    <a:prstGeom prst="rect">
                      <a:avLst/>
                    </a:prstGeom>
                    <a:noFill/>
                    <a:ln>
                      <a:noFill/>
                    </a:ln>
                  </pic:spPr>
                </pic:pic>
              </a:graphicData>
            </a:graphic>
          </wp:inline>
        </w:drawing>
      </w:r>
    </w:p>
    <w:p w14:paraId="7F12F106">
      <w:pPr>
        <w:adjustRightInd w:val="0"/>
        <w:snapToGrid w:val="0"/>
        <w:ind w:firstLine="482"/>
        <w:rPr>
          <w:rFonts w:hint="default" w:ascii="Times New Roman" w:hAnsi="Times New Roman" w:eastAsia="宋体" w:cs="Times New Roman"/>
          <w:b w:val="0"/>
          <w:bCs/>
          <w:color w:val="000000" w:themeColor="text1"/>
          <w14:textFill>
            <w14:solidFill>
              <w14:schemeClr w14:val="tx1"/>
            </w14:solidFill>
          </w14:textFill>
        </w:rPr>
      </w:pPr>
      <w:r>
        <w:rPr>
          <w:rFonts w:hint="default" w:ascii="Times New Roman" w:hAnsi="Times New Roman" w:eastAsia="宋体" w:cs="Times New Roman"/>
          <w:b w:val="0"/>
          <w:bCs/>
          <w:color w:val="000000" w:themeColor="text1"/>
          <w:lang w:val="en-US" w:eastAsia="zh-CN"/>
          <w14:textFill>
            <w14:solidFill>
              <w14:schemeClr w14:val="tx1"/>
            </w14:solidFill>
          </w14:textFill>
        </w:rPr>
        <w:t>式中：q1，q2，...，qn——每种危险物质的最大存在总量，t；</w:t>
      </w:r>
    </w:p>
    <w:p w14:paraId="674AD4E1">
      <w:pPr>
        <w:adjustRightInd w:val="0"/>
        <w:snapToGrid w:val="0"/>
        <w:ind w:firstLine="482"/>
        <w:rPr>
          <w:rFonts w:hint="default" w:ascii="Times New Roman" w:hAnsi="Times New Roman" w:eastAsia="宋体" w:cs="Times New Roman"/>
          <w:b w:val="0"/>
          <w:bCs/>
          <w:color w:val="000000" w:themeColor="text1"/>
          <w14:textFill>
            <w14:solidFill>
              <w14:schemeClr w14:val="tx1"/>
            </w14:solidFill>
          </w14:textFill>
        </w:rPr>
      </w:pPr>
      <w:r>
        <w:rPr>
          <w:rFonts w:hint="default" w:ascii="Times New Roman" w:hAnsi="Times New Roman" w:eastAsia="宋体" w:cs="Times New Roman"/>
          <w:b w:val="0"/>
          <w:bCs/>
          <w:color w:val="000000" w:themeColor="text1"/>
          <w:lang w:val="en-US" w:eastAsia="zh-CN"/>
          <w14:textFill>
            <w14:solidFill>
              <w14:schemeClr w14:val="tx1"/>
            </w14:solidFill>
          </w14:textFill>
        </w:rPr>
        <w:t>Q1，Q2，...，Qn——每种危险物质的临界量，t。</w:t>
      </w:r>
    </w:p>
    <w:p w14:paraId="071981B5">
      <w:pPr>
        <w:adjustRightInd w:val="0"/>
        <w:snapToGrid w:val="0"/>
        <w:ind w:firstLine="482"/>
        <w:rPr>
          <w:rFonts w:hint="default" w:ascii="Times New Roman" w:hAnsi="Times New Roman" w:eastAsia="宋体" w:cs="Times New Roman"/>
          <w:b w:val="0"/>
          <w:bCs/>
          <w:color w:val="000000" w:themeColor="text1"/>
          <w14:textFill>
            <w14:solidFill>
              <w14:schemeClr w14:val="tx1"/>
            </w14:solidFill>
          </w14:textFill>
        </w:rPr>
      </w:pPr>
      <w:r>
        <w:rPr>
          <w:rFonts w:hint="default" w:ascii="Times New Roman" w:hAnsi="Times New Roman" w:eastAsia="宋体" w:cs="Times New Roman"/>
          <w:b w:val="0"/>
          <w:bCs/>
          <w:color w:val="000000" w:themeColor="text1"/>
          <w:lang w:val="en-US" w:eastAsia="zh-CN"/>
          <w14:textFill>
            <w14:solidFill>
              <w14:schemeClr w14:val="tx1"/>
            </w14:solidFill>
          </w14:textFill>
        </w:rPr>
        <w:t>当Q＜1时，该项目环境风险潜势为Ⅰ。</w:t>
      </w:r>
    </w:p>
    <w:p w14:paraId="24073995">
      <w:pPr>
        <w:adjustRightInd w:val="0"/>
        <w:snapToGrid w:val="0"/>
        <w:ind w:firstLine="482"/>
        <w:rPr>
          <w:rFonts w:hint="default" w:ascii="Times New Roman" w:hAnsi="Times New Roman" w:eastAsia="宋体" w:cs="Times New Roman"/>
          <w:b w:val="0"/>
          <w:bCs/>
          <w:color w:val="000000" w:themeColor="text1"/>
          <w14:textFill>
            <w14:solidFill>
              <w14:schemeClr w14:val="tx1"/>
            </w14:solidFill>
          </w14:textFill>
        </w:rPr>
      </w:pPr>
      <w:r>
        <w:rPr>
          <w:rFonts w:hint="default" w:ascii="Times New Roman" w:hAnsi="Times New Roman" w:eastAsia="宋体" w:cs="Times New Roman"/>
          <w:b w:val="0"/>
          <w:bCs/>
          <w:color w:val="000000" w:themeColor="text1"/>
          <w:lang w:val="en-US" w:eastAsia="zh-CN"/>
          <w14:textFill>
            <w14:solidFill>
              <w14:schemeClr w14:val="tx1"/>
            </w14:solidFill>
          </w14:textFill>
        </w:rPr>
        <w:t>当Q≥1时，将Q值划分为：（1）1≤Q＜10；（2）10≤Q＜100；（3）Q≥100。</w:t>
      </w:r>
    </w:p>
    <w:p w14:paraId="4D7ECAC8">
      <w:pPr>
        <w:adjustRightInd w:val="0"/>
        <w:snapToGrid w:val="0"/>
        <w:ind w:firstLine="482"/>
        <w:rPr>
          <w:rFonts w:hint="default" w:ascii="Times New Roman" w:hAnsi="Times New Roman" w:eastAsia="宋体" w:cs="Times New Roman"/>
          <w:b w:val="0"/>
          <w:bCs/>
          <w:color w:val="000000" w:themeColor="text1"/>
          <w14:textFill>
            <w14:solidFill>
              <w14:schemeClr w14:val="tx1"/>
            </w14:solidFill>
          </w14:textFill>
        </w:rPr>
      </w:pPr>
      <w:r>
        <w:rPr>
          <w:rFonts w:hint="default" w:ascii="Times New Roman" w:hAnsi="Times New Roman" w:eastAsia="宋体" w:cs="Times New Roman"/>
          <w:b w:val="0"/>
          <w:bCs/>
          <w:color w:val="000000" w:themeColor="text1"/>
          <w:lang w:val="en-US" w:eastAsia="zh-CN"/>
          <w14:textFill>
            <w14:solidFill>
              <w14:schemeClr w14:val="tx1"/>
            </w14:solidFill>
          </w14:textFill>
        </w:rPr>
        <w:t>本项目Q=0.0008＜1，故环境风险潜势为I。</w:t>
      </w:r>
    </w:p>
    <w:p w14:paraId="52C6BC3B">
      <w:pPr>
        <w:adjustRightInd w:val="0"/>
        <w:snapToGrid w:val="0"/>
        <w:ind w:firstLine="482"/>
        <w:rPr>
          <w:rFonts w:hint="default" w:ascii="Times New Roman" w:hAnsi="Times New Roman" w:eastAsia="宋体" w:cs="Times New Roman"/>
          <w:b w:val="0"/>
          <w:bCs/>
          <w:color w:val="000000" w:themeColor="text1"/>
          <w14:textFill>
            <w14:solidFill>
              <w14:schemeClr w14:val="tx1"/>
            </w14:solidFill>
          </w14:textFill>
        </w:rPr>
      </w:pPr>
      <w:r>
        <w:rPr>
          <w:rFonts w:hint="default" w:ascii="Times New Roman" w:hAnsi="Times New Roman" w:eastAsia="宋体" w:cs="Times New Roman"/>
          <w:b w:val="0"/>
          <w:bCs/>
          <w:color w:val="000000" w:themeColor="text1"/>
          <w:lang w:val="en-US" w:eastAsia="zh-CN"/>
          <w14:textFill>
            <w14:solidFill>
              <w14:schemeClr w14:val="tx1"/>
            </w14:solidFill>
          </w14:textFill>
        </w:rPr>
        <w:t>本项目场风险物质暂存量小于临界值，因此根据以上分析，项目Q值小于1，故环境风险潜势为I。</w:t>
      </w:r>
    </w:p>
    <w:p w14:paraId="0AD708CF">
      <w:pPr>
        <w:adjustRightInd w:val="0"/>
        <w:snapToGrid w:val="0"/>
        <w:ind w:firstLine="482"/>
        <w:jc w:val="center"/>
        <w:rPr>
          <w:rFonts w:hint="default" w:ascii="Times New Roman" w:hAnsi="Times New Roman" w:eastAsia="宋体" w:cs="Times New Roman"/>
          <w:b/>
          <w:color w:val="000000" w:themeColor="text1"/>
          <w:lang w:val="en-US" w:eastAsia="zh-CN"/>
          <w14:textFill>
            <w14:solidFill>
              <w14:schemeClr w14:val="tx1"/>
            </w14:solidFill>
          </w14:textFill>
        </w:rPr>
      </w:pPr>
      <w:r>
        <w:rPr>
          <w:rFonts w:hint="default" w:ascii="Times New Roman" w:hAnsi="Times New Roman" w:eastAsia="宋体" w:cs="Times New Roman"/>
          <w:b/>
          <w:color w:val="000000" w:themeColor="text1"/>
          <w:lang w:val="en-US" w:eastAsia="zh-CN"/>
          <w14:textFill>
            <w14:solidFill>
              <w14:schemeClr w14:val="tx1"/>
            </w14:solidFill>
          </w14:textFill>
        </w:rPr>
        <w:t>表</w:t>
      </w:r>
      <w:r>
        <w:rPr>
          <w:rFonts w:hint="eastAsia" w:cs="Times New Roman"/>
          <w:b/>
          <w:color w:val="000000" w:themeColor="text1"/>
          <w:lang w:val="en-US" w:eastAsia="zh-CN"/>
          <w14:textFill>
            <w14:solidFill>
              <w14:schemeClr w14:val="tx1"/>
            </w14:solidFill>
          </w14:textFill>
        </w:rPr>
        <w:t>2.6-16</w:t>
      </w:r>
      <w:r>
        <w:rPr>
          <w:rFonts w:hint="default" w:ascii="Times New Roman" w:hAnsi="Times New Roman" w:eastAsia="宋体" w:cs="Times New Roman"/>
          <w:b/>
          <w:color w:val="000000" w:themeColor="text1"/>
          <w:lang w:val="en-US" w:eastAsia="zh-CN"/>
          <w14:textFill>
            <w14:solidFill>
              <w14:schemeClr w14:val="tx1"/>
            </w14:solidFill>
          </w14:textFill>
        </w:rPr>
        <w:t>项目危险物质存储情况</w:t>
      </w:r>
    </w:p>
    <w:tbl>
      <w:tblPr>
        <w:tblStyle w:val="29"/>
        <w:tblW w:w="8096" w:type="dxa"/>
        <w:jc w:val="center"/>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1819"/>
        <w:gridCol w:w="1370"/>
        <w:gridCol w:w="1431"/>
        <w:gridCol w:w="1431"/>
        <w:gridCol w:w="2045"/>
      </w:tblGrid>
      <w:tr w14:paraId="27F98188">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3" w:hRule="atLeast"/>
          <w:jc w:val="center"/>
        </w:trPr>
        <w:tc>
          <w:tcPr>
            <w:tcW w:w="1819" w:type="dxa"/>
            <w:tcBorders>
              <w:top w:val="single" w:color="auto" w:sz="4" w:space="0"/>
              <w:left w:val="single" w:color="auto" w:sz="4" w:space="0"/>
              <w:bottom w:val="single" w:color="auto" w:sz="4" w:space="0"/>
              <w:right w:val="single" w:color="auto" w:sz="4" w:space="0"/>
            </w:tcBorders>
            <w:vAlign w:val="center"/>
          </w:tcPr>
          <w:p w14:paraId="7D1F060D">
            <w:pPr>
              <w:spacing w:line="240" w:lineRule="auto"/>
              <w:ind w:firstLine="0" w:firstLineChars="0"/>
              <w:jc w:val="center"/>
              <w:rPr>
                <w:rFonts w:hint="default" w:ascii="Times New Roman" w:hAnsi="Times New Roman" w:eastAsia="宋体" w:cs="Times New Roman"/>
                <w:color w:val="000000" w:themeColor="text1"/>
                <w:sz w:val="21"/>
                <w:szCs w:val="21"/>
                <w:lang w:val="en-GB"/>
                <w14:textFill>
                  <w14:solidFill>
                    <w14:schemeClr w14:val="tx1"/>
                  </w14:solidFill>
                </w14:textFill>
              </w:rPr>
            </w:pPr>
            <w:r>
              <w:rPr>
                <w:rFonts w:hint="default" w:ascii="Times New Roman" w:hAnsi="Times New Roman" w:eastAsia="宋体" w:cs="Times New Roman"/>
                <w:b/>
                <w:bCs/>
                <w:color w:val="000000" w:themeColor="text1"/>
                <w:sz w:val="21"/>
                <w:szCs w:val="21"/>
                <w:lang w:val="en-GB"/>
                <w14:textFill>
                  <w14:solidFill>
                    <w14:schemeClr w14:val="tx1"/>
                  </w14:solidFill>
                </w14:textFill>
              </w:rPr>
              <w:t>危险物质名称</w:t>
            </w:r>
          </w:p>
        </w:tc>
        <w:tc>
          <w:tcPr>
            <w:tcW w:w="1370" w:type="dxa"/>
            <w:tcBorders>
              <w:top w:val="single" w:color="auto" w:sz="4" w:space="0"/>
              <w:left w:val="single" w:color="auto" w:sz="4" w:space="0"/>
              <w:bottom w:val="single" w:color="auto" w:sz="4" w:space="0"/>
              <w:right w:val="single" w:color="auto" w:sz="4" w:space="0"/>
            </w:tcBorders>
            <w:vAlign w:val="center"/>
          </w:tcPr>
          <w:p w14:paraId="33F62E14">
            <w:pPr>
              <w:spacing w:line="240" w:lineRule="auto"/>
              <w:ind w:firstLine="0" w:firstLineChars="0"/>
              <w:jc w:val="center"/>
              <w:rPr>
                <w:rFonts w:hint="default" w:ascii="Times New Roman" w:hAnsi="Times New Roman" w:eastAsia="宋体" w:cs="Times New Roman"/>
                <w:color w:val="000000" w:themeColor="text1"/>
                <w:sz w:val="21"/>
                <w:szCs w:val="21"/>
                <w:lang w:val="en-GB"/>
                <w14:textFill>
                  <w14:solidFill>
                    <w14:schemeClr w14:val="tx1"/>
                  </w14:solidFill>
                </w14:textFill>
              </w:rPr>
            </w:pPr>
            <w:r>
              <w:rPr>
                <w:rFonts w:hint="default" w:ascii="Times New Roman" w:hAnsi="Times New Roman" w:eastAsia="宋体" w:cs="Times New Roman"/>
                <w:color w:val="000000" w:themeColor="text1"/>
                <w:sz w:val="21"/>
                <w:szCs w:val="21"/>
                <w:lang w:val="en-GB"/>
                <w14:textFill>
                  <w14:solidFill>
                    <w14:schemeClr w14:val="tx1"/>
                  </w14:solidFill>
                </w14:textFill>
              </w:rPr>
              <w:t>CAS号</w:t>
            </w:r>
          </w:p>
        </w:tc>
        <w:tc>
          <w:tcPr>
            <w:tcW w:w="1431" w:type="dxa"/>
            <w:tcBorders>
              <w:top w:val="single" w:color="auto" w:sz="4" w:space="0"/>
              <w:left w:val="single" w:color="auto" w:sz="4" w:space="0"/>
              <w:bottom w:val="single" w:color="auto" w:sz="4" w:space="0"/>
              <w:right w:val="single" w:color="auto" w:sz="4" w:space="0"/>
            </w:tcBorders>
            <w:vAlign w:val="center"/>
          </w:tcPr>
          <w:p w14:paraId="394B2608">
            <w:pPr>
              <w:spacing w:line="240" w:lineRule="auto"/>
              <w:ind w:firstLine="0" w:firstLineChars="0"/>
              <w:jc w:val="center"/>
              <w:rPr>
                <w:rFonts w:hint="default" w:ascii="Times New Roman" w:hAnsi="Times New Roman" w:eastAsia="宋体" w:cs="Times New Roman"/>
                <w:color w:val="000000" w:themeColor="text1"/>
                <w:sz w:val="21"/>
                <w:szCs w:val="21"/>
                <w:lang w:val="en-GB"/>
                <w14:textFill>
                  <w14:solidFill>
                    <w14:schemeClr w14:val="tx1"/>
                  </w14:solidFill>
                </w14:textFill>
              </w:rPr>
            </w:pPr>
            <w:r>
              <w:rPr>
                <w:rFonts w:hint="default" w:ascii="Times New Roman" w:hAnsi="Times New Roman" w:eastAsia="宋体" w:cs="Times New Roman"/>
                <w:color w:val="000000" w:themeColor="text1"/>
                <w:sz w:val="21"/>
                <w:szCs w:val="21"/>
                <w:lang w:val="en-GB"/>
                <w14:textFill>
                  <w14:solidFill>
                    <w14:schemeClr w14:val="tx1"/>
                  </w14:solidFill>
                </w14:textFill>
              </w:rPr>
              <w:t>临界量（t）</w:t>
            </w:r>
          </w:p>
        </w:tc>
        <w:tc>
          <w:tcPr>
            <w:tcW w:w="1431" w:type="dxa"/>
            <w:tcBorders>
              <w:top w:val="single" w:color="auto" w:sz="4" w:space="0"/>
              <w:left w:val="single" w:color="auto" w:sz="4" w:space="0"/>
              <w:bottom w:val="single" w:color="auto" w:sz="4" w:space="0"/>
              <w:right w:val="single" w:color="auto" w:sz="4" w:space="0"/>
            </w:tcBorders>
            <w:vAlign w:val="center"/>
          </w:tcPr>
          <w:p w14:paraId="0FF8631D">
            <w:pPr>
              <w:spacing w:line="240" w:lineRule="auto"/>
              <w:ind w:firstLine="0" w:firstLineChars="0"/>
              <w:jc w:val="center"/>
              <w:rPr>
                <w:rFonts w:hint="default" w:ascii="Times New Roman" w:hAnsi="Times New Roman" w:eastAsia="宋体" w:cs="Times New Roman"/>
                <w:color w:val="000000" w:themeColor="text1"/>
                <w:sz w:val="21"/>
                <w:szCs w:val="21"/>
                <w:lang w:val="en-GB"/>
                <w14:textFill>
                  <w14:solidFill>
                    <w14:schemeClr w14:val="tx1"/>
                  </w14:solidFill>
                </w14:textFill>
              </w:rPr>
            </w:pPr>
            <w:r>
              <w:rPr>
                <w:rFonts w:hint="default" w:ascii="Times New Roman" w:hAnsi="Times New Roman" w:eastAsia="宋体" w:cs="Times New Roman"/>
                <w:color w:val="000000" w:themeColor="text1"/>
                <w:sz w:val="21"/>
                <w:szCs w:val="21"/>
                <w:lang w:val="en-GB"/>
                <w14:textFill>
                  <w14:solidFill>
                    <w14:schemeClr w14:val="tx1"/>
                  </w14:solidFill>
                </w14:textFill>
              </w:rPr>
              <w:t>贮存量（t）</w:t>
            </w:r>
          </w:p>
        </w:tc>
        <w:tc>
          <w:tcPr>
            <w:tcW w:w="2045" w:type="dxa"/>
            <w:tcBorders>
              <w:top w:val="single" w:color="auto" w:sz="4" w:space="0"/>
              <w:left w:val="single" w:color="auto" w:sz="4" w:space="0"/>
              <w:bottom w:val="single" w:color="auto" w:sz="4" w:space="0"/>
              <w:right w:val="single" w:color="auto" w:sz="4" w:space="0"/>
            </w:tcBorders>
            <w:vAlign w:val="center"/>
          </w:tcPr>
          <w:p w14:paraId="35FBEB1A">
            <w:pPr>
              <w:spacing w:line="240" w:lineRule="auto"/>
              <w:ind w:firstLine="0" w:firstLineChars="0"/>
              <w:jc w:val="center"/>
              <w:rPr>
                <w:rFonts w:hint="default" w:ascii="Times New Roman" w:hAnsi="Times New Roman" w:eastAsia="宋体" w:cs="Times New Roman"/>
                <w:color w:val="000000" w:themeColor="text1"/>
                <w:sz w:val="21"/>
                <w:szCs w:val="21"/>
                <w:lang w:val="en-GB"/>
                <w14:textFill>
                  <w14:solidFill>
                    <w14:schemeClr w14:val="tx1"/>
                  </w14:solidFill>
                </w14:textFill>
              </w:rPr>
            </w:pPr>
            <w:r>
              <w:rPr>
                <w:rFonts w:hint="default" w:ascii="Times New Roman" w:hAnsi="Times New Roman" w:eastAsia="宋体" w:cs="Times New Roman"/>
                <w:color w:val="000000" w:themeColor="text1"/>
                <w:sz w:val="21"/>
                <w:szCs w:val="21"/>
                <w:lang w:val="en-GB"/>
                <w14:textFill>
                  <w14:solidFill>
                    <w14:schemeClr w14:val="tx1"/>
                  </w14:solidFill>
                </w14:textFill>
              </w:rPr>
              <w:t>q/Q</w:t>
            </w:r>
          </w:p>
        </w:tc>
      </w:tr>
      <w:tr w14:paraId="6E679552">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3" w:hRule="atLeast"/>
          <w:jc w:val="center"/>
        </w:trPr>
        <w:tc>
          <w:tcPr>
            <w:tcW w:w="1819" w:type="dxa"/>
            <w:tcBorders>
              <w:top w:val="single" w:color="auto" w:sz="4" w:space="0"/>
              <w:left w:val="single" w:color="auto" w:sz="4" w:space="0"/>
              <w:bottom w:val="single" w:color="auto" w:sz="4" w:space="0"/>
              <w:right w:val="single" w:color="auto" w:sz="4" w:space="0"/>
            </w:tcBorders>
            <w:vAlign w:val="center"/>
          </w:tcPr>
          <w:p w14:paraId="2DC9AD76">
            <w:pPr>
              <w:spacing w:line="240" w:lineRule="auto"/>
              <w:ind w:firstLine="0" w:firstLineChars="0"/>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废机油</w:t>
            </w:r>
          </w:p>
        </w:tc>
        <w:tc>
          <w:tcPr>
            <w:tcW w:w="1370" w:type="dxa"/>
            <w:tcBorders>
              <w:top w:val="single" w:color="auto" w:sz="4" w:space="0"/>
              <w:left w:val="single" w:color="auto" w:sz="4" w:space="0"/>
              <w:bottom w:val="single" w:color="auto" w:sz="4" w:space="0"/>
              <w:right w:val="single" w:color="auto" w:sz="4" w:space="0"/>
            </w:tcBorders>
            <w:vAlign w:val="center"/>
          </w:tcPr>
          <w:p w14:paraId="07E0B3B2">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p>
        </w:tc>
        <w:tc>
          <w:tcPr>
            <w:tcW w:w="1431" w:type="dxa"/>
            <w:tcBorders>
              <w:top w:val="single" w:color="auto" w:sz="4" w:space="0"/>
              <w:left w:val="single" w:color="auto" w:sz="4" w:space="0"/>
              <w:bottom w:val="single" w:color="auto" w:sz="4" w:space="0"/>
              <w:right w:val="single" w:color="auto" w:sz="4" w:space="0"/>
            </w:tcBorders>
            <w:vAlign w:val="center"/>
          </w:tcPr>
          <w:p w14:paraId="34D444D2">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2500</w:t>
            </w:r>
          </w:p>
        </w:tc>
        <w:tc>
          <w:tcPr>
            <w:tcW w:w="1431" w:type="dxa"/>
            <w:tcBorders>
              <w:top w:val="single" w:color="auto" w:sz="4" w:space="0"/>
              <w:left w:val="single" w:color="auto" w:sz="4" w:space="0"/>
              <w:bottom w:val="single" w:color="auto" w:sz="4" w:space="0"/>
              <w:right w:val="single" w:color="auto" w:sz="4" w:space="0"/>
            </w:tcBorders>
            <w:vAlign w:val="center"/>
          </w:tcPr>
          <w:p w14:paraId="7E5A8E85">
            <w:pPr>
              <w:spacing w:line="240" w:lineRule="auto"/>
              <w:ind w:firstLine="0" w:firstLineChars="0"/>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2</w:t>
            </w:r>
          </w:p>
        </w:tc>
        <w:tc>
          <w:tcPr>
            <w:tcW w:w="2045" w:type="dxa"/>
            <w:tcBorders>
              <w:top w:val="single" w:color="auto" w:sz="4" w:space="0"/>
              <w:left w:val="single" w:color="auto" w:sz="4" w:space="0"/>
              <w:bottom w:val="single" w:color="auto" w:sz="4" w:space="0"/>
              <w:right w:val="single" w:color="auto" w:sz="4" w:space="0"/>
            </w:tcBorders>
            <w:vAlign w:val="center"/>
          </w:tcPr>
          <w:p w14:paraId="3122E67D">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0.00</w:t>
            </w:r>
            <w:r>
              <w:rPr>
                <w:rFonts w:hint="eastAsia" w:ascii="Times New Roman" w:hAnsi="Times New Roman" w:cs="Times New Roman"/>
                <w:color w:val="000000" w:themeColor="text1"/>
                <w:sz w:val="21"/>
                <w:szCs w:val="21"/>
                <w:lang w:val="en-US" w:eastAsia="zh-CN"/>
                <w14:textFill>
                  <w14:solidFill>
                    <w14:schemeClr w14:val="tx1"/>
                  </w14:solidFill>
                </w14:textFill>
              </w:rPr>
              <w:t>0</w:t>
            </w:r>
            <w:r>
              <w:rPr>
                <w:rFonts w:hint="default" w:ascii="Times New Roman" w:hAnsi="Times New Roman" w:eastAsia="宋体" w:cs="Times New Roman"/>
                <w:color w:val="000000" w:themeColor="text1"/>
                <w:sz w:val="21"/>
                <w:szCs w:val="21"/>
                <w14:textFill>
                  <w14:solidFill>
                    <w14:schemeClr w14:val="tx1"/>
                  </w14:solidFill>
                </w14:textFill>
              </w:rPr>
              <w:t>8</w:t>
            </w:r>
          </w:p>
        </w:tc>
      </w:tr>
    </w:tbl>
    <w:p w14:paraId="5D4C54B8">
      <w:pPr>
        <w:adjustRightInd w:val="0"/>
        <w:snapToGrid w:val="0"/>
        <w:ind w:firstLine="482"/>
        <w:rPr>
          <w:rFonts w:hint="default" w:ascii="Times New Roman" w:hAnsi="Times New Roman" w:eastAsia="宋体" w:cs="Times New Roman"/>
          <w:b/>
          <w:color w:val="000000" w:themeColor="text1"/>
          <w14:textFill>
            <w14:solidFill>
              <w14:schemeClr w14:val="tx1"/>
            </w14:solidFill>
          </w14:textFill>
        </w:rPr>
      </w:pPr>
    </w:p>
    <w:p w14:paraId="46FFFABE">
      <w:pPr>
        <w:adjustRightInd w:val="0"/>
        <w:snapToGrid w:val="0"/>
        <w:ind w:firstLine="482"/>
        <w:rPr>
          <w:rFonts w:hint="default" w:ascii="Times New Roman" w:hAnsi="Times New Roman" w:eastAsia="宋体" w:cs="Times New Roman"/>
          <w:b/>
          <w:color w:val="000000" w:themeColor="text1"/>
          <w14:textFill>
            <w14:solidFill>
              <w14:schemeClr w14:val="tx1"/>
            </w14:solidFill>
          </w14:textFill>
        </w:rPr>
      </w:pPr>
      <w:r>
        <w:rPr>
          <w:rFonts w:hint="default" w:ascii="Times New Roman" w:hAnsi="Times New Roman" w:eastAsia="宋体" w:cs="Times New Roman"/>
          <w:b/>
          <w:color w:val="000000" w:themeColor="text1"/>
          <w14:textFill>
            <w14:solidFill>
              <w14:schemeClr w14:val="tx1"/>
            </w14:solidFill>
          </w14:textFill>
        </w:rPr>
        <w:t>（</w:t>
      </w:r>
      <w:r>
        <w:rPr>
          <w:rFonts w:hint="eastAsia" w:cs="Times New Roman"/>
          <w:b/>
          <w:color w:val="000000" w:themeColor="text1"/>
          <w:lang w:val="en-US" w:eastAsia="zh-CN"/>
          <w14:textFill>
            <w14:solidFill>
              <w14:schemeClr w14:val="tx1"/>
            </w14:solidFill>
          </w14:textFill>
        </w:rPr>
        <w:t>3</w:t>
      </w:r>
      <w:r>
        <w:rPr>
          <w:rFonts w:hint="default" w:ascii="Times New Roman" w:hAnsi="Times New Roman" w:eastAsia="宋体" w:cs="Times New Roman"/>
          <w:b/>
          <w:color w:val="000000" w:themeColor="text1"/>
          <w14:textFill>
            <w14:solidFill>
              <w14:schemeClr w14:val="tx1"/>
            </w14:solidFill>
          </w14:textFill>
        </w:rPr>
        <w:t>）评价范围</w:t>
      </w:r>
    </w:p>
    <w:p w14:paraId="138BAF9A">
      <w:pPr>
        <w:bidi w:val="0"/>
        <w:rPr>
          <w:rFonts w:hint="eastAsia"/>
          <w:color w:val="000000" w:themeColor="text1"/>
          <w:lang w:val="en-US" w:eastAsia="zh-CN"/>
          <w14:textFill>
            <w14:solidFill>
              <w14:schemeClr w14:val="tx1"/>
            </w14:solidFill>
          </w14:textFill>
        </w:rPr>
      </w:pPr>
      <w:bookmarkStart w:id="89" w:name="_Toc12484"/>
      <w:bookmarkStart w:id="90" w:name="_Toc6266173"/>
      <w:bookmarkStart w:id="91" w:name="_Toc4706115"/>
      <w:bookmarkStart w:id="92" w:name="_Toc4949"/>
      <w:r>
        <w:rPr>
          <w:rFonts w:hint="eastAsia"/>
          <w:color w:val="000000" w:themeColor="text1"/>
          <w:lang w:val="en-US" w:eastAsia="zh-CN"/>
          <w14:textFill>
            <w14:solidFill>
              <w14:schemeClr w14:val="tx1"/>
            </w14:solidFill>
          </w14:textFill>
        </w:rPr>
        <w:t>环境风险评价工作等级划分为一级、二级、三级。根据建设项目涉及的物质及工艺系统危险性和所在地的环境敏感性确定环境风险潜势，按照下表确定评价工作等级。</w:t>
      </w:r>
    </w:p>
    <w:p w14:paraId="42E169B7">
      <w:pPr>
        <w:tabs>
          <w:tab w:val="left" w:pos="2771"/>
          <w:tab w:val="left" w:pos="6612"/>
        </w:tabs>
        <w:adjustRightInd w:val="0"/>
        <w:snapToGrid w:val="0"/>
        <w:ind w:firstLine="482"/>
        <w:jc w:val="center"/>
        <w:rPr>
          <w:rFonts w:hint="default" w:ascii="Times New Roman" w:hAnsi="Times New Roman" w:eastAsia="宋体" w:cs="Times New Roman"/>
          <w:b/>
          <w:color w:val="000000" w:themeColor="text1"/>
          <w14:textFill>
            <w14:solidFill>
              <w14:schemeClr w14:val="tx1"/>
            </w14:solidFill>
          </w14:textFill>
        </w:rPr>
      </w:pPr>
      <w:r>
        <w:rPr>
          <w:rFonts w:hint="default" w:ascii="Times New Roman" w:hAnsi="Times New Roman" w:eastAsia="宋体" w:cs="Times New Roman"/>
          <w:b/>
          <w:color w:val="000000" w:themeColor="text1"/>
          <w14:textFill>
            <w14:solidFill>
              <w14:schemeClr w14:val="tx1"/>
            </w14:solidFill>
          </w14:textFill>
        </w:rPr>
        <w:t>表2.6-1</w:t>
      </w:r>
      <w:r>
        <w:rPr>
          <w:rFonts w:hint="eastAsia" w:ascii="Times New Roman" w:hAnsi="Times New Roman" w:cs="Times New Roman"/>
          <w:b/>
          <w:color w:val="000000" w:themeColor="text1"/>
          <w:lang w:val="en-US" w:eastAsia="zh-CN"/>
          <w14:textFill>
            <w14:solidFill>
              <w14:schemeClr w14:val="tx1"/>
            </w14:solidFill>
          </w14:textFill>
        </w:rPr>
        <w:t>6</w:t>
      </w:r>
      <w:r>
        <w:rPr>
          <w:rFonts w:hint="default" w:ascii="Times New Roman" w:hAnsi="Times New Roman" w:eastAsia="宋体" w:cs="Times New Roman"/>
          <w:b/>
          <w:color w:val="000000" w:themeColor="text1"/>
          <w14:textFill>
            <w14:solidFill>
              <w14:schemeClr w14:val="tx1"/>
            </w14:solidFill>
          </w14:textFill>
        </w:rPr>
        <w:t>评价工作级别</w:t>
      </w:r>
    </w:p>
    <w:tbl>
      <w:tblPr>
        <w:tblStyle w:val="35"/>
        <w:tblW w:w="850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947"/>
        <w:gridCol w:w="1303"/>
        <w:gridCol w:w="2003"/>
        <w:gridCol w:w="1517"/>
        <w:gridCol w:w="1734"/>
      </w:tblGrid>
      <w:tr w14:paraId="12DDAA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5" w:hRule="atLeast"/>
          <w:jc w:val="center"/>
        </w:trPr>
        <w:tc>
          <w:tcPr>
            <w:tcW w:w="1947" w:type="dxa"/>
            <w:vAlign w:val="center"/>
          </w:tcPr>
          <w:p w14:paraId="551A95BE">
            <w:pPr>
              <w:pStyle w:val="36"/>
              <w:spacing w:line="240" w:lineRule="auto"/>
              <w:ind w:firstLine="0" w:firstLineChars="0"/>
              <w:rPr>
                <w:rFonts w:hint="default" w:ascii="Times New Roman" w:hAnsi="Times New Roman" w:eastAsia="宋体" w:cs="Times New Roman"/>
                <w:b/>
                <w:bCs/>
                <w:color w:val="000000" w:themeColor="text1"/>
                <w:sz w:val="21"/>
                <w14:textFill>
                  <w14:solidFill>
                    <w14:schemeClr w14:val="tx1"/>
                  </w14:solidFill>
                </w14:textFill>
              </w:rPr>
            </w:pPr>
            <w:r>
              <w:rPr>
                <w:rFonts w:hint="default" w:ascii="Times New Roman" w:hAnsi="Times New Roman" w:eastAsia="宋体" w:cs="Times New Roman"/>
                <w:b/>
                <w:bCs/>
                <w:color w:val="000000" w:themeColor="text1"/>
                <w:sz w:val="21"/>
                <w14:textFill>
                  <w14:solidFill>
                    <w14:schemeClr w14:val="tx1"/>
                  </w14:solidFill>
                </w14:textFill>
              </w:rPr>
              <w:t>环境风险潜势</w:t>
            </w:r>
          </w:p>
        </w:tc>
        <w:tc>
          <w:tcPr>
            <w:tcW w:w="1303" w:type="dxa"/>
            <w:vAlign w:val="center"/>
          </w:tcPr>
          <w:p w14:paraId="72CBD8E2">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Ⅳ、Ⅳ</w:t>
            </w:r>
            <w:r>
              <w:rPr>
                <w:rFonts w:hint="default" w:ascii="Times New Roman" w:hAnsi="Times New Roman" w:eastAsia="宋体" w:cs="Times New Roman"/>
                <w:color w:val="000000" w:themeColor="text1"/>
                <w:sz w:val="21"/>
                <w:vertAlign w:val="superscript"/>
                <w14:textFill>
                  <w14:solidFill>
                    <w14:schemeClr w14:val="tx1"/>
                  </w14:solidFill>
                </w14:textFill>
              </w:rPr>
              <w:t>+</w:t>
            </w:r>
          </w:p>
        </w:tc>
        <w:tc>
          <w:tcPr>
            <w:tcW w:w="2003" w:type="dxa"/>
            <w:vAlign w:val="center"/>
          </w:tcPr>
          <w:p w14:paraId="555742A9">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Ⅲ</w:t>
            </w:r>
          </w:p>
        </w:tc>
        <w:tc>
          <w:tcPr>
            <w:tcW w:w="1517" w:type="dxa"/>
            <w:vAlign w:val="center"/>
          </w:tcPr>
          <w:p w14:paraId="4CA8B1D5">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Ⅱ</w:t>
            </w:r>
          </w:p>
        </w:tc>
        <w:tc>
          <w:tcPr>
            <w:tcW w:w="1734" w:type="dxa"/>
            <w:vAlign w:val="center"/>
          </w:tcPr>
          <w:p w14:paraId="75577F5C">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Ⅰ</w:t>
            </w:r>
          </w:p>
        </w:tc>
      </w:tr>
      <w:tr w14:paraId="0B043A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8" w:hRule="atLeast"/>
          <w:jc w:val="center"/>
        </w:trPr>
        <w:tc>
          <w:tcPr>
            <w:tcW w:w="1947" w:type="dxa"/>
            <w:vAlign w:val="center"/>
          </w:tcPr>
          <w:p w14:paraId="524452D1">
            <w:pPr>
              <w:pStyle w:val="36"/>
              <w:spacing w:line="240" w:lineRule="auto"/>
              <w:ind w:firstLine="0" w:firstLineChars="0"/>
              <w:rPr>
                <w:rFonts w:hint="default" w:ascii="Times New Roman" w:hAnsi="Times New Roman" w:eastAsia="宋体" w:cs="Times New Roman"/>
                <w:b/>
                <w:bCs/>
                <w:color w:val="000000" w:themeColor="text1"/>
                <w:sz w:val="21"/>
                <w14:textFill>
                  <w14:solidFill>
                    <w14:schemeClr w14:val="tx1"/>
                  </w14:solidFill>
                </w14:textFill>
              </w:rPr>
            </w:pPr>
            <w:r>
              <w:rPr>
                <w:rFonts w:hint="default" w:ascii="Times New Roman" w:hAnsi="Times New Roman" w:eastAsia="宋体" w:cs="Times New Roman"/>
                <w:b/>
                <w:bCs/>
                <w:color w:val="000000" w:themeColor="text1"/>
                <w:sz w:val="21"/>
                <w14:textFill>
                  <w14:solidFill>
                    <w14:schemeClr w14:val="tx1"/>
                  </w14:solidFill>
                </w14:textFill>
              </w:rPr>
              <w:t>评价工作等级</w:t>
            </w:r>
          </w:p>
        </w:tc>
        <w:tc>
          <w:tcPr>
            <w:tcW w:w="1303" w:type="dxa"/>
            <w:vAlign w:val="center"/>
          </w:tcPr>
          <w:p w14:paraId="793C3FAE">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一</w:t>
            </w:r>
          </w:p>
        </w:tc>
        <w:tc>
          <w:tcPr>
            <w:tcW w:w="2003" w:type="dxa"/>
            <w:vAlign w:val="center"/>
          </w:tcPr>
          <w:p w14:paraId="6B148360">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二</w:t>
            </w:r>
          </w:p>
        </w:tc>
        <w:tc>
          <w:tcPr>
            <w:tcW w:w="1517" w:type="dxa"/>
            <w:vAlign w:val="center"/>
          </w:tcPr>
          <w:p w14:paraId="40DF2CDD">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三</w:t>
            </w:r>
          </w:p>
        </w:tc>
        <w:tc>
          <w:tcPr>
            <w:tcW w:w="1734" w:type="dxa"/>
            <w:vAlign w:val="center"/>
          </w:tcPr>
          <w:p w14:paraId="04E44823">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shd w:val="clear" w:color="auto" w:fill="E6E6E6"/>
                <w14:textFill>
                  <w14:solidFill>
                    <w14:schemeClr w14:val="tx1"/>
                  </w14:solidFill>
                </w14:textFill>
              </w:rPr>
              <w:t>简单分析</w:t>
            </w:r>
            <w:r>
              <w:rPr>
                <w:rFonts w:hint="default" w:ascii="Times New Roman" w:hAnsi="Times New Roman" w:eastAsia="宋体" w:cs="Times New Roman"/>
                <w:color w:val="000000" w:themeColor="text1"/>
                <w:sz w:val="21"/>
                <w:shd w:val="clear" w:color="auto" w:fill="E6E6E6"/>
                <w:lang w:val="en-US" w:eastAsia="zh-CN"/>
                <w14:textFill>
                  <w14:solidFill>
                    <w14:schemeClr w14:val="tx1"/>
                  </w14:solidFill>
                </w14:textFill>
              </w:rPr>
              <w:t>*</w:t>
            </w:r>
          </w:p>
        </w:tc>
      </w:tr>
      <w:tr w14:paraId="69ECF5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8" w:hRule="atLeast"/>
          <w:jc w:val="center"/>
        </w:trPr>
        <w:tc>
          <w:tcPr>
            <w:tcW w:w="8504" w:type="dxa"/>
            <w:gridSpan w:val="5"/>
            <w:vAlign w:val="center"/>
          </w:tcPr>
          <w:p w14:paraId="715C8FC0">
            <w:pPr>
              <w:keepNext w:val="0"/>
              <w:keepLines w:val="0"/>
              <w:widowControl/>
              <w:suppressLineNumbers w:val="0"/>
              <w:ind w:left="0" w:leftChars="0" w:firstLine="0" w:firstLineChars="0"/>
              <w:jc w:val="left"/>
              <w:rPr>
                <w:rFonts w:hint="default" w:ascii="Times New Roman" w:hAnsi="Times New Roman" w:eastAsia="宋体" w:cs="Times New Roman"/>
                <w:color w:val="000000" w:themeColor="text1"/>
                <w:sz w:val="21"/>
                <w:shd w:val="clear" w:color="auto" w:fill="E6E6E6"/>
                <w14:textFill>
                  <w14:solidFill>
                    <w14:schemeClr w14:val="tx1"/>
                  </w14:solidFill>
                </w14:textFill>
              </w:rPr>
            </w:pPr>
            <w:r>
              <w:rPr>
                <w:rFonts w:hint="default" w:ascii="Times New Roman" w:hAnsi="Times New Roman" w:eastAsia="宋体" w:cs="Times New Roman"/>
                <w:color w:val="000000" w:themeColor="text1"/>
                <w:kern w:val="0"/>
                <w:sz w:val="20"/>
                <w:szCs w:val="20"/>
                <w:lang w:val="en-US" w:eastAsia="zh-CN" w:bidi="ar"/>
                <w14:textFill>
                  <w14:solidFill>
                    <w14:schemeClr w14:val="tx1"/>
                  </w14:solidFill>
                </w14:textFill>
              </w:rPr>
              <w:t>*</w:t>
            </w:r>
            <w:r>
              <w:rPr>
                <w:rFonts w:hint="eastAsia" w:ascii="宋体" w:hAnsi="宋体" w:eastAsia="宋体" w:cs="宋体"/>
                <w:color w:val="000000" w:themeColor="text1"/>
                <w:kern w:val="0"/>
                <w:sz w:val="20"/>
                <w:szCs w:val="20"/>
                <w:lang w:val="en-US" w:eastAsia="zh-CN" w:bidi="ar"/>
                <w14:textFill>
                  <w14:solidFill>
                    <w14:schemeClr w14:val="tx1"/>
                  </w14:solidFill>
                </w14:textFill>
              </w:rPr>
              <w:t>是相对于详细评价工作内容而言，在描述危险物质、环境影响途径、环境危害后果、风险防范措施等方面给出定性的说明。见附录</w:t>
            </w:r>
            <w:r>
              <w:rPr>
                <w:rFonts w:hint="default" w:ascii="Times New Roman" w:hAnsi="Times New Roman" w:eastAsia="宋体" w:cs="Times New Roman"/>
                <w:color w:val="000000" w:themeColor="text1"/>
                <w:kern w:val="0"/>
                <w:sz w:val="20"/>
                <w:szCs w:val="20"/>
                <w:lang w:val="en-US" w:eastAsia="zh-CN" w:bidi="ar"/>
                <w14:textFill>
                  <w14:solidFill>
                    <w14:schemeClr w14:val="tx1"/>
                  </w14:solidFill>
                </w14:textFill>
              </w:rPr>
              <w:t>A</w:t>
            </w:r>
          </w:p>
        </w:tc>
      </w:tr>
    </w:tbl>
    <w:p w14:paraId="242695FA">
      <w:pPr>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本项目风险潜势为I，根据《建设项目环境风险评价技术导则》（HJ169-2018）中表1的评价分级原则，风险潜势为I，可开展简单分析。</w:t>
      </w:r>
    </w:p>
    <w:p w14:paraId="2B079BD5">
      <w:pPr>
        <w:keepNext/>
        <w:keepLines/>
        <w:widowControl w:val="0"/>
        <w:spacing w:before="0" w:after="0" w:line="360" w:lineRule="auto"/>
        <w:ind w:firstLine="482" w:firstLineChars="200"/>
        <w:jc w:val="both"/>
        <w:outlineLvl w:val="2"/>
        <w:rPr>
          <w:rFonts w:ascii="Times New Roman" w:hAnsi="Times New Roman" w:eastAsia="宋体" w:cs="Times New Roman"/>
          <w:b/>
          <w:bCs/>
          <w:color w:val="000000" w:themeColor="text1"/>
          <w:kern w:val="0"/>
          <w:sz w:val="24"/>
          <w:szCs w:val="32"/>
          <w:lang w:val="en-US" w:eastAsia="zh-CN" w:bidi="ar-SA"/>
          <w14:textFill>
            <w14:solidFill>
              <w14:schemeClr w14:val="tx1"/>
            </w14:solidFill>
          </w14:textFill>
        </w:rPr>
      </w:pPr>
      <w:bookmarkStart w:id="93" w:name="_Toc26487"/>
      <w:r>
        <w:rPr>
          <w:rFonts w:ascii="Times New Roman" w:hAnsi="Times New Roman" w:eastAsia="宋体" w:cs="Times New Roman"/>
          <w:b/>
          <w:bCs/>
          <w:color w:val="000000" w:themeColor="text1"/>
          <w:kern w:val="0"/>
          <w:sz w:val="24"/>
          <w:szCs w:val="32"/>
          <w:lang w:val="en-US" w:eastAsia="zh-CN" w:bidi="ar-SA"/>
          <w14:textFill>
            <w14:solidFill>
              <w14:schemeClr w14:val="tx1"/>
            </w14:solidFill>
          </w14:textFill>
        </w:rPr>
        <w:t>2.6.</w:t>
      </w:r>
      <w:r>
        <w:rPr>
          <w:rFonts w:hint="eastAsia" w:ascii="Times New Roman" w:hAnsi="Times New Roman" w:eastAsia="宋体" w:cs="Times New Roman"/>
          <w:b/>
          <w:bCs/>
          <w:color w:val="000000" w:themeColor="text1"/>
          <w:kern w:val="0"/>
          <w:sz w:val="24"/>
          <w:szCs w:val="32"/>
          <w:lang w:val="en-US" w:eastAsia="zh-CN" w:bidi="ar-SA"/>
          <w14:textFill>
            <w14:solidFill>
              <w14:schemeClr w14:val="tx1"/>
            </w14:solidFill>
          </w14:textFill>
        </w:rPr>
        <w:t>8</w:t>
      </w:r>
      <w:r>
        <w:rPr>
          <w:rFonts w:ascii="Times New Roman" w:hAnsi="Times New Roman" w:eastAsia="宋体" w:cs="Times New Roman"/>
          <w:b/>
          <w:bCs/>
          <w:color w:val="000000" w:themeColor="text1"/>
          <w:kern w:val="0"/>
          <w:sz w:val="24"/>
          <w:szCs w:val="32"/>
          <w:lang w:val="en-US" w:eastAsia="zh-CN" w:bidi="ar-SA"/>
          <w14:textFill>
            <w14:solidFill>
              <w14:schemeClr w14:val="tx1"/>
            </w14:solidFill>
          </w14:textFill>
        </w:rPr>
        <w:t>评价等级与评价范围汇总</w:t>
      </w:r>
      <w:bookmarkEnd w:id="89"/>
      <w:bookmarkEnd w:id="90"/>
      <w:bookmarkEnd w:id="91"/>
      <w:bookmarkEnd w:id="92"/>
      <w:bookmarkEnd w:id="93"/>
    </w:p>
    <w:p w14:paraId="2AF1CB75">
      <w:pPr>
        <w:adjustRightInd w:val="0"/>
        <w:snapToGrid w:val="0"/>
        <w:spacing w:line="360" w:lineRule="auto"/>
        <w:ind w:firstLine="480" w:firstLineChars="200"/>
        <w:rPr>
          <w:rFonts w:ascii="Times New Roman" w:hAnsi="Times New Roman" w:eastAsia="宋体" w:cs="Times New Roman"/>
          <w:color w:val="000000" w:themeColor="text1"/>
          <w:sz w:val="24"/>
          <w:szCs w:val="22"/>
          <w14:textFill>
            <w14:solidFill>
              <w14:schemeClr w14:val="tx1"/>
            </w14:solidFill>
          </w14:textFill>
        </w:rPr>
      </w:pPr>
      <w:r>
        <w:rPr>
          <w:rFonts w:ascii="Times New Roman" w:hAnsi="Times New Roman" w:eastAsia="宋体" w:cs="Times New Roman"/>
          <w:color w:val="000000" w:themeColor="text1"/>
          <w:sz w:val="24"/>
          <w:szCs w:val="22"/>
          <w14:textFill>
            <w14:solidFill>
              <w14:schemeClr w14:val="tx1"/>
            </w14:solidFill>
          </w14:textFill>
        </w:rPr>
        <w:t>本项目环境影响评价工作等级及评价范围统计见表2.6-</w:t>
      </w:r>
      <w:r>
        <w:rPr>
          <w:rFonts w:hint="eastAsia" w:eastAsia="宋体" w:cs="Times New Roman"/>
          <w:color w:val="000000" w:themeColor="text1"/>
          <w:sz w:val="24"/>
          <w:szCs w:val="22"/>
          <w:lang w:val="en-US" w:eastAsia="zh-CN"/>
          <w14:textFill>
            <w14:solidFill>
              <w14:schemeClr w14:val="tx1"/>
            </w14:solidFill>
          </w14:textFill>
        </w:rPr>
        <w:t>16</w:t>
      </w:r>
      <w:r>
        <w:rPr>
          <w:rFonts w:ascii="Times New Roman" w:hAnsi="Times New Roman" w:eastAsia="宋体" w:cs="Times New Roman"/>
          <w:color w:val="000000" w:themeColor="text1"/>
          <w:sz w:val="24"/>
          <w:szCs w:val="22"/>
          <w14:textFill>
            <w14:solidFill>
              <w14:schemeClr w14:val="tx1"/>
            </w14:solidFill>
          </w14:textFill>
        </w:rPr>
        <w:t>，环境影响评价范围及保护目标分布见附图</w:t>
      </w:r>
      <w:r>
        <w:rPr>
          <w:rFonts w:hint="eastAsia" w:eastAsia="宋体" w:cs="Times New Roman"/>
          <w:color w:val="000000" w:themeColor="text1"/>
          <w:sz w:val="24"/>
          <w:szCs w:val="22"/>
          <w:lang w:val="en-US" w:eastAsia="zh-CN"/>
          <w14:textFill>
            <w14:solidFill>
              <w14:schemeClr w14:val="tx1"/>
            </w14:solidFill>
          </w14:textFill>
        </w:rPr>
        <w:t>4</w:t>
      </w:r>
      <w:r>
        <w:rPr>
          <w:rFonts w:ascii="Times New Roman" w:hAnsi="Times New Roman" w:eastAsia="宋体" w:cs="Times New Roman"/>
          <w:color w:val="000000" w:themeColor="text1"/>
          <w:sz w:val="24"/>
          <w:szCs w:val="22"/>
          <w14:textFill>
            <w14:solidFill>
              <w14:schemeClr w14:val="tx1"/>
            </w14:solidFill>
          </w14:textFill>
        </w:rPr>
        <w:t>。</w:t>
      </w:r>
    </w:p>
    <w:p w14:paraId="170A6F11">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ascii="Times New Roman" w:hAnsi="Times New Roman" w:eastAsia="宋体" w:cs="Times New Roman"/>
          <w:b/>
          <w:color w:val="000000" w:themeColor="text1"/>
          <w:sz w:val="24"/>
          <w:szCs w:val="24"/>
          <w14:textFill>
            <w14:solidFill>
              <w14:schemeClr w14:val="tx1"/>
            </w14:solidFill>
          </w14:textFill>
        </w:rPr>
      </w:pPr>
      <w:r>
        <w:rPr>
          <w:rFonts w:ascii="Times New Roman" w:hAnsi="Times New Roman" w:eastAsia="宋体" w:cs="Times New Roman"/>
          <w:b/>
          <w:color w:val="000000" w:themeColor="text1"/>
          <w:sz w:val="24"/>
          <w:szCs w:val="24"/>
          <w14:textFill>
            <w14:solidFill>
              <w14:schemeClr w14:val="tx1"/>
            </w14:solidFill>
          </w14:textFill>
        </w:rPr>
        <w:t>表2.6-</w:t>
      </w:r>
      <w:r>
        <w:rPr>
          <w:rFonts w:hint="eastAsia" w:eastAsia="宋体" w:cs="Times New Roman"/>
          <w:b/>
          <w:color w:val="000000" w:themeColor="text1"/>
          <w:sz w:val="24"/>
          <w:szCs w:val="24"/>
          <w:lang w:val="en-US" w:eastAsia="zh-CN"/>
          <w14:textFill>
            <w14:solidFill>
              <w14:schemeClr w14:val="tx1"/>
            </w14:solidFill>
          </w14:textFill>
        </w:rPr>
        <w:t>16</w:t>
      </w:r>
      <w:r>
        <w:rPr>
          <w:rFonts w:ascii="Times New Roman" w:hAnsi="Times New Roman" w:eastAsia="宋体" w:cs="Times New Roman"/>
          <w:b/>
          <w:color w:val="000000" w:themeColor="text1"/>
          <w:sz w:val="24"/>
          <w:szCs w:val="24"/>
          <w14:textFill>
            <w14:solidFill>
              <w14:schemeClr w14:val="tx1"/>
            </w14:solidFill>
          </w14:textFill>
        </w:rPr>
        <w:t>环境影响评价工作等级及评价范围</w:t>
      </w:r>
    </w:p>
    <w:tbl>
      <w:tblPr>
        <w:tblStyle w:val="29"/>
        <w:tblW w:w="850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307"/>
        <w:gridCol w:w="1069"/>
        <w:gridCol w:w="6128"/>
      </w:tblGrid>
      <w:tr w14:paraId="4F4844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284" w:type="dxa"/>
            <w:noWrap w:val="0"/>
            <w:vAlign w:val="center"/>
          </w:tcPr>
          <w:p w14:paraId="01FB3CDB">
            <w:pPr>
              <w:keepNext w:val="0"/>
              <w:keepLines w:val="0"/>
              <w:pageBreakBefore w:val="0"/>
              <w:widowControl w:val="0"/>
              <w:kinsoku/>
              <w:wordWrap/>
              <w:overflowPunct/>
              <w:topLinePunct w:val="0"/>
              <w:autoSpaceDE/>
              <w:autoSpaceDN/>
              <w:bidi w:val="0"/>
              <w:spacing w:line="360" w:lineRule="auto"/>
              <w:ind w:firstLine="0" w:firstLineChars="0"/>
              <w:jc w:val="center"/>
              <w:textAlignment w:val="auto"/>
              <w:rPr>
                <w:rFonts w:ascii="Times New Roman" w:hAnsi="Times New Roman" w:eastAsia="宋体" w:cs="Times New Roman"/>
                <w:b/>
                <w:bCs/>
                <w:color w:val="000000" w:themeColor="text1"/>
                <w:sz w:val="21"/>
                <w:szCs w:val="21"/>
                <w14:textFill>
                  <w14:solidFill>
                    <w14:schemeClr w14:val="tx1"/>
                  </w14:solidFill>
                </w14:textFill>
              </w:rPr>
            </w:pPr>
            <w:r>
              <w:rPr>
                <w:rFonts w:ascii="Times New Roman" w:hAnsi="Times New Roman" w:eastAsia="宋体" w:cs="Times New Roman"/>
                <w:b/>
                <w:bCs/>
                <w:color w:val="000000" w:themeColor="text1"/>
                <w:sz w:val="21"/>
                <w:szCs w:val="21"/>
                <w14:textFill>
                  <w14:solidFill>
                    <w14:schemeClr w14:val="tx1"/>
                  </w14:solidFill>
                </w14:textFill>
              </w:rPr>
              <w:t>评价项目</w:t>
            </w:r>
          </w:p>
        </w:tc>
        <w:tc>
          <w:tcPr>
            <w:tcW w:w="1050" w:type="dxa"/>
            <w:noWrap w:val="0"/>
            <w:vAlign w:val="center"/>
          </w:tcPr>
          <w:p w14:paraId="5757A4B4">
            <w:pPr>
              <w:keepNext w:val="0"/>
              <w:keepLines w:val="0"/>
              <w:pageBreakBefore w:val="0"/>
              <w:widowControl w:val="0"/>
              <w:kinsoku/>
              <w:wordWrap/>
              <w:overflowPunct/>
              <w:topLinePunct w:val="0"/>
              <w:autoSpaceDE/>
              <w:autoSpaceDN/>
              <w:bidi w:val="0"/>
              <w:spacing w:line="360" w:lineRule="auto"/>
              <w:ind w:firstLine="0" w:firstLineChars="0"/>
              <w:jc w:val="center"/>
              <w:textAlignment w:val="auto"/>
              <w:rPr>
                <w:rFonts w:ascii="Times New Roman" w:hAnsi="Times New Roman" w:eastAsia="宋体" w:cs="Times New Roman"/>
                <w:b/>
                <w:bCs/>
                <w:color w:val="000000" w:themeColor="text1"/>
                <w:sz w:val="21"/>
                <w:szCs w:val="21"/>
                <w14:textFill>
                  <w14:solidFill>
                    <w14:schemeClr w14:val="tx1"/>
                  </w14:solidFill>
                </w14:textFill>
              </w:rPr>
            </w:pPr>
            <w:r>
              <w:rPr>
                <w:rFonts w:ascii="Times New Roman" w:hAnsi="Times New Roman" w:eastAsia="宋体" w:cs="Times New Roman"/>
                <w:b/>
                <w:bCs/>
                <w:color w:val="000000" w:themeColor="text1"/>
                <w:sz w:val="21"/>
                <w:szCs w:val="21"/>
                <w14:textFill>
                  <w14:solidFill>
                    <w14:schemeClr w14:val="tx1"/>
                  </w14:solidFill>
                </w14:textFill>
              </w:rPr>
              <w:t>评价等级</w:t>
            </w:r>
          </w:p>
        </w:tc>
        <w:tc>
          <w:tcPr>
            <w:tcW w:w="6019" w:type="dxa"/>
            <w:noWrap w:val="0"/>
            <w:vAlign w:val="center"/>
          </w:tcPr>
          <w:p w14:paraId="1A39B4EB">
            <w:pPr>
              <w:keepNext w:val="0"/>
              <w:keepLines w:val="0"/>
              <w:pageBreakBefore w:val="0"/>
              <w:widowControl w:val="0"/>
              <w:kinsoku/>
              <w:wordWrap/>
              <w:overflowPunct/>
              <w:topLinePunct w:val="0"/>
              <w:autoSpaceDE/>
              <w:autoSpaceDN/>
              <w:bidi w:val="0"/>
              <w:spacing w:line="360" w:lineRule="auto"/>
              <w:ind w:firstLine="0" w:firstLineChars="0"/>
              <w:jc w:val="center"/>
              <w:textAlignment w:val="auto"/>
              <w:rPr>
                <w:rFonts w:ascii="Times New Roman" w:hAnsi="Times New Roman" w:eastAsia="宋体" w:cs="Times New Roman"/>
                <w:b/>
                <w:bCs/>
                <w:color w:val="000000" w:themeColor="text1"/>
                <w:sz w:val="21"/>
                <w:szCs w:val="21"/>
                <w14:textFill>
                  <w14:solidFill>
                    <w14:schemeClr w14:val="tx1"/>
                  </w14:solidFill>
                </w14:textFill>
              </w:rPr>
            </w:pPr>
            <w:r>
              <w:rPr>
                <w:rFonts w:ascii="Times New Roman" w:hAnsi="Times New Roman" w:eastAsia="宋体" w:cs="Times New Roman"/>
                <w:b/>
                <w:bCs/>
                <w:color w:val="000000" w:themeColor="text1"/>
                <w:sz w:val="21"/>
                <w:szCs w:val="21"/>
                <w14:textFill>
                  <w14:solidFill>
                    <w14:schemeClr w14:val="tx1"/>
                  </w14:solidFill>
                </w14:textFill>
              </w:rPr>
              <w:t>评价范围</w:t>
            </w:r>
          </w:p>
        </w:tc>
      </w:tr>
      <w:tr w14:paraId="53547B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284" w:type="dxa"/>
            <w:noWrap w:val="0"/>
            <w:vAlign w:val="center"/>
          </w:tcPr>
          <w:p w14:paraId="6D697566">
            <w:pPr>
              <w:keepNext w:val="0"/>
              <w:keepLines w:val="0"/>
              <w:pageBreakBefore w:val="0"/>
              <w:widowControl w:val="0"/>
              <w:kinsoku/>
              <w:wordWrap/>
              <w:overflowPunct/>
              <w:topLinePunct w:val="0"/>
              <w:autoSpaceDE/>
              <w:autoSpaceDN/>
              <w:bidi w:val="0"/>
              <w:spacing w:line="360" w:lineRule="auto"/>
              <w:ind w:firstLine="0" w:firstLineChars="0"/>
              <w:jc w:val="center"/>
              <w:textAlignment w:val="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大气环境</w:t>
            </w:r>
          </w:p>
        </w:tc>
        <w:tc>
          <w:tcPr>
            <w:tcW w:w="1050" w:type="dxa"/>
            <w:noWrap w:val="0"/>
            <w:vAlign w:val="center"/>
          </w:tcPr>
          <w:p w14:paraId="57B6F371">
            <w:pPr>
              <w:keepNext w:val="0"/>
              <w:keepLines w:val="0"/>
              <w:pageBreakBefore w:val="0"/>
              <w:widowControl w:val="0"/>
              <w:kinsoku/>
              <w:wordWrap/>
              <w:overflowPunct/>
              <w:topLinePunct w:val="0"/>
              <w:autoSpaceDE/>
              <w:autoSpaceDN/>
              <w:bidi w:val="0"/>
              <w:spacing w:line="360" w:lineRule="auto"/>
              <w:ind w:firstLine="0" w:firstLineChars="0"/>
              <w:jc w:val="center"/>
              <w:textAlignment w:val="auto"/>
              <w:rPr>
                <w:rFonts w:hint="eastAsia" w:ascii="Times New Roman" w:hAnsi="Times New Roman" w:eastAsia="宋体" w:cs="Times New Roman"/>
                <w:color w:val="0000FF"/>
                <w:sz w:val="21"/>
                <w:szCs w:val="21"/>
                <w:lang w:eastAsia="zh-CN"/>
              </w:rPr>
            </w:pPr>
            <w:r>
              <w:rPr>
                <w:rFonts w:hint="eastAsia" w:cs="Times New Roman"/>
                <w:color w:val="0000FF"/>
                <w:sz w:val="21"/>
                <w:szCs w:val="21"/>
                <w:lang w:val="en-US" w:eastAsia="zh-CN"/>
              </w:rPr>
              <w:t>三</w:t>
            </w:r>
          </w:p>
        </w:tc>
        <w:tc>
          <w:tcPr>
            <w:tcW w:w="6019" w:type="dxa"/>
            <w:noWrap w:val="0"/>
            <w:vAlign w:val="center"/>
          </w:tcPr>
          <w:p w14:paraId="24ADA47E">
            <w:pPr>
              <w:keepNext w:val="0"/>
              <w:keepLines w:val="0"/>
              <w:pageBreakBefore w:val="0"/>
              <w:widowControl w:val="0"/>
              <w:kinsoku/>
              <w:wordWrap/>
              <w:overflowPunct/>
              <w:topLinePunct w:val="0"/>
              <w:autoSpaceDE/>
              <w:autoSpaceDN/>
              <w:bidi w:val="0"/>
              <w:spacing w:line="360" w:lineRule="auto"/>
              <w:ind w:firstLine="0" w:firstLineChars="0"/>
              <w:jc w:val="center"/>
              <w:textAlignment w:val="auto"/>
              <w:rPr>
                <w:rFonts w:ascii="Times New Roman" w:hAnsi="Times New Roman" w:eastAsia="宋体" w:cs="Times New Roman"/>
                <w:color w:val="0000FF"/>
                <w:sz w:val="21"/>
                <w:szCs w:val="21"/>
              </w:rPr>
            </w:pPr>
            <w:r>
              <w:rPr>
                <w:rFonts w:hint="eastAsia" w:cs="Times New Roman"/>
                <w:color w:val="0000FF"/>
                <w:sz w:val="21"/>
                <w:szCs w:val="21"/>
                <w:lang w:val="en-US" w:eastAsia="zh-CN"/>
              </w:rPr>
              <w:t>/</w:t>
            </w:r>
          </w:p>
        </w:tc>
      </w:tr>
      <w:tr w14:paraId="633862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284" w:type="dxa"/>
            <w:noWrap w:val="0"/>
            <w:vAlign w:val="center"/>
          </w:tcPr>
          <w:p w14:paraId="50BE90AF">
            <w:pPr>
              <w:keepNext w:val="0"/>
              <w:keepLines w:val="0"/>
              <w:pageBreakBefore w:val="0"/>
              <w:widowControl w:val="0"/>
              <w:kinsoku/>
              <w:wordWrap/>
              <w:overflowPunct/>
              <w:topLinePunct w:val="0"/>
              <w:autoSpaceDE/>
              <w:autoSpaceDN/>
              <w:bidi w:val="0"/>
              <w:spacing w:line="360" w:lineRule="auto"/>
              <w:ind w:firstLine="0" w:firstLineChars="0"/>
              <w:jc w:val="center"/>
              <w:textAlignment w:val="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声环境</w:t>
            </w:r>
          </w:p>
        </w:tc>
        <w:tc>
          <w:tcPr>
            <w:tcW w:w="1050" w:type="dxa"/>
            <w:noWrap w:val="0"/>
            <w:vAlign w:val="center"/>
          </w:tcPr>
          <w:p w14:paraId="414A5A26">
            <w:pPr>
              <w:keepNext w:val="0"/>
              <w:keepLines w:val="0"/>
              <w:pageBreakBefore w:val="0"/>
              <w:widowControl w:val="0"/>
              <w:kinsoku/>
              <w:wordWrap/>
              <w:overflowPunct/>
              <w:topLinePunct w:val="0"/>
              <w:autoSpaceDE/>
              <w:autoSpaceDN/>
              <w:bidi w:val="0"/>
              <w:spacing w:line="360" w:lineRule="auto"/>
              <w:ind w:firstLine="0" w:firstLineChars="0"/>
              <w:jc w:val="center"/>
              <w:textAlignment w:val="auto"/>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eastAsia" w:eastAsia="宋体" w:cs="Times New Roman"/>
                <w:color w:val="000000" w:themeColor="text1"/>
                <w:sz w:val="21"/>
                <w:szCs w:val="21"/>
                <w:lang w:val="en-US" w:eastAsia="zh-CN"/>
                <w14:textFill>
                  <w14:solidFill>
                    <w14:schemeClr w14:val="tx1"/>
                  </w14:solidFill>
                </w14:textFill>
              </w:rPr>
              <w:t>三</w:t>
            </w:r>
          </w:p>
        </w:tc>
        <w:tc>
          <w:tcPr>
            <w:tcW w:w="6019" w:type="dxa"/>
            <w:noWrap w:val="0"/>
            <w:vAlign w:val="center"/>
          </w:tcPr>
          <w:p w14:paraId="39E95644">
            <w:pPr>
              <w:keepNext w:val="0"/>
              <w:keepLines w:val="0"/>
              <w:pageBreakBefore w:val="0"/>
              <w:widowControl w:val="0"/>
              <w:kinsoku/>
              <w:wordWrap/>
              <w:overflowPunct/>
              <w:topLinePunct w:val="0"/>
              <w:autoSpaceDE/>
              <w:autoSpaceDN/>
              <w:bidi w:val="0"/>
              <w:spacing w:line="360" w:lineRule="auto"/>
              <w:ind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项目占地范围周边</w:t>
            </w:r>
            <w:r>
              <w:rPr>
                <w:rFonts w:ascii="Times New Roman" w:hAnsi="Times New Roman" w:eastAsia="宋体" w:cs="Times New Roman"/>
                <w:color w:val="000000" w:themeColor="text1"/>
                <w:sz w:val="21"/>
                <w:szCs w:val="21"/>
                <w14:textFill>
                  <w14:solidFill>
                    <w14:schemeClr w14:val="tx1"/>
                  </w14:solidFill>
                </w14:textFill>
              </w:rPr>
              <w:t>200m范围</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内区域</w:t>
            </w:r>
          </w:p>
        </w:tc>
      </w:tr>
      <w:tr w14:paraId="2827B4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284" w:type="dxa"/>
            <w:noWrap w:val="0"/>
            <w:vAlign w:val="center"/>
          </w:tcPr>
          <w:p w14:paraId="00C7DF1E">
            <w:pPr>
              <w:keepNext w:val="0"/>
              <w:keepLines w:val="0"/>
              <w:pageBreakBefore w:val="0"/>
              <w:widowControl w:val="0"/>
              <w:kinsoku/>
              <w:wordWrap/>
              <w:overflowPunct/>
              <w:topLinePunct w:val="0"/>
              <w:autoSpaceDE/>
              <w:autoSpaceDN/>
              <w:bidi w:val="0"/>
              <w:spacing w:line="360" w:lineRule="auto"/>
              <w:ind w:firstLine="0" w:firstLineChars="0"/>
              <w:jc w:val="center"/>
              <w:textAlignment w:val="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地表水环境</w:t>
            </w:r>
          </w:p>
        </w:tc>
        <w:tc>
          <w:tcPr>
            <w:tcW w:w="1050" w:type="dxa"/>
            <w:noWrap w:val="0"/>
            <w:vAlign w:val="center"/>
          </w:tcPr>
          <w:p w14:paraId="6473C73E">
            <w:pPr>
              <w:keepNext w:val="0"/>
              <w:keepLines w:val="0"/>
              <w:pageBreakBefore w:val="0"/>
              <w:widowControl w:val="0"/>
              <w:kinsoku/>
              <w:wordWrap/>
              <w:overflowPunct/>
              <w:topLinePunct w:val="0"/>
              <w:autoSpaceDE/>
              <w:autoSpaceDN/>
              <w:bidi w:val="0"/>
              <w:spacing w:line="360" w:lineRule="auto"/>
              <w:ind w:firstLine="0" w:firstLineChars="0"/>
              <w:jc w:val="center"/>
              <w:textAlignment w:val="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三级B</w:t>
            </w:r>
          </w:p>
        </w:tc>
        <w:tc>
          <w:tcPr>
            <w:tcW w:w="6019" w:type="dxa"/>
            <w:noWrap w:val="0"/>
            <w:vAlign w:val="center"/>
          </w:tcPr>
          <w:p w14:paraId="7B48645C">
            <w:pPr>
              <w:keepNext w:val="0"/>
              <w:keepLines w:val="0"/>
              <w:pageBreakBefore w:val="0"/>
              <w:widowControl w:val="0"/>
              <w:kinsoku/>
              <w:wordWrap/>
              <w:overflowPunct/>
              <w:topLinePunct w:val="0"/>
              <w:autoSpaceDE/>
              <w:autoSpaceDN/>
              <w:bidi w:val="0"/>
              <w:spacing w:line="360" w:lineRule="auto"/>
              <w:ind w:firstLine="0" w:firstLineChars="0"/>
              <w:jc w:val="center"/>
              <w:textAlignment w:val="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简单分析</w:t>
            </w:r>
          </w:p>
        </w:tc>
      </w:tr>
      <w:tr w14:paraId="18BA35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284" w:type="dxa"/>
            <w:noWrap w:val="0"/>
            <w:vAlign w:val="center"/>
          </w:tcPr>
          <w:p w14:paraId="11561A87">
            <w:pPr>
              <w:keepNext w:val="0"/>
              <w:keepLines w:val="0"/>
              <w:pageBreakBefore w:val="0"/>
              <w:widowControl w:val="0"/>
              <w:kinsoku/>
              <w:wordWrap/>
              <w:overflowPunct/>
              <w:topLinePunct w:val="0"/>
              <w:autoSpaceDE/>
              <w:autoSpaceDN/>
              <w:bidi w:val="0"/>
              <w:spacing w:line="360" w:lineRule="auto"/>
              <w:ind w:firstLine="0" w:firstLineChars="0"/>
              <w:jc w:val="center"/>
              <w:textAlignment w:val="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地下水</w:t>
            </w:r>
          </w:p>
        </w:tc>
        <w:tc>
          <w:tcPr>
            <w:tcW w:w="1050" w:type="dxa"/>
            <w:noWrap w:val="0"/>
            <w:vAlign w:val="center"/>
          </w:tcPr>
          <w:p w14:paraId="5DCB2FF8">
            <w:pPr>
              <w:keepNext w:val="0"/>
              <w:keepLines w:val="0"/>
              <w:pageBreakBefore w:val="0"/>
              <w:widowControl w:val="0"/>
              <w:kinsoku/>
              <w:wordWrap/>
              <w:overflowPunct/>
              <w:topLinePunct w:val="0"/>
              <w:autoSpaceDE/>
              <w:autoSpaceDN/>
              <w:bidi w:val="0"/>
              <w:spacing w:line="360" w:lineRule="auto"/>
              <w:ind w:firstLine="0" w:firstLineChars="0"/>
              <w:jc w:val="center"/>
              <w:textAlignment w:val="auto"/>
              <w:rPr>
                <w:rFonts w:hint="eastAsia" w:ascii="Times New Roman" w:hAnsi="Times New Roman" w:eastAsia="宋体" w:cs="Times New Roman"/>
                <w:color w:val="0000FF"/>
                <w:sz w:val="21"/>
                <w:szCs w:val="21"/>
                <w:lang w:eastAsia="zh-CN"/>
              </w:rPr>
            </w:pPr>
            <w:r>
              <w:rPr>
                <w:rFonts w:hint="eastAsia" w:eastAsia="宋体" w:cs="Times New Roman"/>
                <w:color w:val="0000FF"/>
                <w:sz w:val="21"/>
                <w:szCs w:val="21"/>
                <w:lang w:val="en-US" w:eastAsia="zh-CN"/>
              </w:rPr>
              <w:t>三级</w:t>
            </w:r>
          </w:p>
        </w:tc>
        <w:tc>
          <w:tcPr>
            <w:tcW w:w="6019" w:type="dxa"/>
            <w:noWrap w:val="0"/>
            <w:vAlign w:val="center"/>
          </w:tcPr>
          <w:p w14:paraId="774CFA2F">
            <w:pPr>
              <w:keepNext w:val="0"/>
              <w:keepLines w:val="0"/>
              <w:pageBreakBefore w:val="0"/>
              <w:widowControl w:val="0"/>
              <w:kinsoku/>
              <w:wordWrap/>
              <w:overflowPunct/>
              <w:topLinePunct w:val="0"/>
              <w:autoSpaceDE/>
              <w:autoSpaceDN/>
              <w:bidi w:val="0"/>
              <w:spacing w:line="360" w:lineRule="auto"/>
              <w:ind w:firstLine="0" w:firstLineChars="0"/>
              <w:jc w:val="center"/>
              <w:textAlignment w:val="auto"/>
              <w:rPr>
                <w:rFonts w:ascii="Times New Roman" w:hAnsi="Times New Roman" w:eastAsia="宋体" w:cs="Times New Roman"/>
                <w:color w:val="0000FF"/>
                <w:kern w:val="0"/>
                <w:sz w:val="21"/>
                <w:szCs w:val="21"/>
                <w:vertAlign w:val="superscript"/>
              </w:rPr>
            </w:pPr>
            <w:r>
              <w:rPr>
                <w:rFonts w:hint="default" w:ascii="Times New Roman" w:hAnsi="Times New Roman" w:eastAsia="宋体" w:cs="Times New Roman"/>
                <w:color w:val="0000FF"/>
                <w:spacing w:val="-6"/>
                <w:sz w:val="21"/>
                <w:szCs w:val="21"/>
                <w:lang w:eastAsia="zh-CN"/>
              </w:rPr>
              <w:t>项目</w:t>
            </w:r>
            <w:r>
              <w:rPr>
                <w:rFonts w:hint="eastAsia" w:cs="Times New Roman"/>
                <w:color w:val="0000FF"/>
                <w:spacing w:val="-6"/>
                <w:sz w:val="21"/>
                <w:szCs w:val="21"/>
                <w:lang w:val="en-US" w:eastAsia="zh-CN"/>
              </w:rPr>
              <w:t>厂区边界</w:t>
            </w:r>
            <w:r>
              <w:rPr>
                <w:rFonts w:hint="default" w:ascii="Times New Roman" w:hAnsi="Times New Roman" w:eastAsia="宋体" w:cs="Times New Roman"/>
                <w:color w:val="0000FF"/>
                <w:spacing w:val="-6"/>
                <w:sz w:val="21"/>
                <w:szCs w:val="21"/>
                <w:lang w:eastAsia="zh-CN"/>
              </w:rPr>
              <w:t>地下水上游（西北侧）1km，两侧（东北侧、西南侧）为1km，下游（东南侧）2km的矩形范围内。</w:t>
            </w:r>
          </w:p>
        </w:tc>
      </w:tr>
      <w:tr w14:paraId="03137D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284" w:type="dxa"/>
            <w:noWrap w:val="0"/>
            <w:vAlign w:val="center"/>
          </w:tcPr>
          <w:p w14:paraId="7452A8F4">
            <w:pPr>
              <w:keepNext w:val="0"/>
              <w:keepLines w:val="0"/>
              <w:pageBreakBefore w:val="0"/>
              <w:widowControl w:val="0"/>
              <w:kinsoku/>
              <w:wordWrap/>
              <w:overflowPunct/>
              <w:topLinePunct w:val="0"/>
              <w:autoSpaceDE/>
              <w:autoSpaceDN/>
              <w:bidi w:val="0"/>
              <w:spacing w:line="360" w:lineRule="auto"/>
              <w:ind w:firstLine="0" w:firstLineChars="0"/>
              <w:jc w:val="center"/>
              <w:textAlignment w:val="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bCs/>
                <w:color w:val="000000" w:themeColor="text1"/>
                <w:sz w:val="21"/>
                <w:szCs w:val="21"/>
                <w14:textFill>
                  <w14:solidFill>
                    <w14:schemeClr w14:val="tx1"/>
                  </w14:solidFill>
                </w14:textFill>
              </w:rPr>
              <w:t>生态环境</w:t>
            </w:r>
          </w:p>
        </w:tc>
        <w:tc>
          <w:tcPr>
            <w:tcW w:w="1050" w:type="dxa"/>
            <w:noWrap w:val="0"/>
            <w:vAlign w:val="center"/>
          </w:tcPr>
          <w:p w14:paraId="693F5DE5">
            <w:pPr>
              <w:keepNext w:val="0"/>
              <w:keepLines w:val="0"/>
              <w:pageBreakBefore w:val="0"/>
              <w:widowControl w:val="0"/>
              <w:kinsoku/>
              <w:wordWrap/>
              <w:overflowPunct/>
              <w:topLinePunct w:val="0"/>
              <w:autoSpaceDE/>
              <w:autoSpaceDN/>
              <w:bidi w:val="0"/>
              <w:spacing w:line="360" w:lineRule="auto"/>
              <w:ind w:firstLine="0" w:firstLineChars="0"/>
              <w:jc w:val="center"/>
              <w:textAlignment w:val="auto"/>
              <w:rPr>
                <w:rFonts w:ascii="Times New Roman" w:hAnsi="Times New Roman" w:eastAsia="宋体" w:cs="Times New Roman"/>
                <w:color w:val="0000FF"/>
                <w:sz w:val="21"/>
                <w:szCs w:val="21"/>
              </w:rPr>
            </w:pPr>
            <w:r>
              <w:rPr>
                <w:rFonts w:ascii="Times New Roman" w:hAnsi="Times New Roman" w:eastAsia="宋体" w:cs="Times New Roman"/>
                <w:color w:val="0000FF"/>
                <w:sz w:val="21"/>
                <w:szCs w:val="21"/>
              </w:rPr>
              <w:t>三级</w:t>
            </w:r>
          </w:p>
        </w:tc>
        <w:tc>
          <w:tcPr>
            <w:tcW w:w="6019" w:type="dxa"/>
            <w:noWrap w:val="0"/>
            <w:vAlign w:val="center"/>
          </w:tcPr>
          <w:p w14:paraId="3B1C1BB3">
            <w:pPr>
              <w:keepNext w:val="0"/>
              <w:keepLines w:val="0"/>
              <w:pageBreakBefore w:val="0"/>
              <w:widowControl w:val="0"/>
              <w:kinsoku/>
              <w:wordWrap/>
              <w:overflowPunct/>
              <w:topLinePunct w:val="0"/>
              <w:autoSpaceDE/>
              <w:autoSpaceDN/>
              <w:bidi w:val="0"/>
              <w:spacing w:line="360" w:lineRule="auto"/>
              <w:ind w:firstLine="0" w:firstLineChars="0"/>
              <w:jc w:val="center"/>
              <w:textAlignment w:val="auto"/>
              <w:rPr>
                <w:rFonts w:hint="default" w:ascii="Times New Roman" w:hAnsi="Times New Roman" w:eastAsia="宋体" w:cs="Times New Roman"/>
                <w:color w:val="0000FF"/>
                <w:kern w:val="0"/>
                <w:sz w:val="21"/>
                <w:szCs w:val="21"/>
                <w:vertAlign w:val="baseline"/>
                <w:lang w:val="en-US" w:eastAsia="zh-CN"/>
              </w:rPr>
            </w:pPr>
            <w:r>
              <w:rPr>
                <w:rFonts w:hint="eastAsia" w:cs="Times New Roman"/>
                <w:color w:val="0000FF"/>
                <w:kern w:val="0"/>
                <w:sz w:val="21"/>
                <w:szCs w:val="21"/>
                <w:vertAlign w:val="baseline"/>
                <w:lang w:val="en-US" w:eastAsia="zh-CN"/>
              </w:rPr>
              <w:t>项目厂区</w:t>
            </w:r>
            <w:r>
              <w:rPr>
                <w:rFonts w:hint="default" w:ascii="Times New Roman" w:hAnsi="Times New Roman" w:eastAsia="宋体" w:cs="Times New Roman"/>
                <w:color w:val="0000FF"/>
                <w:kern w:val="0"/>
                <w:sz w:val="21"/>
                <w:szCs w:val="21"/>
                <w:vertAlign w:val="baseline"/>
                <w:lang w:val="en-US" w:eastAsia="zh-CN"/>
              </w:rPr>
              <w:t>边界外</w:t>
            </w:r>
            <w:r>
              <w:rPr>
                <w:rFonts w:hint="eastAsia" w:cs="Times New Roman"/>
                <w:color w:val="0000FF"/>
                <w:kern w:val="0"/>
                <w:sz w:val="21"/>
                <w:szCs w:val="21"/>
                <w:vertAlign w:val="baseline"/>
                <w:lang w:val="en-US" w:eastAsia="zh-CN"/>
              </w:rPr>
              <w:t>1000</w:t>
            </w:r>
            <w:r>
              <w:rPr>
                <w:rFonts w:hint="default" w:ascii="Times New Roman" w:hAnsi="Times New Roman" w:eastAsia="宋体" w:cs="Times New Roman"/>
                <w:color w:val="0000FF"/>
                <w:kern w:val="0"/>
                <w:sz w:val="21"/>
                <w:szCs w:val="21"/>
                <w:vertAlign w:val="baseline"/>
                <w:lang w:val="en-US" w:eastAsia="zh-CN"/>
              </w:rPr>
              <w:t>m的范围内</w:t>
            </w:r>
          </w:p>
        </w:tc>
      </w:tr>
      <w:tr w14:paraId="765245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284" w:type="dxa"/>
            <w:noWrap w:val="0"/>
            <w:vAlign w:val="center"/>
          </w:tcPr>
          <w:p w14:paraId="03F9AC64">
            <w:pPr>
              <w:keepNext w:val="0"/>
              <w:keepLines w:val="0"/>
              <w:pageBreakBefore w:val="0"/>
              <w:widowControl w:val="0"/>
              <w:kinsoku/>
              <w:wordWrap/>
              <w:overflowPunct/>
              <w:topLinePunct w:val="0"/>
              <w:autoSpaceDE/>
              <w:autoSpaceDN/>
              <w:bidi w:val="0"/>
              <w:spacing w:line="360" w:lineRule="auto"/>
              <w:ind w:firstLine="0" w:firstLineChars="0"/>
              <w:jc w:val="center"/>
              <w:textAlignment w:val="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风险评价</w:t>
            </w:r>
          </w:p>
        </w:tc>
        <w:tc>
          <w:tcPr>
            <w:tcW w:w="1050" w:type="dxa"/>
            <w:noWrap w:val="0"/>
            <w:vAlign w:val="center"/>
          </w:tcPr>
          <w:p w14:paraId="0ED32A3E">
            <w:pPr>
              <w:keepNext w:val="0"/>
              <w:keepLines w:val="0"/>
              <w:pageBreakBefore w:val="0"/>
              <w:widowControl w:val="0"/>
              <w:kinsoku/>
              <w:wordWrap/>
              <w:overflowPunct/>
              <w:topLinePunct w:val="0"/>
              <w:autoSpaceDE/>
              <w:autoSpaceDN/>
              <w:bidi w:val="0"/>
              <w:spacing w:line="360" w:lineRule="auto"/>
              <w:ind w:firstLine="0" w:firstLineChars="0"/>
              <w:jc w:val="center"/>
              <w:textAlignment w:val="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简单分析</w:t>
            </w:r>
          </w:p>
        </w:tc>
        <w:tc>
          <w:tcPr>
            <w:tcW w:w="6019" w:type="dxa"/>
            <w:noWrap w:val="0"/>
            <w:vAlign w:val="center"/>
          </w:tcPr>
          <w:p w14:paraId="6B71AAC2">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w:t>
            </w:r>
          </w:p>
        </w:tc>
      </w:tr>
      <w:tr w14:paraId="5EF255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284" w:type="dxa"/>
            <w:noWrap w:val="0"/>
            <w:vAlign w:val="center"/>
          </w:tcPr>
          <w:p w14:paraId="64E0B103">
            <w:pPr>
              <w:keepNext w:val="0"/>
              <w:keepLines w:val="0"/>
              <w:pageBreakBefore w:val="0"/>
              <w:widowControl w:val="0"/>
              <w:kinsoku/>
              <w:wordWrap/>
              <w:overflowPunct/>
              <w:topLinePunct w:val="0"/>
              <w:autoSpaceDE/>
              <w:autoSpaceDN/>
              <w:bidi w:val="0"/>
              <w:spacing w:line="360" w:lineRule="auto"/>
              <w:ind w:firstLine="0" w:firstLineChars="0"/>
              <w:jc w:val="center"/>
              <w:textAlignment w:val="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土壤环境</w:t>
            </w:r>
          </w:p>
        </w:tc>
        <w:tc>
          <w:tcPr>
            <w:tcW w:w="1050" w:type="dxa"/>
            <w:noWrap w:val="0"/>
            <w:vAlign w:val="center"/>
          </w:tcPr>
          <w:p w14:paraId="7EB782BD">
            <w:pPr>
              <w:keepNext w:val="0"/>
              <w:keepLines w:val="0"/>
              <w:pageBreakBefore w:val="0"/>
              <w:widowControl w:val="0"/>
              <w:kinsoku/>
              <w:wordWrap/>
              <w:overflowPunct/>
              <w:topLinePunct w:val="0"/>
              <w:autoSpaceDE/>
              <w:autoSpaceDN/>
              <w:bidi w:val="0"/>
              <w:spacing w:line="360" w:lineRule="auto"/>
              <w:ind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eastAsia="宋体" w:cs="Times New Roman"/>
                <w:color w:val="000000" w:themeColor="text1"/>
                <w:sz w:val="21"/>
                <w:szCs w:val="21"/>
                <w:lang w:val="en-US" w:eastAsia="zh-CN"/>
                <w14:textFill>
                  <w14:solidFill>
                    <w14:schemeClr w14:val="tx1"/>
                  </w14:solidFill>
                </w14:textFill>
              </w:rPr>
              <w:t>二</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级</w:t>
            </w:r>
          </w:p>
        </w:tc>
        <w:tc>
          <w:tcPr>
            <w:tcW w:w="6019" w:type="dxa"/>
            <w:noWrap w:val="0"/>
            <w:vAlign w:val="center"/>
          </w:tcPr>
          <w:p w14:paraId="58437166">
            <w:pPr>
              <w:keepNext w:val="0"/>
              <w:keepLines w:val="0"/>
              <w:pageBreakBefore w:val="0"/>
              <w:widowControl w:val="0"/>
              <w:kinsoku/>
              <w:wordWrap/>
              <w:overflowPunct/>
              <w:topLinePunct w:val="0"/>
              <w:autoSpaceDE/>
              <w:autoSpaceDN/>
              <w:bidi w:val="0"/>
              <w:spacing w:line="360" w:lineRule="auto"/>
              <w:ind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项目区外扩0.2km的范围内</w:t>
            </w:r>
          </w:p>
        </w:tc>
      </w:tr>
    </w:tbl>
    <w:p w14:paraId="7477DAB4">
      <w:pPr>
        <w:ind w:firstLine="0" w:firstLineChars="0"/>
        <w:outlineLvl w:val="1"/>
        <w:rPr>
          <w:rFonts w:hint="default" w:ascii="Times New Roman" w:hAnsi="Times New Roman" w:eastAsia="宋体" w:cs="Times New Roman"/>
          <w:b/>
          <w:bCs/>
          <w:color w:val="000000" w:themeColor="text1"/>
          <w:sz w:val="28"/>
          <w:szCs w:val="28"/>
          <w14:textFill>
            <w14:solidFill>
              <w14:schemeClr w14:val="tx1"/>
            </w14:solidFill>
          </w14:textFill>
        </w:rPr>
      </w:pPr>
      <w:bookmarkStart w:id="94" w:name="_Toc14961"/>
      <w:r>
        <w:rPr>
          <w:rFonts w:hint="default" w:ascii="Times New Roman" w:hAnsi="Times New Roman" w:eastAsia="宋体" w:cs="Times New Roman"/>
          <w:b/>
          <w:bCs/>
          <w:color w:val="000000" w:themeColor="text1"/>
          <w:sz w:val="28"/>
          <w:szCs w:val="28"/>
          <w14:textFill>
            <w14:solidFill>
              <w14:schemeClr w14:val="tx1"/>
            </w14:solidFill>
          </w14:textFill>
        </w:rPr>
        <w:t>2.7环境保护目标</w:t>
      </w:r>
      <w:bookmarkEnd w:id="94"/>
    </w:p>
    <w:p w14:paraId="5A247D44">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经现场踏勘和咨询相关部门，评价区域内没有重点文物古迹、珍稀动植物资源等，其保护目标基本情况及保护级别见表2.7-1，环境保护目标图见</w:t>
      </w:r>
      <w:r>
        <w:rPr>
          <w:rFonts w:hint="default" w:ascii="Times New Roman" w:hAnsi="Times New Roman" w:eastAsia="宋体" w:cs="Times New Roman"/>
          <w:color w:val="000000" w:themeColor="text1"/>
          <w:lang w:val="en-US" w:eastAsia="zh-CN"/>
          <w14:textFill>
            <w14:solidFill>
              <w14:schemeClr w14:val="tx1"/>
            </w14:solidFill>
          </w14:textFill>
        </w:rPr>
        <w:t>附</w:t>
      </w:r>
      <w:r>
        <w:rPr>
          <w:rFonts w:hint="default" w:ascii="Times New Roman" w:hAnsi="Times New Roman" w:eastAsia="宋体" w:cs="Times New Roman"/>
          <w:color w:val="000000" w:themeColor="text1"/>
          <w14:textFill>
            <w14:solidFill>
              <w14:schemeClr w14:val="tx1"/>
            </w14:solidFill>
          </w14:textFill>
        </w:rPr>
        <w:t>图2。</w:t>
      </w:r>
    </w:p>
    <w:p w14:paraId="5A2D82E4">
      <w:pPr>
        <w:autoSpaceDE w:val="0"/>
        <w:autoSpaceDN w:val="0"/>
        <w:adjustRightInd w:val="0"/>
        <w:spacing w:before="120" w:beforeLines="50"/>
        <w:ind w:firstLine="482"/>
        <w:jc w:val="center"/>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表2.7-1环境保护目标基本情况一览表</w:t>
      </w:r>
    </w:p>
    <w:tbl>
      <w:tblPr>
        <w:tblStyle w:val="29"/>
        <w:tblW w:w="90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55"/>
        <w:gridCol w:w="840"/>
        <w:gridCol w:w="683"/>
        <w:gridCol w:w="735"/>
        <w:gridCol w:w="1777"/>
        <w:gridCol w:w="803"/>
        <w:gridCol w:w="937"/>
        <w:gridCol w:w="2141"/>
      </w:tblGrid>
      <w:tr w14:paraId="4291B5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 w:hRule="atLeast"/>
          <w:jc w:val="center"/>
        </w:trPr>
        <w:tc>
          <w:tcPr>
            <w:tcW w:w="1155" w:type="dxa"/>
            <w:vAlign w:val="center"/>
          </w:tcPr>
          <w:p w14:paraId="71D7AC01">
            <w:pPr>
              <w:pStyle w:val="44"/>
              <w:spacing w:line="240" w:lineRule="auto"/>
              <w:ind w:firstLine="0" w:firstLineChars="0"/>
              <w:rPr>
                <w:rFonts w:hint="default" w:ascii="Times New Roman" w:hAnsi="Times New Roman" w:eastAsia="宋体" w:cs="Times New Roman"/>
                <w:b/>
                <w:bCs/>
                <w:color w:val="000000" w:themeColor="text1"/>
                <w:sz w:val="21"/>
                <w14:textFill>
                  <w14:solidFill>
                    <w14:schemeClr w14:val="tx1"/>
                  </w14:solidFill>
                </w14:textFill>
              </w:rPr>
            </w:pPr>
            <w:r>
              <w:rPr>
                <w:rFonts w:hint="default" w:ascii="Times New Roman" w:hAnsi="Times New Roman" w:eastAsia="宋体" w:cs="Times New Roman"/>
                <w:b/>
                <w:bCs/>
                <w:color w:val="000000" w:themeColor="text1"/>
                <w:sz w:val="21"/>
                <w14:textFill>
                  <w14:solidFill>
                    <w14:schemeClr w14:val="tx1"/>
                  </w14:solidFill>
                </w14:textFill>
              </w:rPr>
              <w:t>环境要素</w:t>
            </w:r>
          </w:p>
        </w:tc>
        <w:tc>
          <w:tcPr>
            <w:tcW w:w="1523" w:type="dxa"/>
            <w:gridSpan w:val="2"/>
            <w:vAlign w:val="center"/>
          </w:tcPr>
          <w:p w14:paraId="7EE4A63A">
            <w:pPr>
              <w:pStyle w:val="44"/>
              <w:spacing w:line="240" w:lineRule="auto"/>
              <w:ind w:firstLine="0" w:firstLineChars="0"/>
              <w:rPr>
                <w:rFonts w:hint="default" w:ascii="Times New Roman" w:hAnsi="Times New Roman" w:eastAsia="宋体" w:cs="Times New Roman"/>
                <w:b/>
                <w:bCs/>
                <w:color w:val="000000" w:themeColor="text1"/>
                <w:sz w:val="21"/>
                <w14:textFill>
                  <w14:solidFill>
                    <w14:schemeClr w14:val="tx1"/>
                  </w14:solidFill>
                </w14:textFill>
              </w:rPr>
            </w:pPr>
            <w:r>
              <w:rPr>
                <w:rFonts w:hint="default" w:ascii="Times New Roman" w:hAnsi="Times New Roman" w:eastAsia="宋体" w:cs="Times New Roman"/>
                <w:b/>
                <w:bCs/>
                <w:color w:val="000000" w:themeColor="text1"/>
                <w:sz w:val="21"/>
                <w14:textFill>
                  <w14:solidFill>
                    <w14:schemeClr w14:val="tx1"/>
                  </w14:solidFill>
                </w14:textFill>
              </w:rPr>
              <w:t>保护目标名称</w:t>
            </w:r>
          </w:p>
        </w:tc>
        <w:tc>
          <w:tcPr>
            <w:tcW w:w="735" w:type="dxa"/>
            <w:vAlign w:val="center"/>
          </w:tcPr>
          <w:p w14:paraId="07256AC7">
            <w:pPr>
              <w:pStyle w:val="44"/>
              <w:spacing w:line="240" w:lineRule="auto"/>
              <w:ind w:firstLine="0" w:firstLineChars="0"/>
              <w:rPr>
                <w:rFonts w:hint="default" w:ascii="Times New Roman" w:hAnsi="Times New Roman" w:eastAsia="宋体" w:cs="Times New Roman"/>
                <w:b/>
                <w:bCs/>
                <w:color w:val="000000" w:themeColor="text1"/>
                <w:sz w:val="21"/>
                <w14:textFill>
                  <w14:solidFill>
                    <w14:schemeClr w14:val="tx1"/>
                  </w14:solidFill>
                </w14:textFill>
              </w:rPr>
            </w:pPr>
            <w:r>
              <w:rPr>
                <w:rFonts w:hint="default" w:ascii="Times New Roman" w:hAnsi="Times New Roman" w:eastAsia="宋体" w:cs="Times New Roman"/>
                <w:b/>
                <w:bCs/>
                <w:color w:val="000000" w:themeColor="text1"/>
                <w:sz w:val="21"/>
                <w14:textFill>
                  <w14:solidFill>
                    <w14:schemeClr w14:val="tx1"/>
                  </w14:solidFill>
                </w14:textFill>
              </w:rPr>
              <w:t>方位</w:t>
            </w:r>
          </w:p>
        </w:tc>
        <w:tc>
          <w:tcPr>
            <w:tcW w:w="1777" w:type="dxa"/>
            <w:vAlign w:val="center"/>
          </w:tcPr>
          <w:p w14:paraId="4099462F">
            <w:pPr>
              <w:pStyle w:val="44"/>
              <w:spacing w:line="240" w:lineRule="auto"/>
              <w:ind w:firstLine="0" w:firstLineChars="0"/>
              <w:rPr>
                <w:rFonts w:hint="default" w:ascii="Times New Roman" w:hAnsi="Times New Roman" w:eastAsia="宋体" w:cs="Times New Roman"/>
                <w:b/>
                <w:bCs/>
                <w:color w:val="000000" w:themeColor="text1"/>
                <w:sz w:val="21"/>
                <w14:textFill>
                  <w14:solidFill>
                    <w14:schemeClr w14:val="tx1"/>
                  </w14:solidFill>
                </w14:textFill>
              </w:rPr>
            </w:pPr>
            <w:r>
              <w:rPr>
                <w:rFonts w:hint="default" w:ascii="Times New Roman" w:hAnsi="Times New Roman" w:eastAsia="宋体" w:cs="Times New Roman"/>
                <w:b/>
                <w:bCs/>
                <w:color w:val="000000" w:themeColor="text1"/>
                <w:sz w:val="21"/>
                <w14:textFill>
                  <w14:solidFill>
                    <w14:schemeClr w14:val="tx1"/>
                  </w14:solidFill>
                </w14:textFill>
              </w:rPr>
              <w:t>距边界距离（km）</w:t>
            </w:r>
          </w:p>
        </w:tc>
        <w:tc>
          <w:tcPr>
            <w:tcW w:w="803" w:type="dxa"/>
            <w:vAlign w:val="center"/>
          </w:tcPr>
          <w:p w14:paraId="0DC8751F">
            <w:pPr>
              <w:pStyle w:val="44"/>
              <w:spacing w:line="240" w:lineRule="auto"/>
              <w:ind w:firstLine="0" w:firstLineChars="0"/>
              <w:rPr>
                <w:rFonts w:hint="default" w:ascii="Times New Roman" w:hAnsi="Times New Roman" w:eastAsia="宋体" w:cs="Times New Roman"/>
                <w:b/>
                <w:bCs/>
                <w:color w:val="000000" w:themeColor="text1"/>
                <w:sz w:val="21"/>
                <w14:textFill>
                  <w14:solidFill>
                    <w14:schemeClr w14:val="tx1"/>
                  </w14:solidFill>
                </w14:textFill>
              </w:rPr>
            </w:pPr>
            <w:r>
              <w:rPr>
                <w:rFonts w:hint="default" w:ascii="Times New Roman" w:hAnsi="Times New Roman" w:eastAsia="宋体" w:cs="Times New Roman"/>
                <w:b/>
                <w:bCs/>
                <w:color w:val="000000" w:themeColor="text1"/>
                <w:sz w:val="21"/>
                <w14:textFill>
                  <w14:solidFill>
                    <w14:schemeClr w14:val="tx1"/>
                  </w14:solidFill>
                </w14:textFill>
              </w:rPr>
              <w:t>户数</w:t>
            </w:r>
          </w:p>
        </w:tc>
        <w:tc>
          <w:tcPr>
            <w:tcW w:w="937" w:type="dxa"/>
            <w:vAlign w:val="center"/>
          </w:tcPr>
          <w:p w14:paraId="2F051D88">
            <w:pPr>
              <w:pStyle w:val="44"/>
              <w:spacing w:line="240" w:lineRule="auto"/>
              <w:ind w:firstLine="0" w:firstLineChars="0"/>
              <w:rPr>
                <w:rFonts w:hint="default" w:ascii="Times New Roman" w:hAnsi="Times New Roman" w:eastAsia="宋体" w:cs="Times New Roman"/>
                <w:b/>
                <w:bCs/>
                <w:color w:val="000000" w:themeColor="text1"/>
                <w:sz w:val="21"/>
                <w14:textFill>
                  <w14:solidFill>
                    <w14:schemeClr w14:val="tx1"/>
                  </w14:solidFill>
                </w14:textFill>
              </w:rPr>
            </w:pPr>
            <w:r>
              <w:rPr>
                <w:rFonts w:hint="default" w:ascii="Times New Roman" w:hAnsi="Times New Roman" w:eastAsia="宋体" w:cs="Times New Roman"/>
                <w:b/>
                <w:bCs/>
                <w:color w:val="000000" w:themeColor="text1"/>
                <w:sz w:val="21"/>
                <w14:textFill>
                  <w14:solidFill>
                    <w14:schemeClr w14:val="tx1"/>
                  </w14:solidFill>
                </w14:textFill>
              </w:rPr>
              <w:t>人数（人）</w:t>
            </w:r>
          </w:p>
        </w:tc>
        <w:tc>
          <w:tcPr>
            <w:tcW w:w="2141" w:type="dxa"/>
            <w:vAlign w:val="center"/>
          </w:tcPr>
          <w:p w14:paraId="2897F202">
            <w:pPr>
              <w:pStyle w:val="44"/>
              <w:spacing w:line="240" w:lineRule="auto"/>
              <w:ind w:firstLine="0" w:firstLineChars="0"/>
              <w:rPr>
                <w:rFonts w:hint="default" w:ascii="Times New Roman" w:hAnsi="Times New Roman" w:eastAsia="宋体" w:cs="Times New Roman"/>
                <w:b/>
                <w:bCs/>
                <w:color w:val="000000" w:themeColor="text1"/>
                <w:sz w:val="21"/>
                <w14:textFill>
                  <w14:solidFill>
                    <w14:schemeClr w14:val="tx1"/>
                  </w14:solidFill>
                </w14:textFill>
              </w:rPr>
            </w:pPr>
            <w:r>
              <w:rPr>
                <w:rFonts w:hint="default" w:ascii="Times New Roman" w:hAnsi="Times New Roman" w:eastAsia="宋体" w:cs="Times New Roman"/>
                <w:b/>
                <w:bCs/>
                <w:color w:val="000000" w:themeColor="text1"/>
                <w:sz w:val="21"/>
                <w14:textFill>
                  <w14:solidFill>
                    <w14:schemeClr w14:val="tx1"/>
                  </w14:solidFill>
                </w14:textFill>
              </w:rPr>
              <w:t>功能</w:t>
            </w:r>
          </w:p>
        </w:tc>
      </w:tr>
      <w:tr w14:paraId="4F90CA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6" w:hRule="atLeast"/>
          <w:jc w:val="center"/>
        </w:trPr>
        <w:tc>
          <w:tcPr>
            <w:tcW w:w="1155" w:type="dxa"/>
            <w:vAlign w:val="center"/>
          </w:tcPr>
          <w:p w14:paraId="7D35F1CB">
            <w:pPr>
              <w:pStyle w:val="44"/>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大气环境</w:t>
            </w:r>
          </w:p>
        </w:tc>
        <w:tc>
          <w:tcPr>
            <w:tcW w:w="1523" w:type="dxa"/>
            <w:gridSpan w:val="2"/>
            <w:shd w:val="clear" w:color="auto" w:fill="auto"/>
            <w:vAlign w:val="center"/>
          </w:tcPr>
          <w:p w14:paraId="087AAEEA">
            <w:pPr>
              <w:pStyle w:val="44"/>
              <w:spacing w:line="240" w:lineRule="auto"/>
              <w:ind w:firstLine="0" w:firstLineChars="0"/>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六合嘎查</w:t>
            </w:r>
          </w:p>
        </w:tc>
        <w:tc>
          <w:tcPr>
            <w:tcW w:w="735" w:type="dxa"/>
            <w:shd w:val="clear" w:color="auto" w:fill="auto"/>
            <w:vAlign w:val="center"/>
          </w:tcPr>
          <w:p w14:paraId="6A316215">
            <w:pPr>
              <w:pStyle w:val="44"/>
              <w:spacing w:line="240" w:lineRule="auto"/>
              <w:ind w:firstLine="0" w:firstLineChars="0"/>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西北</w:t>
            </w:r>
          </w:p>
        </w:tc>
        <w:tc>
          <w:tcPr>
            <w:tcW w:w="1777" w:type="dxa"/>
            <w:shd w:val="clear" w:color="auto" w:fill="auto"/>
            <w:vAlign w:val="center"/>
          </w:tcPr>
          <w:p w14:paraId="103BF77D">
            <w:pPr>
              <w:pStyle w:val="44"/>
              <w:spacing w:line="240" w:lineRule="auto"/>
              <w:ind w:firstLine="0" w:firstLineChars="0"/>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2.49</w:t>
            </w:r>
          </w:p>
        </w:tc>
        <w:tc>
          <w:tcPr>
            <w:tcW w:w="803" w:type="dxa"/>
            <w:shd w:val="clear" w:color="auto" w:fill="auto"/>
            <w:vAlign w:val="center"/>
          </w:tcPr>
          <w:p w14:paraId="4AE503D4">
            <w:pPr>
              <w:pStyle w:val="44"/>
              <w:spacing w:line="240" w:lineRule="auto"/>
              <w:ind w:firstLine="0" w:firstLineChars="0"/>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185</w:t>
            </w:r>
          </w:p>
        </w:tc>
        <w:tc>
          <w:tcPr>
            <w:tcW w:w="937" w:type="dxa"/>
            <w:shd w:val="clear" w:color="auto" w:fill="auto"/>
            <w:vAlign w:val="center"/>
          </w:tcPr>
          <w:p w14:paraId="743FAA1D">
            <w:pPr>
              <w:pStyle w:val="44"/>
              <w:spacing w:line="240" w:lineRule="auto"/>
              <w:ind w:firstLine="0" w:firstLineChars="0"/>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555</w:t>
            </w:r>
          </w:p>
        </w:tc>
        <w:tc>
          <w:tcPr>
            <w:tcW w:w="2141" w:type="dxa"/>
            <w:shd w:val="clear" w:color="auto" w:fill="auto"/>
            <w:vAlign w:val="center"/>
          </w:tcPr>
          <w:p w14:paraId="255A323E">
            <w:pPr>
              <w:pStyle w:val="44"/>
              <w:spacing w:line="240" w:lineRule="auto"/>
              <w:ind w:firstLine="0" w:firstLineChars="0"/>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《环境空气质量标准》（GB3095-2012）二级标准</w:t>
            </w:r>
          </w:p>
        </w:tc>
      </w:tr>
      <w:tr w14:paraId="69605C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4" w:hRule="atLeast"/>
          <w:jc w:val="center"/>
        </w:trPr>
        <w:tc>
          <w:tcPr>
            <w:tcW w:w="1155" w:type="dxa"/>
            <w:vAlign w:val="center"/>
          </w:tcPr>
          <w:p w14:paraId="369FE426">
            <w:pPr>
              <w:pStyle w:val="44"/>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地下水</w:t>
            </w:r>
          </w:p>
        </w:tc>
        <w:tc>
          <w:tcPr>
            <w:tcW w:w="4035" w:type="dxa"/>
            <w:gridSpan w:val="4"/>
            <w:vAlign w:val="center"/>
          </w:tcPr>
          <w:p w14:paraId="530CE57A">
            <w:pPr>
              <w:pStyle w:val="44"/>
              <w:spacing w:line="240" w:lineRule="auto"/>
              <w:ind w:firstLine="0" w:firstLineChars="0"/>
              <w:rPr>
                <w:rFonts w:hint="default" w:ascii="Times New Roman" w:hAnsi="Times New Roman" w:eastAsia="宋体" w:cs="Times New Roman"/>
                <w:color w:val="0000FF"/>
                <w:sz w:val="21"/>
              </w:rPr>
            </w:pPr>
            <w:r>
              <w:rPr>
                <w:rFonts w:hint="default" w:ascii="Times New Roman" w:hAnsi="Times New Roman" w:eastAsia="宋体" w:cs="Times New Roman"/>
                <w:color w:val="0000FF"/>
                <w:sz w:val="21"/>
                <w:lang w:val="en-US" w:eastAsia="zh-CN"/>
              </w:rPr>
              <w:t>场址区域评价范围内</w:t>
            </w:r>
          </w:p>
        </w:tc>
        <w:tc>
          <w:tcPr>
            <w:tcW w:w="1740" w:type="dxa"/>
            <w:gridSpan w:val="2"/>
            <w:vAlign w:val="center"/>
          </w:tcPr>
          <w:p w14:paraId="316826B6">
            <w:pPr>
              <w:pStyle w:val="44"/>
              <w:spacing w:line="240" w:lineRule="auto"/>
              <w:ind w:firstLine="0" w:firstLineChars="0"/>
              <w:rPr>
                <w:rFonts w:hint="default" w:ascii="Times New Roman" w:hAnsi="Times New Roman" w:eastAsia="宋体" w:cs="Times New Roman"/>
                <w:color w:val="0000FF"/>
                <w:sz w:val="21"/>
                <w:lang w:val="en-US" w:eastAsia="zh-CN"/>
              </w:rPr>
            </w:pPr>
            <w:r>
              <w:rPr>
                <w:rFonts w:hint="default" w:ascii="Times New Roman" w:hAnsi="Times New Roman" w:eastAsia="宋体" w:cs="Times New Roman"/>
                <w:color w:val="0000FF"/>
                <w:sz w:val="21"/>
                <w:lang w:val="en-US" w:eastAsia="zh-CN"/>
              </w:rPr>
              <w:t>灌溉、生活</w:t>
            </w:r>
          </w:p>
          <w:p w14:paraId="6B22BB70">
            <w:pPr>
              <w:pStyle w:val="44"/>
              <w:spacing w:line="240" w:lineRule="auto"/>
              <w:ind w:firstLine="0" w:firstLineChars="0"/>
              <w:rPr>
                <w:rFonts w:hint="default" w:ascii="Times New Roman" w:hAnsi="Times New Roman" w:eastAsia="宋体" w:cs="Times New Roman"/>
                <w:color w:val="0000FF"/>
                <w:sz w:val="21"/>
              </w:rPr>
            </w:pPr>
            <w:r>
              <w:rPr>
                <w:rFonts w:hint="default" w:ascii="Times New Roman" w:hAnsi="Times New Roman" w:eastAsia="宋体" w:cs="Times New Roman"/>
                <w:color w:val="0000FF"/>
                <w:sz w:val="21"/>
                <w:lang w:val="en-US" w:eastAsia="zh-CN"/>
              </w:rPr>
              <w:t>饮用水</w:t>
            </w:r>
          </w:p>
        </w:tc>
        <w:tc>
          <w:tcPr>
            <w:tcW w:w="2141" w:type="dxa"/>
            <w:vAlign w:val="center"/>
          </w:tcPr>
          <w:p w14:paraId="5B0C37BD">
            <w:pPr>
              <w:pStyle w:val="44"/>
              <w:spacing w:line="240" w:lineRule="auto"/>
              <w:ind w:firstLine="0" w:firstLineChars="0"/>
              <w:rPr>
                <w:rFonts w:hint="default" w:ascii="Times New Roman" w:hAnsi="Times New Roman" w:eastAsia="宋体" w:cs="Times New Roman"/>
                <w:color w:val="0000FF"/>
                <w:sz w:val="21"/>
              </w:rPr>
            </w:pPr>
            <w:r>
              <w:rPr>
                <w:rFonts w:hint="default" w:ascii="Times New Roman" w:hAnsi="Times New Roman" w:eastAsia="宋体" w:cs="Times New Roman"/>
                <w:color w:val="0000FF"/>
                <w:sz w:val="21"/>
              </w:rPr>
              <w:t>《地下水质量标准》（GB/T14848-2017）中Ⅲ类标准</w:t>
            </w:r>
          </w:p>
        </w:tc>
      </w:tr>
      <w:tr w14:paraId="7C2248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5" w:hRule="atLeast"/>
          <w:jc w:val="center"/>
        </w:trPr>
        <w:tc>
          <w:tcPr>
            <w:tcW w:w="1155" w:type="dxa"/>
            <w:vAlign w:val="center"/>
          </w:tcPr>
          <w:p w14:paraId="5679A80D">
            <w:pPr>
              <w:pStyle w:val="44"/>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声环境</w:t>
            </w:r>
          </w:p>
        </w:tc>
        <w:tc>
          <w:tcPr>
            <w:tcW w:w="4035" w:type="dxa"/>
            <w:gridSpan w:val="4"/>
            <w:vAlign w:val="center"/>
          </w:tcPr>
          <w:p w14:paraId="62322FAE">
            <w:pPr>
              <w:pStyle w:val="44"/>
              <w:spacing w:line="240" w:lineRule="auto"/>
              <w:ind w:firstLine="0" w:firstLineChars="0"/>
              <w:rPr>
                <w:rFonts w:hint="default" w:ascii="Times New Roman" w:hAnsi="Times New Roman" w:eastAsia="宋体" w:cs="Times New Roman"/>
                <w:color w:val="000000" w:themeColor="text1"/>
                <w:sz w:val="21"/>
                <w:lang w:val="en-US"/>
                <w14:textFill>
                  <w14:solidFill>
                    <w14:schemeClr w14:val="tx1"/>
                  </w14:solidFill>
                </w14:textFill>
              </w:rPr>
            </w:pPr>
            <w:r>
              <w:rPr>
                <w:rFonts w:hint="eastAsia" w:cs="Times New Roman"/>
                <w:color w:val="000000" w:themeColor="text1"/>
                <w:sz w:val="21"/>
                <w:lang w:val="en-US" w:eastAsia="zh-CN"/>
                <w14:textFill>
                  <w14:solidFill>
                    <w14:schemeClr w14:val="tx1"/>
                  </w14:solidFill>
                </w14:textFill>
              </w:rPr>
              <w:t>项目厂界</w:t>
            </w:r>
            <w:r>
              <w:rPr>
                <w:rFonts w:hint="default" w:ascii="Times New Roman" w:hAnsi="Times New Roman" w:eastAsia="宋体" w:cs="Times New Roman"/>
                <w:color w:val="000000" w:themeColor="text1"/>
                <w:sz w:val="21"/>
                <w14:textFill>
                  <w14:solidFill>
                    <w14:schemeClr w14:val="tx1"/>
                  </w14:solidFill>
                </w14:textFill>
              </w:rPr>
              <w:t>外200m范围</w:t>
            </w:r>
            <w:r>
              <w:rPr>
                <w:rFonts w:hint="eastAsia" w:cs="Times New Roman"/>
                <w:color w:val="000000" w:themeColor="text1"/>
                <w:sz w:val="21"/>
                <w:lang w:val="en-US" w:eastAsia="zh-CN"/>
                <w14:textFill>
                  <w14:solidFill>
                    <w14:schemeClr w14:val="tx1"/>
                  </w14:solidFill>
                </w14:textFill>
              </w:rPr>
              <w:t>无声环境保护目标</w:t>
            </w:r>
          </w:p>
        </w:tc>
        <w:tc>
          <w:tcPr>
            <w:tcW w:w="3881" w:type="dxa"/>
            <w:gridSpan w:val="3"/>
            <w:vAlign w:val="center"/>
          </w:tcPr>
          <w:p w14:paraId="712F1CEA">
            <w:pPr>
              <w:pStyle w:val="44"/>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《声环境质量标准》（GB3096-2008）2类标准</w:t>
            </w:r>
          </w:p>
        </w:tc>
      </w:tr>
      <w:tr w14:paraId="3D2EC6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5" w:hRule="atLeast"/>
          <w:jc w:val="center"/>
        </w:trPr>
        <w:tc>
          <w:tcPr>
            <w:tcW w:w="1155" w:type="dxa"/>
            <w:vAlign w:val="center"/>
          </w:tcPr>
          <w:p w14:paraId="38725320">
            <w:pPr>
              <w:pStyle w:val="44"/>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土壤环境</w:t>
            </w:r>
          </w:p>
        </w:tc>
        <w:tc>
          <w:tcPr>
            <w:tcW w:w="4035" w:type="dxa"/>
            <w:gridSpan w:val="4"/>
            <w:vAlign w:val="center"/>
          </w:tcPr>
          <w:p w14:paraId="6237E627">
            <w:pPr>
              <w:pStyle w:val="44"/>
              <w:spacing w:line="240" w:lineRule="auto"/>
              <w:ind w:firstLine="0" w:firstLineChars="0"/>
              <w:rPr>
                <w:rFonts w:hint="eastAsia" w:cs="Times New Roman"/>
                <w:color w:val="000000" w:themeColor="text1"/>
                <w:sz w:val="21"/>
                <w:lang w:val="en-US" w:eastAsia="zh-CN"/>
                <w14:textFill>
                  <w14:solidFill>
                    <w14:schemeClr w14:val="tx1"/>
                  </w14:solidFill>
                </w14:textFill>
              </w:rPr>
            </w:pPr>
            <w:r>
              <w:rPr>
                <w:rFonts w:hint="default" w:ascii="Times New Roman" w:hAnsi="Times New Roman" w:eastAsia="宋体" w:cs="Times New Roman"/>
                <w:color w:val="0000FF"/>
                <w:sz w:val="21"/>
              </w:rPr>
              <w:t>厂区周边0.2km范围内土壤质量</w:t>
            </w:r>
          </w:p>
        </w:tc>
        <w:tc>
          <w:tcPr>
            <w:tcW w:w="3881" w:type="dxa"/>
            <w:gridSpan w:val="3"/>
            <w:vAlign w:val="center"/>
          </w:tcPr>
          <w:p w14:paraId="745FD34A">
            <w:pPr>
              <w:pStyle w:val="44"/>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《土壤环境质量农用地污染风险管控标准（试行）》（GB15618-2018）</w:t>
            </w:r>
          </w:p>
        </w:tc>
      </w:tr>
      <w:tr w14:paraId="630081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5" w:hRule="atLeast"/>
          <w:jc w:val="center"/>
        </w:trPr>
        <w:tc>
          <w:tcPr>
            <w:tcW w:w="1155" w:type="dxa"/>
            <w:vMerge w:val="restart"/>
            <w:shd w:val="clear" w:color="auto" w:fill="auto"/>
            <w:vAlign w:val="center"/>
          </w:tcPr>
          <w:p w14:paraId="395163FC">
            <w:pPr>
              <w:keepNext w:val="0"/>
              <w:keepLines w:val="0"/>
              <w:pageBreakBefore w:val="0"/>
              <w:kinsoku/>
              <w:wordWrap/>
              <w:overflowPunct/>
              <w:topLinePunct w:val="0"/>
              <w:autoSpaceDE/>
              <w:autoSpaceDN/>
              <w:bidi w:val="0"/>
              <w:adjustRightInd/>
              <w:snapToGrid/>
              <w:spacing w:line="0" w:lineRule="atLeast"/>
              <w:ind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cs="Times New Roman"/>
                <w:color w:val="000000" w:themeColor="text1"/>
                <w:sz w:val="21"/>
                <w:szCs w:val="21"/>
                <w14:textFill>
                  <w14:solidFill>
                    <w14:schemeClr w14:val="tx1"/>
                  </w14:solidFill>
                </w14:textFill>
              </w:rPr>
              <w:t>生态环境</w:t>
            </w:r>
          </w:p>
        </w:tc>
        <w:tc>
          <w:tcPr>
            <w:tcW w:w="840" w:type="dxa"/>
            <w:shd w:val="clear" w:color="auto" w:fill="auto"/>
            <w:vAlign w:val="center"/>
          </w:tcPr>
          <w:p w14:paraId="6A6E59C0">
            <w:pPr>
              <w:keepNext w:val="0"/>
              <w:keepLines w:val="0"/>
              <w:pageBreakBefore w:val="0"/>
              <w:kinsoku/>
              <w:wordWrap/>
              <w:overflowPunct/>
              <w:topLinePunct w:val="0"/>
              <w:autoSpaceDE/>
              <w:autoSpaceDN/>
              <w:bidi w:val="0"/>
              <w:adjustRightInd/>
              <w:snapToGrid/>
              <w:spacing w:line="0" w:lineRule="atLeast"/>
              <w:ind w:firstLine="0" w:firstLineChars="0"/>
              <w:jc w:val="center"/>
              <w:textAlignment w:val="auto"/>
              <w:rPr>
                <w:rFonts w:hint="default" w:ascii="Times New Roman" w:hAnsi="Times New Roman" w:eastAsia="宋体" w:cs="Times New Roman"/>
                <w:color w:val="0000FF"/>
                <w:kern w:val="2"/>
                <w:sz w:val="21"/>
                <w:szCs w:val="21"/>
                <w:lang w:val="en-US" w:eastAsia="zh-CN" w:bidi="ar-SA"/>
              </w:rPr>
            </w:pPr>
            <w:r>
              <w:rPr>
                <w:rFonts w:hint="eastAsia" w:cs="Times New Roman"/>
                <w:color w:val="0000FF"/>
                <w:kern w:val="2"/>
                <w:sz w:val="21"/>
                <w:szCs w:val="21"/>
                <w:lang w:val="en-US" w:eastAsia="zh-CN" w:bidi="ar-SA"/>
              </w:rPr>
              <w:t>植被</w:t>
            </w:r>
          </w:p>
        </w:tc>
        <w:tc>
          <w:tcPr>
            <w:tcW w:w="4935" w:type="dxa"/>
            <w:gridSpan w:val="5"/>
            <w:shd w:val="clear" w:color="auto" w:fill="auto"/>
            <w:vAlign w:val="center"/>
          </w:tcPr>
          <w:p w14:paraId="20C7DC85">
            <w:pPr>
              <w:spacing w:line="240" w:lineRule="auto"/>
              <w:ind w:firstLine="0" w:firstLineChars="0"/>
              <w:jc w:val="center"/>
              <w:rPr>
                <w:rFonts w:cs="Times New Roman"/>
                <w:color w:val="0000FF"/>
                <w:sz w:val="21"/>
                <w:szCs w:val="21"/>
              </w:rPr>
            </w:pPr>
            <w:r>
              <w:rPr>
                <w:rFonts w:hint="eastAsia"/>
                <w:color w:val="0000FF"/>
                <w:sz w:val="21"/>
                <w:szCs w:val="21"/>
                <w:lang w:val="en-US" w:eastAsia="zh-CN"/>
              </w:rPr>
              <w:t>项目</w:t>
            </w:r>
            <w:r>
              <w:rPr>
                <w:color w:val="0000FF"/>
                <w:sz w:val="21"/>
                <w:szCs w:val="21"/>
              </w:rPr>
              <w:t>周边</w:t>
            </w:r>
            <w:r>
              <w:rPr>
                <w:rFonts w:hint="eastAsia"/>
                <w:color w:val="0000FF"/>
                <w:sz w:val="21"/>
                <w:szCs w:val="21"/>
                <w:lang w:val="en-US" w:eastAsia="zh-CN"/>
              </w:rPr>
              <w:t>10</w:t>
            </w:r>
            <w:r>
              <w:rPr>
                <w:color w:val="0000FF"/>
                <w:sz w:val="21"/>
                <w:szCs w:val="21"/>
              </w:rPr>
              <w:t>00m范围内植被，以</w:t>
            </w:r>
            <w:r>
              <w:rPr>
                <w:rFonts w:hint="eastAsia"/>
                <w:color w:val="0000FF"/>
                <w:sz w:val="21"/>
                <w:szCs w:val="21"/>
                <w:lang w:val="en-US" w:eastAsia="zh-CN"/>
              </w:rPr>
              <w:t>杨树林</w:t>
            </w:r>
            <w:r>
              <w:rPr>
                <w:color w:val="0000FF"/>
                <w:sz w:val="21"/>
                <w:szCs w:val="21"/>
              </w:rPr>
              <w:t>为主，未发现国家重点保护野生植物。</w:t>
            </w:r>
          </w:p>
        </w:tc>
        <w:tc>
          <w:tcPr>
            <w:tcW w:w="2141" w:type="dxa"/>
            <w:vMerge w:val="restart"/>
            <w:shd w:val="clear" w:color="auto" w:fill="auto"/>
            <w:vAlign w:val="center"/>
          </w:tcPr>
          <w:p w14:paraId="71731D1E">
            <w:pPr>
              <w:keepNext w:val="0"/>
              <w:keepLines w:val="0"/>
              <w:pageBreakBefore w:val="0"/>
              <w:kinsoku/>
              <w:wordWrap/>
              <w:overflowPunct/>
              <w:topLinePunct w:val="0"/>
              <w:autoSpaceDE/>
              <w:autoSpaceDN/>
              <w:bidi w:val="0"/>
              <w:adjustRightInd/>
              <w:snapToGrid/>
              <w:spacing w:line="0" w:lineRule="atLeast"/>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对生态环境影响最小化，施工结束后有效恢复</w:t>
            </w:r>
          </w:p>
        </w:tc>
      </w:tr>
      <w:tr w14:paraId="60F806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5" w:hRule="atLeast"/>
          <w:jc w:val="center"/>
        </w:trPr>
        <w:tc>
          <w:tcPr>
            <w:tcW w:w="1155" w:type="dxa"/>
            <w:vMerge w:val="continue"/>
            <w:shd w:val="clear" w:color="auto" w:fill="auto"/>
            <w:vAlign w:val="center"/>
          </w:tcPr>
          <w:p w14:paraId="2569D065">
            <w:pPr>
              <w:keepNext w:val="0"/>
              <w:keepLines w:val="0"/>
              <w:pageBreakBefore w:val="0"/>
              <w:kinsoku/>
              <w:wordWrap/>
              <w:overflowPunct/>
              <w:topLinePunct w:val="0"/>
              <w:autoSpaceDE/>
              <w:autoSpaceDN/>
              <w:bidi w:val="0"/>
              <w:adjustRightInd/>
              <w:snapToGrid/>
              <w:spacing w:line="0" w:lineRule="atLeast"/>
              <w:ind w:firstLine="0" w:firstLineChars="0"/>
              <w:jc w:val="center"/>
              <w:textAlignment w:val="auto"/>
              <w:rPr>
                <w:rFonts w:cs="Times New Roman"/>
                <w:color w:val="000000" w:themeColor="text1"/>
                <w:sz w:val="21"/>
                <w:szCs w:val="21"/>
                <w14:textFill>
                  <w14:solidFill>
                    <w14:schemeClr w14:val="tx1"/>
                  </w14:solidFill>
                </w14:textFill>
              </w:rPr>
            </w:pPr>
          </w:p>
        </w:tc>
        <w:tc>
          <w:tcPr>
            <w:tcW w:w="840" w:type="dxa"/>
            <w:shd w:val="clear" w:color="auto" w:fill="auto"/>
            <w:vAlign w:val="center"/>
          </w:tcPr>
          <w:p w14:paraId="14C955ED">
            <w:pPr>
              <w:keepNext w:val="0"/>
              <w:keepLines w:val="0"/>
              <w:pageBreakBefore w:val="0"/>
              <w:kinsoku/>
              <w:wordWrap/>
              <w:overflowPunct/>
              <w:topLinePunct w:val="0"/>
              <w:autoSpaceDE/>
              <w:autoSpaceDN/>
              <w:bidi w:val="0"/>
              <w:adjustRightInd/>
              <w:snapToGrid/>
              <w:spacing w:line="0" w:lineRule="atLeast"/>
              <w:ind w:firstLine="0" w:firstLineChars="0"/>
              <w:jc w:val="center"/>
              <w:textAlignment w:val="auto"/>
              <w:rPr>
                <w:rFonts w:hint="eastAsia" w:eastAsia="宋体" w:cs="Times New Roman"/>
                <w:color w:val="0000FF"/>
                <w:sz w:val="21"/>
                <w:szCs w:val="21"/>
                <w:lang w:val="en-US" w:eastAsia="zh-CN"/>
              </w:rPr>
            </w:pPr>
            <w:r>
              <w:rPr>
                <w:rFonts w:hint="eastAsia" w:cs="Times New Roman"/>
                <w:color w:val="0000FF"/>
                <w:sz w:val="21"/>
                <w:szCs w:val="21"/>
                <w:lang w:val="en-US" w:eastAsia="zh-CN"/>
              </w:rPr>
              <w:t>动物</w:t>
            </w:r>
          </w:p>
        </w:tc>
        <w:tc>
          <w:tcPr>
            <w:tcW w:w="4935" w:type="dxa"/>
            <w:gridSpan w:val="5"/>
            <w:shd w:val="clear" w:color="auto" w:fill="auto"/>
            <w:vAlign w:val="center"/>
          </w:tcPr>
          <w:p w14:paraId="704FC7AF">
            <w:pPr>
              <w:keepNext w:val="0"/>
              <w:keepLines w:val="0"/>
              <w:pageBreakBefore w:val="0"/>
              <w:kinsoku/>
              <w:wordWrap/>
              <w:overflowPunct/>
              <w:topLinePunct w:val="0"/>
              <w:autoSpaceDE/>
              <w:autoSpaceDN/>
              <w:bidi w:val="0"/>
              <w:adjustRightInd/>
              <w:snapToGrid/>
              <w:spacing w:line="0" w:lineRule="atLeast"/>
              <w:ind w:firstLine="0" w:firstLineChars="0"/>
              <w:jc w:val="center"/>
              <w:textAlignment w:val="auto"/>
              <w:rPr>
                <w:rFonts w:cs="Times New Roman"/>
                <w:color w:val="0000FF"/>
                <w:sz w:val="21"/>
                <w:szCs w:val="21"/>
              </w:rPr>
            </w:pPr>
            <w:r>
              <w:rPr>
                <w:rFonts w:hint="default" w:asciiTheme="minorAscii" w:hAnsiTheme="minorAscii" w:eastAsiaTheme="minorEastAsia"/>
                <w:color w:val="0000FF"/>
                <w:spacing w:val="-6"/>
                <w:sz w:val="21"/>
                <w:szCs w:val="21"/>
                <w:lang w:val="en-US" w:eastAsia="zh-CN"/>
              </w:rPr>
              <w:t>项目</w:t>
            </w:r>
            <w:r>
              <w:rPr>
                <w:rFonts w:hint="default" w:asciiTheme="minorAscii" w:hAnsiTheme="minorAscii" w:eastAsiaTheme="minorEastAsia"/>
                <w:color w:val="0000FF"/>
                <w:spacing w:val="-6"/>
                <w:sz w:val="21"/>
                <w:szCs w:val="21"/>
              </w:rPr>
              <w:t>周边</w:t>
            </w:r>
            <w:r>
              <w:rPr>
                <w:rFonts w:hint="eastAsia" w:asciiTheme="minorAscii" w:hAnsiTheme="minorAscii" w:eastAsiaTheme="minorEastAsia"/>
                <w:color w:val="0000FF"/>
                <w:spacing w:val="-6"/>
                <w:sz w:val="21"/>
                <w:szCs w:val="21"/>
                <w:lang w:val="en-US" w:eastAsia="zh-CN"/>
              </w:rPr>
              <w:t>10</w:t>
            </w:r>
            <w:r>
              <w:rPr>
                <w:rFonts w:hint="default" w:asciiTheme="minorAscii" w:hAnsiTheme="minorAscii" w:eastAsiaTheme="minorEastAsia"/>
                <w:color w:val="0000FF"/>
                <w:spacing w:val="-6"/>
                <w:sz w:val="21"/>
                <w:szCs w:val="21"/>
              </w:rPr>
              <w:t>00m范围内动物，以常见野生动物为主，未发现国家重点保护野生动物。</w:t>
            </w:r>
          </w:p>
        </w:tc>
        <w:tc>
          <w:tcPr>
            <w:tcW w:w="2141" w:type="dxa"/>
            <w:vMerge w:val="continue"/>
            <w:shd w:val="clear" w:color="auto" w:fill="auto"/>
            <w:vAlign w:val="center"/>
          </w:tcPr>
          <w:p w14:paraId="2052FE14">
            <w:pPr>
              <w:keepNext w:val="0"/>
              <w:keepLines w:val="0"/>
              <w:pageBreakBefore w:val="0"/>
              <w:kinsoku/>
              <w:wordWrap/>
              <w:overflowPunct/>
              <w:topLinePunct w:val="0"/>
              <w:autoSpaceDE/>
              <w:autoSpaceDN/>
              <w:bidi w:val="0"/>
              <w:adjustRightInd/>
              <w:snapToGrid/>
              <w:spacing w:line="0" w:lineRule="atLeast"/>
              <w:ind w:firstLine="0" w:firstLineChars="0"/>
              <w:jc w:val="center"/>
              <w:textAlignment w:val="auto"/>
              <w:rPr>
                <w:rFonts w:cs="Times New Roman"/>
                <w:color w:val="000000" w:themeColor="text1"/>
                <w:sz w:val="21"/>
                <w:szCs w:val="21"/>
                <w14:textFill>
                  <w14:solidFill>
                    <w14:schemeClr w14:val="tx1"/>
                  </w14:solidFill>
                </w14:textFill>
              </w:rPr>
            </w:pPr>
          </w:p>
        </w:tc>
      </w:tr>
      <w:tr w14:paraId="7A65C1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5" w:hRule="atLeast"/>
          <w:jc w:val="center"/>
        </w:trPr>
        <w:tc>
          <w:tcPr>
            <w:tcW w:w="1155" w:type="dxa"/>
            <w:shd w:val="clear" w:color="auto" w:fill="auto"/>
            <w:vAlign w:val="center"/>
          </w:tcPr>
          <w:p w14:paraId="0AAF6942">
            <w:pPr>
              <w:keepNext w:val="0"/>
              <w:keepLines w:val="0"/>
              <w:pageBreakBefore w:val="0"/>
              <w:kinsoku/>
              <w:wordWrap/>
              <w:overflowPunct/>
              <w:topLinePunct w:val="0"/>
              <w:autoSpaceDE/>
              <w:autoSpaceDN/>
              <w:bidi w:val="0"/>
              <w:adjustRightInd/>
              <w:snapToGrid/>
              <w:spacing w:line="0" w:lineRule="atLeast"/>
              <w:ind w:firstLine="0" w:firstLineChars="0"/>
              <w:jc w:val="center"/>
              <w:textAlignment w:val="auto"/>
              <w:rPr>
                <w:rFonts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cs="Times New Roman"/>
                <w:color w:val="000000" w:themeColor="text1"/>
                <w:sz w:val="21"/>
                <w:szCs w:val="21"/>
                <w14:textFill>
                  <w14:solidFill>
                    <w14:schemeClr w14:val="tx1"/>
                  </w14:solidFill>
                </w14:textFill>
              </w:rPr>
              <w:t>环境风险</w:t>
            </w:r>
          </w:p>
        </w:tc>
        <w:tc>
          <w:tcPr>
            <w:tcW w:w="7916" w:type="dxa"/>
            <w:gridSpan w:val="7"/>
            <w:shd w:val="clear" w:color="auto" w:fill="auto"/>
            <w:vAlign w:val="center"/>
          </w:tcPr>
          <w:p w14:paraId="599CF3D5">
            <w:pPr>
              <w:keepNext w:val="0"/>
              <w:keepLines w:val="0"/>
              <w:pageBreakBefore w:val="0"/>
              <w:kinsoku/>
              <w:wordWrap/>
              <w:overflowPunct/>
              <w:topLinePunct w:val="0"/>
              <w:autoSpaceDE/>
              <w:autoSpaceDN/>
              <w:bidi w:val="0"/>
              <w:adjustRightInd/>
              <w:snapToGrid/>
              <w:spacing w:line="0" w:lineRule="atLeast"/>
              <w:ind w:firstLine="0" w:firstLineChars="0"/>
              <w:jc w:val="center"/>
              <w:textAlignment w:val="auto"/>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最大限度降低风</w:t>
            </w:r>
            <w:r>
              <w:rPr>
                <w:rFonts w:cs="Times New Roman"/>
                <w:color w:val="000000" w:themeColor="text1"/>
                <w:sz w:val="21"/>
                <w:szCs w:val="21"/>
                <w:highlight w:val="yellow"/>
                <w14:textFill>
                  <w14:solidFill>
                    <w14:schemeClr w14:val="tx1"/>
                  </w14:solidFill>
                </w14:textFill>
              </w:rPr>
              <w:t>险事故，减缓事</w:t>
            </w:r>
            <w:r>
              <w:rPr>
                <w:rFonts w:cs="Times New Roman"/>
                <w:color w:val="000000" w:themeColor="text1"/>
                <w:sz w:val="21"/>
                <w:szCs w:val="21"/>
                <w14:textFill>
                  <w14:solidFill>
                    <w14:schemeClr w14:val="tx1"/>
                  </w14:solidFill>
                </w14:textFill>
              </w:rPr>
              <w:t>故影响，将风险降到最低</w:t>
            </w:r>
          </w:p>
        </w:tc>
      </w:tr>
    </w:tbl>
    <w:p w14:paraId="6DFB89E2">
      <w:pPr>
        <w:ind w:firstLine="480"/>
        <w:rPr>
          <w:rFonts w:hint="default" w:ascii="Times New Roman" w:hAnsi="Times New Roman" w:eastAsia="宋体" w:cs="Times New Roman"/>
          <w:color w:val="000000" w:themeColor="text1"/>
          <w14:textFill>
            <w14:solidFill>
              <w14:schemeClr w14:val="tx1"/>
            </w14:solidFill>
          </w14:textFill>
        </w:rPr>
      </w:pPr>
    </w:p>
    <w:p w14:paraId="5A079C5D">
      <w:pPr>
        <w:ind w:firstLine="480"/>
        <w:rPr>
          <w:rFonts w:hint="default" w:ascii="Times New Roman" w:hAnsi="Times New Roman" w:eastAsia="宋体" w:cs="Times New Roman"/>
          <w:color w:val="000000" w:themeColor="text1"/>
          <w14:textFill>
            <w14:solidFill>
              <w14:schemeClr w14:val="tx1"/>
            </w14:solidFill>
          </w14:textFill>
        </w:rPr>
      </w:pPr>
    </w:p>
    <w:p w14:paraId="1F62B2EE">
      <w:pPr>
        <w:ind w:firstLine="480"/>
        <w:rPr>
          <w:rFonts w:hint="default" w:ascii="Times New Roman" w:hAnsi="Times New Roman" w:eastAsia="宋体" w:cs="Times New Roman"/>
          <w:color w:val="000000" w:themeColor="text1"/>
          <w14:textFill>
            <w14:solidFill>
              <w14:schemeClr w14:val="tx1"/>
            </w14:solidFill>
          </w14:textFill>
        </w:rPr>
        <w:sectPr>
          <w:pgSz w:w="11910" w:h="16840"/>
          <w:pgMar w:top="1440" w:right="1803" w:bottom="1440" w:left="1803" w:header="898" w:footer="998" w:gutter="0"/>
          <w:pgNumType w:fmt="decimal"/>
          <w:cols w:space="0" w:num="1"/>
          <w:titlePg/>
        </w:sectPr>
      </w:pPr>
    </w:p>
    <w:p w14:paraId="36CF3BFB">
      <w:pPr>
        <w:ind w:firstLine="0" w:firstLineChars="0"/>
        <w:outlineLvl w:val="0"/>
        <w:rPr>
          <w:rFonts w:hint="default" w:ascii="Times New Roman" w:hAnsi="Times New Roman" w:eastAsia="宋体" w:cs="Times New Roman"/>
          <w:b/>
          <w:bCs/>
          <w:color w:val="000000" w:themeColor="text1"/>
          <w:sz w:val="30"/>
          <w:szCs w:val="30"/>
          <w14:textFill>
            <w14:solidFill>
              <w14:schemeClr w14:val="tx1"/>
            </w14:solidFill>
          </w14:textFill>
        </w:rPr>
      </w:pPr>
      <w:bookmarkStart w:id="95" w:name="_Toc4498"/>
      <w:r>
        <w:rPr>
          <w:rFonts w:hint="default" w:ascii="Times New Roman" w:hAnsi="Times New Roman" w:eastAsia="宋体" w:cs="Times New Roman"/>
          <w:b/>
          <w:bCs/>
          <w:color w:val="000000" w:themeColor="text1"/>
          <w:sz w:val="30"/>
          <w:szCs w:val="30"/>
          <w14:textFill>
            <w14:solidFill>
              <w14:schemeClr w14:val="tx1"/>
            </w14:solidFill>
          </w14:textFill>
        </w:rPr>
        <w:t>3建设项目工程分析</w:t>
      </w:r>
      <w:bookmarkEnd w:id="95"/>
    </w:p>
    <w:p w14:paraId="4A50DDA9">
      <w:pPr>
        <w:ind w:firstLine="0" w:firstLineChars="0"/>
        <w:outlineLvl w:val="1"/>
        <w:rPr>
          <w:rFonts w:hint="default" w:ascii="Times New Roman" w:hAnsi="Times New Roman" w:eastAsia="宋体" w:cs="Times New Roman"/>
          <w:b/>
          <w:bCs/>
          <w:color w:val="000000" w:themeColor="text1"/>
          <w:sz w:val="28"/>
          <w:szCs w:val="28"/>
          <w14:textFill>
            <w14:solidFill>
              <w14:schemeClr w14:val="tx1"/>
            </w14:solidFill>
          </w14:textFill>
        </w:rPr>
      </w:pPr>
      <w:bookmarkStart w:id="96" w:name="_Toc13493"/>
      <w:r>
        <w:rPr>
          <w:rFonts w:hint="default" w:ascii="Times New Roman" w:hAnsi="Times New Roman" w:eastAsia="宋体" w:cs="Times New Roman"/>
          <w:b/>
          <w:bCs/>
          <w:color w:val="000000" w:themeColor="text1"/>
          <w:sz w:val="28"/>
          <w:szCs w:val="28"/>
          <w14:textFill>
            <w14:solidFill>
              <w14:schemeClr w14:val="tx1"/>
            </w14:solidFill>
          </w14:textFill>
        </w:rPr>
        <w:t>3.1建设项目概况</w:t>
      </w:r>
      <w:bookmarkEnd w:id="96"/>
    </w:p>
    <w:p w14:paraId="73FEA916">
      <w:pPr>
        <w:ind w:firstLine="482"/>
        <w:outlineLvl w:val="2"/>
        <w:rPr>
          <w:rFonts w:hint="default" w:ascii="Times New Roman" w:hAnsi="Times New Roman" w:eastAsia="宋体" w:cs="Times New Roman"/>
          <w:b/>
          <w:bCs/>
          <w:color w:val="000000" w:themeColor="text1"/>
          <w14:textFill>
            <w14:solidFill>
              <w14:schemeClr w14:val="tx1"/>
            </w14:solidFill>
          </w14:textFill>
        </w:rPr>
      </w:pPr>
      <w:bookmarkStart w:id="97" w:name="_Toc18349"/>
      <w:r>
        <w:rPr>
          <w:rFonts w:hint="default" w:ascii="Times New Roman" w:hAnsi="Times New Roman" w:eastAsia="宋体" w:cs="Times New Roman"/>
          <w:b/>
          <w:bCs/>
          <w:color w:val="000000" w:themeColor="text1"/>
          <w14:textFill>
            <w14:solidFill>
              <w14:schemeClr w14:val="tx1"/>
            </w14:solidFill>
          </w14:textFill>
        </w:rPr>
        <w:t>3.1.1项目概况</w:t>
      </w:r>
      <w:bookmarkEnd w:id="97"/>
    </w:p>
    <w:p w14:paraId="53F4751A">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项目名称：科右前旗现代农牧业园区核心育种场养殖项目</w:t>
      </w:r>
    </w:p>
    <w:p w14:paraId="1B78ACA4">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建设单位：科尔沁右翼前旗现代农牧业园区管理委员会</w:t>
      </w:r>
    </w:p>
    <w:p w14:paraId="552EE4E5">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建设性质：新建</w:t>
      </w:r>
    </w:p>
    <w:p w14:paraId="37819B33">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建设地点：</w:t>
      </w:r>
      <w:bookmarkStart w:id="98" w:name="_Hlk167093517"/>
      <w:r>
        <w:rPr>
          <w:rFonts w:hint="default" w:ascii="Times New Roman" w:hAnsi="Times New Roman" w:eastAsia="宋体" w:cs="Times New Roman"/>
          <w:color w:val="000000" w:themeColor="text1"/>
          <w14:textFill>
            <w14:solidFill>
              <w14:schemeClr w14:val="tx1"/>
            </w14:solidFill>
          </w14:textFill>
        </w:rPr>
        <w:t>内蒙古自治区兴安盟</w:t>
      </w:r>
      <w:r>
        <w:rPr>
          <w:rFonts w:hint="eastAsia" w:cs="Times New Roman"/>
          <w:color w:val="000000" w:themeColor="text1"/>
          <w:lang w:eastAsia="zh-CN"/>
          <w14:textFill>
            <w14:solidFill>
              <w14:schemeClr w14:val="tx1"/>
            </w14:solidFill>
          </w14:textFill>
        </w:rPr>
        <w:t>科尔沁右翼前旗</w:t>
      </w:r>
      <w:r>
        <w:rPr>
          <w:rFonts w:hint="default" w:ascii="Times New Roman" w:hAnsi="Times New Roman" w:eastAsia="宋体" w:cs="Times New Roman"/>
          <w:color w:val="000000" w:themeColor="text1"/>
          <w14:textFill>
            <w14:solidFill>
              <w14:schemeClr w14:val="tx1"/>
            </w14:solidFill>
          </w14:textFill>
        </w:rPr>
        <w:t>现代农牧业园区，场址中心坐标为：E122°16′33.395″，N46°11′12.447″</w:t>
      </w:r>
      <w:bookmarkEnd w:id="98"/>
      <w:r>
        <w:rPr>
          <w:rFonts w:hint="default" w:ascii="Times New Roman" w:hAnsi="Times New Roman" w:eastAsia="宋体" w:cs="Times New Roman"/>
          <w:color w:val="000000" w:themeColor="text1"/>
          <w14:textFill>
            <w14:solidFill>
              <w14:schemeClr w14:val="tx1"/>
            </w14:solidFill>
          </w14:textFill>
        </w:rPr>
        <w:t>。地理位置图见附图1，周边关系图见附图2。</w:t>
      </w:r>
    </w:p>
    <w:p w14:paraId="6A6615B8">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建设规模：</w:t>
      </w:r>
      <w:bookmarkStart w:id="99" w:name="_Hlk167093892"/>
      <w:r>
        <w:rPr>
          <w:rFonts w:hint="eastAsia" w:cs="Times New Roman"/>
          <w:color w:val="000000" w:themeColor="text1"/>
          <w:kern w:val="0"/>
          <w:lang w:val="en-US" w:eastAsia="zh-CN"/>
          <w14:textFill>
            <w14:solidFill>
              <w14:schemeClr w14:val="tx1"/>
            </w14:solidFill>
          </w14:textFill>
        </w:rPr>
        <w:t>年存栏</w:t>
      </w:r>
      <w:r>
        <w:rPr>
          <w:rFonts w:hint="default" w:ascii="Times New Roman" w:hAnsi="Times New Roman" w:eastAsia="宋体" w:cs="Times New Roman"/>
          <w:color w:val="000000" w:themeColor="text1"/>
          <w:kern w:val="0"/>
          <w14:textFill>
            <w14:solidFill>
              <w14:schemeClr w14:val="tx1"/>
            </w14:solidFill>
          </w14:textFill>
        </w:rPr>
        <w:t>700头奶牛，其中泌乳牛400头，围产干奶牛100头，隔离牛200头</w:t>
      </w:r>
      <w:bookmarkEnd w:id="99"/>
      <w:r>
        <w:rPr>
          <w:rFonts w:hint="default" w:ascii="Times New Roman" w:hAnsi="Times New Roman" w:eastAsia="宋体" w:cs="Times New Roman"/>
          <w:color w:val="000000" w:themeColor="text1"/>
          <w14:textFill>
            <w14:solidFill>
              <w14:schemeClr w14:val="tx1"/>
            </w14:solidFill>
          </w14:textFill>
        </w:rPr>
        <w:t>。</w:t>
      </w:r>
    </w:p>
    <w:p w14:paraId="463FFD7D">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建设内容：项目总占地面积为</w:t>
      </w:r>
      <w:bookmarkStart w:id="100" w:name="_Hlk167093526"/>
      <w:r>
        <w:rPr>
          <w:rFonts w:hint="default" w:ascii="Times New Roman" w:hAnsi="Times New Roman" w:eastAsia="宋体" w:cs="Times New Roman"/>
          <w:color w:val="000000" w:themeColor="text1"/>
          <w14:textFill>
            <w14:solidFill>
              <w14:schemeClr w14:val="tx1"/>
            </w14:solidFill>
          </w14:textFill>
        </w:rPr>
        <w:t>10.48h</w:t>
      </w:r>
      <w:bookmarkEnd w:id="100"/>
      <w:r>
        <w:rPr>
          <w:rFonts w:hint="default" w:ascii="Times New Roman" w:hAnsi="Times New Roman" w:eastAsia="宋体" w:cs="Times New Roman"/>
          <w:color w:val="000000" w:themeColor="text1"/>
          <w14:textFill>
            <w14:solidFill>
              <w14:schemeClr w14:val="tx1"/>
            </w14:solidFill>
          </w14:textFill>
        </w:rPr>
        <w:t>m</w:t>
      </w:r>
      <w:r>
        <w:rPr>
          <w:rFonts w:hint="default" w:ascii="Times New Roman" w:hAnsi="Times New Roman" w:eastAsia="宋体" w:cs="Times New Roman"/>
          <w:color w:val="000000" w:themeColor="text1"/>
          <w:vertAlign w:val="superscript"/>
          <w14:textFill>
            <w14:solidFill>
              <w14:schemeClr w14:val="tx1"/>
            </w14:solidFill>
          </w14:textFill>
        </w:rPr>
        <w:t>2</w:t>
      </w:r>
      <w:r>
        <w:rPr>
          <w:rFonts w:hint="default" w:ascii="Times New Roman" w:hAnsi="Times New Roman" w:eastAsia="宋体" w:cs="Times New Roman"/>
          <w:color w:val="000000" w:themeColor="text1"/>
          <w14:textFill>
            <w14:solidFill>
              <w14:schemeClr w14:val="tx1"/>
            </w14:solidFill>
          </w14:textFill>
        </w:rPr>
        <w:t>，</w:t>
      </w:r>
      <w:r>
        <w:rPr>
          <w:rFonts w:hint="default" w:ascii="Times New Roman" w:hAnsi="Times New Roman" w:eastAsia="宋体" w:cs="Times New Roman"/>
          <w:color w:val="0000FF"/>
        </w:rPr>
        <w:t>分两期建设，</w:t>
      </w:r>
      <w:r>
        <w:rPr>
          <w:rFonts w:hint="eastAsia" w:cs="Times New Roman"/>
          <w:color w:val="0000FF"/>
          <w:lang w:val="en-US" w:eastAsia="zh-CN"/>
        </w:rPr>
        <w:t>同时投入运营，</w:t>
      </w:r>
      <w:r>
        <w:rPr>
          <w:rFonts w:hint="default" w:ascii="Times New Roman" w:hAnsi="Times New Roman" w:eastAsia="宋体" w:cs="Times New Roman"/>
          <w:color w:val="000000" w:themeColor="text1"/>
          <w14:textFill>
            <w14:solidFill>
              <w14:schemeClr w14:val="tx1"/>
            </w14:solidFill>
          </w14:textFill>
        </w:rPr>
        <w:t>其中：一期主要建设内容包括：泌乳牛舍5568平方米、粪污车间625平方米、三级沉淀池3座、垃圾池1个、无害化处理池1个等，同时实施场区给排水、采暖、电气等配套工程；二期主要建设内容包括：隔离舍1632平方米、围产干奶舍1536平方米、机械库750平方米等。</w:t>
      </w:r>
    </w:p>
    <w:p w14:paraId="6AFB410A">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项目投资：</w:t>
      </w:r>
      <w:bookmarkStart w:id="101" w:name="_Hlk167093901"/>
      <w:r>
        <w:rPr>
          <w:rFonts w:hint="default" w:ascii="Times New Roman" w:hAnsi="Times New Roman" w:eastAsia="宋体" w:cs="Times New Roman"/>
          <w:color w:val="000000" w:themeColor="text1"/>
          <w14:textFill>
            <w14:solidFill>
              <w14:schemeClr w14:val="tx1"/>
            </w14:solidFill>
          </w14:textFill>
        </w:rPr>
        <w:t>总投资</w:t>
      </w:r>
      <w:r>
        <w:rPr>
          <w:rFonts w:hint="eastAsia" w:cs="Times New Roman"/>
          <w:color w:val="000000" w:themeColor="text1"/>
          <w:lang w:val="en-US" w:eastAsia="zh-CN"/>
          <w14:textFill>
            <w14:solidFill>
              <w14:schemeClr w14:val="tx1"/>
            </w14:solidFill>
          </w14:textFill>
        </w:rPr>
        <w:t>1450.00</w:t>
      </w:r>
      <w:r>
        <w:rPr>
          <w:rFonts w:hint="default" w:ascii="Times New Roman" w:hAnsi="Times New Roman" w:eastAsia="宋体" w:cs="Times New Roman"/>
          <w:color w:val="000000" w:themeColor="text1"/>
          <w14:textFill>
            <w14:solidFill>
              <w14:schemeClr w14:val="tx1"/>
            </w14:solidFill>
          </w14:textFill>
        </w:rPr>
        <w:t>万元，环保投资301.00万元，环保投资占总投资的2</w:t>
      </w:r>
      <w:r>
        <w:rPr>
          <w:rFonts w:hint="eastAsia" w:cs="Times New Roman"/>
          <w:color w:val="000000" w:themeColor="text1"/>
          <w:lang w:val="en-US" w:eastAsia="zh-CN"/>
          <w14:textFill>
            <w14:solidFill>
              <w14:schemeClr w14:val="tx1"/>
            </w14:solidFill>
          </w14:textFill>
        </w:rPr>
        <w:t>0.75</w:t>
      </w:r>
      <w:r>
        <w:rPr>
          <w:rFonts w:hint="default" w:ascii="Times New Roman" w:hAnsi="Times New Roman" w:eastAsia="宋体" w:cs="Times New Roman"/>
          <w:color w:val="000000" w:themeColor="text1"/>
          <w14:textFill>
            <w14:solidFill>
              <w14:schemeClr w14:val="tx1"/>
            </w14:solidFill>
          </w14:textFill>
        </w:rPr>
        <w:t>%</w:t>
      </w:r>
      <w:bookmarkEnd w:id="101"/>
      <w:r>
        <w:rPr>
          <w:rFonts w:hint="default" w:ascii="Times New Roman" w:hAnsi="Times New Roman" w:eastAsia="宋体" w:cs="Times New Roman"/>
          <w:color w:val="000000" w:themeColor="text1"/>
          <w14:textFill>
            <w14:solidFill>
              <w14:schemeClr w14:val="tx1"/>
            </w14:solidFill>
          </w14:textFill>
        </w:rPr>
        <w:t>。</w:t>
      </w:r>
    </w:p>
    <w:p w14:paraId="47309B13">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劳动定员及工作制度：劳动定员为30人，工作人员</w:t>
      </w:r>
      <w:bookmarkStart w:id="102" w:name="_Hlk167093976"/>
      <w:r>
        <w:rPr>
          <w:rFonts w:hint="default" w:ascii="Times New Roman" w:hAnsi="Times New Roman" w:eastAsia="宋体" w:cs="Times New Roman"/>
          <w:color w:val="000000" w:themeColor="text1"/>
          <w14:textFill>
            <w14:solidFill>
              <w14:schemeClr w14:val="tx1"/>
            </w14:solidFill>
          </w14:textFill>
        </w:rPr>
        <w:t>年工作为365天，一班作业，日工作时间为12小时</w:t>
      </w:r>
      <w:bookmarkEnd w:id="102"/>
      <w:r>
        <w:rPr>
          <w:rFonts w:hint="default" w:ascii="Times New Roman" w:hAnsi="Times New Roman" w:eastAsia="宋体" w:cs="Times New Roman"/>
          <w:color w:val="000000" w:themeColor="text1"/>
          <w14:textFill>
            <w14:solidFill>
              <w14:schemeClr w14:val="tx1"/>
            </w14:solidFill>
          </w14:textFill>
        </w:rPr>
        <w:t>。</w:t>
      </w:r>
    </w:p>
    <w:p w14:paraId="54155CD9">
      <w:pPr>
        <w:ind w:firstLine="482"/>
        <w:outlineLvl w:val="2"/>
        <w:rPr>
          <w:rFonts w:hint="default" w:ascii="Times New Roman" w:hAnsi="Times New Roman" w:eastAsia="宋体" w:cs="Times New Roman"/>
          <w:b/>
          <w:bCs/>
          <w:color w:val="000000" w:themeColor="text1"/>
          <w14:textFill>
            <w14:solidFill>
              <w14:schemeClr w14:val="tx1"/>
            </w14:solidFill>
          </w14:textFill>
        </w:rPr>
      </w:pPr>
      <w:bookmarkStart w:id="103" w:name="_Toc30671"/>
      <w:r>
        <w:rPr>
          <w:rFonts w:hint="default" w:ascii="Times New Roman" w:hAnsi="Times New Roman" w:eastAsia="宋体" w:cs="Times New Roman"/>
          <w:b/>
          <w:bCs/>
          <w:color w:val="000000" w:themeColor="text1"/>
          <w14:textFill>
            <w14:solidFill>
              <w14:schemeClr w14:val="tx1"/>
            </w14:solidFill>
          </w14:textFill>
        </w:rPr>
        <w:t>3.1.2项目建设内容</w:t>
      </w:r>
      <w:bookmarkEnd w:id="103"/>
    </w:p>
    <w:p w14:paraId="6C45D607">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主要建设内容为牛舍、储运、公用、辅助、环保工程等。项目组成情况详见表3.1-1。</w:t>
      </w:r>
    </w:p>
    <w:p w14:paraId="27F6B27E">
      <w:pPr>
        <w:ind w:firstLine="0" w:firstLineChars="0"/>
        <w:jc w:val="center"/>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表3.1-1拟建项目组成一览表</w:t>
      </w:r>
    </w:p>
    <w:tbl>
      <w:tblPr>
        <w:tblStyle w:val="35"/>
        <w:tblW w:w="935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38"/>
        <w:gridCol w:w="932"/>
        <w:gridCol w:w="1126"/>
        <w:gridCol w:w="5740"/>
        <w:gridCol w:w="1118"/>
      </w:tblGrid>
      <w:tr w14:paraId="4A48D1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3" w:hRule="atLeast"/>
          <w:jc w:val="center"/>
        </w:trPr>
        <w:tc>
          <w:tcPr>
            <w:tcW w:w="438" w:type="dxa"/>
            <w:vAlign w:val="center"/>
          </w:tcPr>
          <w:p w14:paraId="738A4CB2">
            <w:pPr>
              <w:pStyle w:val="36"/>
              <w:ind w:firstLine="0" w:firstLineChars="0"/>
              <w:rPr>
                <w:rFonts w:hint="default" w:ascii="Times New Roman" w:hAnsi="Times New Roman" w:eastAsia="宋体" w:cs="Times New Roman"/>
                <w:b/>
                <w:bCs/>
                <w:color w:val="0000FF"/>
                <w:sz w:val="21"/>
                <w:szCs w:val="21"/>
                <w:lang w:val="en-US" w:bidi="ar-SA"/>
              </w:rPr>
            </w:pPr>
            <w:r>
              <w:rPr>
                <w:rFonts w:hint="default" w:ascii="Times New Roman" w:hAnsi="Times New Roman" w:eastAsia="宋体" w:cs="Times New Roman"/>
                <w:b/>
                <w:bCs/>
                <w:color w:val="0000FF"/>
                <w:sz w:val="21"/>
                <w:szCs w:val="21"/>
                <w:lang w:val="en-US" w:bidi="ar-SA"/>
              </w:rPr>
              <w:t>类</w:t>
            </w:r>
          </w:p>
          <w:p w14:paraId="29A38B7C">
            <w:pPr>
              <w:pStyle w:val="36"/>
              <w:ind w:firstLine="0" w:firstLineChars="0"/>
              <w:rPr>
                <w:rFonts w:hint="default" w:ascii="Times New Roman" w:hAnsi="Times New Roman" w:eastAsia="宋体" w:cs="Times New Roman"/>
                <w:b/>
                <w:bCs/>
                <w:color w:val="0000FF"/>
                <w:sz w:val="21"/>
                <w:szCs w:val="21"/>
                <w:lang w:val="en-US" w:bidi="ar-SA"/>
              </w:rPr>
            </w:pPr>
            <w:r>
              <w:rPr>
                <w:rFonts w:hint="default" w:ascii="Times New Roman" w:hAnsi="Times New Roman" w:eastAsia="宋体" w:cs="Times New Roman"/>
                <w:b/>
                <w:bCs/>
                <w:color w:val="0000FF"/>
                <w:sz w:val="21"/>
                <w:szCs w:val="21"/>
                <w:lang w:val="en-US" w:bidi="ar-SA"/>
              </w:rPr>
              <w:t>别</w:t>
            </w:r>
          </w:p>
        </w:tc>
        <w:tc>
          <w:tcPr>
            <w:tcW w:w="932" w:type="dxa"/>
            <w:vAlign w:val="center"/>
          </w:tcPr>
          <w:p w14:paraId="1181A121">
            <w:pPr>
              <w:pStyle w:val="36"/>
              <w:ind w:firstLine="0" w:firstLineChars="0"/>
              <w:rPr>
                <w:rFonts w:hint="default" w:ascii="Times New Roman" w:hAnsi="Times New Roman" w:eastAsia="宋体" w:cs="Times New Roman"/>
                <w:b/>
                <w:bCs/>
                <w:color w:val="0000FF"/>
                <w:sz w:val="21"/>
                <w:szCs w:val="21"/>
                <w:lang w:val="en-US" w:bidi="ar-SA"/>
              </w:rPr>
            </w:pPr>
            <w:r>
              <w:rPr>
                <w:rFonts w:hint="default" w:ascii="Times New Roman" w:hAnsi="Times New Roman" w:eastAsia="宋体" w:cs="Times New Roman"/>
                <w:b/>
                <w:bCs/>
                <w:color w:val="0000FF"/>
                <w:sz w:val="21"/>
                <w:szCs w:val="21"/>
                <w:lang w:val="en-US" w:bidi="ar-SA"/>
              </w:rPr>
              <w:t>项目内容</w:t>
            </w:r>
          </w:p>
        </w:tc>
        <w:tc>
          <w:tcPr>
            <w:tcW w:w="6866" w:type="dxa"/>
            <w:gridSpan w:val="2"/>
            <w:vAlign w:val="center"/>
          </w:tcPr>
          <w:p w14:paraId="61B1B3EB">
            <w:pPr>
              <w:pStyle w:val="36"/>
              <w:ind w:firstLine="0" w:firstLineChars="0"/>
              <w:rPr>
                <w:rFonts w:hint="default" w:ascii="Times New Roman" w:hAnsi="Times New Roman" w:eastAsia="宋体" w:cs="Times New Roman"/>
                <w:b/>
                <w:bCs/>
                <w:color w:val="0000FF"/>
                <w:sz w:val="21"/>
                <w:szCs w:val="21"/>
                <w:lang w:val="en-US" w:bidi="ar-SA"/>
              </w:rPr>
            </w:pPr>
            <w:r>
              <w:rPr>
                <w:rFonts w:hint="default" w:ascii="Times New Roman" w:hAnsi="Times New Roman" w:eastAsia="宋体" w:cs="Times New Roman"/>
                <w:b/>
                <w:bCs/>
                <w:color w:val="0000FF"/>
                <w:sz w:val="21"/>
                <w:szCs w:val="21"/>
                <w:lang w:val="en-US" w:bidi="ar-SA"/>
              </w:rPr>
              <w:t>项目组成及规模</w:t>
            </w:r>
          </w:p>
        </w:tc>
        <w:tc>
          <w:tcPr>
            <w:tcW w:w="1118" w:type="dxa"/>
            <w:vAlign w:val="center"/>
          </w:tcPr>
          <w:p w14:paraId="6317F6D4">
            <w:pPr>
              <w:pStyle w:val="3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0000FF"/>
                <w:sz w:val="21"/>
                <w:szCs w:val="21"/>
                <w:lang w:val="en-US" w:bidi="ar-SA"/>
              </w:rPr>
            </w:pPr>
            <w:r>
              <w:rPr>
                <w:rFonts w:hint="default" w:ascii="Times New Roman" w:hAnsi="Times New Roman" w:eastAsia="宋体" w:cs="Times New Roman"/>
                <w:b/>
                <w:bCs/>
                <w:color w:val="0000FF"/>
                <w:sz w:val="21"/>
                <w:szCs w:val="21"/>
                <w:lang w:val="en-US" w:bidi="ar-SA"/>
              </w:rPr>
              <w:t>备注</w:t>
            </w:r>
          </w:p>
        </w:tc>
      </w:tr>
      <w:tr w14:paraId="3139AE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50" w:hRule="atLeast"/>
          <w:jc w:val="center"/>
        </w:trPr>
        <w:tc>
          <w:tcPr>
            <w:tcW w:w="438" w:type="dxa"/>
            <w:vMerge w:val="restart"/>
            <w:vAlign w:val="center"/>
          </w:tcPr>
          <w:p w14:paraId="25FA10E8">
            <w:pPr>
              <w:pStyle w:val="36"/>
              <w:ind w:firstLine="0" w:firstLineChars="0"/>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主体工程</w:t>
            </w:r>
          </w:p>
        </w:tc>
        <w:tc>
          <w:tcPr>
            <w:tcW w:w="932" w:type="dxa"/>
            <w:vAlign w:val="center"/>
          </w:tcPr>
          <w:p w14:paraId="7D1531E6">
            <w:pPr>
              <w:pStyle w:val="36"/>
              <w:ind w:firstLine="0" w:firstLineChars="0"/>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lang w:val="en-US"/>
              </w:rPr>
              <w:t>泌乳</w:t>
            </w:r>
            <w:r>
              <w:rPr>
                <w:rFonts w:hint="default" w:ascii="Times New Roman" w:hAnsi="Times New Roman" w:eastAsia="宋体" w:cs="Times New Roman"/>
                <w:color w:val="0000FF"/>
                <w:sz w:val="21"/>
                <w:szCs w:val="21"/>
              </w:rPr>
              <w:t>牛舍</w:t>
            </w:r>
          </w:p>
        </w:tc>
        <w:tc>
          <w:tcPr>
            <w:tcW w:w="6866" w:type="dxa"/>
            <w:gridSpan w:val="2"/>
            <w:vAlign w:val="center"/>
          </w:tcPr>
          <w:p w14:paraId="59BBF274">
            <w:pPr>
              <w:pStyle w:val="11"/>
              <w:ind w:firstLine="0" w:firstLineChars="0"/>
              <w:jc w:val="center"/>
              <w:rPr>
                <w:rFonts w:hint="default" w:ascii="Times New Roman" w:hAnsi="Times New Roman" w:eastAsia="宋体" w:cs="Times New Roman"/>
                <w:color w:val="0000FF"/>
                <w:sz w:val="21"/>
                <w:szCs w:val="21"/>
                <w:lang w:eastAsia="zh-CN"/>
              </w:rPr>
            </w:pPr>
            <w:r>
              <w:rPr>
                <w:rFonts w:hint="default" w:ascii="Times New Roman" w:hAnsi="Times New Roman" w:eastAsia="宋体" w:cs="Times New Roman"/>
                <w:color w:val="0000FF"/>
                <w:spacing w:val="-1"/>
                <w:sz w:val="21"/>
                <w:szCs w:val="21"/>
                <w:lang w:eastAsia="zh-CN"/>
              </w:rPr>
              <w:t>1座泌乳牛舍，总面积为5568m</w:t>
            </w:r>
            <w:r>
              <w:rPr>
                <w:rFonts w:hint="default" w:ascii="Times New Roman" w:hAnsi="Times New Roman" w:eastAsia="宋体" w:cs="Times New Roman"/>
                <w:color w:val="0000FF"/>
                <w:spacing w:val="-1"/>
                <w:sz w:val="21"/>
                <w:szCs w:val="21"/>
                <w:vertAlign w:val="superscript"/>
                <w:lang w:eastAsia="zh-CN"/>
              </w:rPr>
              <w:t>2</w:t>
            </w:r>
            <w:r>
              <w:rPr>
                <w:rFonts w:hint="default" w:ascii="Times New Roman" w:hAnsi="Times New Roman" w:eastAsia="宋体" w:cs="Times New Roman"/>
                <w:color w:val="0000FF"/>
                <w:spacing w:val="-1"/>
                <w:sz w:val="21"/>
                <w:szCs w:val="21"/>
                <w:lang w:eastAsia="zh-CN"/>
              </w:rPr>
              <w:t>，牛舍长174m，宽32m，单层砖混轻钢结构，泌乳牛舍选用最新的横向通风封闭式牛舍形式，牛舍为采用混凝土独立基础，型钢立柱及轻型钢屋架结构。</w:t>
            </w:r>
          </w:p>
        </w:tc>
        <w:tc>
          <w:tcPr>
            <w:tcW w:w="1118" w:type="dxa"/>
            <w:vAlign w:val="center"/>
          </w:tcPr>
          <w:p w14:paraId="437C767C">
            <w:pPr>
              <w:pStyle w:val="3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FF"/>
                <w:sz w:val="21"/>
                <w:szCs w:val="21"/>
                <w:lang w:eastAsia="zh-CN"/>
              </w:rPr>
            </w:pPr>
            <w:r>
              <w:rPr>
                <w:rFonts w:hint="eastAsia" w:ascii="Times New Roman" w:hAnsi="Times New Roman" w:cs="Times New Roman"/>
                <w:color w:val="0000FF"/>
                <w:sz w:val="21"/>
                <w:szCs w:val="21"/>
                <w:lang w:val="en-US" w:eastAsia="zh-CN"/>
              </w:rPr>
              <w:t>一期</w:t>
            </w:r>
          </w:p>
        </w:tc>
      </w:tr>
      <w:tr w14:paraId="2F4409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95" w:hRule="atLeast"/>
          <w:jc w:val="center"/>
        </w:trPr>
        <w:tc>
          <w:tcPr>
            <w:tcW w:w="438" w:type="dxa"/>
            <w:vMerge w:val="continue"/>
            <w:vAlign w:val="center"/>
          </w:tcPr>
          <w:p w14:paraId="7A5C3314">
            <w:pPr>
              <w:pStyle w:val="36"/>
              <w:ind w:firstLine="0" w:firstLineChars="0"/>
              <w:rPr>
                <w:rFonts w:hint="default" w:ascii="Times New Roman" w:hAnsi="Times New Roman" w:eastAsia="宋体" w:cs="Times New Roman"/>
                <w:color w:val="0000FF"/>
                <w:sz w:val="21"/>
                <w:szCs w:val="21"/>
              </w:rPr>
            </w:pPr>
          </w:p>
        </w:tc>
        <w:tc>
          <w:tcPr>
            <w:tcW w:w="932" w:type="dxa"/>
            <w:vAlign w:val="center"/>
          </w:tcPr>
          <w:p w14:paraId="54B3CE74">
            <w:pPr>
              <w:pStyle w:val="36"/>
              <w:ind w:firstLine="0" w:firstLineChars="0"/>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pacing w:val="-1"/>
                <w:sz w:val="21"/>
                <w:szCs w:val="21"/>
                <w:lang w:val="en-US"/>
              </w:rPr>
              <w:t>围产干奶</w:t>
            </w:r>
            <w:r>
              <w:rPr>
                <w:rFonts w:hint="default" w:ascii="Times New Roman" w:hAnsi="Times New Roman" w:eastAsia="宋体" w:cs="Times New Roman"/>
                <w:color w:val="0000FF"/>
                <w:spacing w:val="-1"/>
                <w:sz w:val="21"/>
                <w:szCs w:val="21"/>
              </w:rPr>
              <w:t>舍</w:t>
            </w:r>
          </w:p>
        </w:tc>
        <w:tc>
          <w:tcPr>
            <w:tcW w:w="6866" w:type="dxa"/>
            <w:gridSpan w:val="2"/>
            <w:vAlign w:val="center"/>
          </w:tcPr>
          <w:p w14:paraId="2F2DBC99">
            <w:pPr>
              <w:pStyle w:val="36"/>
              <w:ind w:firstLine="0" w:firstLineChars="0"/>
              <w:rPr>
                <w:rFonts w:hint="default" w:ascii="Times New Roman" w:hAnsi="Times New Roman" w:eastAsia="宋体" w:cs="Times New Roman"/>
                <w:color w:val="0000FF"/>
                <w:spacing w:val="-1"/>
                <w:sz w:val="21"/>
                <w:szCs w:val="21"/>
              </w:rPr>
            </w:pPr>
            <w:r>
              <w:rPr>
                <w:rFonts w:hint="default" w:ascii="Times New Roman" w:hAnsi="Times New Roman" w:eastAsia="宋体" w:cs="Times New Roman"/>
                <w:color w:val="0000FF"/>
                <w:spacing w:val="-1"/>
                <w:sz w:val="21"/>
                <w:szCs w:val="21"/>
              </w:rPr>
              <w:t>1座</w:t>
            </w:r>
            <w:r>
              <w:rPr>
                <w:rFonts w:hint="default" w:ascii="Times New Roman" w:hAnsi="Times New Roman" w:eastAsia="宋体" w:cs="Times New Roman"/>
                <w:color w:val="0000FF"/>
                <w:spacing w:val="-1"/>
                <w:sz w:val="21"/>
                <w:szCs w:val="21"/>
                <w:lang w:val="en-US"/>
              </w:rPr>
              <w:t>围产干奶</w:t>
            </w:r>
            <w:r>
              <w:rPr>
                <w:rFonts w:hint="default" w:ascii="Times New Roman" w:hAnsi="Times New Roman" w:eastAsia="宋体" w:cs="Times New Roman"/>
                <w:color w:val="0000FF"/>
                <w:spacing w:val="-1"/>
                <w:sz w:val="21"/>
                <w:szCs w:val="21"/>
              </w:rPr>
              <w:t>牛</w:t>
            </w:r>
            <w:r>
              <w:rPr>
                <w:rFonts w:hint="default" w:ascii="Times New Roman" w:hAnsi="Times New Roman" w:eastAsia="宋体" w:cs="Times New Roman"/>
                <w:color w:val="0000FF"/>
                <w:spacing w:val="-1"/>
                <w:sz w:val="21"/>
                <w:szCs w:val="21"/>
                <w:lang w:val="en-US"/>
              </w:rPr>
              <w:t>舍</w:t>
            </w:r>
            <w:r>
              <w:rPr>
                <w:rFonts w:hint="default" w:ascii="Times New Roman" w:hAnsi="Times New Roman" w:eastAsia="宋体" w:cs="Times New Roman"/>
                <w:color w:val="0000FF"/>
                <w:spacing w:val="-1"/>
                <w:sz w:val="21"/>
                <w:szCs w:val="21"/>
              </w:rPr>
              <w:t>，牛舍长</w:t>
            </w:r>
            <w:r>
              <w:rPr>
                <w:rFonts w:hint="default" w:ascii="Times New Roman" w:hAnsi="Times New Roman" w:eastAsia="宋体" w:cs="Times New Roman"/>
                <w:color w:val="0000FF"/>
                <w:spacing w:val="-1"/>
                <w:sz w:val="21"/>
                <w:szCs w:val="21"/>
                <w:lang w:val="en-US"/>
              </w:rPr>
              <w:t>48</w:t>
            </w:r>
            <w:r>
              <w:rPr>
                <w:rFonts w:hint="default" w:ascii="Times New Roman" w:hAnsi="Times New Roman" w:eastAsia="宋体" w:cs="Times New Roman"/>
                <w:color w:val="0000FF"/>
                <w:spacing w:val="-1"/>
                <w:sz w:val="21"/>
                <w:szCs w:val="21"/>
              </w:rPr>
              <w:t>m，宽</w:t>
            </w:r>
            <w:r>
              <w:rPr>
                <w:rFonts w:hint="default" w:ascii="Times New Roman" w:hAnsi="Times New Roman" w:eastAsia="宋体" w:cs="Times New Roman"/>
                <w:color w:val="0000FF"/>
                <w:spacing w:val="-1"/>
                <w:sz w:val="21"/>
                <w:szCs w:val="21"/>
                <w:lang w:val="en-US"/>
              </w:rPr>
              <w:t>32</w:t>
            </w:r>
            <w:r>
              <w:rPr>
                <w:rFonts w:hint="default" w:ascii="Times New Roman" w:hAnsi="Times New Roman" w:eastAsia="宋体" w:cs="Times New Roman"/>
                <w:color w:val="0000FF"/>
                <w:spacing w:val="-1"/>
                <w:sz w:val="21"/>
                <w:szCs w:val="21"/>
              </w:rPr>
              <w:t>m，为单层砖混轻钢结构，建总面积为7128m</w:t>
            </w:r>
            <w:r>
              <w:rPr>
                <w:rFonts w:hint="default" w:ascii="Times New Roman" w:hAnsi="Times New Roman" w:eastAsia="宋体" w:cs="Times New Roman"/>
                <w:color w:val="0000FF"/>
                <w:spacing w:val="-1"/>
                <w:sz w:val="21"/>
                <w:szCs w:val="21"/>
                <w:vertAlign w:val="superscript"/>
              </w:rPr>
              <w:t>2</w:t>
            </w:r>
            <w:r>
              <w:rPr>
                <w:rFonts w:hint="default" w:ascii="Times New Roman" w:hAnsi="Times New Roman" w:eastAsia="宋体" w:cs="Times New Roman"/>
                <w:color w:val="0000FF"/>
                <w:spacing w:val="-1"/>
                <w:sz w:val="21"/>
                <w:szCs w:val="21"/>
              </w:rPr>
              <w:t>。</w:t>
            </w:r>
          </w:p>
        </w:tc>
        <w:tc>
          <w:tcPr>
            <w:tcW w:w="1118" w:type="dxa"/>
            <w:vAlign w:val="center"/>
          </w:tcPr>
          <w:p w14:paraId="058A66B4">
            <w:pPr>
              <w:pStyle w:val="3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FF"/>
                <w:sz w:val="21"/>
                <w:szCs w:val="21"/>
                <w:lang w:eastAsia="zh-CN"/>
              </w:rPr>
            </w:pPr>
            <w:r>
              <w:rPr>
                <w:rFonts w:hint="eastAsia" w:ascii="Times New Roman" w:hAnsi="Times New Roman" w:cs="Times New Roman"/>
                <w:color w:val="0000FF"/>
                <w:sz w:val="21"/>
                <w:szCs w:val="21"/>
                <w:lang w:val="en-US" w:eastAsia="zh-CN"/>
              </w:rPr>
              <w:t>二期</w:t>
            </w:r>
          </w:p>
        </w:tc>
      </w:tr>
      <w:tr w14:paraId="21A13E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95" w:hRule="atLeast"/>
          <w:jc w:val="center"/>
        </w:trPr>
        <w:tc>
          <w:tcPr>
            <w:tcW w:w="438" w:type="dxa"/>
            <w:vMerge w:val="continue"/>
            <w:vAlign w:val="center"/>
          </w:tcPr>
          <w:p w14:paraId="218D8127">
            <w:pPr>
              <w:pStyle w:val="36"/>
              <w:ind w:firstLine="0" w:firstLineChars="0"/>
              <w:rPr>
                <w:rFonts w:hint="default" w:ascii="Times New Roman" w:hAnsi="Times New Roman" w:eastAsia="宋体" w:cs="Times New Roman"/>
                <w:color w:val="0000FF"/>
                <w:sz w:val="21"/>
                <w:szCs w:val="21"/>
              </w:rPr>
            </w:pPr>
          </w:p>
        </w:tc>
        <w:tc>
          <w:tcPr>
            <w:tcW w:w="932" w:type="dxa"/>
            <w:vAlign w:val="center"/>
          </w:tcPr>
          <w:p w14:paraId="14582870">
            <w:pPr>
              <w:pStyle w:val="36"/>
              <w:ind w:firstLine="0" w:firstLineChars="0"/>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pacing w:val="-1"/>
                <w:sz w:val="21"/>
                <w:szCs w:val="21"/>
                <w:lang w:val="en-US"/>
              </w:rPr>
              <w:t>隔离</w:t>
            </w:r>
            <w:r>
              <w:rPr>
                <w:rFonts w:hint="default" w:ascii="Times New Roman" w:hAnsi="Times New Roman" w:eastAsia="宋体" w:cs="Times New Roman"/>
                <w:color w:val="0000FF"/>
                <w:spacing w:val="-1"/>
                <w:sz w:val="21"/>
                <w:szCs w:val="21"/>
              </w:rPr>
              <w:t>舍</w:t>
            </w:r>
          </w:p>
        </w:tc>
        <w:tc>
          <w:tcPr>
            <w:tcW w:w="6866" w:type="dxa"/>
            <w:gridSpan w:val="2"/>
            <w:vAlign w:val="center"/>
          </w:tcPr>
          <w:p w14:paraId="3217F2EB">
            <w:pPr>
              <w:pStyle w:val="36"/>
              <w:ind w:firstLine="0" w:firstLineChars="0"/>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pacing w:val="-1"/>
                <w:sz w:val="21"/>
                <w:szCs w:val="21"/>
                <w:lang w:val="en-US"/>
              </w:rPr>
              <w:t>1</w:t>
            </w:r>
            <w:r>
              <w:rPr>
                <w:rFonts w:hint="default" w:ascii="Times New Roman" w:hAnsi="Times New Roman" w:eastAsia="宋体" w:cs="Times New Roman"/>
                <w:color w:val="0000FF"/>
                <w:spacing w:val="-1"/>
                <w:sz w:val="21"/>
                <w:szCs w:val="21"/>
              </w:rPr>
              <w:t>座后</w:t>
            </w:r>
            <w:r>
              <w:rPr>
                <w:rFonts w:hint="default" w:ascii="Times New Roman" w:hAnsi="Times New Roman" w:eastAsia="宋体" w:cs="Times New Roman"/>
                <w:color w:val="0000FF"/>
                <w:spacing w:val="-1"/>
                <w:sz w:val="21"/>
                <w:szCs w:val="21"/>
                <w:lang w:val="en-US"/>
              </w:rPr>
              <w:t>隔离</w:t>
            </w:r>
            <w:r>
              <w:rPr>
                <w:rFonts w:hint="default" w:ascii="Times New Roman" w:hAnsi="Times New Roman" w:eastAsia="宋体" w:cs="Times New Roman"/>
                <w:color w:val="0000FF"/>
                <w:spacing w:val="-1"/>
                <w:sz w:val="21"/>
                <w:szCs w:val="21"/>
              </w:rPr>
              <w:t>舍，牛舍长</w:t>
            </w:r>
            <w:r>
              <w:rPr>
                <w:rFonts w:hint="default" w:ascii="Times New Roman" w:hAnsi="Times New Roman" w:eastAsia="宋体" w:cs="Times New Roman"/>
                <w:color w:val="0000FF"/>
                <w:spacing w:val="-1"/>
                <w:sz w:val="21"/>
                <w:szCs w:val="21"/>
                <w:lang w:val="en-US"/>
              </w:rPr>
              <w:t>102</w:t>
            </w:r>
            <w:r>
              <w:rPr>
                <w:rFonts w:hint="default" w:ascii="Times New Roman" w:hAnsi="Times New Roman" w:eastAsia="宋体" w:cs="Times New Roman"/>
                <w:color w:val="0000FF"/>
                <w:spacing w:val="-1"/>
                <w:sz w:val="21"/>
                <w:szCs w:val="21"/>
              </w:rPr>
              <w:t>m，宽</w:t>
            </w:r>
            <w:r>
              <w:rPr>
                <w:rFonts w:hint="default" w:ascii="Times New Roman" w:hAnsi="Times New Roman" w:eastAsia="宋体" w:cs="Times New Roman"/>
                <w:color w:val="0000FF"/>
                <w:spacing w:val="-1"/>
                <w:sz w:val="21"/>
                <w:szCs w:val="21"/>
                <w:lang w:val="en-US"/>
              </w:rPr>
              <w:t>16</w:t>
            </w:r>
            <w:r>
              <w:rPr>
                <w:rFonts w:hint="default" w:ascii="Times New Roman" w:hAnsi="Times New Roman" w:eastAsia="宋体" w:cs="Times New Roman"/>
                <w:color w:val="0000FF"/>
                <w:spacing w:val="-1"/>
                <w:sz w:val="21"/>
                <w:szCs w:val="21"/>
              </w:rPr>
              <w:t>m，为单层砖混轻钢结构，总面积为</w:t>
            </w:r>
            <w:r>
              <w:rPr>
                <w:rFonts w:hint="default" w:ascii="Times New Roman" w:hAnsi="Times New Roman" w:eastAsia="宋体" w:cs="Times New Roman"/>
                <w:color w:val="0000FF"/>
                <w:spacing w:val="-1"/>
                <w:sz w:val="21"/>
                <w:szCs w:val="21"/>
                <w:lang w:val="en-US"/>
              </w:rPr>
              <w:t>1632</w:t>
            </w:r>
            <w:r>
              <w:rPr>
                <w:rFonts w:hint="default" w:ascii="Times New Roman" w:hAnsi="Times New Roman" w:eastAsia="宋体" w:cs="Times New Roman"/>
                <w:color w:val="0000FF"/>
                <w:spacing w:val="-1"/>
                <w:sz w:val="21"/>
                <w:szCs w:val="21"/>
              </w:rPr>
              <w:t>m</w:t>
            </w:r>
            <w:r>
              <w:rPr>
                <w:rFonts w:hint="default" w:ascii="Times New Roman" w:hAnsi="Times New Roman" w:eastAsia="宋体" w:cs="Times New Roman"/>
                <w:color w:val="0000FF"/>
                <w:spacing w:val="-1"/>
                <w:sz w:val="21"/>
                <w:szCs w:val="21"/>
                <w:vertAlign w:val="superscript"/>
              </w:rPr>
              <w:t>2</w:t>
            </w:r>
            <w:r>
              <w:rPr>
                <w:rFonts w:hint="default" w:ascii="Times New Roman" w:hAnsi="Times New Roman" w:eastAsia="宋体" w:cs="Times New Roman"/>
                <w:color w:val="0000FF"/>
                <w:spacing w:val="-1"/>
                <w:sz w:val="21"/>
                <w:szCs w:val="21"/>
              </w:rPr>
              <w:t>。</w:t>
            </w:r>
          </w:p>
        </w:tc>
        <w:tc>
          <w:tcPr>
            <w:tcW w:w="1118" w:type="dxa"/>
            <w:vAlign w:val="center"/>
          </w:tcPr>
          <w:p w14:paraId="0FACA06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21"/>
                <w:szCs w:val="21"/>
              </w:rPr>
            </w:pPr>
            <w:r>
              <w:rPr>
                <w:rFonts w:hint="eastAsia" w:ascii="Times New Roman" w:hAnsi="Times New Roman" w:cs="Times New Roman"/>
                <w:color w:val="0000FF"/>
                <w:sz w:val="21"/>
                <w:szCs w:val="21"/>
                <w:lang w:val="en-US" w:eastAsia="zh-CN"/>
              </w:rPr>
              <w:t>二期</w:t>
            </w:r>
          </w:p>
        </w:tc>
      </w:tr>
      <w:tr w14:paraId="3D71A8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23" w:hRule="atLeast"/>
          <w:jc w:val="center"/>
        </w:trPr>
        <w:tc>
          <w:tcPr>
            <w:tcW w:w="438" w:type="dxa"/>
            <w:vMerge w:val="continue"/>
            <w:vAlign w:val="center"/>
          </w:tcPr>
          <w:p w14:paraId="6D260339">
            <w:pPr>
              <w:pStyle w:val="36"/>
              <w:ind w:firstLine="0" w:firstLineChars="0"/>
              <w:rPr>
                <w:rFonts w:hint="default" w:ascii="Times New Roman" w:hAnsi="Times New Roman" w:eastAsia="宋体" w:cs="Times New Roman"/>
                <w:color w:val="0000FF"/>
                <w:sz w:val="21"/>
                <w:szCs w:val="21"/>
              </w:rPr>
            </w:pPr>
          </w:p>
        </w:tc>
        <w:tc>
          <w:tcPr>
            <w:tcW w:w="932" w:type="dxa"/>
            <w:vAlign w:val="center"/>
          </w:tcPr>
          <w:p w14:paraId="19FFD99C">
            <w:pPr>
              <w:pStyle w:val="36"/>
              <w:ind w:firstLine="0" w:firstLineChars="0"/>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挤奶厅、待挤厅</w:t>
            </w:r>
          </w:p>
        </w:tc>
        <w:tc>
          <w:tcPr>
            <w:tcW w:w="6866" w:type="dxa"/>
            <w:gridSpan w:val="2"/>
            <w:vAlign w:val="center"/>
          </w:tcPr>
          <w:p w14:paraId="0EF91651">
            <w:pPr>
              <w:pStyle w:val="36"/>
              <w:ind w:firstLine="0" w:firstLineChars="0"/>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采用2套</w:t>
            </w:r>
            <w:r>
              <w:rPr>
                <w:rFonts w:hint="default" w:ascii="Times New Roman" w:hAnsi="Times New Roman" w:eastAsia="宋体" w:cs="Times New Roman"/>
                <w:color w:val="0000FF"/>
                <w:sz w:val="21"/>
                <w:szCs w:val="21"/>
                <w:lang w:val="en-US"/>
              </w:rPr>
              <w:t>24</w:t>
            </w:r>
            <w:r>
              <w:rPr>
                <w:rFonts w:hint="default" w:ascii="Times New Roman" w:hAnsi="Times New Roman" w:eastAsia="宋体" w:cs="Times New Roman"/>
                <w:color w:val="0000FF"/>
                <w:sz w:val="21"/>
                <w:szCs w:val="21"/>
              </w:rPr>
              <w:t>位转盘挤奶设备挤奶，奶牛通过专用通道进入挤奶厅内挤奶，将牛奶通过封闭管道输送到板式换热器与制冷机组的冷水进行在线换热冷却，之后进入奶仓暂时储存，每天用奶罐车运输到乳品加工厂；每天挤奶3次，间隔均匀，最佳时间间隔为8个小时的挤奶技术。共建设</w:t>
            </w:r>
            <w:r>
              <w:rPr>
                <w:rFonts w:hint="default" w:ascii="Times New Roman" w:hAnsi="Times New Roman" w:eastAsia="宋体" w:cs="Times New Roman"/>
                <w:color w:val="0000FF"/>
                <w:sz w:val="21"/>
                <w:szCs w:val="21"/>
                <w:lang w:val="en-US"/>
              </w:rPr>
              <w:t>1</w:t>
            </w:r>
            <w:r>
              <w:rPr>
                <w:rFonts w:hint="default" w:ascii="Times New Roman" w:hAnsi="Times New Roman" w:eastAsia="宋体" w:cs="Times New Roman"/>
                <w:color w:val="0000FF"/>
                <w:sz w:val="21"/>
                <w:szCs w:val="21"/>
              </w:rPr>
              <w:t>座挤奶厅，总占地面积为</w:t>
            </w:r>
            <w:r>
              <w:rPr>
                <w:rFonts w:hint="default" w:ascii="Times New Roman" w:hAnsi="Times New Roman" w:eastAsia="宋体" w:cs="Times New Roman"/>
                <w:color w:val="0000FF"/>
                <w:sz w:val="21"/>
                <w:szCs w:val="21"/>
                <w:lang w:val="en-US"/>
              </w:rPr>
              <w:t>500</w:t>
            </w:r>
            <w:r>
              <w:rPr>
                <w:rFonts w:hint="default" w:ascii="Times New Roman" w:hAnsi="Times New Roman" w:eastAsia="宋体" w:cs="Times New Roman"/>
                <w:color w:val="0000FF"/>
                <w:sz w:val="21"/>
                <w:szCs w:val="21"/>
              </w:rPr>
              <w:t>m</w:t>
            </w:r>
            <w:r>
              <w:rPr>
                <w:rFonts w:hint="default" w:ascii="Times New Roman" w:hAnsi="Times New Roman" w:eastAsia="宋体" w:cs="Times New Roman"/>
                <w:color w:val="0000FF"/>
                <w:sz w:val="21"/>
                <w:szCs w:val="21"/>
                <w:vertAlign w:val="superscript"/>
              </w:rPr>
              <w:t>2</w:t>
            </w:r>
            <w:r>
              <w:rPr>
                <w:rFonts w:hint="default" w:ascii="Times New Roman" w:hAnsi="Times New Roman" w:eastAsia="宋体" w:cs="Times New Roman"/>
                <w:color w:val="0000FF"/>
                <w:sz w:val="21"/>
                <w:szCs w:val="21"/>
              </w:rPr>
              <w:t>。挤奶厅安装赶牛门，并安装杯组自动反冲系统。</w:t>
            </w:r>
          </w:p>
        </w:tc>
        <w:tc>
          <w:tcPr>
            <w:tcW w:w="1118" w:type="dxa"/>
            <w:vAlign w:val="center"/>
          </w:tcPr>
          <w:p w14:paraId="212F370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21"/>
                <w:szCs w:val="21"/>
              </w:rPr>
            </w:pPr>
            <w:r>
              <w:rPr>
                <w:rFonts w:hint="eastAsia" w:ascii="Times New Roman" w:hAnsi="Times New Roman" w:cs="Times New Roman"/>
                <w:color w:val="0000FF"/>
                <w:sz w:val="21"/>
                <w:szCs w:val="21"/>
                <w:lang w:val="en-US" w:eastAsia="zh-CN"/>
              </w:rPr>
              <w:t>二期</w:t>
            </w:r>
          </w:p>
        </w:tc>
      </w:tr>
      <w:tr w14:paraId="098000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95" w:hRule="atLeast"/>
          <w:jc w:val="center"/>
        </w:trPr>
        <w:tc>
          <w:tcPr>
            <w:tcW w:w="438" w:type="dxa"/>
            <w:vMerge w:val="restart"/>
            <w:vAlign w:val="center"/>
          </w:tcPr>
          <w:p w14:paraId="3784BA44">
            <w:pPr>
              <w:pStyle w:val="36"/>
              <w:ind w:firstLine="0" w:firstLineChars="0"/>
              <w:rPr>
                <w:rFonts w:hint="default" w:ascii="Times New Roman" w:hAnsi="Times New Roman" w:eastAsia="宋体" w:cs="Times New Roman"/>
                <w:color w:val="0000FF"/>
                <w:sz w:val="21"/>
                <w:szCs w:val="21"/>
                <w:lang w:val="en-US"/>
              </w:rPr>
            </w:pPr>
            <w:r>
              <w:rPr>
                <w:rFonts w:hint="default" w:ascii="Times New Roman" w:hAnsi="Times New Roman" w:eastAsia="宋体" w:cs="Times New Roman"/>
                <w:color w:val="0000FF"/>
                <w:sz w:val="21"/>
                <w:szCs w:val="21"/>
                <w:lang w:val="en-US"/>
              </w:rPr>
              <w:t>储运工程</w:t>
            </w:r>
          </w:p>
        </w:tc>
        <w:tc>
          <w:tcPr>
            <w:tcW w:w="932" w:type="dxa"/>
            <w:vAlign w:val="center"/>
          </w:tcPr>
          <w:p w14:paraId="26AEBF6A">
            <w:pPr>
              <w:ind w:firstLine="0" w:firstLineChars="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pacing w:val="-1"/>
                <w:sz w:val="21"/>
                <w:szCs w:val="21"/>
              </w:rPr>
              <w:t>兽医室、</w:t>
            </w:r>
            <w:r>
              <w:rPr>
                <w:rFonts w:hint="default" w:ascii="Times New Roman" w:hAnsi="Times New Roman" w:eastAsia="宋体" w:cs="Times New Roman"/>
                <w:color w:val="0000FF"/>
                <w:sz w:val="21"/>
                <w:szCs w:val="21"/>
              </w:rPr>
              <w:t>医疗垃圾暂存间</w:t>
            </w:r>
          </w:p>
        </w:tc>
        <w:tc>
          <w:tcPr>
            <w:tcW w:w="6866" w:type="dxa"/>
            <w:gridSpan w:val="2"/>
            <w:vAlign w:val="center"/>
          </w:tcPr>
          <w:p w14:paraId="692D4182">
            <w:pPr>
              <w:pStyle w:val="36"/>
              <w:ind w:firstLine="0" w:firstLineChars="0"/>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pacing w:val="-1"/>
                <w:sz w:val="21"/>
                <w:szCs w:val="21"/>
              </w:rPr>
              <w:t>兽医室、医疗垃圾暂存间、都为砖混钢构屋面，占地面积及分别为192m</w:t>
            </w:r>
            <w:r>
              <w:rPr>
                <w:rFonts w:hint="default" w:ascii="Times New Roman" w:hAnsi="Times New Roman" w:eastAsia="宋体" w:cs="Times New Roman"/>
                <w:color w:val="0000FF"/>
                <w:spacing w:val="-1"/>
                <w:sz w:val="21"/>
                <w:szCs w:val="21"/>
                <w:vertAlign w:val="superscript"/>
              </w:rPr>
              <w:t>2</w:t>
            </w:r>
            <w:r>
              <w:rPr>
                <w:rFonts w:hint="default" w:ascii="Times New Roman" w:hAnsi="Times New Roman" w:eastAsia="宋体" w:cs="Times New Roman"/>
                <w:color w:val="0000FF"/>
                <w:spacing w:val="-1"/>
                <w:sz w:val="21"/>
                <w:szCs w:val="21"/>
              </w:rPr>
              <w:t>、20m</w:t>
            </w:r>
            <w:r>
              <w:rPr>
                <w:rFonts w:hint="default" w:ascii="Times New Roman" w:hAnsi="Times New Roman" w:eastAsia="宋体" w:cs="Times New Roman"/>
                <w:color w:val="0000FF"/>
                <w:spacing w:val="-1"/>
                <w:sz w:val="21"/>
                <w:szCs w:val="21"/>
                <w:vertAlign w:val="superscript"/>
              </w:rPr>
              <w:t>2</w:t>
            </w:r>
          </w:p>
        </w:tc>
        <w:tc>
          <w:tcPr>
            <w:tcW w:w="1118" w:type="dxa"/>
            <w:vAlign w:val="center"/>
          </w:tcPr>
          <w:p w14:paraId="65C9D259">
            <w:pPr>
              <w:pStyle w:val="3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21"/>
                <w:szCs w:val="21"/>
              </w:rPr>
            </w:pPr>
            <w:r>
              <w:rPr>
                <w:rFonts w:hint="eastAsia" w:ascii="Times New Roman" w:hAnsi="Times New Roman" w:cs="Times New Roman"/>
                <w:color w:val="0000FF"/>
                <w:sz w:val="21"/>
                <w:szCs w:val="21"/>
                <w:lang w:val="en-US" w:eastAsia="zh-CN"/>
              </w:rPr>
              <w:t>一</w:t>
            </w:r>
            <w:r>
              <w:rPr>
                <w:rFonts w:hint="default" w:ascii="Times New Roman" w:hAnsi="Times New Roman" w:eastAsia="宋体" w:cs="Times New Roman"/>
                <w:color w:val="0000FF"/>
                <w:sz w:val="21"/>
                <w:szCs w:val="21"/>
                <w:lang w:val="en-US" w:eastAsia="zh-CN"/>
              </w:rPr>
              <w:t>期</w:t>
            </w:r>
          </w:p>
        </w:tc>
      </w:tr>
      <w:tr w14:paraId="7A2861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9" w:hRule="atLeast"/>
          <w:jc w:val="center"/>
        </w:trPr>
        <w:tc>
          <w:tcPr>
            <w:tcW w:w="438" w:type="dxa"/>
            <w:vMerge w:val="continue"/>
            <w:vAlign w:val="center"/>
          </w:tcPr>
          <w:p w14:paraId="51926453">
            <w:pPr>
              <w:pStyle w:val="36"/>
              <w:ind w:firstLine="0" w:firstLineChars="0"/>
              <w:rPr>
                <w:rFonts w:hint="default" w:ascii="Times New Roman" w:hAnsi="Times New Roman" w:eastAsia="宋体" w:cs="Times New Roman"/>
                <w:color w:val="0000FF"/>
                <w:sz w:val="21"/>
                <w:szCs w:val="21"/>
              </w:rPr>
            </w:pPr>
          </w:p>
        </w:tc>
        <w:tc>
          <w:tcPr>
            <w:tcW w:w="932" w:type="dxa"/>
            <w:vAlign w:val="center"/>
          </w:tcPr>
          <w:p w14:paraId="491416AC">
            <w:pPr>
              <w:ind w:firstLine="0" w:firstLineChars="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危废间</w:t>
            </w:r>
          </w:p>
        </w:tc>
        <w:tc>
          <w:tcPr>
            <w:tcW w:w="6866" w:type="dxa"/>
            <w:gridSpan w:val="2"/>
            <w:vAlign w:val="center"/>
          </w:tcPr>
          <w:p w14:paraId="7DD4332C">
            <w:pPr>
              <w:pStyle w:val="36"/>
              <w:ind w:firstLine="0" w:firstLineChars="0"/>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项目新建危废暂存间一座，占地面积为9m</w:t>
            </w:r>
            <w:r>
              <w:rPr>
                <w:rFonts w:hint="default" w:ascii="Times New Roman" w:hAnsi="Times New Roman" w:eastAsia="宋体" w:cs="Times New Roman"/>
                <w:color w:val="0000FF"/>
                <w:sz w:val="21"/>
                <w:szCs w:val="21"/>
                <w:vertAlign w:val="superscript"/>
              </w:rPr>
              <w:t>2</w:t>
            </w:r>
            <w:r>
              <w:rPr>
                <w:rFonts w:hint="default" w:ascii="Times New Roman" w:hAnsi="Times New Roman" w:eastAsia="宋体" w:cs="Times New Roman"/>
                <w:color w:val="0000FF"/>
                <w:sz w:val="21"/>
                <w:szCs w:val="21"/>
              </w:rPr>
              <w:t>，砖混结构，用于存放项目产生危险废物。</w:t>
            </w:r>
          </w:p>
        </w:tc>
        <w:tc>
          <w:tcPr>
            <w:tcW w:w="1118" w:type="dxa"/>
            <w:vAlign w:val="center"/>
          </w:tcPr>
          <w:p w14:paraId="23D21189">
            <w:pPr>
              <w:pStyle w:val="3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lang w:val="en-US" w:eastAsia="zh-CN"/>
              </w:rPr>
              <w:t>二期</w:t>
            </w:r>
          </w:p>
        </w:tc>
      </w:tr>
      <w:tr w14:paraId="1C478A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1" w:hRule="atLeast"/>
          <w:jc w:val="center"/>
        </w:trPr>
        <w:tc>
          <w:tcPr>
            <w:tcW w:w="438" w:type="dxa"/>
            <w:vMerge w:val="continue"/>
            <w:vAlign w:val="center"/>
          </w:tcPr>
          <w:p w14:paraId="07AF7751">
            <w:pPr>
              <w:pStyle w:val="36"/>
              <w:ind w:firstLine="0" w:firstLineChars="0"/>
              <w:rPr>
                <w:rFonts w:hint="default" w:ascii="Times New Roman" w:hAnsi="Times New Roman" w:eastAsia="宋体" w:cs="Times New Roman"/>
                <w:color w:val="0000FF"/>
                <w:sz w:val="21"/>
                <w:szCs w:val="21"/>
                <w:lang w:val="en-US"/>
              </w:rPr>
            </w:pPr>
          </w:p>
        </w:tc>
        <w:tc>
          <w:tcPr>
            <w:tcW w:w="932" w:type="dxa"/>
            <w:vAlign w:val="center"/>
          </w:tcPr>
          <w:p w14:paraId="4EADA43C">
            <w:pPr>
              <w:pStyle w:val="36"/>
              <w:ind w:firstLine="0" w:firstLineChars="0"/>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青贮窖</w:t>
            </w:r>
          </w:p>
        </w:tc>
        <w:tc>
          <w:tcPr>
            <w:tcW w:w="6866" w:type="dxa"/>
            <w:gridSpan w:val="2"/>
            <w:vAlign w:val="center"/>
          </w:tcPr>
          <w:p w14:paraId="2837792A">
            <w:pPr>
              <w:pStyle w:val="36"/>
              <w:ind w:firstLine="0" w:firstLineChars="0"/>
              <w:rPr>
                <w:rFonts w:hint="default" w:ascii="Times New Roman" w:hAnsi="Times New Roman" w:eastAsia="宋体" w:cs="Times New Roman"/>
                <w:color w:val="0000FF"/>
                <w:spacing w:val="-7"/>
                <w:sz w:val="21"/>
                <w:szCs w:val="21"/>
              </w:rPr>
            </w:pPr>
            <w:r>
              <w:rPr>
                <w:rFonts w:hint="default" w:ascii="Times New Roman" w:hAnsi="Times New Roman" w:eastAsia="宋体" w:cs="Times New Roman"/>
                <w:color w:val="0000FF"/>
                <w:spacing w:val="-1"/>
                <w:sz w:val="21"/>
                <w:szCs w:val="21"/>
                <w:lang w:val="en-US"/>
              </w:rPr>
              <w:t>2</w:t>
            </w:r>
            <w:r>
              <w:rPr>
                <w:rFonts w:hint="default" w:ascii="Times New Roman" w:hAnsi="Times New Roman" w:eastAsia="宋体" w:cs="Times New Roman"/>
                <w:color w:val="0000FF"/>
                <w:spacing w:val="-1"/>
                <w:sz w:val="21"/>
                <w:szCs w:val="21"/>
              </w:rPr>
              <w:t>座，</w:t>
            </w:r>
            <w:r>
              <w:rPr>
                <w:rFonts w:hint="eastAsia" w:ascii="Times New Roman" w:hAnsi="Times New Roman" w:eastAsia="宋体" w:cs="Times New Roman"/>
                <w:color w:val="0000FF"/>
                <w:spacing w:val="0"/>
                <w:w w:val="100"/>
                <w:position w:val="0"/>
                <w:sz w:val="21"/>
                <w:szCs w:val="21"/>
                <w:highlight w:val="none"/>
                <w:lang w:val="en-US" w:eastAsia="zh-CN"/>
              </w:rPr>
              <w:t>总建筑面积约3000m</w:t>
            </w:r>
            <w:r>
              <w:rPr>
                <w:rFonts w:hint="eastAsia" w:ascii="Times New Roman" w:hAnsi="Times New Roman" w:eastAsia="宋体" w:cs="Times New Roman"/>
                <w:color w:val="0000FF"/>
                <w:spacing w:val="0"/>
                <w:w w:val="100"/>
                <w:position w:val="0"/>
                <w:sz w:val="21"/>
                <w:szCs w:val="21"/>
                <w:highlight w:val="none"/>
                <w:vertAlign w:val="superscript"/>
                <w:lang w:val="en-US" w:eastAsia="zh-CN"/>
              </w:rPr>
              <w:t>2</w:t>
            </w:r>
            <w:r>
              <w:rPr>
                <w:rFonts w:hint="default" w:ascii="Times New Roman" w:hAnsi="Times New Roman" w:eastAsia="宋体" w:cs="Times New Roman"/>
                <w:color w:val="0000FF"/>
                <w:spacing w:val="0"/>
                <w:w w:val="100"/>
                <w:position w:val="0"/>
                <w:sz w:val="21"/>
                <w:szCs w:val="21"/>
                <w:highlight w:val="none"/>
                <w:lang w:val="en-US" w:eastAsia="zh-CN"/>
              </w:rPr>
              <w:t>，</w:t>
            </w:r>
            <w:r>
              <w:rPr>
                <w:rFonts w:hint="eastAsia" w:ascii="Times New Roman" w:hAnsi="Times New Roman" w:eastAsia="宋体" w:cs="Times New Roman"/>
                <w:color w:val="0000FF"/>
                <w:spacing w:val="0"/>
                <w:w w:val="100"/>
                <w:position w:val="0"/>
                <w:sz w:val="21"/>
                <w:szCs w:val="21"/>
                <w:highlight w:val="none"/>
                <w:lang w:val="en-US" w:eastAsia="zh-CN"/>
              </w:rPr>
              <w:t>用于临时储存青草，</w:t>
            </w:r>
            <w:r>
              <w:rPr>
                <w:rFonts w:hint="default" w:ascii="Times New Roman" w:hAnsi="Times New Roman" w:eastAsia="宋体" w:cs="Times New Roman"/>
                <w:color w:val="0000FF"/>
                <w:spacing w:val="-1"/>
                <w:sz w:val="21"/>
                <w:szCs w:val="21"/>
              </w:rPr>
              <w:t>总有效容积</w:t>
            </w:r>
            <w:r>
              <w:rPr>
                <w:rFonts w:hint="default" w:ascii="Times New Roman" w:hAnsi="Times New Roman" w:eastAsia="宋体" w:cs="Times New Roman"/>
                <w:color w:val="0000FF"/>
                <w:spacing w:val="-1"/>
                <w:sz w:val="21"/>
                <w:szCs w:val="21"/>
                <w:lang w:val="en-US"/>
              </w:rPr>
              <w:t>14000</w:t>
            </w:r>
            <w:r>
              <w:rPr>
                <w:rFonts w:hint="default" w:ascii="Times New Roman" w:hAnsi="Times New Roman" w:eastAsia="宋体" w:cs="Times New Roman"/>
                <w:color w:val="0000FF"/>
                <w:spacing w:val="-1"/>
                <w:sz w:val="21"/>
                <w:szCs w:val="21"/>
              </w:rPr>
              <w:t>m</w:t>
            </w:r>
            <w:r>
              <w:rPr>
                <w:rFonts w:hint="default" w:ascii="Times New Roman" w:hAnsi="Times New Roman" w:eastAsia="宋体" w:cs="Times New Roman"/>
                <w:color w:val="0000FF"/>
                <w:spacing w:val="-1"/>
                <w:sz w:val="21"/>
                <w:szCs w:val="21"/>
                <w:vertAlign w:val="superscript"/>
              </w:rPr>
              <w:t>3</w:t>
            </w:r>
            <w:r>
              <w:rPr>
                <w:rFonts w:hint="default" w:ascii="Times New Roman" w:hAnsi="Times New Roman" w:eastAsia="宋体" w:cs="Times New Roman"/>
                <w:color w:val="0000FF"/>
                <w:spacing w:val="-1"/>
                <w:sz w:val="21"/>
                <w:szCs w:val="21"/>
              </w:rPr>
              <w:t>，</w:t>
            </w:r>
            <w:r>
              <w:rPr>
                <w:rFonts w:hint="default" w:ascii="Times New Roman" w:hAnsi="Times New Roman" w:eastAsia="宋体" w:cs="Times New Roman"/>
                <w:color w:val="0000FF"/>
                <w:spacing w:val="-1"/>
                <w:sz w:val="21"/>
                <w:szCs w:val="21"/>
                <w:lang w:val="en-US"/>
              </w:rPr>
              <w:t>单个容积为7000m</w:t>
            </w:r>
            <w:r>
              <w:rPr>
                <w:rFonts w:hint="default" w:ascii="Times New Roman" w:hAnsi="Times New Roman" w:eastAsia="宋体" w:cs="Times New Roman"/>
                <w:color w:val="0000FF"/>
                <w:spacing w:val="-1"/>
                <w:sz w:val="21"/>
                <w:szCs w:val="21"/>
                <w:vertAlign w:val="superscript"/>
                <w:lang w:val="en-US"/>
              </w:rPr>
              <w:t>3</w:t>
            </w:r>
            <w:r>
              <w:rPr>
                <w:rFonts w:hint="default" w:ascii="Times New Roman" w:hAnsi="Times New Roman" w:eastAsia="宋体" w:cs="Times New Roman"/>
                <w:color w:val="0000FF"/>
                <w:spacing w:val="-1"/>
                <w:sz w:val="21"/>
                <w:szCs w:val="21"/>
              </w:rPr>
              <w:t>。</w:t>
            </w:r>
            <w:r>
              <w:rPr>
                <w:rFonts w:hint="default" w:ascii="Times New Roman" w:hAnsi="Times New Roman" w:eastAsia="宋体" w:cs="Times New Roman"/>
                <w:color w:val="0000FF"/>
                <w:spacing w:val="-1"/>
                <w:sz w:val="21"/>
                <w:szCs w:val="21"/>
                <w:lang w:val="en-US" w:eastAsia="zh-CN"/>
              </w:rPr>
              <w:t>砌体结构，混凝土地面。</w:t>
            </w:r>
          </w:p>
        </w:tc>
        <w:tc>
          <w:tcPr>
            <w:tcW w:w="1118" w:type="dxa"/>
            <w:vAlign w:val="center"/>
          </w:tcPr>
          <w:p w14:paraId="46AFC5C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21"/>
                <w:szCs w:val="21"/>
              </w:rPr>
            </w:pPr>
            <w:r>
              <w:rPr>
                <w:rFonts w:hint="eastAsia" w:cs="Times New Roman"/>
                <w:color w:val="0000FF"/>
                <w:sz w:val="21"/>
                <w:szCs w:val="21"/>
                <w:lang w:val="en-US" w:eastAsia="zh-CN"/>
              </w:rPr>
              <w:t>一</w:t>
            </w:r>
            <w:r>
              <w:rPr>
                <w:rFonts w:hint="eastAsia" w:ascii="Times New Roman" w:hAnsi="Times New Roman" w:cs="Times New Roman"/>
                <w:color w:val="0000FF"/>
                <w:sz w:val="21"/>
                <w:szCs w:val="21"/>
                <w:lang w:val="en-US" w:eastAsia="zh-CN"/>
              </w:rPr>
              <w:t>期</w:t>
            </w:r>
          </w:p>
        </w:tc>
      </w:tr>
      <w:tr w14:paraId="76ADF0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1" w:hRule="atLeast"/>
          <w:jc w:val="center"/>
        </w:trPr>
        <w:tc>
          <w:tcPr>
            <w:tcW w:w="438" w:type="dxa"/>
            <w:vMerge w:val="continue"/>
            <w:vAlign w:val="center"/>
          </w:tcPr>
          <w:p w14:paraId="5F76DA06">
            <w:pPr>
              <w:pStyle w:val="36"/>
              <w:ind w:firstLine="0" w:firstLineChars="0"/>
              <w:rPr>
                <w:rFonts w:hint="default" w:ascii="Times New Roman" w:hAnsi="Times New Roman" w:eastAsia="宋体" w:cs="Times New Roman"/>
                <w:color w:val="0000FF"/>
                <w:sz w:val="21"/>
                <w:szCs w:val="21"/>
              </w:rPr>
            </w:pPr>
          </w:p>
        </w:tc>
        <w:tc>
          <w:tcPr>
            <w:tcW w:w="932" w:type="dxa"/>
            <w:vAlign w:val="center"/>
          </w:tcPr>
          <w:p w14:paraId="03D25678">
            <w:pPr>
              <w:pStyle w:val="36"/>
              <w:ind w:firstLine="0" w:firstLineChars="0"/>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干草棚</w:t>
            </w:r>
          </w:p>
        </w:tc>
        <w:tc>
          <w:tcPr>
            <w:tcW w:w="6866" w:type="dxa"/>
            <w:gridSpan w:val="2"/>
            <w:vAlign w:val="center"/>
          </w:tcPr>
          <w:p w14:paraId="2ABC025A">
            <w:pPr>
              <w:pStyle w:val="36"/>
              <w:ind w:firstLine="0" w:firstLineChars="0"/>
              <w:rPr>
                <w:rFonts w:hint="default" w:ascii="Times New Roman" w:hAnsi="Times New Roman" w:eastAsia="宋体" w:cs="Times New Roman"/>
                <w:color w:val="0000FF"/>
                <w:spacing w:val="-7"/>
                <w:sz w:val="21"/>
                <w:szCs w:val="21"/>
              </w:rPr>
            </w:pPr>
            <w:r>
              <w:rPr>
                <w:rFonts w:hint="default" w:ascii="Times New Roman" w:hAnsi="Times New Roman" w:eastAsia="宋体" w:cs="Times New Roman"/>
                <w:color w:val="0000FF"/>
                <w:spacing w:val="-1"/>
                <w:sz w:val="21"/>
                <w:szCs w:val="21"/>
                <w:lang w:val="en-US"/>
              </w:rPr>
              <w:t>1</w:t>
            </w:r>
            <w:r>
              <w:rPr>
                <w:rFonts w:hint="default" w:ascii="Times New Roman" w:hAnsi="Times New Roman" w:eastAsia="宋体" w:cs="Times New Roman"/>
                <w:color w:val="0000FF"/>
                <w:spacing w:val="-1"/>
                <w:sz w:val="21"/>
                <w:szCs w:val="21"/>
              </w:rPr>
              <w:t>座，总面积为</w:t>
            </w:r>
            <w:r>
              <w:rPr>
                <w:rFonts w:hint="default" w:ascii="Times New Roman" w:hAnsi="Times New Roman" w:eastAsia="宋体" w:cs="Times New Roman"/>
                <w:color w:val="0000FF"/>
                <w:spacing w:val="-1"/>
                <w:sz w:val="21"/>
                <w:szCs w:val="21"/>
                <w:lang w:val="en-US"/>
              </w:rPr>
              <w:t>1400</w:t>
            </w:r>
            <w:r>
              <w:rPr>
                <w:rFonts w:hint="default" w:ascii="Times New Roman" w:hAnsi="Times New Roman" w:eastAsia="宋体" w:cs="Times New Roman"/>
                <w:color w:val="0000FF"/>
                <w:spacing w:val="-1"/>
                <w:sz w:val="21"/>
                <w:szCs w:val="21"/>
              </w:rPr>
              <w:t>m</w:t>
            </w:r>
            <w:r>
              <w:rPr>
                <w:rFonts w:hint="default" w:ascii="Times New Roman" w:hAnsi="Times New Roman" w:eastAsia="宋体" w:cs="Times New Roman"/>
                <w:color w:val="0000FF"/>
                <w:spacing w:val="-1"/>
                <w:sz w:val="21"/>
                <w:szCs w:val="21"/>
                <w:vertAlign w:val="superscript"/>
              </w:rPr>
              <w:t>2</w:t>
            </w:r>
            <w:r>
              <w:rPr>
                <w:rFonts w:hint="default" w:ascii="Times New Roman" w:hAnsi="Times New Roman" w:eastAsia="宋体" w:cs="Times New Roman"/>
                <w:color w:val="0000FF"/>
                <w:spacing w:val="-1"/>
                <w:sz w:val="21"/>
                <w:szCs w:val="21"/>
              </w:rPr>
              <w:t>。</w:t>
            </w:r>
            <w:r>
              <w:rPr>
                <w:rFonts w:hint="default" w:ascii="Times New Roman" w:hAnsi="Times New Roman" w:eastAsia="宋体" w:cs="Times New Roman"/>
                <w:color w:val="0000FF"/>
                <w:spacing w:val="-1"/>
                <w:sz w:val="21"/>
                <w:szCs w:val="21"/>
                <w:lang w:val="en-US" w:eastAsia="zh-CN"/>
              </w:rPr>
              <w:t>钢混结构，用于存放干草及破碎。</w:t>
            </w:r>
          </w:p>
        </w:tc>
        <w:tc>
          <w:tcPr>
            <w:tcW w:w="1118" w:type="dxa"/>
            <w:vAlign w:val="center"/>
          </w:tcPr>
          <w:p w14:paraId="5A39AA9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21"/>
                <w:szCs w:val="21"/>
              </w:rPr>
            </w:pPr>
            <w:r>
              <w:rPr>
                <w:rFonts w:hint="eastAsia" w:cs="Times New Roman"/>
                <w:color w:val="0000FF"/>
                <w:sz w:val="21"/>
                <w:szCs w:val="21"/>
                <w:lang w:val="en-US" w:eastAsia="zh-CN"/>
              </w:rPr>
              <w:t>一</w:t>
            </w:r>
            <w:r>
              <w:rPr>
                <w:rFonts w:hint="eastAsia" w:ascii="Times New Roman" w:hAnsi="Times New Roman" w:cs="Times New Roman"/>
                <w:color w:val="0000FF"/>
                <w:sz w:val="21"/>
                <w:szCs w:val="21"/>
                <w:lang w:val="en-US" w:eastAsia="zh-CN"/>
              </w:rPr>
              <w:t>期</w:t>
            </w:r>
          </w:p>
        </w:tc>
      </w:tr>
      <w:tr w14:paraId="4FDE28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1" w:hRule="atLeast"/>
          <w:jc w:val="center"/>
        </w:trPr>
        <w:tc>
          <w:tcPr>
            <w:tcW w:w="438" w:type="dxa"/>
            <w:vMerge w:val="continue"/>
            <w:vAlign w:val="center"/>
          </w:tcPr>
          <w:p w14:paraId="55F822DF">
            <w:pPr>
              <w:pStyle w:val="36"/>
              <w:ind w:firstLine="0" w:firstLineChars="0"/>
              <w:rPr>
                <w:rFonts w:hint="default" w:ascii="Times New Roman" w:hAnsi="Times New Roman" w:eastAsia="宋体" w:cs="Times New Roman"/>
                <w:color w:val="0000FF"/>
                <w:sz w:val="21"/>
                <w:szCs w:val="21"/>
              </w:rPr>
            </w:pPr>
          </w:p>
        </w:tc>
        <w:tc>
          <w:tcPr>
            <w:tcW w:w="932" w:type="dxa"/>
            <w:vAlign w:val="center"/>
          </w:tcPr>
          <w:p w14:paraId="6EA2A399">
            <w:pPr>
              <w:pStyle w:val="36"/>
              <w:ind w:firstLine="0" w:firstLineChars="0"/>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pacing w:val="-1"/>
                <w:sz w:val="21"/>
                <w:szCs w:val="21"/>
                <w:lang w:val="en-US"/>
              </w:rPr>
              <w:t>饲料</w:t>
            </w:r>
            <w:r>
              <w:rPr>
                <w:rFonts w:hint="default" w:ascii="Times New Roman" w:hAnsi="Times New Roman" w:eastAsia="宋体" w:cs="Times New Roman"/>
                <w:color w:val="0000FF"/>
                <w:spacing w:val="-1"/>
                <w:sz w:val="21"/>
                <w:szCs w:val="21"/>
              </w:rPr>
              <w:t>库</w:t>
            </w:r>
          </w:p>
        </w:tc>
        <w:tc>
          <w:tcPr>
            <w:tcW w:w="6866" w:type="dxa"/>
            <w:gridSpan w:val="2"/>
            <w:vAlign w:val="center"/>
          </w:tcPr>
          <w:p w14:paraId="25464F60">
            <w:pPr>
              <w:pStyle w:val="36"/>
              <w:ind w:firstLine="0" w:firstLineChars="0"/>
              <w:rPr>
                <w:rFonts w:hint="default" w:ascii="Times New Roman" w:hAnsi="Times New Roman" w:eastAsia="宋体" w:cs="Times New Roman"/>
                <w:color w:val="0000FF"/>
                <w:spacing w:val="-7"/>
                <w:sz w:val="21"/>
                <w:szCs w:val="21"/>
              </w:rPr>
            </w:pPr>
            <w:r>
              <w:rPr>
                <w:rFonts w:hint="eastAsia" w:ascii="Times New Roman" w:hAnsi="Times New Roman" w:cs="Times New Roman"/>
                <w:color w:val="0000FF"/>
                <w:spacing w:val="-1"/>
                <w:sz w:val="21"/>
                <w:szCs w:val="21"/>
                <w:lang w:val="en-US" w:eastAsia="zh-CN"/>
              </w:rPr>
              <w:t>封闭式库</w:t>
            </w:r>
            <w:r>
              <w:rPr>
                <w:rFonts w:hint="default" w:ascii="Times New Roman" w:hAnsi="Times New Roman" w:eastAsia="宋体" w:cs="Times New Roman"/>
                <w:color w:val="0000FF"/>
                <w:spacing w:val="-1"/>
                <w:sz w:val="21"/>
                <w:szCs w:val="21"/>
                <w:lang w:val="en-US"/>
              </w:rPr>
              <w:t>1</w:t>
            </w:r>
            <w:r>
              <w:rPr>
                <w:rFonts w:hint="default" w:ascii="Times New Roman" w:hAnsi="Times New Roman" w:eastAsia="宋体" w:cs="Times New Roman"/>
                <w:color w:val="0000FF"/>
                <w:spacing w:val="-1"/>
                <w:sz w:val="21"/>
                <w:szCs w:val="21"/>
              </w:rPr>
              <w:t>座，总面积为</w:t>
            </w:r>
            <w:r>
              <w:rPr>
                <w:rFonts w:hint="default" w:ascii="Times New Roman" w:hAnsi="Times New Roman" w:eastAsia="宋体" w:cs="Times New Roman"/>
                <w:color w:val="0000FF"/>
                <w:spacing w:val="-1"/>
                <w:sz w:val="21"/>
                <w:szCs w:val="21"/>
                <w:lang w:val="en-US"/>
              </w:rPr>
              <w:t>2160</w:t>
            </w:r>
            <w:r>
              <w:rPr>
                <w:rFonts w:hint="default" w:ascii="Times New Roman" w:hAnsi="Times New Roman" w:eastAsia="宋体" w:cs="Times New Roman"/>
                <w:color w:val="0000FF"/>
                <w:spacing w:val="-1"/>
                <w:sz w:val="21"/>
                <w:szCs w:val="21"/>
              </w:rPr>
              <w:t>m</w:t>
            </w:r>
            <w:r>
              <w:rPr>
                <w:rFonts w:hint="default" w:ascii="Times New Roman" w:hAnsi="Times New Roman" w:eastAsia="宋体" w:cs="Times New Roman"/>
                <w:color w:val="0000FF"/>
                <w:spacing w:val="-1"/>
                <w:sz w:val="21"/>
                <w:szCs w:val="21"/>
                <w:vertAlign w:val="superscript"/>
              </w:rPr>
              <w:t>2</w:t>
            </w:r>
            <w:r>
              <w:rPr>
                <w:rFonts w:hint="default" w:ascii="Times New Roman" w:hAnsi="Times New Roman" w:eastAsia="宋体" w:cs="Times New Roman"/>
                <w:color w:val="0000FF"/>
                <w:spacing w:val="-1"/>
                <w:sz w:val="21"/>
                <w:szCs w:val="21"/>
              </w:rPr>
              <w:t>。</w:t>
            </w:r>
          </w:p>
        </w:tc>
        <w:tc>
          <w:tcPr>
            <w:tcW w:w="1118" w:type="dxa"/>
            <w:vAlign w:val="center"/>
          </w:tcPr>
          <w:p w14:paraId="6B95F42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21"/>
                <w:szCs w:val="21"/>
              </w:rPr>
            </w:pPr>
            <w:r>
              <w:rPr>
                <w:rFonts w:hint="eastAsia" w:cs="Times New Roman"/>
                <w:color w:val="0000FF"/>
                <w:sz w:val="21"/>
                <w:szCs w:val="21"/>
                <w:lang w:val="en-US" w:eastAsia="zh-CN"/>
              </w:rPr>
              <w:t>一</w:t>
            </w:r>
            <w:r>
              <w:rPr>
                <w:rFonts w:hint="eastAsia" w:ascii="Times New Roman" w:hAnsi="Times New Roman" w:cs="Times New Roman"/>
                <w:color w:val="0000FF"/>
                <w:sz w:val="21"/>
                <w:szCs w:val="21"/>
                <w:lang w:val="en-US" w:eastAsia="zh-CN"/>
              </w:rPr>
              <w:t>期</w:t>
            </w:r>
          </w:p>
        </w:tc>
      </w:tr>
      <w:tr w14:paraId="19A70A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0" w:hRule="atLeast"/>
          <w:jc w:val="center"/>
        </w:trPr>
        <w:tc>
          <w:tcPr>
            <w:tcW w:w="438" w:type="dxa"/>
            <w:vMerge w:val="continue"/>
            <w:vAlign w:val="center"/>
          </w:tcPr>
          <w:p w14:paraId="23F6CABF">
            <w:pPr>
              <w:pStyle w:val="36"/>
              <w:ind w:firstLine="0" w:firstLineChars="0"/>
              <w:rPr>
                <w:rFonts w:hint="default" w:ascii="Times New Roman" w:hAnsi="Times New Roman" w:eastAsia="宋体" w:cs="Times New Roman"/>
                <w:color w:val="0000FF"/>
                <w:sz w:val="21"/>
                <w:szCs w:val="21"/>
              </w:rPr>
            </w:pPr>
          </w:p>
        </w:tc>
        <w:tc>
          <w:tcPr>
            <w:tcW w:w="932" w:type="dxa"/>
            <w:vAlign w:val="center"/>
          </w:tcPr>
          <w:p w14:paraId="3468AA1B">
            <w:pPr>
              <w:pStyle w:val="36"/>
              <w:ind w:firstLine="0" w:firstLineChars="0"/>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pacing w:val="-1"/>
                <w:sz w:val="21"/>
                <w:szCs w:val="21"/>
              </w:rPr>
              <w:t>机械库</w:t>
            </w:r>
          </w:p>
        </w:tc>
        <w:tc>
          <w:tcPr>
            <w:tcW w:w="6866" w:type="dxa"/>
            <w:gridSpan w:val="2"/>
            <w:vAlign w:val="center"/>
          </w:tcPr>
          <w:p w14:paraId="2D080D38">
            <w:pPr>
              <w:pStyle w:val="36"/>
              <w:ind w:firstLine="0" w:firstLineChars="0"/>
              <w:rPr>
                <w:rFonts w:hint="default" w:ascii="Times New Roman" w:hAnsi="Times New Roman" w:eastAsia="宋体" w:cs="Times New Roman"/>
                <w:color w:val="0000FF"/>
                <w:spacing w:val="-7"/>
                <w:sz w:val="21"/>
                <w:szCs w:val="21"/>
              </w:rPr>
            </w:pPr>
            <w:r>
              <w:rPr>
                <w:rFonts w:hint="default" w:ascii="Times New Roman" w:hAnsi="Times New Roman" w:eastAsia="宋体" w:cs="Times New Roman"/>
                <w:color w:val="0000FF"/>
                <w:spacing w:val="-1"/>
                <w:sz w:val="21"/>
                <w:szCs w:val="21"/>
              </w:rPr>
              <w:t>修建1座，长</w:t>
            </w:r>
            <w:r>
              <w:rPr>
                <w:rFonts w:hint="default" w:ascii="Times New Roman" w:hAnsi="Times New Roman" w:eastAsia="宋体" w:cs="Times New Roman"/>
                <w:color w:val="0000FF"/>
                <w:spacing w:val="-1"/>
                <w:sz w:val="21"/>
                <w:szCs w:val="21"/>
                <w:lang w:val="en-US"/>
              </w:rPr>
              <w:t>50</w:t>
            </w:r>
            <w:r>
              <w:rPr>
                <w:rFonts w:hint="default" w:ascii="Times New Roman" w:hAnsi="Times New Roman" w:eastAsia="宋体" w:cs="Times New Roman"/>
                <w:color w:val="0000FF"/>
                <w:spacing w:val="-1"/>
                <w:sz w:val="21"/>
                <w:szCs w:val="21"/>
              </w:rPr>
              <w:t>m，宽</w:t>
            </w:r>
            <w:r>
              <w:rPr>
                <w:rFonts w:hint="default" w:ascii="Times New Roman" w:hAnsi="Times New Roman" w:eastAsia="宋体" w:cs="Times New Roman"/>
                <w:color w:val="0000FF"/>
                <w:spacing w:val="-1"/>
                <w:sz w:val="21"/>
                <w:szCs w:val="21"/>
                <w:lang w:val="en-US"/>
              </w:rPr>
              <w:t>15</w:t>
            </w:r>
            <w:r>
              <w:rPr>
                <w:rFonts w:hint="default" w:ascii="Times New Roman" w:hAnsi="Times New Roman" w:eastAsia="宋体" w:cs="Times New Roman"/>
                <w:color w:val="0000FF"/>
                <w:spacing w:val="-1"/>
                <w:sz w:val="21"/>
                <w:szCs w:val="21"/>
              </w:rPr>
              <w:t>m，总建筑面积</w:t>
            </w:r>
            <w:r>
              <w:rPr>
                <w:rFonts w:hint="default" w:ascii="Times New Roman" w:hAnsi="Times New Roman" w:eastAsia="宋体" w:cs="Times New Roman"/>
                <w:color w:val="0000FF"/>
                <w:spacing w:val="-1"/>
                <w:sz w:val="21"/>
                <w:szCs w:val="21"/>
                <w:lang w:val="en-US"/>
              </w:rPr>
              <w:t>750</w:t>
            </w:r>
            <w:r>
              <w:rPr>
                <w:rFonts w:hint="default" w:ascii="Times New Roman" w:hAnsi="Times New Roman" w:eastAsia="宋体" w:cs="Times New Roman"/>
                <w:color w:val="0000FF"/>
                <w:spacing w:val="-1"/>
                <w:sz w:val="21"/>
                <w:szCs w:val="21"/>
              </w:rPr>
              <w:t>m</w:t>
            </w:r>
            <w:r>
              <w:rPr>
                <w:rFonts w:hint="default" w:ascii="Times New Roman" w:hAnsi="Times New Roman" w:eastAsia="宋体" w:cs="Times New Roman"/>
                <w:color w:val="0000FF"/>
                <w:spacing w:val="-1"/>
                <w:sz w:val="21"/>
                <w:szCs w:val="21"/>
                <w:vertAlign w:val="superscript"/>
              </w:rPr>
              <w:t>2</w:t>
            </w:r>
            <w:r>
              <w:rPr>
                <w:rFonts w:hint="default" w:ascii="Times New Roman" w:hAnsi="Times New Roman" w:eastAsia="宋体" w:cs="Times New Roman"/>
                <w:color w:val="0000FF"/>
                <w:spacing w:val="-1"/>
                <w:sz w:val="21"/>
                <w:szCs w:val="21"/>
              </w:rPr>
              <w:t>。</w:t>
            </w:r>
          </w:p>
        </w:tc>
        <w:tc>
          <w:tcPr>
            <w:tcW w:w="1118" w:type="dxa"/>
            <w:vAlign w:val="center"/>
          </w:tcPr>
          <w:p w14:paraId="54DC0669">
            <w:pPr>
              <w:pStyle w:val="3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lang w:val="en-US" w:eastAsia="zh-CN"/>
              </w:rPr>
              <w:t>二期</w:t>
            </w:r>
          </w:p>
        </w:tc>
      </w:tr>
      <w:tr w14:paraId="6BFE47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0" w:hRule="atLeast"/>
          <w:jc w:val="center"/>
        </w:trPr>
        <w:tc>
          <w:tcPr>
            <w:tcW w:w="438" w:type="dxa"/>
            <w:vMerge w:val="continue"/>
            <w:vAlign w:val="center"/>
          </w:tcPr>
          <w:p w14:paraId="3347E726">
            <w:pPr>
              <w:pStyle w:val="36"/>
              <w:ind w:firstLine="0" w:firstLineChars="0"/>
              <w:rPr>
                <w:rFonts w:hint="default" w:ascii="Times New Roman" w:hAnsi="Times New Roman" w:eastAsia="宋体" w:cs="Times New Roman"/>
                <w:color w:val="0000FF"/>
                <w:sz w:val="21"/>
                <w:szCs w:val="21"/>
              </w:rPr>
            </w:pPr>
          </w:p>
        </w:tc>
        <w:tc>
          <w:tcPr>
            <w:tcW w:w="932" w:type="dxa"/>
            <w:vAlign w:val="center"/>
          </w:tcPr>
          <w:p w14:paraId="62E6D603">
            <w:pPr>
              <w:pStyle w:val="36"/>
              <w:ind w:firstLine="0" w:firstLineChars="0"/>
              <w:rPr>
                <w:rFonts w:hint="default" w:ascii="Times New Roman" w:hAnsi="Times New Roman" w:eastAsia="宋体" w:cs="Times New Roman"/>
                <w:color w:val="0000FF"/>
                <w:spacing w:val="-1"/>
                <w:sz w:val="21"/>
                <w:szCs w:val="21"/>
                <w:lang w:val="en-US"/>
              </w:rPr>
            </w:pPr>
            <w:r>
              <w:rPr>
                <w:rFonts w:hint="default" w:ascii="Times New Roman" w:hAnsi="Times New Roman" w:eastAsia="宋体" w:cs="Times New Roman"/>
                <w:color w:val="0000FF"/>
                <w:spacing w:val="-1"/>
                <w:sz w:val="21"/>
                <w:szCs w:val="21"/>
                <w:lang w:val="en-US"/>
              </w:rPr>
              <w:t>固液分离车间</w:t>
            </w:r>
          </w:p>
        </w:tc>
        <w:tc>
          <w:tcPr>
            <w:tcW w:w="6866" w:type="dxa"/>
            <w:gridSpan w:val="2"/>
            <w:vAlign w:val="center"/>
          </w:tcPr>
          <w:p w14:paraId="279A5ACC">
            <w:pPr>
              <w:pStyle w:val="36"/>
              <w:ind w:firstLine="0" w:firstLineChars="0"/>
              <w:rPr>
                <w:rFonts w:hint="default" w:ascii="Times New Roman" w:hAnsi="Times New Roman" w:eastAsia="宋体" w:cs="Times New Roman"/>
                <w:color w:val="0000FF"/>
                <w:spacing w:val="-1"/>
                <w:sz w:val="21"/>
                <w:szCs w:val="21"/>
              </w:rPr>
            </w:pPr>
            <w:r>
              <w:rPr>
                <w:rFonts w:hint="default" w:ascii="Times New Roman" w:hAnsi="Times New Roman" w:eastAsia="宋体" w:cs="Times New Roman"/>
                <w:color w:val="0000FF"/>
                <w:spacing w:val="-1"/>
                <w:sz w:val="21"/>
                <w:szCs w:val="21"/>
                <w:lang w:val="en-US"/>
              </w:rPr>
              <w:t>新建1座固液分离车间，</w:t>
            </w:r>
            <w:r>
              <w:rPr>
                <w:rFonts w:hint="eastAsia" w:ascii="Times New Roman" w:hAnsi="Times New Roman" w:cs="Times New Roman"/>
                <w:color w:val="0000FF"/>
                <w:spacing w:val="-1"/>
                <w:sz w:val="21"/>
                <w:szCs w:val="21"/>
                <w:lang w:val="en-US" w:eastAsia="zh-CN"/>
              </w:rPr>
              <w:t>长25m，宽25m，车间高5m，总</w:t>
            </w:r>
            <w:r>
              <w:rPr>
                <w:rFonts w:hint="default" w:ascii="Times New Roman" w:hAnsi="Times New Roman" w:eastAsia="宋体" w:cs="Times New Roman"/>
                <w:color w:val="0000FF"/>
                <w:spacing w:val="-1"/>
                <w:sz w:val="21"/>
                <w:szCs w:val="21"/>
                <w:lang w:val="en-US"/>
              </w:rPr>
              <w:t>占地面积约为625m</w:t>
            </w:r>
            <w:r>
              <w:rPr>
                <w:rFonts w:hint="default" w:ascii="Times New Roman" w:hAnsi="Times New Roman" w:eastAsia="宋体" w:cs="Times New Roman"/>
                <w:color w:val="0000FF"/>
                <w:spacing w:val="-1"/>
                <w:sz w:val="21"/>
                <w:szCs w:val="21"/>
                <w:vertAlign w:val="superscript"/>
                <w:lang w:val="en-US"/>
              </w:rPr>
              <w:t>2</w:t>
            </w:r>
            <w:r>
              <w:rPr>
                <w:rFonts w:hint="default" w:ascii="Times New Roman" w:hAnsi="Times New Roman" w:eastAsia="宋体" w:cs="Times New Roman"/>
                <w:color w:val="0000FF"/>
                <w:spacing w:val="-1"/>
                <w:sz w:val="21"/>
                <w:szCs w:val="21"/>
                <w:lang w:val="en-US"/>
              </w:rPr>
              <w:t>，封闭轻钢结构，</w:t>
            </w:r>
            <w:r>
              <w:rPr>
                <w:rFonts w:hint="eastAsia" w:ascii="Times New Roman" w:hAnsi="Times New Roman" w:cs="Times New Roman"/>
                <w:color w:val="0000FF"/>
                <w:spacing w:val="-1"/>
                <w:sz w:val="21"/>
                <w:szCs w:val="21"/>
                <w:lang w:val="en-US" w:eastAsia="zh-CN"/>
              </w:rPr>
              <w:t>车间内分为固液分离系统（100m</w:t>
            </w:r>
            <w:r>
              <w:rPr>
                <w:rFonts w:hint="eastAsia" w:ascii="Times New Roman" w:hAnsi="Times New Roman" w:cs="Times New Roman"/>
                <w:color w:val="0000FF"/>
                <w:spacing w:val="-1"/>
                <w:sz w:val="21"/>
                <w:szCs w:val="21"/>
                <w:vertAlign w:val="superscript"/>
                <w:lang w:val="en-US" w:eastAsia="zh-CN"/>
              </w:rPr>
              <w:t>2</w:t>
            </w:r>
            <w:r>
              <w:rPr>
                <w:rFonts w:hint="eastAsia" w:ascii="Times New Roman" w:hAnsi="Times New Roman" w:cs="Times New Roman"/>
                <w:color w:val="0000FF"/>
                <w:spacing w:val="-1"/>
                <w:sz w:val="21"/>
                <w:szCs w:val="21"/>
                <w:lang w:val="en-US" w:eastAsia="zh-CN"/>
              </w:rPr>
              <w:t>）和堆粪区（525m</w:t>
            </w:r>
            <w:r>
              <w:rPr>
                <w:rFonts w:hint="eastAsia" w:ascii="Times New Roman" w:hAnsi="Times New Roman" w:cs="Times New Roman"/>
                <w:color w:val="0000FF"/>
                <w:spacing w:val="-1"/>
                <w:sz w:val="21"/>
                <w:szCs w:val="21"/>
                <w:vertAlign w:val="superscript"/>
                <w:lang w:val="en-US" w:eastAsia="zh-CN"/>
              </w:rPr>
              <w:t>2</w:t>
            </w:r>
            <w:r>
              <w:rPr>
                <w:rFonts w:hint="eastAsia" w:ascii="Times New Roman" w:hAnsi="Times New Roman" w:cs="Times New Roman"/>
                <w:color w:val="0000FF"/>
                <w:spacing w:val="-1"/>
                <w:sz w:val="21"/>
                <w:szCs w:val="21"/>
                <w:lang w:val="en-US" w:eastAsia="zh-CN"/>
              </w:rPr>
              <w:t>），</w:t>
            </w:r>
            <w:r>
              <w:rPr>
                <w:rFonts w:hint="default" w:ascii="Times New Roman" w:hAnsi="Times New Roman" w:eastAsia="宋体" w:cs="Times New Roman"/>
                <w:color w:val="0000FF"/>
                <w:spacing w:val="-1"/>
                <w:sz w:val="21"/>
                <w:szCs w:val="21"/>
                <w:lang w:val="en-US"/>
              </w:rPr>
              <w:t>粪污经输送泵送到固液分离系统进行分离，分离后液体经过输送泵依次进入氧化塘处理系统，车间内进行发酵。</w:t>
            </w:r>
          </w:p>
        </w:tc>
        <w:tc>
          <w:tcPr>
            <w:tcW w:w="1118" w:type="dxa"/>
            <w:vAlign w:val="center"/>
          </w:tcPr>
          <w:p w14:paraId="5EA55A4B">
            <w:pPr>
              <w:pStyle w:val="3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FF"/>
                <w:sz w:val="21"/>
                <w:szCs w:val="21"/>
                <w:lang w:val="en-US" w:eastAsia="zh-CN"/>
              </w:rPr>
            </w:pPr>
            <w:r>
              <w:rPr>
                <w:rFonts w:hint="eastAsia" w:ascii="Times New Roman" w:hAnsi="Times New Roman" w:cs="Times New Roman"/>
                <w:color w:val="0000FF"/>
                <w:sz w:val="21"/>
                <w:szCs w:val="21"/>
                <w:lang w:val="en-US" w:eastAsia="zh-CN"/>
              </w:rPr>
              <w:t>一期</w:t>
            </w:r>
          </w:p>
        </w:tc>
      </w:tr>
      <w:tr w14:paraId="6A9899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0" w:hRule="atLeast"/>
          <w:jc w:val="center"/>
        </w:trPr>
        <w:tc>
          <w:tcPr>
            <w:tcW w:w="438" w:type="dxa"/>
            <w:vMerge w:val="continue"/>
            <w:vAlign w:val="center"/>
          </w:tcPr>
          <w:p w14:paraId="2DA61C75">
            <w:pPr>
              <w:pStyle w:val="36"/>
              <w:ind w:firstLine="0" w:firstLineChars="0"/>
              <w:rPr>
                <w:rFonts w:hint="default" w:ascii="Times New Roman" w:hAnsi="Times New Roman" w:eastAsia="宋体" w:cs="Times New Roman"/>
                <w:color w:val="0000FF"/>
                <w:sz w:val="21"/>
                <w:szCs w:val="21"/>
              </w:rPr>
            </w:pPr>
          </w:p>
        </w:tc>
        <w:tc>
          <w:tcPr>
            <w:tcW w:w="932" w:type="dxa"/>
            <w:vAlign w:val="center"/>
          </w:tcPr>
          <w:p w14:paraId="537B01B8">
            <w:pPr>
              <w:pStyle w:val="36"/>
              <w:ind w:firstLine="0" w:firstLineChars="0"/>
              <w:rPr>
                <w:rFonts w:hint="default" w:ascii="Times New Roman" w:hAnsi="Times New Roman" w:eastAsia="宋体" w:cs="Times New Roman"/>
                <w:color w:val="0000FF"/>
                <w:spacing w:val="-1"/>
                <w:sz w:val="21"/>
                <w:szCs w:val="21"/>
                <w:lang w:val="en-US"/>
              </w:rPr>
            </w:pPr>
            <w:r>
              <w:rPr>
                <w:rFonts w:hint="default" w:ascii="Times New Roman" w:hAnsi="Times New Roman" w:eastAsia="宋体" w:cs="Times New Roman"/>
                <w:color w:val="0000FF"/>
                <w:spacing w:val="-1"/>
                <w:sz w:val="21"/>
                <w:szCs w:val="21"/>
                <w:lang w:val="en-US"/>
              </w:rPr>
              <w:t>氧化塘</w:t>
            </w:r>
          </w:p>
        </w:tc>
        <w:tc>
          <w:tcPr>
            <w:tcW w:w="6866" w:type="dxa"/>
            <w:gridSpan w:val="2"/>
            <w:vAlign w:val="center"/>
          </w:tcPr>
          <w:p w14:paraId="26F98787">
            <w:pPr>
              <w:pStyle w:val="36"/>
              <w:ind w:firstLine="0" w:firstLineChars="0"/>
              <w:rPr>
                <w:rFonts w:hint="default" w:ascii="Times New Roman" w:hAnsi="Times New Roman" w:eastAsia="宋体" w:cs="Times New Roman"/>
                <w:color w:val="0000FF"/>
                <w:spacing w:val="-1"/>
                <w:sz w:val="21"/>
                <w:szCs w:val="21"/>
                <w:lang w:val="en-US"/>
              </w:rPr>
            </w:pPr>
            <w:r>
              <w:rPr>
                <w:rFonts w:hint="eastAsia" w:ascii="Times New Roman" w:hAnsi="Times New Roman" w:cs="Times New Roman"/>
                <w:color w:val="0000FF"/>
                <w:spacing w:val="-1"/>
                <w:sz w:val="21"/>
                <w:szCs w:val="21"/>
                <w:lang w:val="en-US" w:eastAsia="zh-CN"/>
              </w:rPr>
              <w:t>设置</w:t>
            </w:r>
            <w:r>
              <w:rPr>
                <w:rFonts w:hint="default" w:ascii="Times New Roman" w:hAnsi="Times New Roman" w:eastAsia="宋体" w:cs="Times New Roman"/>
                <w:color w:val="0000FF"/>
                <w:spacing w:val="-1"/>
                <w:sz w:val="21"/>
                <w:szCs w:val="21"/>
                <w:lang w:val="en-US"/>
              </w:rPr>
              <w:t>3座，</w:t>
            </w:r>
            <w:r>
              <w:rPr>
                <w:rFonts w:hint="eastAsia" w:ascii="Times New Roman" w:hAnsi="Times New Roman" w:cs="Times New Roman"/>
                <w:color w:val="0000FF"/>
                <w:spacing w:val="-1"/>
                <w:sz w:val="21"/>
                <w:szCs w:val="21"/>
                <w:lang w:val="en-US" w:eastAsia="zh-CN"/>
              </w:rPr>
              <w:t>总建筑面积3600m</w:t>
            </w:r>
            <w:r>
              <w:rPr>
                <w:rFonts w:hint="eastAsia" w:ascii="Times New Roman" w:hAnsi="Times New Roman" w:cs="Times New Roman"/>
                <w:color w:val="0000FF"/>
                <w:spacing w:val="-1"/>
                <w:sz w:val="21"/>
                <w:szCs w:val="21"/>
                <w:vertAlign w:val="superscript"/>
                <w:lang w:val="en-US" w:eastAsia="zh-CN"/>
              </w:rPr>
              <w:t>2</w:t>
            </w:r>
            <w:r>
              <w:rPr>
                <w:rFonts w:hint="eastAsia" w:ascii="Times New Roman" w:hAnsi="Times New Roman" w:cs="Times New Roman"/>
                <w:color w:val="0000FF"/>
                <w:spacing w:val="-1"/>
                <w:sz w:val="21"/>
                <w:szCs w:val="21"/>
                <w:lang w:val="en-US" w:eastAsia="zh-CN"/>
              </w:rPr>
              <w:t>，单座面积为1200m</w:t>
            </w:r>
            <w:r>
              <w:rPr>
                <w:rFonts w:hint="eastAsia" w:ascii="Times New Roman" w:hAnsi="Times New Roman" w:cs="Times New Roman"/>
                <w:color w:val="0000FF"/>
                <w:spacing w:val="-1"/>
                <w:sz w:val="21"/>
                <w:szCs w:val="21"/>
                <w:vertAlign w:val="superscript"/>
                <w:lang w:val="en-US" w:eastAsia="zh-CN"/>
              </w:rPr>
              <w:t>2</w:t>
            </w:r>
            <w:r>
              <w:rPr>
                <w:rFonts w:hint="default" w:ascii="Times New Roman" w:hAnsi="Times New Roman" w:eastAsia="宋体" w:cs="Times New Roman"/>
                <w:color w:val="0000FF"/>
                <w:spacing w:val="-1"/>
                <w:sz w:val="21"/>
                <w:szCs w:val="21"/>
                <w:vertAlign w:val="baseline"/>
                <w:lang w:val="en-US"/>
              </w:rPr>
              <w:t>（</w:t>
            </w:r>
            <w:r>
              <w:rPr>
                <w:rFonts w:hint="eastAsia" w:ascii="Times New Roman" w:hAnsi="Times New Roman" w:cs="Times New Roman"/>
                <w:color w:val="0000FF"/>
                <w:spacing w:val="-1"/>
                <w:sz w:val="21"/>
                <w:szCs w:val="21"/>
                <w:vertAlign w:val="baseline"/>
                <w:lang w:val="en-US" w:eastAsia="zh-CN"/>
              </w:rPr>
              <w:t>40</w:t>
            </w:r>
            <w:r>
              <w:rPr>
                <w:rFonts w:hint="default" w:ascii="Times New Roman" w:hAnsi="Times New Roman" w:eastAsia="宋体" w:cs="Times New Roman"/>
                <w:color w:val="0000FF"/>
                <w:spacing w:val="-1"/>
                <w:sz w:val="21"/>
                <w:szCs w:val="21"/>
                <w:vertAlign w:val="baseline"/>
                <w:lang w:val="en-US"/>
              </w:rPr>
              <w:t>m×</w:t>
            </w:r>
            <w:r>
              <w:rPr>
                <w:rFonts w:hint="eastAsia" w:ascii="Times New Roman" w:hAnsi="Times New Roman" w:cs="Times New Roman"/>
                <w:color w:val="0000FF"/>
                <w:spacing w:val="-1"/>
                <w:sz w:val="21"/>
                <w:szCs w:val="21"/>
                <w:vertAlign w:val="baseline"/>
                <w:lang w:val="en-US" w:eastAsia="zh-CN"/>
              </w:rPr>
              <w:t>30</w:t>
            </w:r>
            <w:r>
              <w:rPr>
                <w:rFonts w:hint="default" w:ascii="Times New Roman" w:hAnsi="Times New Roman" w:eastAsia="宋体" w:cs="Times New Roman"/>
                <w:color w:val="0000FF"/>
                <w:spacing w:val="-1"/>
                <w:sz w:val="21"/>
                <w:szCs w:val="21"/>
                <w:vertAlign w:val="baseline"/>
                <w:lang w:val="en-US"/>
              </w:rPr>
              <w:t>m×</w:t>
            </w:r>
            <w:r>
              <w:rPr>
                <w:rFonts w:hint="eastAsia" w:ascii="Times New Roman" w:hAnsi="Times New Roman" w:cs="Times New Roman"/>
                <w:color w:val="0000FF"/>
                <w:spacing w:val="-1"/>
                <w:sz w:val="21"/>
                <w:szCs w:val="21"/>
                <w:vertAlign w:val="baseline"/>
                <w:lang w:val="en-US" w:eastAsia="zh-CN"/>
              </w:rPr>
              <w:t>2.5</w:t>
            </w:r>
            <w:r>
              <w:rPr>
                <w:rFonts w:hint="default" w:ascii="Times New Roman" w:hAnsi="Times New Roman" w:eastAsia="宋体" w:cs="Times New Roman"/>
                <w:color w:val="0000FF"/>
                <w:spacing w:val="-1"/>
                <w:sz w:val="21"/>
                <w:szCs w:val="21"/>
                <w:vertAlign w:val="baseline"/>
                <w:lang w:val="en-US"/>
              </w:rPr>
              <w:t>m）</w:t>
            </w:r>
            <w:r>
              <w:rPr>
                <w:rFonts w:hint="eastAsia" w:ascii="Times New Roman" w:hAnsi="Times New Roman" w:cs="Times New Roman"/>
                <w:color w:val="0000FF"/>
                <w:spacing w:val="-1"/>
                <w:sz w:val="21"/>
                <w:szCs w:val="21"/>
                <w:lang w:val="en-US" w:eastAsia="zh-CN"/>
              </w:rPr>
              <w:t>，</w:t>
            </w:r>
            <w:r>
              <w:rPr>
                <w:rFonts w:hint="default" w:ascii="Times New Roman" w:hAnsi="Times New Roman" w:eastAsia="宋体" w:cs="Times New Roman"/>
                <w:color w:val="0000FF"/>
                <w:spacing w:val="-1"/>
                <w:sz w:val="21"/>
                <w:szCs w:val="21"/>
                <w:lang w:val="en-US"/>
              </w:rPr>
              <w:t>总容积为9000m</w:t>
            </w:r>
            <w:r>
              <w:rPr>
                <w:rFonts w:hint="default" w:ascii="Times New Roman" w:hAnsi="Times New Roman" w:eastAsia="宋体" w:cs="Times New Roman"/>
                <w:color w:val="0000FF"/>
                <w:spacing w:val="-1"/>
                <w:sz w:val="21"/>
                <w:szCs w:val="21"/>
                <w:vertAlign w:val="superscript"/>
                <w:lang w:val="en-US"/>
              </w:rPr>
              <w:t>3</w:t>
            </w:r>
            <w:r>
              <w:rPr>
                <w:rFonts w:hint="default" w:ascii="Times New Roman" w:hAnsi="Times New Roman" w:eastAsia="宋体" w:cs="Times New Roman"/>
                <w:color w:val="0000FF"/>
                <w:spacing w:val="-1"/>
                <w:sz w:val="21"/>
                <w:szCs w:val="21"/>
                <w:lang w:val="en-US"/>
              </w:rPr>
              <w:t>，单个容积为3000m</w:t>
            </w:r>
            <w:r>
              <w:rPr>
                <w:rFonts w:hint="default" w:ascii="Times New Roman" w:hAnsi="Times New Roman" w:eastAsia="宋体" w:cs="Times New Roman"/>
                <w:color w:val="0000FF"/>
                <w:spacing w:val="-1"/>
                <w:sz w:val="21"/>
                <w:szCs w:val="21"/>
                <w:vertAlign w:val="superscript"/>
                <w:lang w:val="en-US"/>
              </w:rPr>
              <w:t>3</w:t>
            </w:r>
          </w:p>
        </w:tc>
        <w:tc>
          <w:tcPr>
            <w:tcW w:w="1118" w:type="dxa"/>
            <w:vAlign w:val="center"/>
          </w:tcPr>
          <w:p w14:paraId="2AB02C8C">
            <w:pPr>
              <w:pStyle w:val="3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FF"/>
                <w:sz w:val="21"/>
                <w:szCs w:val="21"/>
                <w:lang w:val="en-US" w:eastAsia="zh-CN"/>
              </w:rPr>
            </w:pPr>
            <w:r>
              <w:rPr>
                <w:rFonts w:hint="eastAsia" w:ascii="Times New Roman" w:hAnsi="Times New Roman" w:cs="Times New Roman"/>
                <w:color w:val="0000FF"/>
                <w:sz w:val="21"/>
                <w:szCs w:val="21"/>
                <w:lang w:val="en-US" w:eastAsia="zh-CN"/>
              </w:rPr>
              <w:t>一期</w:t>
            </w:r>
          </w:p>
        </w:tc>
      </w:tr>
      <w:tr w14:paraId="4FF4FE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0" w:hRule="atLeast"/>
          <w:jc w:val="center"/>
        </w:trPr>
        <w:tc>
          <w:tcPr>
            <w:tcW w:w="438" w:type="dxa"/>
            <w:vMerge w:val="restart"/>
            <w:vAlign w:val="center"/>
          </w:tcPr>
          <w:p w14:paraId="0668E7D8">
            <w:pPr>
              <w:pStyle w:val="36"/>
              <w:ind w:firstLine="0" w:firstLineChars="0"/>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辅助工程</w:t>
            </w:r>
          </w:p>
        </w:tc>
        <w:tc>
          <w:tcPr>
            <w:tcW w:w="932" w:type="dxa"/>
            <w:vAlign w:val="center"/>
          </w:tcPr>
          <w:p w14:paraId="0540CDDE">
            <w:pPr>
              <w:pStyle w:val="36"/>
              <w:ind w:firstLine="0" w:firstLineChars="0"/>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lang w:val="en-US"/>
              </w:rPr>
              <w:t>综合业务用房</w:t>
            </w:r>
          </w:p>
        </w:tc>
        <w:tc>
          <w:tcPr>
            <w:tcW w:w="6866" w:type="dxa"/>
            <w:gridSpan w:val="2"/>
            <w:vAlign w:val="center"/>
          </w:tcPr>
          <w:p w14:paraId="7C167CCD">
            <w:pPr>
              <w:pStyle w:val="36"/>
              <w:ind w:firstLine="0" w:firstLineChars="0"/>
              <w:rPr>
                <w:rFonts w:hint="default" w:ascii="Times New Roman" w:hAnsi="Times New Roman" w:eastAsia="宋体" w:cs="Times New Roman"/>
                <w:color w:val="0000FF"/>
                <w:spacing w:val="-7"/>
                <w:sz w:val="21"/>
                <w:szCs w:val="21"/>
              </w:rPr>
            </w:pPr>
            <w:r>
              <w:rPr>
                <w:rFonts w:hint="default" w:ascii="Times New Roman" w:hAnsi="Times New Roman" w:eastAsia="宋体" w:cs="Times New Roman"/>
                <w:color w:val="0000FF"/>
                <w:spacing w:val="-7"/>
                <w:sz w:val="21"/>
                <w:szCs w:val="21"/>
              </w:rPr>
              <w:t>生活区办公室9间，生产区办公室18间，办公室均为21m</w:t>
            </w:r>
            <w:r>
              <w:rPr>
                <w:rFonts w:hint="default" w:ascii="Times New Roman" w:hAnsi="Times New Roman" w:eastAsia="宋体" w:cs="Times New Roman"/>
                <w:color w:val="0000FF"/>
                <w:spacing w:val="-7"/>
                <w:sz w:val="21"/>
                <w:szCs w:val="21"/>
                <w:vertAlign w:val="superscript"/>
              </w:rPr>
              <w:t>2</w:t>
            </w:r>
            <w:r>
              <w:rPr>
                <w:rFonts w:hint="default" w:ascii="Times New Roman" w:hAnsi="Times New Roman" w:eastAsia="宋体" w:cs="Times New Roman"/>
                <w:color w:val="0000FF"/>
                <w:spacing w:val="-7"/>
                <w:sz w:val="21"/>
                <w:szCs w:val="21"/>
              </w:rPr>
              <w:t>砖混结构。</w:t>
            </w:r>
          </w:p>
        </w:tc>
        <w:tc>
          <w:tcPr>
            <w:tcW w:w="1118" w:type="dxa"/>
            <w:vAlign w:val="center"/>
          </w:tcPr>
          <w:p w14:paraId="769CA60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21"/>
                <w:szCs w:val="21"/>
              </w:rPr>
            </w:pPr>
            <w:r>
              <w:rPr>
                <w:rFonts w:hint="eastAsia" w:cs="Times New Roman"/>
                <w:color w:val="0000FF"/>
                <w:sz w:val="21"/>
                <w:szCs w:val="21"/>
                <w:lang w:val="en-US" w:eastAsia="zh-CN"/>
              </w:rPr>
              <w:t>二</w:t>
            </w:r>
            <w:r>
              <w:rPr>
                <w:rFonts w:hint="eastAsia" w:ascii="Times New Roman" w:hAnsi="Times New Roman" w:cs="Times New Roman"/>
                <w:color w:val="0000FF"/>
                <w:sz w:val="21"/>
                <w:szCs w:val="21"/>
                <w:lang w:val="en-US" w:eastAsia="zh-CN"/>
              </w:rPr>
              <w:t>期</w:t>
            </w:r>
          </w:p>
        </w:tc>
      </w:tr>
      <w:tr w14:paraId="5762B3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25" w:hRule="atLeast"/>
          <w:jc w:val="center"/>
        </w:trPr>
        <w:tc>
          <w:tcPr>
            <w:tcW w:w="438" w:type="dxa"/>
            <w:vMerge w:val="continue"/>
            <w:vAlign w:val="center"/>
          </w:tcPr>
          <w:p w14:paraId="35293BDD">
            <w:pPr>
              <w:pStyle w:val="36"/>
              <w:ind w:firstLine="0" w:firstLineChars="0"/>
              <w:rPr>
                <w:rFonts w:hint="default" w:ascii="Times New Roman" w:hAnsi="Times New Roman" w:eastAsia="宋体" w:cs="Times New Roman"/>
                <w:color w:val="0000FF"/>
                <w:sz w:val="21"/>
                <w:szCs w:val="21"/>
              </w:rPr>
            </w:pPr>
          </w:p>
        </w:tc>
        <w:tc>
          <w:tcPr>
            <w:tcW w:w="932" w:type="dxa"/>
            <w:vAlign w:val="center"/>
          </w:tcPr>
          <w:p w14:paraId="0AB8A654">
            <w:pPr>
              <w:pStyle w:val="36"/>
              <w:ind w:firstLine="0" w:firstLineChars="0"/>
              <w:rPr>
                <w:rFonts w:hint="default" w:ascii="Times New Roman" w:hAnsi="Times New Roman" w:eastAsia="宋体" w:cs="Times New Roman"/>
                <w:color w:val="0000FF"/>
                <w:spacing w:val="-1"/>
                <w:sz w:val="21"/>
                <w:szCs w:val="21"/>
              </w:rPr>
            </w:pPr>
            <w:r>
              <w:rPr>
                <w:rFonts w:hint="default" w:ascii="Times New Roman" w:hAnsi="Times New Roman" w:eastAsia="宋体" w:cs="Times New Roman"/>
                <w:color w:val="0000FF"/>
                <w:spacing w:val="-1"/>
                <w:sz w:val="21"/>
                <w:szCs w:val="21"/>
              </w:rPr>
              <w:t>洗消</w:t>
            </w:r>
          </w:p>
          <w:p w14:paraId="57B0F222">
            <w:pPr>
              <w:pStyle w:val="36"/>
              <w:ind w:firstLine="0" w:firstLineChars="0"/>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pacing w:val="-1"/>
                <w:sz w:val="21"/>
                <w:szCs w:val="21"/>
              </w:rPr>
              <w:t>更衣间</w:t>
            </w:r>
          </w:p>
        </w:tc>
        <w:tc>
          <w:tcPr>
            <w:tcW w:w="6866" w:type="dxa"/>
            <w:gridSpan w:val="2"/>
            <w:vAlign w:val="center"/>
          </w:tcPr>
          <w:p w14:paraId="0B628F92">
            <w:pPr>
              <w:pStyle w:val="36"/>
              <w:ind w:firstLine="0" w:firstLineChars="0"/>
              <w:rPr>
                <w:rFonts w:hint="default" w:ascii="Times New Roman" w:hAnsi="Times New Roman" w:eastAsia="宋体" w:cs="Times New Roman"/>
                <w:color w:val="0000FF"/>
                <w:spacing w:val="-7"/>
                <w:sz w:val="21"/>
                <w:szCs w:val="21"/>
              </w:rPr>
            </w:pPr>
            <w:r>
              <w:rPr>
                <w:rFonts w:hint="default" w:ascii="Times New Roman" w:hAnsi="Times New Roman" w:eastAsia="宋体" w:cs="Times New Roman"/>
                <w:color w:val="0000FF"/>
                <w:spacing w:val="-1"/>
                <w:sz w:val="21"/>
                <w:szCs w:val="21"/>
              </w:rPr>
              <w:t>1座，单层，建筑面积</w:t>
            </w:r>
            <w:r>
              <w:rPr>
                <w:rFonts w:hint="default" w:ascii="Times New Roman" w:hAnsi="Times New Roman" w:eastAsia="宋体" w:cs="Times New Roman"/>
                <w:color w:val="0000FF"/>
                <w:spacing w:val="-1"/>
                <w:sz w:val="21"/>
                <w:szCs w:val="21"/>
                <w:lang w:val="en-US"/>
              </w:rPr>
              <w:t>50</w:t>
            </w:r>
            <w:r>
              <w:rPr>
                <w:rFonts w:hint="default" w:ascii="Times New Roman" w:hAnsi="Times New Roman" w:eastAsia="宋体" w:cs="Times New Roman"/>
                <w:color w:val="0000FF"/>
                <w:spacing w:val="-1"/>
                <w:sz w:val="21"/>
                <w:szCs w:val="21"/>
              </w:rPr>
              <w:t>m</w:t>
            </w:r>
            <w:r>
              <w:rPr>
                <w:rFonts w:hint="default" w:ascii="Times New Roman" w:hAnsi="Times New Roman" w:eastAsia="宋体" w:cs="Times New Roman"/>
                <w:color w:val="0000FF"/>
                <w:spacing w:val="-1"/>
                <w:sz w:val="21"/>
                <w:szCs w:val="21"/>
                <w:vertAlign w:val="superscript"/>
              </w:rPr>
              <w:t>2</w:t>
            </w:r>
          </w:p>
        </w:tc>
        <w:tc>
          <w:tcPr>
            <w:tcW w:w="1118" w:type="dxa"/>
            <w:vAlign w:val="center"/>
          </w:tcPr>
          <w:p w14:paraId="09D06ED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21"/>
                <w:szCs w:val="21"/>
              </w:rPr>
            </w:pPr>
            <w:r>
              <w:rPr>
                <w:rFonts w:hint="eastAsia" w:cs="Times New Roman"/>
                <w:color w:val="0000FF"/>
                <w:sz w:val="21"/>
                <w:szCs w:val="21"/>
                <w:lang w:val="en-US" w:eastAsia="zh-CN"/>
              </w:rPr>
              <w:t>二</w:t>
            </w:r>
            <w:r>
              <w:rPr>
                <w:rFonts w:hint="eastAsia" w:ascii="Times New Roman" w:hAnsi="Times New Roman" w:cs="Times New Roman"/>
                <w:color w:val="0000FF"/>
                <w:sz w:val="21"/>
                <w:szCs w:val="21"/>
                <w:lang w:val="en-US" w:eastAsia="zh-CN"/>
              </w:rPr>
              <w:t>期</w:t>
            </w:r>
          </w:p>
        </w:tc>
      </w:tr>
      <w:tr w14:paraId="7A5357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0" w:hRule="atLeast"/>
          <w:jc w:val="center"/>
        </w:trPr>
        <w:tc>
          <w:tcPr>
            <w:tcW w:w="438" w:type="dxa"/>
            <w:vMerge w:val="restart"/>
            <w:vAlign w:val="center"/>
          </w:tcPr>
          <w:p w14:paraId="3A154AF9">
            <w:pPr>
              <w:pStyle w:val="36"/>
              <w:ind w:firstLine="0" w:firstLineChars="0"/>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公用工程</w:t>
            </w:r>
          </w:p>
        </w:tc>
        <w:tc>
          <w:tcPr>
            <w:tcW w:w="932" w:type="dxa"/>
            <w:vAlign w:val="center"/>
          </w:tcPr>
          <w:p w14:paraId="7EBCA491">
            <w:pPr>
              <w:pStyle w:val="36"/>
              <w:ind w:firstLine="0" w:firstLineChars="0"/>
              <w:rPr>
                <w:rFonts w:hint="default" w:ascii="Times New Roman" w:hAnsi="Times New Roman" w:eastAsia="宋体" w:cs="Times New Roman"/>
                <w:color w:val="0000FF"/>
                <w:spacing w:val="-1"/>
                <w:sz w:val="21"/>
                <w:szCs w:val="21"/>
              </w:rPr>
            </w:pPr>
            <w:r>
              <w:rPr>
                <w:rFonts w:hint="default" w:ascii="Times New Roman" w:hAnsi="Times New Roman" w:eastAsia="宋体" w:cs="Times New Roman"/>
                <w:color w:val="0000FF"/>
                <w:spacing w:val="-1"/>
                <w:sz w:val="21"/>
                <w:szCs w:val="21"/>
                <w:lang w:val="en-US"/>
              </w:rPr>
              <w:t>给水工程</w:t>
            </w:r>
          </w:p>
        </w:tc>
        <w:tc>
          <w:tcPr>
            <w:tcW w:w="6866" w:type="dxa"/>
            <w:gridSpan w:val="2"/>
            <w:vAlign w:val="center"/>
          </w:tcPr>
          <w:p w14:paraId="5BA14FF3">
            <w:pPr>
              <w:pStyle w:val="36"/>
              <w:ind w:firstLine="0" w:firstLineChars="0"/>
              <w:rPr>
                <w:rFonts w:hint="default" w:ascii="Times New Roman" w:hAnsi="Times New Roman" w:eastAsia="宋体" w:cs="Times New Roman"/>
                <w:color w:val="0000FF"/>
                <w:spacing w:val="-1"/>
                <w:sz w:val="21"/>
                <w:szCs w:val="21"/>
                <w:lang w:val="en-US"/>
              </w:rPr>
            </w:pPr>
            <w:r>
              <w:rPr>
                <w:rFonts w:hint="default" w:ascii="Times New Roman" w:hAnsi="Times New Roman" w:eastAsia="宋体" w:cs="Times New Roman"/>
                <w:color w:val="0000FF"/>
                <w:spacing w:val="-1"/>
                <w:sz w:val="21"/>
                <w:szCs w:val="21"/>
                <w:lang w:val="en-US"/>
              </w:rPr>
              <w:t>场区新建3眼水源井</w:t>
            </w:r>
            <w:r>
              <w:rPr>
                <w:rFonts w:hint="eastAsia" w:ascii="Times New Roman" w:hAnsi="Times New Roman" w:cs="Times New Roman"/>
                <w:color w:val="0000FF"/>
                <w:spacing w:val="-1"/>
                <w:sz w:val="21"/>
                <w:szCs w:val="21"/>
                <w:lang w:val="en-US" w:eastAsia="zh-CN"/>
              </w:rPr>
              <w:t>（已取得取水许可证）</w:t>
            </w:r>
            <w:r>
              <w:rPr>
                <w:rFonts w:hint="default" w:ascii="Times New Roman" w:hAnsi="Times New Roman" w:eastAsia="宋体" w:cs="Times New Roman"/>
                <w:color w:val="0000FF"/>
                <w:spacing w:val="-1"/>
                <w:sz w:val="21"/>
                <w:szCs w:val="21"/>
                <w:lang w:val="en-US"/>
              </w:rPr>
              <w:t>，</w:t>
            </w:r>
          </w:p>
          <w:p w14:paraId="01566BAE">
            <w:pPr>
              <w:pStyle w:val="36"/>
              <w:ind w:firstLine="0" w:firstLineChars="0"/>
              <w:rPr>
                <w:rFonts w:hint="default" w:ascii="Times New Roman" w:hAnsi="Times New Roman" w:eastAsia="宋体" w:cs="Times New Roman"/>
                <w:color w:val="0000FF"/>
                <w:spacing w:val="-1"/>
                <w:sz w:val="21"/>
                <w:szCs w:val="21"/>
              </w:rPr>
            </w:pPr>
            <w:r>
              <w:rPr>
                <w:rFonts w:hint="default" w:ascii="Times New Roman" w:hAnsi="Times New Roman" w:eastAsia="宋体" w:cs="Times New Roman"/>
                <w:color w:val="0000FF"/>
                <w:spacing w:val="-1"/>
                <w:sz w:val="21"/>
                <w:szCs w:val="21"/>
                <w:lang w:val="en-US"/>
              </w:rPr>
              <w:t>用于生活用水和养殖用水等供应。</w:t>
            </w:r>
          </w:p>
        </w:tc>
        <w:tc>
          <w:tcPr>
            <w:tcW w:w="1118" w:type="dxa"/>
            <w:vAlign w:val="center"/>
          </w:tcPr>
          <w:p w14:paraId="6462E86E">
            <w:pPr>
              <w:pStyle w:val="3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pacing w:val="-1"/>
                <w:sz w:val="21"/>
                <w:szCs w:val="21"/>
                <w:lang w:val="en-US" w:eastAsia="zh-CN"/>
              </w:rPr>
              <w:t>一期</w:t>
            </w:r>
          </w:p>
        </w:tc>
      </w:tr>
      <w:tr w14:paraId="240C56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0" w:hRule="atLeast"/>
          <w:jc w:val="center"/>
        </w:trPr>
        <w:tc>
          <w:tcPr>
            <w:tcW w:w="438" w:type="dxa"/>
            <w:vMerge w:val="continue"/>
            <w:vAlign w:val="center"/>
          </w:tcPr>
          <w:p w14:paraId="0D90EF73">
            <w:pPr>
              <w:pStyle w:val="36"/>
              <w:ind w:firstLine="0" w:firstLineChars="0"/>
              <w:rPr>
                <w:rFonts w:hint="default" w:ascii="Times New Roman" w:hAnsi="Times New Roman" w:eastAsia="宋体" w:cs="Times New Roman"/>
                <w:color w:val="0000FF"/>
                <w:sz w:val="21"/>
                <w:szCs w:val="21"/>
              </w:rPr>
            </w:pPr>
          </w:p>
        </w:tc>
        <w:tc>
          <w:tcPr>
            <w:tcW w:w="932" w:type="dxa"/>
            <w:vAlign w:val="center"/>
          </w:tcPr>
          <w:p w14:paraId="6D69790B">
            <w:pPr>
              <w:pStyle w:val="36"/>
              <w:ind w:firstLine="0" w:firstLineChars="0"/>
              <w:rPr>
                <w:rFonts w:hint="default" w:ascii="Times New Roman" w:hAnsi="Times New Roman" w:eastAsia="宋体" w:cs="Times New Roman"/>
                <w:color w:val="0000FF"/>
                <w:spacing w:val="-1"/>
                <w:sz w:val="21"/>
                <w:szCs w:val="21"/>
              </w:rPr>
            </w:pPr>
            <w:r>
              <w:rPr>
                <w:rFonts w:hint="default" w:ascii="Times New Roman" w:hAnsi="Times New Roman" w:eastAsia="宋体" w:cs="Times New Roman"/>
                <w:color w:val="0000FF"/>
                <w:spacing w:val="-1"/>
                <w:sz w:val="21"/>
                <w:szCs w:val="21"/>
                <w:lang w:val="en-US"/>
              </w:rPr>
              <w:t>排水工程</w:t>
            </w:r>
          </w:p>
        </w:tc>
        <w:tc>
          <w:tcPr>
            <w:tcW w:w="6866" w:type="dxa"/>
            <w:gridSpan w:val="2"/>
            <w:vAlign w:val="center"/>
          </w:tcPr>
          <w:p w14:paraId="01FD4404">
            <w:pPr>
              <w:pStyle w:val="36"/>
              <w:ind w:firstLine="0" w:firstLineChars="0"/>
              <w:rPr>
                <w:rFonts w:hint="default" w:ascii="Times New Roman" w:hAnsi="Times New Roman" w:eastAsia="宋体" w:cs="Times New Roman"/>
                <w:color w:val="0000FF"/>
                <w:spacing w:val="-1"/>
                <w:sz w:val="21"/>
                <w:szCs w:val="21"/>
              </w:rPr>
            </w:pPr>
            <w:r>
              <w:rPr>
                <w:rFonts w:hint="default" w:ascii="Times New Roman" w:hAnsi="Times New Roman" w:eastAsia="宋体" w:cs="Times New Roman"/>
                <w:color w:val="0000FF"/>
                <w:spacing w:val="-1"/>
                <w:sz w:val="21"/>
                <w:szCs w:val="21"/>
                <w:lang w:val="en-US" w:eastAsia="zh-CN"/>
              </w:rPr>
              <w:t>养殖废水进入粪污收集池，生活污水</w:t>
            </w:r>
            <w:r>
              <w:rPr>
                <w:rFonts w:hint="eastAsia" w:ascii="Times New Roman" w:hAnsi="Times New Roman" w:cs="Times New Roman"/>
                <w:color w:val="0000FF"/>
                <w:spacing w:val="-1"/>
                <w:sz w:val="21"/>
                <w:szCs w:val="21"/>
                <w:lang w:val="en-US" w:eastAsia="zh-CN"/>
              </w:rPr>
              <w:t>排入</w:t>
            </w:r>
            <w:r>
              <w:rPr>
                <w:rFonts w:hint="default" w:ascii="Times New Roman" w:hAnsi="Times New Roman" w:eastAsia="宋体" w:cs="Times New Roman"/>
                <w:color w:val="0000FF"/>
                <w:spacing w:val="-1"/>
                <w:sz w:val="21"/>
                <w:szCs w:val="21"/>
                <w:lang w:val="en-US" w:eastAsia="zh-CN"/>
              </w:rPr>
              <w:t>化粪池后经管道排至粪污收集池，由固液分离机进行固液分离，固体粪便集中在堆粪场腐熟发酵无害化处置后</w:t>
            </w:r>
            <w:r>
              <w:rPr>
                <w:rFonts w:hint="eastAsia" w:ascii="Times New Roman" w:hAnsi="Times New Roman" w:cs="Times New Roman"/>
                <w:color w:val="0000FF"/>
                <w:spacing w:val="-1"/>
                <w:sz w:val="21"/>
                <w:szCs w:val="21"/>
                <w:lang w:val="en-US" w:eastAsia="zh-CN"/>
              </w:rPr>
              <w:t>，用于</w:t>
            </w:r>
            <w:r>
              <w:rPr>
                <w:rFonts w:hint="default" w:ascii="Times New Roman" w:hAnsi="Times New Roman" w:eastAsia="宋体" w:cs="Times New Roman"/>
                <w:color w:val="0000FF"/>
                <w:spacing w:val="-1"/>
                <w:sz w:val="21"/>
                <w:szCs w:val="21"/>
                <w:lang w:val="en-US" w:eastAsia="zh-CN"/>
              </w:rPr>
              <w:t>周边的农田，液体污水通过出料管进入氧化塘，经过存储熟化后作为液态粪肥施用于农田，非灌溉期存储于氧化塘。</w:t>
            </w:r>
          </w:p>
        </w:tc>
        <w:tc>
          <w:tcPr>
            <w:tcW w:w="1118" w:type="dxa"/>
            <w:vAlign w:val="center"/>
          </w:tcPr>
          <w:p w14:paraId="7E6D2632">
            <w:pPr>
              <w:pStyle w:val="3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pacing w:val="-1"/>
                <w:sz w:val="21"/>
                <w:szCs w:val="21"/>
                <w:lang w:val="en-US" w:eastAsia="zh-CN"/>
              </w:rPr>
              <w:t>一期</w:t>
            </w:r>
          </w:p>
        </w:tc>
      </w:tr>
      <w:tr w14:paraId="09C54D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0" w:hRule="atLeast"/>
          <w:jc w:val="center"/>
        </w:trPr>
        <w:tc>
          <w:tcPr>
            <w:tcW w:w="438" w:type="dxa"/>
            <w:vMerge w:val="continue"/>
            <w:vAlign w:val="center"/>
          </w:tcPr>
          <w:p w14:paraId="08CB57E5">
            <w:pPr>
              <w:pStyle w:val="36"/>
              <w:ind w:firstLine="0" w:firstLineChars="0"/>
              <w:rPr>
                <w:rFonts w:hint="default" w:ascii="Times New Roman" w:hAnsi="Times New Roman" w:eastAsia="宋体" w:cs="Times New Roman"/>
                <w:color w:val="0000FF"/>
                <w:sz w:val="21"/>
                <w:szCs w:val="21"/>
              </w:rPr>
            </w:pPr>
          </w:p>
        </w:tc>
        <w:tc>
          <w:tcPr>
            <w:tcW w:w="932" w:type="dxa"/>
            <w:vAlign w:val="center"/>
          </w:tcPr>
          <w:p w14:paraId="470C94A2">
            <w:pPr>
              <w:pStyle w:val="36"/>
              <w:ind w:firstLine="0" w:firstLineChars="0"/>
              <w:rPr>
                <w:rFonts w:hint="default" w:ascii="Times New Roman" w:hAnsi="Times New Roman" w:eastAsia="宋体" w:cs="Times New Roman"/>
                <w:color w:val="0000FF"/>
                <w:spacing w:val="-1"/>
                <w:sz w:val="21"/>
                <w:szCs w:val="21"/>
              </w:rPr>
            </w:pPr>
            <w:r>
              <w:rPr>
                <w:rFonts w:hint="default" w:ascii="Times New Roman" w:hAnsi="Times New Roman" w:eastAsia="宋体" w:cs="Times New Roman"/>
                <w:color w:val="0000FF"/>
                <w:spacing w:val="-1"/>
                <w:sz w:val="21"/>
                <w:szCs w:val="21"/>
                <w:lang w:val="en-US"/>
              </w:rPr>
              <w:t>供电工程</w:t>
            </w:r>
          </w:p>
        </w:tc>
        <w:tc>
          <w:tcPr>
            <w:tcW w:w="6866" w:type="dxa"/>
            <w:gridSpan w:val="2"/>
            <w:vAlign w:val="center"/>
          </w:tcPr>
          <w:p w14:paraId="68ABA49B">
            <w:pPr>
              <w:pStyle w:val="36"/>
              <w:ind w:firstLine="0" w:firstLineChars="0"/>
              <w:rPr>
                <w:rFonts w:hint="default" w:ascii="Times New Roman" w:hAnsi="Times New Roman" w:eastAsia="宋体" w:cs="Times New Roman"/>
                <w:color w:val="0000FF"/>
                <w:spacing w:val="-1"/>
                <w:sz w:val="21"/>
                <w:szCs w:val="21"/>
              </w:rPr>
            </w:pPr>
            <w:r>
              <w:rPr>
                <w:rFonts w:hint="default" w:ascii="Times New Roman" w:hAnsi="Times New Roman" w:eastAsia="宋体" w:cs="Times New Roman"/>
                <w:color w:val="0000FF"/>
                <w:spacing w:val="-1"/>
                <w:sz w:val="21"/>
                <w:szCs w:val="21"/>
                <w:lang w:val="en-US"/>
              </w:rPr>
              <w:t>本项目供电可由园区内10KV变电站接入</w:t>
            </w:r>
            <w:r>
              <w:rPr>
                <w:rFonts w:hint="default" w:ascii="Times New Roman" w:hAnsi="Times New Roman" w:eastAsia="宋体" w:cs="Times New Roman"/>
                <w:color w:val="0000FF"/>
                <w:spacing w:val="-1"/>
                <w:sz w:val="21"/>
                <w:szCs w:val="21"/>
              </w:rPr>
              <w:t>，项目场区新设变压器，市政供电能力可以满足本项目需要。</w:t>
            </w:r>
          </w:p>
        </w:tc>
        <w:tc>
          <w:tcPr>
            <w:tcW w:w="1118" w:type="dxa"/>
            <w:vAlign w:val="center"/>
          </w:tcPr>
          <w:p w14:paraId="0895069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21"/>
                <w:szCs w:val="21"/>
              </w:rPr>
            </w:pPr>
            <w:r>
              <w:rPr>
                <w:rFonts w:hint="eastAsia" w:ascii="Times New Roman" w:hAnsi="Times New Roman" w:cs="Times New Roman"/>
                <w:color w:val="0000FF"/>
                <w:sz w:val="21"/>
                <w:szCs w:val="21"/>
                <w:lang w:val="en-US" w:eastAsia="zh-CN"/>
              </w:rPr>
              <w:t>一期</w:t>
            </w:r>
          </w:p>
        </w:tc>
      </w:tr>
      <w:tr w14:paraId="2DD988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0" w:hRule="atLeast"/>
          <w:jc w:val="center"/>
        </w:trPr>
        <w:tc>
          <w:tcPr>
            <w:tcW w:w="438" w:type="dxa"/>
            <w:vMerge w:val="continue"/>
            <w:vAlign w:val="center"/>
          </w:tcPr>
          <w:p w14:paraId="367DF2CF">
            <w:pPr>
              <w:pStyle w:val="36"/>
              <w:ind w:firstLine="0" w:firstLineChars="0"/>
              <w:rPr>
                <w:rFonts w:hint="default" w:ascii="Times New Roman" w:hAnsi="Times New Roman" w:eastAsia="宋体" w:cs="Times New Roman"/>
                <w:color w:val="0000FF"/>
                <w:sz w:val="21"/>
                <w:szCs w:val="21"/>
              </w:rPr>
            </w:pPr>
          </w:p>
        </w:tc>
        <w:tc>
          <w:tcPr>
            <w:tcW w:w="932" w:type="dxa"/>
            <w:vAlign w:val="center"/>
          </w:tcPr>
          <w:p w14:paraId="18BDA9C7">
            <w:pPr>
              <w:pStyle w:val="36"/>
              <w:ind w:firstLine="0" w:firstLineChars="0"/>
              <w:rPr>
                <w:rFonts w:hint="default" w:ascii="Times New Roman" w:hAnsi="Times New Roman" w:eastAsia="宋体" w:cs="Times New Roman"/>
                <w:color w:val="0000FF"/>
                <w:spacing w:val="-1"/>
                <w:sz w:val="21"/>
                <w:szCs w:val="21"/>
              </w:rPr>
            </w:pPr>
            <w:r>
              <w:rPr>
                <w:rFonts w:hint="default" w:ascii="Times New Roman" w:hAnsi="Times New Roman" w:eastAsia="宋体" w:cs="Times New Roman"/>
                <w:color w:val="0000FF"/>
                <w:spacing w:val="-1"/>
                <w:sz w:val="21"/>
                <w:szCs w:val="21"/>
                <w:lang w:val="en-US"/>
              </w:rPr>
              <w:t>供暖工程</w:t>
            </w:r>
          </w:p>
        </w:tc>
        <w:tc>
          <w:tcPr>
            <w:tcW w:w="6866" w:type="dxa"/>
            <w:gridSpan w:val="2"/>
            <w:vAlign w:val="center"/>
          </w:tcPr>
          <w:p w14:paraId="1F1557FA">
            <w:pPr>
              <w:pStyle w:val="36"/>
              <w:ind w:firstLine="0" w:firstLineChars="0"/>
              <w:rPr>
                <w:rFonts w:hint="default" w:ascii="Times New Roman" w:hAnsi="Times New Roman" w:eastAsia="宋体" w:cs="Times New Roman"/>
                <w:color w:val="0000FF"/>
                <w:spacing w:val="-1"/>
                <w:sz w:val="21"/>
                <w:szCs w:val="21"/>
              </w:rPr>
            </w:pPr>
            <w:r>
              <w:rPr>
                <w:rFonts w:hint="eastAsia" w:ascii="Times New Roman" w:hAnsi="Times New Roman" w:cs="Times New Roman"/>
                <w:color w:val="0000FF"/>
                <w:spacing w:val="-1"/>
                <w:sz w:val="21"/>
                <w:szCs w:val="21"/>
                <w:lang w:val="en-US" w:eastAsia="zh-CN"/>
              </w:rPr>
              <w:t>项目</w:t>
            </w:r>
            <w:r>
              <w:rPr>
                <w:rFonts w:hint="default" w:ascii="Times New Roman" w:hAnsi="Times New Roman" w:eastAsia="宋体" w:cs="Times New Roman"/>
                <w:color w:val="0000FF"/>
                <w:spacing w:val="-1"/>
                <w:sz w:val="21"/>
                <w:szCs w:val="21"/>
                <w:lang w:val="en-US"/>
              </w:rPr>
              <w:t>采用电锅炉取暖。</w:t>
            </w:r>
          </w:p>
        </w:tc>
        <w:tc>
          <w:tcPr>
            <w:tcW w:w="1118" w:type="dxa"/>
            <w:vAlign w:val="center"/>
          </w:tcPr>
          <w:p w14:paraId="439F0CD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21"/>
                <w:szCs w:val="21"/>
                <w:lang w:val="en-US"/>
              </w:rPr>
            </w:pPr>
            <w:r>
              <w:rPr>
                <w:rFonts w:hint="eastAsia" w:ascii="Times New Roman" w:hAnsi="Times New Roman" w:cs="Times New Roman"/>
                <w:color w:val="0000FF"/>
                <w:sz w:val="21"/>
                <w:szCs w:val="21"/>
                <w:lang w:val="en-US" w:eastAsia="zh-CN"/>
              </w:rPr>
              <w:t>一期</w:t>
            </w:r>
          </w:p>
        </w:tc>
      </w:tr>
      <w:tr w14:paraId="310045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35" w:hRule="atLeast"/>
          <w:jc w:val="center"/>
        </w:trPr>
        <w:tc>
          <w:tcPr>
            <w:tcW w:w="438" w:type="dxa"/>
            <w:vMerge w:val="restart"/>
            <w:vAlign w:val="center"/>
          </w:tcPr>
          <w:p w14:paraId="7D9C4497">
            <w:pPr>
              <w:pStyle w:val="36"/>
              <w:ind w:firstLine="0" w:firstLineChars="0"/>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环保工程</w:t>
            </w:r>
          </w:p>
        </w:tc>
        <w:tc>
          <w:tcPr>
            <w:tcW w:w="932" w:type="dxa"/>
            <w:vMerge w:val="restart"/>
            <w:vAlign w:val="center"/>
          </w:tcPr>
          <w:p w14:paraId="7107BFF7">
            <w:pPr>
              <w:pStyle w:val="36"/>
              <w:ind w:firstLine="0" w:firstLineChars="0"/>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废气</w:t>
            </w:r>
          </w:p>
        </w:tc>
        <w:tc>
          <w:tcPr>
            <w:tcW w:w="1126" w:type="dxa"/>
            <w:vAlign w:val="center"/>
          </w:tcPr>
          <w:p w14:paraId="0D1D2ABB">
            <w:pPr>
              <w:pStyle w:val="36"/>
              <w:ind w:firstLine="0" w:firstLineChars="0"/>
              <w:jc w:val="center"/>
              <w:rPr>
                <w:rFonts w:hint="default" w:ascii="Times New Roman" w:hAnsi="Times New Roman" w:eastAsia="宋体" w:cs="Times New Roman"/>
                <w:color w:val="0000FF"/>
                <w:spacing w:val="-7"/>
                <w:sz w:val="21"/>
                <w:szCs w:val="21"/>
              </w:rPr>
            </w:pPr>
            <w:r>
              <w:rPr>
                <w:rFonts w:hint="default" w:ascii="Times New Roman" w:hAnsi="Times New Roman" w:eastAsia="宋体" w:cs="Times New Roman"/>
                <w:color w:val="0000FF"/>
                <w:spacing w:val="-4"/>
                <w:sz w:val="21"/>
                <w:szCs w:val="21"/>
              </w:rPr>
              <w:t>恶臭</w:t>
            </w:r>
          </w:p>
        </w:tc>
        <w:tc>
          <w:tcPr>
            <w:tcW w:w="5740" w:type="dxa"/>
            <w:vAlign w:val="center"/>
          </w:tcPr>
          <w:p w14:paraId="660A84F6">
            <w:pPr>
              <w:pStyle w:val="36"/>
              <w:ind w:firstLine="0" w:firstLineChars="0"/>
              <w:rPr>
                <w:rFonts w:hint="default" w:ascii="Times New Roman" w:hAnsi="Times New Roman" w:eastAsia="宋体" w:cs="Times New Roman"/>
                <w:color w:val="0000FF"/>
                <w:spacing w:val="-7"/>
                <w:sz w:val="21"/>
                <w:szCs w:val="21"/>
              </w:rPr>
            </w:pPr>
            <w:r>
              <w:rPr>
                <w:rFonts w:hint="default" w:ascii="Times New Roman" w:hAnsi="Times New Roman" w:eastAsia="宋体" w:cs="Times New Roman"/>
                <w:color w:val="0000FF"/>
                <w:sz w:val="21"/>
                <w:szCs w:val="21"/>
              </w:rPr>
              <w:t>加强牛舍的通风换气，控制饲养密度，及时清理牛粪，合理配置日粮、定期喷洒除臭剂；粪便堆肥采用好氧堆肥方式，定期喷洒减少氨释放和保氮的复合菌剂，可减少臭气的产生</w:t>
            </w:r>
            <w:r>
              <w:rPr>
                <w:rFonts w:hint="eastAsia" w:ascii="Times New Roman" w:hAnsi="Times New Roman" w:cs="Times New Roman"/>
                <w:color w:val="0000FF"/>
                <w:sz w:val="21"/>
                <w:szCs w:val="21"/>
                <w:lang w:eastAsia="zh-CN"/>
              </w:rPr>
              <w:t>；</w:t>
            </w:r>
            <w:r>
              <w:rPr>
                <w:rFonts w:hint="eastAsia" w:ascii="Times New Roman" w:hAnsi="Times New Roman" w:cs="Times New Roman"/>
                <w:color w:val="0000FF"/>
                <w:sz w:val="21"/>
                <w:szCs w:val="21"/>
                <w:lang w:val="en-US" w:eastAsia="zh-CN"/>
              </w:rPr>
              <w:t>氧化塘周围定期喷洒植物型除臭剂，</w:t>
            </w:r>
            <w:r>
              <w:rPr>
                <w:rFonts w:hint="default" w:ascii="Times New Roman" w:hAnsi="Times New Roman" w:eastAsia="宋体" w:cs="Times New Roman"/>
                <w:color w:val="0000FF"/>
                <w:sz w:val="21"/>
                <w:szCs w:val="21"/>
              </w:rPr>
              <w:t>同时场区内加强绿化</w:t>
            </w:r>
          </w:p>
        </w:tc>
        <w:tc>
          <w:tcPr>
            <w:tcW w:w="1118" w:type="dxa"/>
            <w:vMerge w:val="restart"/>
            <w:vAlign w:val="center"/>
          </w:tcPr>
          <w:p w14:paraId="16B51D6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21"/>
                <w:szCs w:val="21"/>
              </w:rPr>
            </w:pPr>
            <w:r>
              <w:rPr>
                <w:rFonts w:hint="eastAsia" w:ascii="Times New Roman" w:hAnsi="Times New Roman" w:cs="Times New Roman"/>
                <w:color w:val="0000FF"/>
                <w:sz w:val="21"/>
                <w:szCs w:val="21"/>
                <w:lang w:val="en-US" w:eastAsia="zh-CN"/>
              </w:rPr>
              <w:t>一期</w:t>
            </w:r>
          </w:p>
        </w:tc>
      </w:tr>
      <w:tr w14:paraId="5623A5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35" w:hRule="atLeast"/>
          <w:jc w:val="center"/>
        </w:trPr>
        <w:tc>
          <w:tcPr>
            <w:tcW w:w="438" w:type="dxa"/>
            <w:vMerge w:val="continue"/>
            <w:vAlign w:val="center"/>
          </w:tcPr>
          <w:p w14:paraId="1C93DA65">
            <w:pPr>
              <w:pStyle w:val="36"/>
              <w:ind w:firstLine="0" w:firstLineChars="0"/>
              <w:rPr>
                <w:rFonts w:hint="default" w:ascii="Times New Roman" w:hAnsi="Times New Roman" w:eastAsia="宋体" w:cs="Times New Roman"/>
                <w:color w:val="0000FF"/>
                <w:sz w:val="21"/>
                <w:szCs w:val="21"/>
              </w:rPr>
            </w:pPr>
          </w:p>
        </w:tc>
        <w:tc>
          <w:tcPr>
            <w:tcW w:w="932" w:type="dxa"/>
            <w:vMerge w:val="continue"/>
            <w:vAlign w:val="center"/>
          </w:tcPr>
          <w:p w14:paraId="5C667DFC">
            <w:pPr>
              <w:pStyle w:val="36"/>
              <w:ind w:firstLine="0" w:firstLineChars="0"/>
              <w:rPr>
                <w:rFonts w:hint="default" w:ascii="Times New Roman" w:hAnsi="Times New Roman" w:eastAsia="宋体" w:cs="Times New Roman"/>
                <w:color w:val="0000FF"/>
                <w:sz w:val="21"/>
                <w:szCs w:val="21"/>
              </w:rPr>
            </w:pPr>
          </w:p>
        </w:tc>
        <w:tc>
          <w:tcPr>
            <w:tcW w:w="1126" w:type="dxa"/>
            <w:vAlign w:val="center"/>
          </w:tcPr>
          <w:p w14:paraId="5776E33C">
            <w:pPr>
              <w:pStyle w:val="36"/>
              <w:ind w:firstLine="0" w:firstLineChars="0"/>
              <w:jc w:val="center"/>
              <w:rPr>
                <w:rFonts w:hint="default" w:ascii="Times New Roman" w:hAnsi="Times New Roman" w:eastAsia="宋体" w:cs="Times New Roman"/>
                <w:color w:val="0000FF"/>
                <w:spacing w:val="-4"/>
                <w:sz w:val="21"/>
                <w:szCs w:val="21"/>
              </w:rPr>
            </w:pPr>
            <w:r>
              <w:rPr>
                <w:rFonts w:hint="default" w:ascii="Times New Roman" w:hAnsi="Times New Roman" w:eastAsia="宋体" w:cs="Times New Roman"/>
                <w:color w:val="0000FF"/>
                <w:spacing w:val="-4"/>
                <w:sz w:val="21"/>
                <w:szCs w:val="21"/>
              </w:rPr>
              <w:t>饲料拌合站</w:t>
            </w:r>
          </w:p>
        </w:tc>
        <w:tc>
          <w:tcPr>
            <w:tcW w:w="5740" w:type="dxa"/>
            <w:vAlign w:val="center"/>
          </w:tcPr>
          <w:p w14:paraId="3890B623">
            <w:pPr>
              <w:pStyle w:val="36"/>
              <w:ind w:firstLine="0" w:firstLineChars="0"/>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取青贮饲料、干草与精饲料时产生粉尘，在全封闭车间里工作</w:t>
            </w:r>
          </w:p>
        </w:tc>
        <w:tc>
          <w:tcPr>
            <w:tcW w:w="1118" w:type="dxa"/>
            <w:vMerge w:val="continue"/>
            <w:vAlign w:val="center"/>
          </w:tcPr>
          <w:p w14:paraId="788693F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21"/>
                <w:szCs w:val="21"/>
              </w:rPr>
            </w:pPr>
          </w:p>
        </w:tc>
      </w:tr>
      <w:tr w14:paraId="1F1A21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35" w:hRule="atLeast"/>
          <w:jc w:val="center"/>
        </w:trPr>
        <w:tc>
          <w:tcPr>
            <w:tcW w:w="438" w:type="dxa"/>
            <w:vMerge w:val="continue"/>
            <w:vAlign w:val="center"/>
          </w:tcPr>
          <w:p w14:paraId="0FC10DEF">
            <w:pPr>
              <w:pStyle w:val="36"/>
              <w:ind w:firstLine="0" w:firstLineChars="0"/>
              <w:rPr>
                <w:rFonts w:hint="default" w:ascii="Times New Roman" w:hAnsi="Times New Roman" w:eastAsia="宋体" w:cs="Times New Roman"/>
                <w:color w:val="0000FF"/>
                <w:sz w:val="21"/>
                <w:szCs w:val="21"/>
              </w:rPr>
            </w:pPr>
          </w:p>
        </w:tc>
        <w:tc>
          <w:tcPr>
            <w:tcW w:w="932" w:type="dxa"/>
            <w:vMerge w:val="continue"/>
            <w:vAlign w:val="center"/>
          </w:tcPr>
          <w:p w14:paraId="39627E77">
            <w:pPr>
              <w:pStyle w:val="36"/>
              <w:ind w:firstLine="0" w:firstLineChars="0"/>
              <w:rPr>
                <w:rFonts w:hint="default" w:ascii="Times New Roman" w:hAnsi="Times New Roman" w:eastAsia="宋体" w:cs="Times New Roman"/>
                <w:color w:val="0000FF"/>
                <w:sz w:val="21"/>
                <w:szCs w:val="21"/>
              </w:rPr>
            </w:pPr>
          </w:p>
        </w:tc>
        <w:tc>
          <w:tcPr>
            <w:tcW w:w="1126" w:type="dxa"/>
            <w:vAlign w:val="center"/>
          </w:tcPr>
          <w:p w14:paraId="726BA8B3">
            <w:pPr>
              <w:pStyle w:val="2"/>
              <w:jc w:val="center"/>
              <w:rPr>
                <w:rFonts w:hint="default" w:ascii="Times New Roman" w:hAnsi="Times New Roman" w:eastAsia="宋体" w:cs="Times New Roman"/>
                <w:color w:val="0000FF"/>
                <w:sz w:val="21"/>
                <w:szCs w:val="21"/>
                <w:lang w:val="zh-CN" w:bidi="zh-CN"/>
              </w:rPr>
            </w:pPr>
            <w:r>
              <w:rPr>
                <w:rFonts w:hint="default" w:ascii="Times New Roman" w:hAnsi="Times New Roman" w:eastAsia="宋体" w:cs="Times New Roman"/>
                <w:color w:val="0000FF"/>
                <w:sz w:val="21"/>
                <w:szCs w:val="21"/>
                <w:lang w:val="zh-CN" w:bidi="zh-CN"/>
              </w:rPr>
              <w:t>饲料配制</w:t>
            </w:r>
          </w:p>
          <w:p w14:paraId="6CAB77F8">
            <w:pPr>
              <w:pStyle w:val="2"/>
              <w:jc w:val="center"/>
              <w:rPr>
                <w:rFonts w:hint="default" w:ascii="Times New Roman" w:hAnsi="Times New Roman" w:eastAsia="宋体" w:cs="Times New Roman"/>
                <w:color w:val="0000FF"/>
                <w:sz w:val="21"/>
                <w:szCs w:val="21"/>
                <w:lang w:val="zh-CN" w:bidi="zh-CN"/>
              </w:rPr>
            </w:pPr>
            <w:r>
              <w:rPr>
                <w:rFonts w:hint="default" w:ascii="Times New Roman" w:hAnsi="Times New Roman" w:eastAsia="宋体" w:cs="Times New Roman"/>
                <w:color w:val="0000FF"/>
                <w:sz w:val="21"/>
                <w:szCs w:val="21"/>
                <w:lang w:val="zh-CN" w:bidi="zh-CN"/>
              </w:rPr>
              <w:t>粉尘</w:t>
            </w:r>
          </w:p>
        </w:tc>
        <w:tc>
          <w:tcPr>
            <w:tcW w:w="5740" w:type="dxa"/>
            <w:vAlign w:val="center"/>
          </w:tcPr>
          <w:p w14:paraId="66D70436">
            <w:pPr>
              <w:pStyle w:val="2"/>
              <w:rPr>
                <w:rFonts w:hint="default" w:ascii="Times New Roman" w:hAnsi="Times New Roman" w:eastAsia="宋体" w:cs="Times New Roman"/>
                <w:color w:val="0000FF"/>
                <w:sz w:val="21"/>
                <w:szCs w:val="21"/>
                <w:lang w:val="zh-CN" w:bidi="zh-CN"/>
              </w:rPr>
            </w:pPr>
            <w:r>
              <w:rPr>
                <w:rFonts w:hint="default" w:ascii="Times New Roman" w:hAnsi="Times New Roman" w:eastAsia="宋体" w:cs="Times New Roman"/>
                <w:color w:val="0000FF"/>
                <w:sz w:val="21"/>
                <w:szCs w:val="21"/>
                <w:lang w:val="zh-CN" w:bidi="zh-CN"/>
              </w:rPr>
              <w:t>青贮饲料、干草与精饲料在封闭TMR机器内搅拌，同时喷入水，以解决日粮中水分不足的问题，对抑制粉尘有良好作用</w:t>
            </w:r>
          </w:p>
        </w:tc>
        <w:tc>
          <w:tcPr>
            <w:tcW w:w="1118" w:type="dxa"/>
            <w:vMerge w:val="continue"/>
            <w:vAlign w:val="center"/>
          </w:tcPr>
          <w:p w14:paraId="3C7FB42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21"/>
                <w:szCs w:val="21"/>
              </w:rPr>
            </w:pPr>
          </w:p>
        </w:tc>
      </w:tr>
      <w:tr w14:paraId="544C1E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0" w:hRule="atLeast"/>
          <w:jc w:val="center"/>
        </w:trPr>
        <w:tc>
          <w:tcPr>
            <w:tcW w:w="438" w:type="dxa"/>
            <w:vMerge w:val="continue"/>
            <w:vAlign w:val="center"/>
          </w:tcPr>
          <w:p w14:paraId="18ACEC0F">
            <w:pPr>
              <w:pStyle w:val="36"/>
              <w:ind w:firstLine="0" w:firstLineChars="0"/>
              <w:rPr>
                <w:rFonts w:hint="default" w:ascii="Times New Roman" w:hAnsi="Times New Roman" w:eastAsia="宋体" w:cs="Times New Roman"/>
                <w:color w:val="0000FF"/>
                <w:sz w:val="21"/>
                <w:szCs w:val="21"/>
              </w:rPr>
            </w:pPr>
          </w:p>
        </w:tc>
        <w:tc>
          <w:tcPr>
            <w:tcW w:w="932" w:type="dxa"/>
            <w:vAlign w:val="center"/>
          </w:tcPr>
          <w:p w14:paraId="2272D676">
            <w:pPr>
              <w:pStyle w:val="36"/>
              <w:ind w:firstLine="0" w:firstLineChars="0"/>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废水</w:t>
            </w:r>
          </w:p>
        </w:tc>
        <w:tc>
          <w:tcPr>
            <w:tcW w:w="6866" w:type="dxa"/>
            <w:gridSpan w:val="2"/>
            <w:vAlign w:val="center"/>
          </w:tcPr>
          <w:p w14:paraId="21C727B4">
            <w:pPr>
              <w:pStyle w:val="36"/>
              <w:ind w:firstLine="0" w:firstLineChars="0"/>
              <w:rPr>
                <w:rFonts w:hint="default" w:ascii="Times New Roman" w:hAnsi="Times New Roman" w:eastAsia="宋体" w:cs="Times New Roman"/>
                <w:color w:val="0000FF"/>
                <w:spacing w:val="-7"/>
                <w:sz w:val="21"/>
                <w:szCs w:val="21"/>
              </w:rPr>
            </w:pPr>
            <w:r>
              <w:rPr>
                <w:rFonts w:hint="default" w:ascii="Times New Roman" w:hAnsi="Times New Roman" w:eastAsia="宋体" w:cs="Times New Roman"/>
                <w:color w:val="0000FF"/>
                <w:sz w:val="21"/>
                <w:szCs w:val="21"/>
              </w:rPr>
              <w:t>牛尿、奶厅冲洗废水、青贮液经各自管道排入</w:t>
            </w:r>
            <w:bookmarkStart w:id="104" w:name="_Hlk166982791"/>
            <w:r>
              <w:rPr>
                <w:rFonts w:hint="default" w:ascii="Times New Roman" w:hAnsi="Times New Roman" w:eastAsia="宋体" w:cs="Times New Roman"/>
                <w:color w:val="0000FF"/>
                <w:sz w:val="21"/>
                <w:szCs w:val="21"/>
                <w:lang w:val="en-US"/>
              </w:rPr>
              <w:t>氧化塘</w:t>
            </w:r>
            <w:bookmarkEnd w:id="104"/>
            <w:r>
              <w:rPr>
                <w:rFonts w:hint="default" w:ascii="Times New Roman" w:hAnsi="Times New Roman" w:eastAsia="宋体" w:cs="Times New Roman"/>
                <w:color w:val="0000FF"/>
                <w:sz w:val="21"/>
                <w:szCs w:val="21"/>
              </w:rPr>
              <w:t>，生活污水经化粪池处理后一并排入</w:t>
            </w:r>
            <w:r>
              <w:rPr>
                <w:rFonts w:hint="default" w:ascii="Times New Roman" w:hAnsi="Times New Roman" w:eastAsia="宋体" w:cs="Times New Roman"/>
                <w:color w:val="0000FF"/>
                <w:sz w:val="21"/>
                <w:szCs w:val="21"/>
                <w:lang w:val="en-US"/>
              </w:rPr>
              <w:t>氧化塘</w:t>
            </w:r>
            <w:r>
              <w:rPr>
                <w:rFonts w:hint="default" w:ascii="Times New Roman" w:hAnsi="Times New Roman" w:eastAsia="宋体" w:cs="Times New Roman"/>
                <w:color w:val="0000FF"/>
                <w:sz w:val="21"/>
                <w:szCs w:val="21"/>
              </w:rPr>
              <w:t>。经</w:t>
            </w:r>
            <w:r>
              <w:rPr>
                <w:rFonts w:hint="default" w:ascii="Times New Roman" w:hAnsi="Times New Roman" w:eastAsia="宋体" w:cs="Times New Roman"/>
                <w:color w:val="0000FF"/>
                <w:sz w:val="21"/>
                <w:szCs w:val="21"/>
                <w:lang w:val="en-US"/>
              </w:rPr>
              <w:t>氧化塘</w:t>
            </w:r>
            <w:r>
              <w:rPr>
                <w:rFonts w:hint="default" w:ascii="Times New Roman" w:hAnsi="Times New Roman" w:eastAsia="宋体" w:cs="Times New Roman"/>
                <w:color w:val="0000FF"/>
                <w:sz w:val="21"/>
                <w:szCs w:val="21"/>
              </w:rPr>
              <w:t>无害化处理后，作为液肥还田。</w:t>
            </w:r>
          </w:p>
        </w:tc>
        <w:tc>
          <w:tcPr>
            <w:tcW w:w="1118" w:type="dxa"/>
            <w:vAlign w:val="center"/>
          </w:tcPr>
          <w:p w14:paraId="5435A75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21"/>
                <w:szCs w:val="21"/>
              </w:rPr>
            </w:pPr>
            <w:r>
              <w:rPr>
                <w:rFonts w:hint="eastAsia" w:ascii="Times New Roman" w:hAnsi="Times New Roman" w:cs="Times New Roman"/>
                <w:color w:val="0000FF"/>
                <w:sz w:val="21"/>
                <w:szCs w:val="21"/>
                <w:lang w:val="en-US" w:eastAsia="zh-CN"/>
              </w:rPr>
              <w:t>一期</w:t>
            </w:r>
          </w:p>
        </w:tc>
      </w:tr>
      <w:tr w14:paraId="10F2AC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5" w:hRule="atLeast"/>
          <w:jc w:val="center"/>
        </w:trPr>
        <w:tc>
          <w:tcPr>
            <w:tcW w:w="438" w:type="dxa"/>
            <w:vMerge w:val="continue"/>
            <w:vAlign w:val="center"/>
          </w:tcPr>
          <w:p w14:paraId="7BC2004A">
            <w:pPr>
              <w:pStyle w:val="36"/>
              <w:ind w:firstLine="0" w:firstLineChars="0"/>
              <w:rPr>
                <w:rFonts w:hint="default" w:ascii="Times New Roman" w:hAnsi="Times New Roman" w:eastAsia="宋体" w:cs="Times New Roman"/>
                <w:color w:val="0000FF"/>
                <w:sz w:val="21"/>
                <w:szCs w:val="21"/>
              </w:rPr>
            </w:pPr>
          </w:p>
        </w:tc>
        <w:tc>
          <w:tcPr>
            <w:tcW w:w="932" w:type="dxa"/>
            <w:vAlign w:val="center"/>
          </w:tcPr>
          <w:p w14:paraId="5EBB38B5">
            <w:pPr>
              <w:pStyle w:val="36"/>
              <w:ind w:firstLine="0" w:firstLineChars="0"/>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噪声</w:t>
            </w:r>
          </w:p>
        </w:tc>
        <w:tc>
          <w:tcPr>
            <w:tcW w:w="6866" w:type="dxa"/>
            <w:gridSpan w:val="2"/>
            <w:vAlign w:val="center"/>
          </w:tcPr>
          <w:p w14:paraId="1FF1E0AA">
            <w:pPr>
              <w:pStyle w:val="36"/>
              <w:ind w:firstLine="0" w:firstLineChars="0"/>
              <w:rPr>
                <w:rFonts w:hint="default" w:ascii="Times New Roman" w:hAnsi="Times New Roman" w:eastAsia="宋体" w:cs="Times New Roman"/>
                <w:color w:val="0000FF"/>
                <w:spacing w:val="-7"/>
                <w:sz w:val="21"/>
                <w:szCs w:val="21"/>
              </w:rPr>
            </w:pPr>
            <w:r>
              <w:rPr>
                <w:rFonts w:hint="default" w:ascii="Times New Roman" w:hAnsi="Times New Roman" w:eastAsia="宋体" w:cs="Times New Roman"/>
                <w:color w:val="0000FF"/>
                <w:sz w:val="21"/>
                <w:szCs w:val="21"/>
              </w:rPr>
              <w:t>项目选用低噪声的设备，并采取隔声、减震等措施</w:t>
            </w:r>
          </w:p>
        </w:tc>
        <w:tc>
          <w:tcPr>
            <w:tcW w:w="1118" w:type="dxa"/>
            <w:vAlign w:val="center"/>
          </w:tcPr>
          <w:p w14:paraId="07D34C6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21"/>
                <w:szCs w:val="21"/>
              </w:rPr>
            </w:pPr>
            <w:r>
              <w:rPr>
                <w:rFonts w:hint="eastAsia" w:ascii="Times New Roman" w:hAnsi="Times New Roman" w:cs="Times New Roman"/>
                <w:color w:val="0000FF"/>
                <w:sz w:val="21"/>
                <w:szCs w:val="21"/>
                <w:lang w:val="en-US" w:eastAsia="zh-CN"/>
              </w:rPr>
              <w:t>一期</w:t>
            </w:r>
          </w:p>
        </w:tc>
      </w:tr>
      <w:tr w14:paraId="620639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5" w:hRule="atLeast"/>
          <w:jc w:val="center"/>
        </w:trPr>
        <w:tc>
          <w:tcPr>
            <w:tcW w:w="438" w:type="dxa"/>
            <w:vMerge w:val="continue"/>
            <w:vAlign w:val="center"/>
          </w:tcPr>
          <w:p w14:paraId="31772844">
            <w:pPr>
              <w:pStyle w:val="2"/>
              <w:rPr>
                <w:rFonts w:hint="default" w:ascii="Times New Roman" w:hAnsi="Times New Roman" w:eastAsia="宋体" w:cs="Times New Roman"/>
                <w:color w:val="0000FF"/>
                <w:sz w:val="21"/>
                <w:szCs w:val="21"/>
                <w:lang w:val="zh-CN" w:bidi="zh-CN"/>
              </w:rPr>
            </w:pPr>
          </w:p>
        </w:tc>
        <w:tc>
          <w:tcPr>
            <w:tcW w:w="932" w:type="dxa"/>
            <w:vMerge w:val="restart"/>
            <w:vAlign w:val="center"/>
          </w:tcPr>
          <w:p w14:paraId="575A84A9">
            <w:pPr>
              <w:pStyle w:val="2"/>
              <w:ind w:firstLine="210" w:firstLineChars="100"/>
              <w:rPr>
                <w:rFonts w:hint="default" w:ascii="Times New Roman" w:hAnsi="Times New Roman" w:eastAsia="宋体" w:cs="Times New Roman"/>
                <w:color w:val="0000FF"/>
                <w:sz w:val="21"/>
                <w:szCs w:val="21"/>
                <w:lang w:val="zh-CN" w:bidi="zh-CN"/>
              </w:rPr>
            </w:pPr>
            <w:r>
              <w:rPr>
                <w:rFonts w:hint="default" w:ascii="Times New Roman" w:hAnsi="Times New Roman" w:eastAsia="宋体" w:cs="Times New Roman"/>
                <w:color w:val="0000FF"/>
                <w:sz w:val="21"/>
                <w:szCs w:val="21"/>
                <w:lang w:val="zh-CN" w:bidi="zh-CN"/>
              </w:rPr>
              <w:t>固废</w:t>
            </w:r>
          </w:p>
        </w:tc>
        <w:tc>
          <w:tcPr>
            <w:tcW w:w="1126" w:type="dxa"/>
            <w:vAlign w:val="center"/>
          </w:tcPr>
          <w:p w14:paraId="21828BF0">
            <w:pPr>
              <w:pStyle w:val="2"/>
              <w:jc w:val="center"/>
              <w:rPr>
                <w:rFonts w:hint="default" w:ascii="Times New Roman" w:hAnsi="Times New Roman" w:eastAsia="宋体" w:cs="Times New Roman"/>
                <w:color w:val="0000FF"/>
                <w:sz w:val="21"/>
                <w:szCs w:val="21"/>
                <w:lang w:val="zh-CN" w:bidi="zh-CN"/>
              </w:rPr>
            </w:pPr>
            <w:r>
              <w:rPr>
                <w:rFonts w:hint="default" w:ascii="Times New Roman" w:hAnsi="Times New Roman" w:eastAsia="宋体" w:cs="Times New Roman"/>
                <w:color w:val="0000FF"/>
                <w:sz w:val="21"/>
                <w:szCs w:val="21"/>
                <w:lang w:val="zh-CN" w:bidi="zh-CN"/>
              </w:rPr>
              <w:t>牛粪、垫料、池体沉渣</w:t>
            </w:r>
          </w:p>
        </w:tc>
        <w:tc>
          <w:tcPr>
            <w:tcW w:w="5740" w:type="dxa"/>
            <w:vAlign w:val="center"/>
          </w:tcPr>
          <w:p w14:paraId="33D9FBD2">
            <w:pPr>
              <w:pStyle w:val="2"/>
              <w:rPr>
                <w:rFonts w:hint="default" w:ascii="Times New Roman" w:hAnsi="Times New Roman" w:eastAsia="宋体" w:cs="Times New Roman"/>
                <w:color w:val="0000FF"/>
                <w:sz w:val="21"/>
                <w:szCs w:val="21"/>
                <w:lang w:val="zh-CN" w:bidi="zh-CN"/>
              </w:rPr>
            </w:pPr>
            <w:r>
              <w:rPr>
                <w:rFonts w:hint="default" w:ascii="Times New Roman" w:hAnsi="Times New Roman" w:eastAsia="宋体" w:cs="Times New Roman"/>
                <w:color w:val="0000FF"/>
                <w:sz w:val="21"/>
                <w:szCs w:val="21"/>
                <w:lang w:val="zh-CN" w:bidi="zh-CN"/>
              </w:rPr>
              <w:t>牛粪与牛舍和运动场定期清理的垫料、池体沉渣等一起混合，进行好氧堆肥发酵，部分用作垫料，其余发酵后用于农田施肥</w:t>
            </w:r>
          </w:p>
        </w:tc>
        <w:tc>
          <w:tcPr>
            <w:tcW w:w="1118" w:type="dxa"/>
            <w:vMerge w:val="restart"/>
            <w:vAlign w:val="center"/>
          </w:tcPr>
          <w:p w14:paraId="21AC4EF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21"/>
                <w:szCs w:val="21"/>
              </w:rPr>
            </w:pPr>
            <w:r>
              <w:rPr>
                <w:rFonts w:hint="eastAsia" w:ascii="Times New Roman" w:hAnsi="Times New Roman" w:cs="Times New Roman"/>
                <w:color w:val="0000FF"/>
                <w:sz w:val="21"/>
                <w:szCs w:val="21"/>
                <w:lang w:val="en-US" w:eastAsia="zh-CN"/>
              </w:rPr>
              <w:t>一期</w:t>
            </w:r>
          </w:p>
        </w:tc>
      </w:tr>
      <w:tr w14:paraId="1E8146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5" w:hRule="atLeast"/>
          <w:jc w:val="center"/>
        </w:trPr>
        <w:tc>
          <w:tcPr>
            <w:tcW w:w="438" w:type="dxa"/>
            <w:vMerge w:val="continue"/>
            <w:vAlign w:val="center"/>
          </w:tcPr>
          <w:p w14:paraId="6EB50FAF">
            <w:pPr>
              <w:pStyle w:val="2"/>
              <w:rPr>
                <w:rFonts w:hint="default" w:ascii="Times New Roman" w:hAnsi="Times New Roman" w:eastAsia="宋体" w:cs="Times New Roman"/>
                <w:color w:val="0000FF"/>
              </w:rPr>
            </w:pPr>
          </w:p>
        </w:tc>
        <w:tc>
          <w:tcPr>
            <w:tcW w:w="932" w:type="dxa"/>
            <w:vMerge w:val="continue"/>
            <w:vAlign w:val="center"/>
          </w:tcPr>
          <w:p w14:paraId="2D803AA4">
            <w:pPr>
              <w:pStyle w:val="2"/>
              <w:rPr>
                <w:rFonts w:hint="default" w:ascii="Times New Roman" w:hAnsi="Times New Roman" w:eastAsia="宋体" w:cs="Times New Roman"/>
                <w:color w:val="0000FF"/>
              </w:rPr>
            </w:pPr>
          </w:p>
        </w:tc>
        <w:tc>
          <w:tcPr>
            <w:tcW w:w="1126" w:type="dxa"/>
            <w:vAlign w:val="center"/>
          </w:tcPr>
          <w:p w14:paraId="424599D2">
            <w:pPr>
              <w:pStyle w:val="2"/>
              <w:jc w:val="center"/>
              <w:rPr>
                <w:rFonts w:hint="default" w:ascii="Times New Roman" w:hAnsi="Times New Roman" w:eastAsia="宋体" w:cs="Times New Roman"/>
                <w:color w:val="0000FF"/>
                <w:sz w:val="21"/>
                <w:szCs w:val="21"/>
                <w:lang w:val="zh-CN" w:bidi="zh-CN"/>
              </w:rPr>
            </w:pPr>
            <w:r>
              <w:rPr>
                <w:rFonts w:hint="default" w:ascii="Times New Roman" w:hAnsi="Times New Roman" w:eastAsia="宋体" w:cs="Times New Roman"/>
                <w:color w:val="0000FF"/>
                <w:sz w:val="21"/>
                <w:szCs w:val="21"/>
                <w:lang w:val="zh-CN" w:bidi="zh-CN"/>
              </w:rPr>
              <w:t>病死畜</w:t>
            </w:r>
          </w:p>
        </w:tc>
        <w:tc>
          <w:tcPr>
            <w:tcW w:w="5740" w:type="dxa"/>
            <w:vAlign w:val="center"/>
          </w:tcPr>
          <w:p w14:paraId="49DFEB74">
            <w:pPr>
              <w:pStyle w:val="2"/>
              <w:rPr>
                <w:rFonts w:hint="default" w:ascii="Times New Roman" w:hAnsi="Times New Roman" w:eastAsia="宋体" w:cs="Times New Roman"/>
                <w:color w:val="0000FF"/>
                <w:sz w:val="21"/>
                <w:szCs w:val="21"/>
                <w:lang w:val="zh-CN" w:bidi="zh-CN"/>
              </w:rPr>
            </w:pPr>
            <w:r>
              <w:rPr>
                <w:rFonts w:hint="default" w:ascii="Times New Roman" w:hAnsi="Times New Roman" w:eastAsia="宋体" w:cs="Times New Roman"/>
                <w:color w:val="0000FF"/>
                <w:sz w:val="21"/>
                <w:szCs w:val="21"/>
                <w:lang w:val="zh-CN" w:bidi="zh-CN"/>
              </w:rPr>
              <w:t>委托有资质单位进行处理</w:t>
            </w:r>
          </w:p>
        </w:tc>
        <w:tc>
          <w:tcPr>
            <w:tcW w:w="1118" w:type="dxa"/>
            <w:vMerge w:val="continue"/>
            <w:vAlign w:val="center"/>
          </w:tcPr>
          <w:p w14:paraId="103D9A4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21"/>
                <w:szCs w:val="21"/>
              </w:rPr>
            </w:pPr>
          </w:p>
        </w:tc>
      </w:tr>
      <w:tr w14:paraId="09181C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5" w:hRule="atLeast"/>
          <w:jc w:val="center"/>
        </w:trPr>
        <w:tc>
          <w:tcPr>
            <w:tcW w:w="438" w:type="dxa"/>
            <w:vMerge w:val="continue"/>
            <w:vAlign w:val="center"/>
          </w:tcPr>
          <w:p w14:paraId="389E416A">
            <w:pPr>
              <w:pStyle w:val="2"/>
              <w:rPr>
                <w:rFonts w:hint="default" w:ascii="Times New Roman" w:hAnsi="Times New Roman" w:eastAsia="宋体" w:cs="Times New Roman"/>
                <w:color w:val="0000FF"/>
              </w:rPr>
            </w:pPr>
          </w:p>
        </w:tc>
        <w:tc>
          <w:tcPr>
            <w:tcW w:w="932" w:type="dxa"/>
            <w:vMerge w:val="continue"/>
            <w:vAlign w:val="center"/>
          </w:tcPr>
          <w:p w14:paraId="2F7284CE">
            <w:pPr>
              <w:pStyle w:val="2"/>
              <w:rPr>
                <w:rFonts w:hint="default" w:ascii="Times New Roman" w:hAnsi="Times New Roman" w:eastAsia="宋体" w:cs="Times New Roman"/>
                <w:color w:val="0000FF"/>
              </w:rPr>
            </w:pPr>
          </w:p>
        </w:tc>
        <w:tc>
          <w:tcPr>
            <w:tcW w:w="1126" w:type="dxa"/>
            <w:vAlign w:val="center"/>
          </w:tcPr>
          <w:p w14:paraId="02FC5531">
            <w:pPr>
              <w:pStyle w:val="2"/>
              <w:jc w:val="center"/>
              <w:rPr>
                <w:rFonts w:hint="default" w:ascii="Times New Roman" w:hAnsi="Times New Roman" w:eastAsia="宋体" w:cs="Times New Roman"/>
                <w:color w:val="0000FF"/>
                <w:sz w:val="21"/>
                <w:szCs w:val="21"/>
                <w:lang w:val="zh-CN" w:bidi="zh-CN"/>
              </w:rPr>
            </w:pPr>
            <w:r>
              <w:rPr>
                <w:rFonts w:hint="default" w:ascii="Times New Roman" w:hAnsi="Times New Roman" w:eastAsia="宋体" w:cs="Times New Roman"/>
                <w:color w:val="0000FF"/>
                <w:sz w:val="21"/>
                <w:szCs w:val="21"/>
                <w:lang w:val="zh-CN" w:bidi="zh-CN"/>
              </w:rPr>
              <w:t>生活垃圾</w:t>
            </w:r>
          </w:p>
        </w:tc>
        <w:tc>
          <w:tcPr>
            <w:tcW w:w="5740" w:type="dxa"/>
            <w:vAlign w:val="center"/>
          </w:tcPr>
          <w:p w14:paraId="6283874D">
            <w:pPr>
              <w:pStyle w:val="2"/>
              <w:rPr>
                <w:rFonts w:hint="default" w:ascii="Times New Roman" w:hAnsi="Times New Roman" w:eastAsia="宋体" w:cs="Times New Roman"/>
                <w:color w:val="0000FF"/>
                <w:sz w:val="21"/>
                <w:szCs w:val="21"/>
                <w:lang w:val="zh-CN" w:bidi="zh-CN"/>
              </w:rPr>
            </w:pPr>
            <w:r>
              <w:rPr>
                <w:rFonts w:hint="eastAsia" w:ascii="Times New Roman" w:hAnsi="Times New Roman" w:cs="Times New Roman"/>
                <w:color w:val="0000FF"/>
                <w:sz w:val="21"/>
                <w:szCs w:val="21"/>
                <w:lang w:val="en-US" w:bidi="zh-CN"/>
              </w:rPr>
              <w:t>建设1个垃圾池，垃圾池建筑面积1m</w:t>
            </w:r>
            <w:r>
              <w:rPr>
                <w:rFonts w:hint="eastAsia" w:ascii="Times New Roman" w:hAnsi="Times New Roman" w:cs="Times New Roman"/>
                <w:color w:val="0000FF"/>
                <w:sz w:val="21"/>
                <w:szCs w:val="21"/>
                <w:vertAlign w:val="superscript"/>
                <w:lang w:val="en-US" w:bidi="zh-CN"/>
              </w:rPr>
              <w:t>2</w:t>
            </w:r>
            <w:r>
              <w:rPr>
                <w:rFonts w:hint="eastAsia" w:ascii="Times New Roman" w:hAnsi="Times New Roman" w:cs="Times New Roman"/>
                <w:color w:val="0000FF"/>
                <w:sz w:val="21"/>
                <w:szCs w:val="21"/>
                <w:lang w:val="en-US" w:bidi="zh-CN"/>
              </w:rPr>
              <w:t>，用于</w:t>
            </w:r>
            <w:r>
              <w:rPr>
                <w:rFonts w:hint="default" w:ascii="Times New Roman" w:hAnsi="Times New Roman" w:eastAsia="宋体" w:cs="Times New Roman"/>
                <w:color w:val="0000FF"/>
                <w:sz w:val="21"/>
                <w:szCs w:val="21"/>
                <w:lang w:val="zh-CN" w:bidi="zh-CN"/>
              </w:rPr>
              <w:t>收集</w:t>
            </w:r>
            <w:r>
              <w:rPr>
                <w:rFonts w:hint="eastAsia" w:ascii="Times New Roman" w:hAnsi="Times New Roman" w:cs="Times New Roman"/>
                <w:color w:val="0000FF"/>
                <w:sz w:val="21"/>
                <w:szCs w:val="21"/>
                <w:lang w:val="en-US" w:bidi="zh-CN"/>
              </w:rPr>
              <w:t>生活垃圾，</w:t>
            </w:r>
            <w:r>
              <w:rPr>
                <w:rFonts w:hint="default" w:ascii="Times New Roman" w:hAnsi="Times New Roman" w:eastAsia="宋体" w:cs="Times New Roman"/>
                <w:color w:val="0000FF"/>
                <w:sz w:val="21"/>
                <w:szCs w:val="21"/>
                <w:lang w:val="zh-CN" w:bidi="zh-CN"/>
              </w:rPr>
              <w:t>由当地环卫部门统一处理</w:t>
            </w:r>
          </w:p>
        </w:tc>
        <w:tc>
          <w:tcPr>
            <w:tcW w:w="1118" w:type="dxa"/>
            <w:vMerge w:val="continue"/>
            <w:vAlign w:val="center"/>
          </w:tcPr>
          <w:p w14:paraId="6ECEC1D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21"/>
                <w:szCs w:val="21"/>
              </w:rPr>
            </w:pPr>
          </w:p>
        </w:tc>
      </w:tr>
      <w:tr w14:paraId="119397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5" w:hRule="atLeast"/>
          <w:jc w:val="center"/>
        </w:trPr>
        <w:tc>
          <w:tcPr>
            <w:tcW w:w="438" w:type="dxa"/>
            <w:vMerge w:val="continue"/>
            <w:vAlign w:val="center"/>
          </w:tcPr>
          <w:p w14:paraId="286B0FEB">
            <w:pPr>
              <w:pStyle w:val="2"/>
              <w:rPr>
                <w:rFonts w:hint="default" w:ascii="Times New Roman" w:hAnsi="Times New Roman" w:eastAsia="宋体" w:cs="Times New Roman"/>
                <w:color w:val="0000FF"/>
              </w:rPr>
            </w:pPr>
          </w:p>
        </w:tc>
        <w:tc>
          <w:tcPr>
            <w:tcW w:w="932" w:type="dxa"/>
            <w:vMerge w:val="continue"/>
            <w:vAlign w:val="center"/>
          </w:tcPr>
          <w:p w14:paraId="6D5D6A8E">
            <w:pPr>
              <w:pStyle w:val="2"/>
              <w:rPr>
                <w:rFonts w:hint="default" w:ascii="Times New Roman" w:hAnsi="Times New Roman" w:eastAsia="宋体" w:cs="Times New Roman"/>
                <w:color w:val="0000FF"/>
              </w:rPr>
            </w:pPr>
          </w:p>
        </w:tc>
        <w:tc>
          <w:tcPr>
            <w:tcW w:w="1126" w:type="dxa"/>
            <w:vAlign w:val="center"/>
          </w:tcPr>
          <w:p w14:paraId="7485DCC2">
            <w:pPr>
              <w:pStyle w:val="2"/>
              <w:jc w:val="center"/>
              <w:rPr>
                <w:rFonts w:hint="default" w:ascii="Times New Roman" w:hAnsi="Times New Roman" w:eastAsia="宋体" w:cs="Times New Roman"/>
                <w:color w:val="0000FF"/>
                <w:sz w:val="21"/>
                <w:szCs w:val="21"/>
                <w:lang w:val="zh-CN" w:bidi="zh-CN"/>
              </w:rPr>
            </w:pPr>
            <w:r>
              <w:rPr>
                <w:rFonts w:hint="default" w:ascii="Times New Roman" w:hAnsi="Times New Roman" w:eastAsia="宋体" w:cs="Times New Roman"/>
                <w:color w:val="0000FF"/>
                <w:sz w:val="21"/>
                <w:szCs w:val="21"/>
                <w:lang w:val="zh-CN" w:bidi="zh-CN"/>
              </w:rPr>
              <w:t>医疗垃圾</w:t>
            </w:r>
          </w:p>
        </w:tc>
        <w:tc>
          <w:tcPr>
            <w:tcW w:w="5740" w:type="dxa"/>
            <w:vAlign w:val="center"/>
          </w:tcPr>
          <w:p w14:paraId="465BC977">
            <w:pPr>
              <w:pStyle w:val="2"/>
              <w:rPr>
                <w:rFonts w:hint="default" w:ascii="Times New Roman" w:hAnsi="Times New Roman" w:eastAsia="宋体" w:cs="Times New Roman"/>
                <w:color w:val="0000FF"/>
                <w:sz w:val="21"/>
                <w:szCs w:val="21"/>
                <w:lang w:val="zh-CN" w:bidi="zh-CN"/>
              </w:rPr>
            </w:pPr>
            <w:r>
              <w:rPr>
                <w:rFonts w:hint="default" w:ascii="Times New Roman" w:hAnsi="Times New Roman" w:eastAsia="宋体" w:cs="Times New Roman"/>
                <w:color w:val="0000FF"/>
                <w:sz w:val="21"/>
                <w:szCs w:val="21"/>
                <w:lang w:val="zh-CN" w:bidi="zh-CN"/>
              </w:rPr>
              <w:t>暂存于危废暂存间内，定期交由有资质单位处理</w:t>
            </w:r>
          </w:p>
        </w:tc>
        <w:tc>
          <w:tcPr>
            <w:tcW w:w="1118" w:type="dxa"/>
            <w:vMerge w:val="continue"/>
            <w:vAlign w:val="center"/>
          </w:tcPr>
          <w:p w14:paraId="626859E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21"/>
                <w:szCs w:val="21"/>
              </w:rPr>
            </w:pPr>
          </w:p>
        </w:tc>
      </w:tr>
      <w:tr w14:paraId="6C7127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5" w:hRule="atLeast"/>
          <w:jc w:val="center"/>
        </w:trPr>
        <w:tc>
          <w:tcPr>
            <w:tcW w:w="438" w:type="dxa"/>
            <w:vMerge w:val="continue"/>
            <w:vAlign w:val="center"/>
          </w:tcPr>
          <w:p w14:paraId="0736753C">
            <w:pPr>
              <w:pStyle w:val="2"/>
              <w:rPr>
                <w:rFonts w:hint="default" w:ascii="Times New Roman" w:hAnsi="Times New Roman" w:eastAsia="宋体" w:cs="Times New Roman"/>
                <w:color w:val="0000FF"/>
              </w:rPr>
            </w:pPr>
          </w:p>
        </w:tc>
        <w:tc>
          <w:tcPr>
            <w:tcW w:w="932" w:type="dxa"/>
            <w:vMerge w:val="continue"/>
            <w:vAlign w:val="center"/>
          </w:tcPr>
          <w:p w14:paraId="6FD68446">
            <w:pPr>
              <w:pStyle w:val="2"/>
              <w:rPr>
                <w:rFonts w:hint="default" w:ascii="Times New Roman" w:hAnsi="Times New Roman" w:eastAsia="宋体" w:cs="Times New Roman"/>
                <w:color w:val="0000FF"/>
              </w:rPr>
            </w:pPr>
          </w:p>
        </w:tc>
        <w:tc>
          <w:tcPr>
            <w:tcW w:w="1126" w:type="dxa"/>
            <w:vAlign w:val="center"/>
          </w:tcPr>
          <w:p w14:paraId="4C89E58B">
            <w:pPr>
              <w:pStyle w:val="2"/>
              <w:jc w:val="center"/>
              <w:rPr>
                <w:rFonts w:hint="default" w:ascii="Times New Roman" w:hAnsi="Times New Roman" w:eastAsia="宋体" w:cs="Times New Roman"/>
                <w:color w:val="0000FF"/>
                <w:sz w:val="21"/>
                <w:szCs w:val="21"/>
                <w:lang w:val="zh-CN" w:bidi="zh-CN"/>
              </w:rPr>
            </w:pPr>
            <w:r>
              <w:rPr>
                <w:rFonts w:hint="default" w:ascii="Times New Roman" w:hAnsi="Times New Roman" w:eastAsia="宋体" w:cs="Times New Roman"/>
                <w:color w:val="0000FF"/>
                <w:sz w:val="21"/>
                <w:szCs w:val="21"/>
                <w:lang w:val="zh-CN" w:eastAsia="zh-CN" w:bidi="zh-CN"/>
              </w:rPr>
              <w:t>酸碱液桶</w:t>
            </w:r>
          </w:p>
        </w:tc>
        <w:tc>
          <w:tcPr>
            <w:tcW w:w="5740" w:type="dxa"/>
            <w:vAlign w:val="center"/>
          </w:tcPr>
          <w:p w14:paraId="55DCB58A">
            <w:pPr>
              <w:pStyle w:val="2"/>
              <w:rPr>
                <w:rFonts w:hint="default" w:ascii="Times New Roman" w:hAnsi="Times New Roman" w:eastAsia="宋体" w:cs="Times New Roman"/>
                <w:color w:val="0000FF"/>
                <w:sz w:val="21"/>
                <w:szCs w:val="21"/>
                <w:lang w:val="zh-CN" w:bidi="zh-CN"/>
              </w:rPr>
            </w:pPr>
            <w:r>
              <w:rPr>
                <w:rFonts w:hint="default" w:ascii="Times New Roman" w:hAnsi="Times New Roman" w:eastAsia="宋体" w:cs="Times New Roman"/>
                <w:color w:val="0000FF"/>
                <w:sz w:val="21"/>
                <w:szCs w:val="21"/>
                <w:lang w:val="zh-CN" w:eastAsia="zh-CN" w:bidi="zh-CN"/>
              </w:rPr>
              <w:t>本项目</w:t>
            </w:r>
            <w:r>
              <w:rPr>
                <w:rFonts w:hint="eastAsia" w:ascii="Times New Roman" w:hAnsi="Times New Roman" w:cs="Times New Roman"/>
                <w:color w:val="0000FF"/>
                <w:sz w:val="21"/>
                <w:szCs w:val="21"/>
                <w:lang w:val="en-US" w:eastAsia="zh-CN" w:bidi="zh-CN"/>
              </w:rPr>
              <w:t>挤奶厅设备冲洗使用酸碱液进行，</w:t>
            </w:r>
            <w:r>
              <w:rPr>
                <w:rFonts w:hint="default" w:ascii="Times New Roman" w:hAnsi="Times New Roman" w:eastAsia="宋体" w:cs="Times New Roman"/>
                <w:color w:val="0000FF"/>
                <w:sz w:val="21"/>
                <w:szCs w:val="21"/>
                <w:lang w:val="zh-CN" w:eastAsia="zh-CN" w:bidi="zh-CN"/>
              </w:rPr>
              <w:t>酸碱液废桶暂存于危废暂存间内，定期送往有资质的单位处理。</w:t>
            </w:r>
          </w:p>
        </w:tc>
        <w:tc>
          <w:tcPr>
            <w:tcW w:w="1118" w:type="dxa"/>
            <w:vMerge w:val="continue"/>
            <w:vAlign w:val="center"/>
          </w:tcPr>
          <w:p w14:paraId="389798B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color w:val="0000FF"/>
                <w:sz w:val="21"/>
                <w:szCs w:val="21"/>
                <w:lang w:val="en-US" w:eastAsia="zh-CN"/>
              </w:rPr>
            </w:pPr>
          </w:p>
        </w:tc>
      </w:tr>
      <w:tr w14:paraId="6F19E9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5" w:hRule="atLeast"/>
          <w:jc w:val="center"/>
        </w:trPr>
        <w:tc>
          <w:tcPr>
            <w:tcW w:w="438" w:type="dxa"/>
            <w:vMerge w:val="continue"/>
            <w:vAlign w:val="center"/>
          </w:tcPr>
          <w:p w14:paraId="45C22333">
            <w:pPr>
              <w:pStyle w:val="2"/>
              <w:rPr>
                <w:rFonts w:hint="default" w:ascii="Times New Roman" w:hAnsi="Times New Roman" w:eastAsia="宋体" w:cs="Times New Roman"/>
                <w:color w:val="0000FF"/>
              </w:rPr>
            </w:pPr>
          </w:p>
        </w:tc>
        <w:tc>
          <w:tcPr>
            <w:tcW w:w="932" w:type="dxa"/>
            <w:vMerge w:val="continue"/>
            <w:vAlign w:val="center"/>
          </w:tcPr>
          <w:p w14:paraId="5980B378">
            <w:pPr>
              <w:pStyle w:val="2"/>
              <w:rPr>
                <w:rFonts w:hint="default" w:ascii="Times New Roman" w:hAnsi="Times New Roman" w:eastAsia="宋体" w:cs="Times New Roman"/>
                <w:color w:val="0000FF"/>
              </w:rPr>
            </w:pPr>
          </w:p>
        </w:tc>
        <w:tc>
          <w:tcPr>
            <w:tcW w:w="1126" w:type="dxa"/>
            <w:vAlign w:val="center"/>
          </w:tcPr>
          <w:p w14:paraId="1C153BE2">
            <w:pPr>
              <w:pStyle w:val="2"/>
              <w:jc w:val="center"/>
              <w:rPr>
                <w:rFonts w:hint="default" w:ascii="Times New Roman" w:hAnsi="Times New Roman" w:eastAsia="宋体" w:cs="Times New Roman"/>
                <w:color w:val="0000FF"/>
                <w:sz w:val="21"/>
                <w:szCs w:val="21"/>
                <w:lang w:val="zh-CN" w:bidi="zh-CN"/>
              </w:rPr>
            </w:pPr>
            <w:r>
              <w:rPr>
                <w:rFonts w:hint="default" w:ascii="Times New Roman" w:hAnsi="Times New Roman" w:eastAsia="宋体" w:cs="Times New Roman"/>
                <w:color w:val="0000FF"/>
                <w:sz w:val="21"/>
                <w:szCs w:val="21"/>
                <w:lang w:val="zh-CN" w:eastAsia="zh-CN" w:bidi="zh-CN"/>
              </w:rPr>
              <w:t>废机油</w:t>
            </w:r>
          </w:p>
        </w:tc>
        <w:tc>
          <w:tcPr>
            <w:tcW w:w="5740" w:type="dxa"/>
            <w:vAlign w:val="center"/>
          </w:tcPr>
          <w:p w14:paraId="34981626">
            <w:pPr>
              <w:pStyle w:val="2"/>
              <w:rPr>
                <w:rFonts w:hint="default" w:ascii="Times New Roman" w:hAnsi="Times New Roman" w:eastAsia="宋体" w:cs="Times New Roman"/>
                <w:color w:val="0000FF"/>
                <w:sz w:val="21"/>
                <w:szCs w:val="21"/>
                <w:lang w:val="zh-CN" w:bidi="zh-CN"/>
              </w:rPr>
            </w:pPr>
            <w:r>
              <w:rPr>
                <w:rFonts w:hint="default" w:ascii="Times New Roman" w:hAnsi="Times New Roman" w:eastAsia="宋体" w:cs="Times New Roman"/>
                <w:color w:val="0000FF"/>
                <w:sz w:val="21"/>
                <w:szCs w:val="21"/>
                <w:lang w:val="zh-CN" w:eastAsia="zh-CN" w:bidi="zh-CN"/>
              </w:rPr>
              <w:t>场内车辆在维护和维修时不可避免的会产生废机油</w:t>
            </w:r>
            <w:r>
              <w:rPr>
                <w:rFonts w:hint="eastAsia" w:ascii="Times New Roman" w:hAnsi="Times New Roman" w:cs="Times New Roman"/>
                <w:color w:val="0000FF"/>
                <w:sz w:val="21"/>
                <w:szCs w:val="21"/>
                <w:lang w:val="zh-CN" w:eastAsia="zh-CN" w:bidi="zh-CN"/>
              </w:rPr>
              <w:t>，</w:t>
            </w:r>
            <w:r>
              <w:rPr>
                <w:rFonts w:hint="default" w:ascii="Times New Roman" w:hAnsi="Times New Roman" w:eastAsia="宋体" w:cs="Times New Roman"/>
                <w:color w:val="0000FF"/>
                <w:sz w:val="21"/>
                <w:szCs w:val="21"/>
                <w:lang w:val="zh-CN" w:eastAsia="zh-CN" w:bidi="zh-CN"/>
              </w:rPr>
              <w:t>经桶装后暂存于危废暂存间内，定期送往有资质的单位处理</w:t>
            </w:r>
            <w:r>
              <w:rPr>
                <w:rFonts w:hint="eastAsia" w:ascii="Times New Roman" w:hAnsi="Times New Roman" w:cs="Times New Roman"/>
                <w:color w:val="0000FF"/>
                <w:sz w:val="21"/>
                <w:szCs w:val="21"/>
                <w:lang w:val="zh-CN" w:eastAsia="zh-CN" w:bidi="zh-CN"/>
              </w:rPr>
              <w:t>。</w:t>
            </w:r>
          </w:p>
        </w:tc>
        <w:tc>
          <w:tcPr>
            <w:tcW w:w="1118" w:type="dxa"/>
            <w:vMerge w:val="continue"/>
            <w:vAlign w:val="center"/>
          </w:tcPr>
          <w:p w14:paraId="0C99F18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color w:val="0000FF"/>
                <w:sz w:val="21"/>
                <w:szCs w:val="21"/>
                <w:lang w:val="en-US" w:eastAsia="zh-CN"/>
              </w:rPr>
            </w:pPr>
          </w:p>
        </w:tc>
      </w:tr>
      <w:tr w14:paraId="367DB8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5" w:hRule="atLeast"/>
          <w:jc w:val="center"/>
        </w:trPr>
        <w:tc>
          <w:tcPr>
            <w:tcW w:w="438" w:type="dxa"/>
            <w:vMerge w:val="continue"/>
          </w:tcPr>
          <w:p w14:paraId="1CC5C90A">
            <w:pPr>
              <w:pStyle w:val="36"/>
              <w:spacing w:line="240" w:lineRule="auto"/>
              <w:ind w:firstLine="0" w:firstLineChars="0"/>
              <w:rPr>
                <w:rFonts w:hint="default" w:ascii="Times New Roman" w:hAnsi="Times New Roman" w:eastAsia="宋体" w:cs="Times New Roman"/>
                <w:color w:val="0000FF"/>
                <w:sz w:val="21"/>
                <w:szCs w:val="21"/>
              </w:rPr>
            </w:pPr>
          </w:p>
        </w:tc>
        <w:tc>
          <w:tcPr>
            <w:tcW w:w="932" w:type="dxa"/>
            <w:vAlign w:val="center"/>
          </w:tcPr>
          <w:p w14:paraId="43E2D4B8">
            <w:pPr>
              <w:pStyle w:val="2"/>
              <w:ind w:firstLine="210" w:firstLineChars="100"/>
              <w:rPr>
                <w:rFonts w:hint="default" w:ascii="Times New Roman" w:hAnsi="Times New Roman" w:eastAsia="宋体" w:cs="Times New Roman"/>
                <w:color w:val="0000FF"/>
                <w:spacing w:val="-4"/>
              </w:rPr>
            </w:pPr>
            <w:r>
              <w:rPr>
                <w:rFonts w:hint="default" w:ascii="Times New Roman" w:hAnsi="Times New Roman" w:eastAsia="宋体" w:cs="Times New Roman"/>
                <w:color w:val="0000FF"/>
                <w:sz w:val="21"/>
                <w:szCs w:val="21"/>
                <w:lang w:val="zh-CN" w:bidi="zh-CN"/>
              </w:rPr>
              <w:t>防渗</w:t>
            </w:r>
          </w:p>
        </w:tc>
        <w:tc>
          <w:tcPr>
            <w:tcW w:w="6866" w:type="dxa"/>
            <w:gridSpan w:val="2"/>
            <w:vAlign w:val="center"/>
          </w:tcPr>
          <w:p w14:paraId="411A7717">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FF"/>
                <w:sz w:val="21"/>
                <w:szCs w:val="21"/>
              </w:rPr>
            </w:pPr>
            <w:r>
              <w:rPr>
                <w:rFonts w:hint="default" w:ascii="Times New Roman" w:hAnsi="Times New Roman" w:eastAsia="宋体" w:cs="Times New Roman"/>
                <w:b/>
                <w:bCs/>
                <w:color w:val="0000FF"/>
                <w:sz w:val="21"/>
                <w:szCs w:val="21"/>
              </w:rPr>
              <w:t>重点</w:t>
            </w:r>
            <w:r>
              <w:rPr>
                <w:rFonts w:hint="eastAsia" w:cs="Times New Roman"/>
                <w:b/>
                <w:bCs/>
                <w:color w:val="0000FF"/>
                <w:sz w:val="21"/>
                <w:szCs w:val="21"/>
                <w:lang w:val="en-US" w:eastAsia="zh-CN"/>
              </w:rPr>
              <w:t>防渗</w:t>
            </w:r>
            <w:r>
              <w:rPr>
                <w:rFonts w:hint="default" w:ascii="Times New Roman" w:hAnsi="Times New Roman" w:eastAsia="宋体" w:cs="Times New Roman"/>
                <w:b/>
                <w:bCs/>
                <w:color w:val="0000FF"/>
                <w:sz w:val="21"/>
                <w:szCs w:val="21"/>
              </w:rPr>
              <w:t>区：</w:t>
            </w:r>
          </w:p>
          <w:p w14:paraId="4B76469E">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危废暂存间包括医疗废物暂存区和危废暂存区，危废暂存间采取硬化防渗处理，防渗层为至少2mm厚高密度聚乙烯，或至少2mm厚的其他人工材料，渗透系数K≤1.0×10</w:t>
            </w:r>
            <w:r>
              <w:rPr>
                <w:rFonts w:hint="default" w:ascii="Times New Roman" w:hAnsi="Times New Roman" w:eastAsia="宋体" w:cs="Times New Roman"/>
                <w:color w:val="0000FF"/>
                <w:sz w:val="21"/>
                <w:szCs w:val="21"/>
                <w:vertAlign w:val="superscript"/>
              </w:rPr>
              <w:t>-10</w:t>
            </w:r>
            <w:r>
              <w:rPr>
                <w:rFonts w:hint="default" w:ascii="Times New Roman" w:hAnsi="Times New Roman" w:eastAsia="宋体" w:cs="Times New Roman"/>
                <w:color w:val="0000FF"/>
                <w:sz w:val="21"/>
                <w:szCs w:val="21"/>
              </w:rPr>
              <w:t>cm/s。</w:t>
            </w:r>
          </w:p>
          <w:p w14:paraId="062F43C3">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养殖区粪污管道应加强地下管道及设施的固化和密封，采用防腐蚀和防爆材料，防止发生沉降引起渗漏，并按明沟明渠敷设。埋地管道防渗，防渗层为至少2mm厚高密度聚乙烯，或至少2mm厚的其他人工材料，渗透系数K≤1.0×10</w:t>
            </w:r>
            <w:r>
              <w:rPr>
                <w:rFonts w:hint="default" w:ascii="Times New Roman" w:hAnsi="Times New Roman" w:eastAsia="宋体" w:cs="Times New Roman"/>
                <w:color w:val="0000FF"/>
                <w:sz w:val="21"/>
                <w:szCs w:val="21"/>
                <w:vertAlign w:val="superscript"/>
              </w:rPr>
              <w:t>-10</w:t>
            </w:r>
            <w:r>
              <w:rPr>
                <w:rFonts w:hint="default" w:ascii="Times New Roman" w:hAnsi="Times New Roman" w:eastAsia="宋体" w:cs="Times New Roman"/>
                <w:color w:val="0000FF"/>
                <w:sz w:val="21"/>
                <w:szCs w:val="21"/>
              </w:rPr>
              <w:t>cm/s。</w:t>
            </w:r>
          </w:p>
          <w:p w14:paraId="607B958C">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氧化塘防渗结构如下，（</w:t>
            </w:r>
            <w:r>
              <w:rPr>
                <w:rFonts w:hint="default" w:ascii="Times New Roman" w:hAnsi="Times New Roman" w:eastAsia="宋体" w:cs="Times New Roman"/>
                <w:color w:val="0000FF"/>
                <w:sz w:val="21"/>
                <w:szCs w:val="21"/>
                <w:lang w:val="en-US" w:eastAsia="zh-CN"/>
              </w:rPr>
              <w:t>1</w:t>
            </w:r>
            <w:r>
              <w:rPr>
                <w:rFonts w:hint="default" w:ascii="Times New Roman" w:hAnsi="Times New Roman" w:eastAsia="宋体" w:cs="Times New Roman"/>
                <w:color w:val="0000FF"/>
                <w:sz w:val="21"/>
                <w:szCs w:val="21"/>
              </w:rPr>
              <w:t>）壁膜：1.00mm厚HDPE膜、100mm厚混凝土（内含钢丝网片）、150g/m</w:t>
            </w:r>
            <w:r>
              <w:rPr>
                <w:rFonts w:hint="default" w:ascii="Times New Roman" w:hAnsi="Times New Roman" w:eastAsia="宋体" w:cs="Times New Roman"/>
                <w:color w:val="0000FF"/>
                <w:sz w:val="21"/>
                <w:szCs w:val="21"/>
                <w:vertAlign w:val="superscript"/>
              </w:rPr>
              <w:t>2</w:t>
            </w:r>
            <w:r>
              <w:rPr>
                <w:rFonts w:hint="default" w:ascii="Times New Roman" w:hAnsi="Times New Roman" w:eastAsia="宋体" w:cs="Times New Roman"/>
                <w:color w:val="0000FF"/>
                <w:sz w:val="21"/>
                <w:szCs w:val="21"/>
              </w:rPr>
              <w:t>土工布、1.50厚HDPE膜、150g/m</w:t>
            </w:r>
            <w:r>
              <w:rPr>
                <w:rFonts w:hint="default" w:ascii="Times New Roman" w:hAnsi="Times New Roman" w:eastAsia="宋体" w:cs="Times New Roman"/>
                <w:color w:val="0000FF"/>
                <w:sz w:val="21"/>
                <w:szCs w:val="21"/>
                <w:vertAlign w:val="superscript"/>
              </w:rPr>
              <w:t>2</w:t>
            </w:r>
            <w:r>
              <w:rPr>
                <w:rFonts w:hint="default" w:ascii="Times New Roman" w:hAnsi="Times New Roman" w:eastAsia="宋体" w:cs="Times New Roman"/>
                <w:color w:val="0000FF"/>
                <w:sz w:val="21"/>
                <w:szCs w:val="21"/>
              </w:rPr>
              <w:t>土工布和素土夯实（压实系数0.94）。（</w:t>
            </w:r>
            <w:r>
              <w:rPr>
                <w:rFonts w:hint="default" w:ascii="Times New Roman" w:hAnsi="Times New Roman" w:eastAsia="宋体" w:cs="Times New Roman"/>
                <w:color w:val="0000FF"/>
                <w:sz w:val="21"/>
                <w:szCs w:val="21"/>
                <w:lang w:val="en-US" w:eastAsia="zh-CN"/>
              </w:rPr>
              <w:t>2</w:t>
            </w:r>
            <w:r>
              <w:rPr>
                <w:rFonts w:hint="default" w:ascii="Times New Roman" w:hAnsi="Times New Roman" w:eastAsia="宋体" w:cs="Times New Roman"/>
                <w:color w:val="0000FF"/>
                <w:sz w:val="21"/>
                <w:szCs w:val="21"/>
              </w:rPr>
              <w:t>）池底：1.00mm厚HDPE膜、100mm厚混凝土（内含钢丝网片）、150g/m</w:t>
            </w:r>
            <w:r>
              <w:rPr>
                <w:rFonts w:hint="default" w:ascii="Times New Roman" w:hAnsi="Times New Roman" w:eastAsia="宋体" w:cs="Times New Roman"/>
                <w:color w:val="0000FF"/>
                <w:sz w:val="21"/>
                <w:szCs w:val="21"/>
                <w:vertAlign w:val="superscript"/>
              </w:rPr>
              <w:t>2</w:t>
            </w:r>
            <w:r>
              <w:rPr>
                <w:rFonts w:hint="default" w:ascii="Times New Roman" w:hAnsi="Times New Roman" w:eastAsia="宋体" w:cs="Times New Roman"/>
                <w:color w:val="0000FF"/>
                <w:sz w:val="21"/>
                <w:szCs w:val="21"/>
              </w:rPr>
              <w:t>土工布、1.50厚HDPE膜、150g/m</w:t>
            </w:r>
            <w:r>
              <w:rPr>
                <w:rFonts w:hint="default" w:ascii="Times New Roman" w:hAnsi="Times New Roman" w:eastAsia="宋体" w:cs="Times New Roman"/>
                <w:color w:val="0000FF"/>
                <w:sz w:val="21"/>
                <w:szCs w:val="21"/>
                <w:vertAlign w:val="superscript"/>
              </w:rPr>
              <w:t>2</w:t>
            </w:r>
            <w:r>
              <w:rPr>
                <w:rFonts w:hint="default" w:ascii="Times New Roman" w:hAnsi="Times New Roman" w:eastAsia="宋体" w:cs="Times New Roman"/>
                <w:color w:val="0000FF"/>
                <w:sz w:val="21"/>
                <w:szCs w:val="21"/>
              </w:rPr>
              <w:t>土工布和素土夯实（压实系数0.94）。并围绕池底四周一圈设置120厚现浇混凝土板。</w:t>
            </w:r>
          </w:p>
          <w:p w14:paraId="5251327F">
            <w:pPr>
              <w:pStyle w:val="2"/>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rPr>
              <w:t>一</w:t>
            </w:r>
            <w:r>
              <w:rPr>
                <w:rFonts w:hint="default" w:ascii="Times New Roman" w:hAnsi="Times New Roman" w:eastAsia="宋体" w:cs="Times New Roman"/>
                <w:color w:val="0000FF"/>
                <w:sz w:val="21"/>
                <w:szCs w:val="21"/>
              </w:rPr>
              <w:t>般</w:t>
            </w:r>
            <w:r>
              <w:rPr>
                <w:rFonts w:hint="eastAsia" w:ascii="Times New Roman" w:hAnsi="Times New Roman" w:cs="Times New Roman"/>
                <w:color w:val="0000FF"/>
                <w:sz w:val="21"/>
                <w:szCs w:val="21"/>
                <w:lang w:val="en-US" w:eastAsia="zh-CN"/>
              </w:rPr>
              <w:t>防渗</w:t>
            </w:r>
            <w:r>
              <w:rPr>
                <w:rFonts w:hint="default" w:ascii="Times New Roman" w:hAnsi="Times New Roman" w:eastAsia="宋体" w:cs="Times New Roman"/>
                <w:color w:val="0000FF"/>
                <w:sz w:val="21"/>
                <w:szCs w:val="21"/>
              </w:rPr>
              <w:t>区：</w:t>
            </w:r>
          </w:p>
          <w:p w14:paraId="24DE2482">
            <w:pPr>
              <w:pStyle w:val="2"/>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FF"/>
              </w:rPr>
            </w:pPr>
            <w:r>
              <w:rPr>
                <w:rFonts w:hint="default" w:ascii="Times New Roman" w:hAnsi="Times New Roman" w:eastAsia="宋体" w:cs="Times New Roman"/>
                <w:color w:val="0000FF"/>
                <w:sz w:val="21"/>
                <w:szCs w:val="21"/>
              </w:rPr>
              <w:t>牛舍、奶厅、青贮窖、雨水收集池、干草棚、固液分离车间、饲料加工区等，应满足防渗漏、防雨淋、防扬尘等环境保护要求，一般防治区防渗层的防渗性能应等效黏土防渗层Mb≥1.5m，渗透系数K≤1×10</w:t>
            </w:r>
            <w:r>
              <w:rPr>
                <w:rFonts w:hint="default" w:ascii="Times New Roman" w:hAnsi="Times New Roman" w:eastAsia="宋体" w:cs="Times New Roman"/>
                <w:color w:val="0000FF"/>
                <w:sz w:val="21"/>
                <w:szCs w:val="21"/>
                <w:vertAlign w:val="superscript"/>
              </w:rPr>
              <w:t>-7</w:t>
            </w:r>
            <w:r>
              <w:rPr>
                <w:rFonts w:hint="default" w:ascii="Times New Roman" w:hAnsi="Times New Roman" w:eastAsia="宋体" w:cs="Times New Roman"/>
                <w:color w:val="0000FF"/>
                <w:sz w:val="21"/>
                <w:szCs w:val="21"/>
              </w:rPr>
              <w:t>cm/s。</w:t>
            </w:r>
          </w:p>
        </w:tc>
        <w:tc>
          <w:tcPr>
            <w:tcW w:w="1118" w:type="dxa"/>
            <w:vAlign w:val="center"/>
          </w:tcPr>
          <w:p w14:paraId="44A06B7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FF"/>
                <w:sz w:val="21"/>
                <w:szCs w:val="21"/>
                <w:lang w:eastAsia="zh-CN"/>
              </w:rPr>
            </w:pPr>
            <w:r>
              <w:rPr>
                <w:rFonts w:hint="eastAsia" w:cs="Times New Roman"/>
                <w:color w:val="0000FF"/>
                <w:sz w:val="21"/>
                <w:szCs w:val="21"/>
                <w:lang w:val="en-US" w:eastAsia="zh-CN"/>
              </w:rPr>
              <w:t>/</w:t>
            </w:r>
          </w:p>
        </w:tc>
      </w:tr>
    </w:tbl>
    <w:p w14:paraId="6D512026">
      <w:pPr>
        <w:pStyle w:val="11"/>
        <w:adjustRightInd w:val="0"/>
        <w:snapToGrid w:val="0"/>
        <w:ind w:firstLine="482"/>
        <w:outlineLvl w:val="2"/>
        <w:rPr>
          <w:rFonts w:hint="default" w:ascii="Times New Roman" w:hAnsi="Times New Roman" w:eastAsia="宋体" w:cs="Times New Roman"/>
          <w:b/>
          <w:color w:val="000000" w:themeColor="text1"/>
          <w14:textFill>
            <w14:solidFill>
              <w14:schemeClr w14:val="tx1"/>
            </w14:solidFill>
          </w14:textFill>
        </w:rPr>
      </w:pPr>
      <w:bookmarkStart w:id="105" w:name="_Toc20921"/>
      <w:r>
        <w:rPr>
          <w:rFonts w:hint="default" w:ascii="Times New Roman" w:hAnsi="Times New Roman" w:eastAsia="宋体" w:cs="Times New Roman"/>
          <w:b/>
          <w:color w:val="000000" w:themeColor="text1"/>
          <w:lang w:eastAsia="zh-CN"/>
          <w14:textFill>
            <w14:solidFill>
              <w14:schemeClr w14:val="tx1"/>
            </w14:solidFill>
          </w14:textFill>
        </w:rPr>
        <w:t>3.1.3</w:t>
      </w:r>
      <w:r>
        <w:rPr>
          <w:rFonts w:hint="default" w:ascii="Times New Roman" w:hAnsi="Times New Roman" w:eastAsia="宋体" w:cs="Times New Roman"/>
          <w:b/>
          <w:color w:val="000000" w:themeColor="text1"/>
          <w14:textFill>
            <w14:solidFill>
              <w14:schemeClr w14:val="tx1"/>
            </w14:solidFill>
          </w14:textFill>
        </w:rPr>
        <w:t>产品方案</w:t>
      </w:r>
      <w:bookmarkEnd w:id="105"/>
    </w:p>
    <w:p w14:paraId="44DF60EB">
      <w:pPr>
        <w:pStyle w:val="11"/>
        <w:adjustRightInd w:val="0"/>
        <w:snapToGrid w:val="0"/>
        <w:ind w:firstLine="460"/>
        <w:rPr>
          <w:rFonts w:hint="default" w:ascii="Times New Roman" w:hAnsi="Times New Roman" w:eastAsia="宋体" w:cs="Times New Roman"/>
          <w:color w:val="000000" w:themeColor="text1"/>
          <w:spacing w:val="-5"/>
          <w:lang w:eastAsia="zh-CN"/>
          <w14:textFill>
            <w14:solidFill>
              <w14:schemeClr w14:val="tx1"/>
            </w14:solidFill>
          </w14:textFill>
        </w:rPr>
      </w:pPr>
      <w:r>
        <w:rPr>
          <w:rFonts w:hint="default" w:ascii="Times New Roman" w:hAnsi="Times New Roman" w:eastAsia="宋体" w:cs="Times New Roman"/>
          <w:color w:val="000000" w:themeColor="text1"/>
          <w:spacing w:val="-5"/>
          <w:lang w:eastAsia="zh-CN"/>
          <w14:textFill>
            <w14:solidFill>
              <w14:schemeClr w14:val="tx1"/>
            </w14:solidFill>
          </w14:textFill>
        </w:rPr>
        <w:t>本项目生产的主要产品为鲜乳，预计达产年年鲜奶6405t/a规模，详见表3.1-2。产品相关质量标准满足《食品安全国家标准生乳》（GB19301-2010）中的要求。</w:t>
      </w:r>
    </w:p>
    <w:p w14:paraId="5D837FC0">
      <w:pPr>
        <w:pStyle w:val="11"/>
        <w:adjustRightInd w:val="0"/>
        <w:snapToGrid w:val="0"/>
        <w:ind w:firstLine="462"/>
        <w:jc w:val="center"/>
        <w:rPr>
          <w:rFonts w:hint="default" w:ascii="Times New Roman" w:hAnsi="Times New Roman" w:eastAsia="宋体" w:cs="Times New Roman"/>
          <w:b/>
          <w:color w:val="000000" w:themeColor="text1"/>
          <w:spacing w:val="-5"/>
          <w14:textFill>
            <w14:solidFill>
              <w14:schemeClr w14:val="tx1"/>
            </w14:solidFill>
          </w14:textFill>
        </w:rPr>
      </w:pPr>
      <w:r>
        <w:rPr>
          <w:rFonts w:hint="default" w:ascii="Times New Roman" w:hAnsi="Times New Roman" w:eastAsia="宋体" w:cs="Times New Roman"/>
          <w:b/>
          <w:color w:val="000000" w:themeColor="text1"/>
          <w:spacing w:val="-5"/>
          <w14:textFill>
            <w14:solidFill>
              <w14:schemeClr w14:val="tx1"/>
            </w14:solidFill>
          </w14:textFill>
        </w:rPr>
        <w:t>表3.1-</w:t>
      </w:r>
      <w:r>
        <w:rPr>
          <w:rFonts w:hint="default" w:ascii="Times New Roman" w:hAnsi="Times New Roman" w:eastAsia="宋体" w:cs="Times New Roman"/>
          <w:b/>
          <w:color w:val="000000" w:themeColor="text1"/>
          <w:spacing w:val="-5"/>
          <w:lang w:eastAsia="zh-CN"/>
          <w14:textFill>
            <w14:solidFill>
              <w14:schemeClr w14:val="tx1"/>
            </w14:solidFill>
          </w14:textFill>
        </w:rPr>
        <w:t>2</w:t>
      </w:r>
      <w:r>
        <w:rPr>
          <w:rFonts w:hint="default" w:ascii="Times New Roman" w:hAnsi="Times New Roman" w:eastAsia="宋体" w:cs="Times New Roman"/>
          <w:b/>
          <w:color w:val="000000" w:themeColor="text1"/>
          <w:spacing w:val="-5"/>
          <w14:textFill>
            <w14:solidFill>
              <w14:schemeClr w14:val="tx1"/>
            </w14:solidFill>
          </w14:textFill>
        </w:rPr>
        <w:t>项目产品方案一览表</w:t>
      </w:r>
    </w:p>
    <w:tbl>
      <w:tblPr>
        <w:tblStyle w:val="30"/>
        <w:tblW w:w="492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53"/>
        <w:gridCol w:w="2194"/>
        <w:gridCol w:w="1522"/>
        <w:gridCol w:w="2628"/>
      </w:tblGrid>
      <w:tr w14:paraId="0E8614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222" w:type="pct"/>
            <w:vAlign w:val="center"/>
          </w:tcPr>
          <w:p w14:paraId="20236AAD">
            <w:pPr>
              <w:pStyle w:val="11"/>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000000" w:themeColor="text1"/>
                <w:spacing w:val="-5"/>
                <w:sz w:val="21"/>
                <w:szCs w:val="21"/>
                <w14:textFill>
                  <w14:solidFill>
                    <w14:schemeClr w14:val="tx1"/>
                  </w14:solidFill>
                </w14:textFill>
              </w:rPr>
            </w:pPr>
            <w:r>
              <w:rPr>
                <w:rFonts w:hint="default" w:ascii="Times New Roman" w:hAnsi="Times New Roman" w:eastAsia="宋体" w:cs="Times New Roman"/>
                <w:color w:val="000000" w:themeColor="text1"/>
                <w:spacing w:val="-5"/>
                <w:sz w:val="21"/>
                <w:szCs w:val="21"/>
                <w14:textFill>
                  <w14:solidFill>
                    <w14:schemeClr w14:val="tx1"/>
                  </w14:solidFill>
                </w14:textFill>
              </w:rPr>
              <w:t>产品名称</w:t>
            </w:r>
          </w:p>
        </w:tc>
        <w:tc>
          <w:tcPr>
            <w:tcW w:w="1306" w:type="pct"/>
            <w:vAlign w:val="center"/>
          </w:tcPr>
          <w:p w14:paraId="298C5DD7">
            <w:pPr>
              <w:pStyle w:val="11"/>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000000" w:themeColor="text1"/>
                <w:spacing w:val="-5"/>
                <w:sz w:val="21"/>
                <w:szCs w:val="21"/>
                <w14:textFill>
                  <w14:solidFill>
                    <w14:schemeClr w14:val="tx1"/>
                  </w14:solidFill>
                </w14:textFill>
              </w:rPr>
            </w:pPr>
            <w:r>
              <w:rPr>
                <w:rFonts w:hint="default" w:ascii="Times New Roman" w:hAnsi="Times New Roman" w:eastAsia="宋体" w:cs="Times New Roman"/>
                <w:color w:val="000000" w:themeColor="text1"/>
                <w:spacing w:val="-5"/>
                <w:sz w:val="21"/>
                <w:szCs w:val="21"/>
                <w14:textFill>
                  <w14:solidFill>
                    <w14:schemeClr w14:val="tx1"/>
                  </w14:solidFill>
                </w14:textFill>
              </w:rPr>
              <w:t>产量</w:t>
            </w:r>
          </w:p>
        </w:tc>
        <w:tc>
          <w:tcPr>
            <w:tcW w:w="906" w:type="pct"/>
            <w:vAlign w:val="center"/>
          </w:tcPr>
          <w:p w14:paraId="3CC49C5B">
            <w:pPr>
              <w:pStyle w:val="11"/>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000000" w:themeColor="text1"/>
                <w:spacing w:val="-5"/>
                <w:sz w:val="21"/>
                <w:szCs w:val="21"/>
                <w14:textFill>
                  <w14:solidFill>
                    <w14:schemeClr w14:val="tx1"/>
                  </w14:solidFill>
                </w14:textFill>
              </w:rPr>
            </w:pPr>
            <w:r>
              <w:rPr>
                <w:rFonts w:hint="default" w:ascii="Times New Roman" w:hAnsi="Times New Roman" w:eastAsia="宋体" w:cs="Times New Roman"/>
                <w:color w:val="000000" w:themeColor="text1"/>
                <w:spacing w:val="-5"/>
                <w:sz w:val="21"/>
                <w:szCs w:val="21"/>
                <w14:textFill>
                  <w14:solidFill>
                    <w14:schemeClr w14:val="tx1"/>
                  </w14:solidFill>
                </w14:textFill>
              </w:rPr>
              <w:t>单位</w:t>
            </w:r>
          </w:p>
        </w:tc>
        <w:tc>
          <w:tcPr>
            <w:tcW w:w="1564" w:type="pct"/>
            <w:vAlign w:val="center"/>
          </w:tcPr>
          <w:p w14:paraId="43CA965A">
            <w:pPr>
              <w:pStyle w:val="11"/>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000000" w:themeColor="text1"/>
                <w:spacing w:val="-5"/>
                <w:sz w:val="21"/>
                <w:szCs w:val="21"/>
                <w14:textFill>
                  <w14:solidFill>
                    <w14:schemeClr w14:val="tx1"/>
                  </w14:solidFill>
                </w14:textFill>
              </w:rPr>
            </w:pPr>
            <w:r>
              <w:rPr>
                <w:rFonts w:hint="default" w:ascii="Times New Roman" w:hAnsi="Times New Roman" w:eastAsia="宋体" w:cs="Times New Roman"/>
                <w:color w:val="000000" w:themeColor="text1"/>
                <w:spacing w:val="-5"/>
                <w:sz w:val="21"/>
                <w:szCs w:val="21"/>
                <w14:textFill>
                  <w14:solidFill>
                    <w14:schemeClr w14:val="tx1"/>
                  </w14:solidFill>
                </w14:textFill>
              </w:rPr>
              <w:t>备注</w:t>
            </w:r>
          </w:p>
        </w:tc>
      </w:tr>
      <w:tr w14:paraId="7471D2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222" w:type="pct"/>
            <w:vAlign w:val="center"/>
          </w:tcPr>
          <w:p w14:paraId="65C089B9">
            <w:pPr>
              <w:pStyle w:val="11"/>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000000" w:themeColor="text1"/>
                <w:spacing w:val="-5"/>
                <w:sz w:val="21"/>
                <w:szCs w:val="21"/>
                <w14:textFill>
                  <w14:solidFill>
                    <w14:schemeClr w14:val="tx1"/>
                  </w14:solidFill>
                </w14:textFill>
              </w:rPr>
            </w:pPr>
            <w:r>
              <w:rPr>
                <w:rFonts w:hint="default" w:ascii="Times New Roman" w:hAnsi="Times New Roman" w:eastAsia="宋体" w:cs="Times New Roman"/>
                <w:color w:val="000000" w:themeColor="text1"/>
                <w:spacing w:val="-5"/>
                <w:sz w:val="21"/>
                <w:szCs w:val="21"/>
                <w14:textFill>
                  <w14:solidFill>
                    <w14:schemeClr w14:val="tx1"/>
                  </w14:solidFill>
                </w14:textFill>
              </w:rPr>
              <w:t>鲜牛奶</w:t>
            </w:r>
          </w:p>
        </w:tc>
        <w:tc>
          <w:tcPr>
            <w:tcW w:w="1306" w:type="pct"/>
            <w:vAlign w:val="center"/>
          </w:tcPr>
          <w:p w14:paraId="1ABD2602">
            <w:pPr>
              <w:pStyle w:val="11"/>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000000" w:themeColor="text1"/>
                <w:spacing w:val="-5"/>
                <w:sz w:val="21"/>
                <w:szCs w:val="21"/>
                <w14:textFill>
                  <w14:solidFill>
                    <w14:schemeClr w14:val="tx1"/>
                  </w14:solidFill>
                </w14:textFill>
              </w:rPr>
            </w:pPr>
            <w:r>
              <w:rPr>
                <w:rFonts w:hint="default" w:ascii="Times New Roman" w:hAnsi="Times New Roman" w:eastAsia="宋体" w:cs="Times New Roman"/>
                <w:color w:val="000000" w:themeColor="text1"/>
                <w:spacing w:val="-5"/>
                <w:sz w:val="21"/>
                <w:szCs w:val="21"/>
                <w14:textFill>
                  <w14:solidFill>
                    <w14:schemeClr w14:val="tx1"/>
                  </w14:solidFill>
                </w14:textFill>
              </w:rPr>
              <w:t>6405</w:t>
            </w:r>
          </w:p>
        </w:tc>
        <w:tc>
          <w:tcPr>
            <w:tcW w:w="906" w:type="pct"/>
            <w:vAlign w:val="center"/>
          </w:tcPr>
          <w:p w14:paraId="55327C7D">
            <w:pPr>
              <w:pStyle w:val="11"/>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000000" w:themeColor="text1"/>
                <w:spacing w:val="-5"/>
                <w:sz w:val="21"/>
                <w:szCs w:val="21"/>
                <w14:textFill>
                  <w14:solidFill>
                    <w14:schemeClr w14:val="tx1"/>
                  </w14:solidFill>
                </w14:textFill>
              </w:rPr>
            </w:pPr>
            <w:r>
              <w:rPr>
                <w:rFonts w:hint="default" w:ascii="Times New Roman" w:hAnsi="Times New Roman" w:eastAsia="宋体" w:cs="Times New Roman"/>
                <w:color w:val="000000" w:themeColor="text1"/>
                <w:spacing w:val="-5"/>
                <w:sz w:val="21"/>
                <w:szCs w:val="21"/>
                <w14:textFill>
                  <w14:solidFill>
                    <w14:schemeClr w14:val="tx1"/>
                  </w14:solidFill>
                </w14:textFill>
              </w:rPr>
              <w:t>t/a</w:t>
            </w:r>
          </w:p>
        </w:tc>
        <w:tc>
          <w:tcPr>
            <w:tcW w:w="1564" w:type="pct"/>
            <w:vAlign w:val="center"/>
          </w:tcPr>
          <w:p w14:paraId="73ADFD9A">
            <w:pPr>
              <w:pStyle w:val="11"/>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000000" w:themeColor="text1"/>
                <w:spacing w:val="-5"/>
                <w:sz w:val="21"/>
                <w:szCs w:val="21"/>
                <w14:textFill>
                  <w14:solidFill>
                    <w14:schemeClr w14:val="tx1"/>
                  </w14:solidFill>
                </w14:textFill>
              </w:rPr>
            </w:pPr>
            <w:r>
              <w:rPr>
                <w:rFonts w:hint="default" w:ascii="Times New Roman" w:hAnsi="Times New Roman" w:eastAsia="宋体" w:cs="Times New Roman"/>
                <w:color w:val="000000" w:themeColor="text1"/>
                <w:spacing w:val="-5"/>
                <w:sz w:val="21"/>
                <w:szCs w:val="21"/>
                <w14:textFill>
                  <w14:solidFill>
                    <w14:schemeClr w14:val="tx1"/>
                  </w14:solidFill>
                </w14:textFill>
              </w:rPr>
              <w:t>出售</w:t>
            </w:r>
          </w:p>
        </w:tc>
      </w:tr>
    </w:tbl>
    <w:p w14:paraId="4378D893">
      <w:pPr>
        <w:pStyle w:val="11"/>
        <w:adjustRightInd w:val="0"/>
        <w:snapToGrid w:val="0"/>
        <w:ind w:firstLine="480"/>
        <w:rPr>
          <w:rFonts w:hint="default" w:ascii="Times New Roman" w:hAnsi="Times New Roman" w:eastAsia="宋体" w:cs="Times New Roman"/>
          <w:color w:val="000000" w:themeColor="text1"/>
          <w:spacing w:val="-5"/>
          <w14:textFill>
            <w14:solidFill>
              <w14:schemeClr w14:val="tx1"/>
            </w14:solidFill>
          </w14:textFill>
        </w:rPr>
      </w:pPr>
      <w:r>
        <w:rPr>
          <w:rFonts w:hint="default" w:ascii="Times New Roman" w:hAnsi="Times New Roman" w:eastAsia="宋体" w:cs="Times New Roman"/>
          <w:color w:val="000000" w:themeColor="text1"/>
          <w:lang w:val="zh-CN"/>
          <w14:textFill>
            <w14:solidFill>
              <w14:schemeClr w14:val="tx1"/>
            </w14:solidFill>
          </w14:textFill>
        </w:rPr>
        <w:t>（</w:t>
      </w:r>
      <w:r>
        <w:rPr>
          <w:rFonts w:hint="default" w:ascii="Times New Roman" w:hAnsi="Times New Roman" w:eastAsia="宋体" w:cs="Times New Roman"/>
          <w:color w:val="000000" w:themeColor="text1"/>
          <w:spacing w:val="-5"/>
          <w14:textFill>
            <w14:solidFill>
              <w14:schemeClr w14:val="tx1"/>
            </w14:solidFill>
          </w14:textFill>
        </w:rPr>
        <w:t>3）产品质量</w:t>
      </w:r>
    </w:p>
    <w:p w14:paraId="71BF1078">
      <w:pPr>
        <w:pStyle w:val="11"/>
        <w:adjustRightInd w:val="0"/>
        <w:snapToGrid w:val="0"/>
        <w:ind w:firstLine="460"/>
        <w:rPr>
          <w:rFonts w:hint="default" w:ascii="Times New Roman" w:hAnsi="Times New Roman" w:eastAsia="宋体" w:cs="Times New Roman"/>
          <w:color w:val="000000" w:themeColor="text1"/>
          <w:spacing w:val="-5"/>
          <w:lang w:eastAsia="zh-CN"/>
          <w14:textFill>
            <w14:solidFill>
              <w14:schemeClr w14:val="tx1"/>
            </w14:solidFill>
          </w14:textFill>
        </w:rPr>
      </w:pPr>
      <w:r>
        <w:rPr>
          <w:rFonts w:hint="default" w:ascii="Times New Roman" w:hAnsi="Times New Roman" w:eastAsia="宋体" w:cs="Times New Roman"/>
          <w:color w:val="000000" w:themeColor="text1"/>
          <w:spacing w:val="-5"/>
          <w:lang w:eastAsia="zh-CN"/>
          <w14:textFill>
            <w14:solidFill>
              <w14:schemeClr w14:val="tx1"/>
            </w14:solidFill>
          </w14:textFill>
        </w:rPr>
        <w:t>鲜乳质量标准满足《食品安全国家标准生乳》（GB19301-2010）中的要求，具体指标见表3.1-3~表3.1-4。</w:t>
      </w:r>
    </w:p>
    <w:p w14:paraId="446BC26D">
      <w:pPr>
        <w:pStyle w:val="11"/>
        <w:adjustRightInd w:val="0"/>
        <w:snapToGrid w:val="0"/>
        <w:ind w:firstLine="462"/>
        <w:jc w:val="center"/>
        <w:rPr>
          <w:rFonts w:hint="default" w:ascii="Times New Roman" w:hAnsi="Times New Roman" w:eastAsia="宋体" w:cs="Times New Roman"/>
          <w:b/>
          <w:color w:val="000000" w:themeColor="text1"/>
          <w:spacing w:val="-5"/>
          <w14:textFill>
            <w14:solidFill>
              <w14:schemeClr w14:val="tx1"/>
            </w14:solidFill>
          </w14:textFill>
        </w:rPr>
      </w:pPr>
      <w:r>
        <w:rPr>
          <w:rFonts w:hint="default" w:ascii="Times New Roman" w:hAnsi="Times New Roman" w:eastAsia="宋体" w:cs="Times New Roman"/>
          <w:b/>
          <w:color w:val="000000" w:themeColor="text1"/>
          <w:spacing w:val="-5"/>
          <w14:textFill>
            <w14:solidFill>
              <w14:schemeClr w14:val="tx1"/>
            </w14:solidFill>
          </w14:textFill>
        </w:rPr>
        <w:t>表3.1-</w:t>
      </w:r>
      <w:r>
        <w:rPr>
          <w:rFonts w:hint="default" w:ascii="Times New Roman" w:hAnsi="Times New Roman" w:eastAsia="宋体" w:cs="Times New Roman"/>
          <w:b/>
          <w:color w:val="000000" w:themeColor="text1"/>
          <w:spacing w:val="-5"/>
          <w:lang w:eastAsia="zh-CN"/>
          <w14:textFill>
            <w14:solidFill>
              <w14:schemeClr w14:val="tx1"/>
            </w14:solidFill>
          </w14:textFill>
        </w:rPr>
        <w:t>3</w:t>
      </w:r>
      <w:r>
        <w:rPr>
          <w:rFonts w:hint="default" w:ascii="Times New Roman" w:hAnsi="Times New Roman" w:eastAsia="宋体" w:cs="Times New Roman"/>
          <w:b/>
          <w:color w:val="000000" w:themeColor="text1"/>
          <w:spacing w:val="-5"/>
          <w14:textFill>
            <w14:solidFill>
              <w14:schemeClr w14:val="tx1"/>
            </w14:solidFill>
          </w14:textFill>
        </w:rPr>
        <w:t>感官要求</w:t>
      </w:r>
    </w:p>
    <w:tbl>
      <w:tblPr>
        <w:tblStyle w:val="3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85"/>
        <w:gridCol w:w="6936"/>
      </w:tblGrid>
      <w:tr w14:paraId="638EBD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30" w:type="pct"/>
            <w:vAlign w:val="center"/>
          </w:tcPr>
          <w:p w14:paraId="18448AA8">
            <w:pPr>
              <w:pStyle w:val="11"/>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000000" w:themeColor="text1"/>
                <w:spacing w:val="-5"/>
                <w:sz w:val="21"/>
                <w:szCs w:val="21"/>
                <w14:textFill>
                  <w14:solidFill>
                    <w14:schemeClr w14:val="tx1"/>
                  </w14:solidFill>
                </w14:textFill>
              </w:rPr>
            </w:pPr>
            <w:r>
              <w:rPr>
                <w:rFonts w:hint="default" w:ascii="Times New Roman" w:hAnsi="Times New Roman" w:eastAsia="宋体" w:cs="Times New Roman"/>
                <w:color w:val="000000" w:themeColor="text1"/>
                <w:spacing w:val="-5"/>
                <w:sz w:val="21"/>
                <w:szCs w:val="21"/>
                <w14:textFill>
                  <w14:solidFill>
                    <w14:schemeClr w14:val="tx1"/>
                  </w14:solidFill>
                </w14:textFill>
              </w:rPr>
              <w:t>项目</w:t>
            </w:r>
          </w:p>
        </w:tc>
        <w:tc>
          <w:tcPr>
            <w:tcW w:w="4070" w:type="pct"/>
            <w:vAlign w:val="center"/>
          </w:tcPr>
          <w:p w14:paraId="2A9283E1">
            <w:pPr>
              <w:pStyle w:val="11"/>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000000" w:themeColor="text1"/>
                <w:spacing w:val="-5"/>
                <w:sz w:val="21"/>
                <w:szCs w:val="21"/>
                <w14:textFill>
                  <w14:solidFill>
                    <w14:schemeClr w14:val="tx1"/>
                  </w14:solidFill>
                </w14:textFill>
              </w:rPr>
            </w:pPr>
            <w:r>
              <w:rPr>
                <w:rFonts w:hint="default" w:ascii="Times New Roman" w:hAnsi="Times New Roman" w:eastAsia="宋体" w:cs="Times New Roman"/>
                <w:color w:val="000000" w:themeColor="text1"/>
                <w:spacing w:val="-5"/>
                <w:sz w:val="21"/>
                <w:szCs w:val="21"/>
                <w14:textFill>
                  <w14:solidFill>
                    <w14:schemeClr w14:val="tx1"/>
                  </w14:solidFill>
                </w14:textFill>
              </w:rPr>
              <w:t>要求</w:t>
            </w:r>
          </w:p>
        </w:tc>
      </w:tr>
      <w:tr w14:paraId="376F51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0" w:type="pct"/>
            <w:vAlign w:val="center"/>
          </w:tcPr>
          <w:p w14:paraId="2664580D">
            <w:pPr>
              <w:pStyle w:val="11"/>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000000" w:themeColor="text1"/>
                <w:spacing w:val="-5"/>
                <w:sz w:val="21"/>
                <w:szCs w:val="21"/>
                <w14:textFill>
                  <w14:solidFill>
                    <w14:schemeClr w14:val="tx1"/>
                  </w14:solidFill>
                </w14:textFill>
              </w:rPr>
            </w:pPr>
            <w:r>
              <w:rPr>
                <w:rFonts w:hint="default" w:ascii="Times New Roman" w:hAnsi="Times New Roman" w:eastAsia="宋体" w:cs="Times New Roman"/>
                <w:color w:val="000000" w:themeColor="text1"/>
                <w:spacing w:val="-5"/>
                <w:sz w:val="21"/>
                <w:szCs w:val="21"/>
                <w14:textFill>
                  <w14:solidFill>
                    <w14:schemeClr w14:val="tx1"/>
                  </w14:solidFill>
                </w14:textFill>
              </w:rPr>
              <w:t>色泽</w:t>
            </w:r>
          </w:p>
        </w:tc>
        <w:tc>
          <w:tcPr>
            <w:tcW w:w="4070" w:type="pct"/>
            <w:vAlign w:val="center"/>
          </w:tcPr>
          <w:p w14:paraId="418DE30A">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000000" w:themeColor="text1"/>
                <w:spacing w:val="-5"/>
                <w:sz w:val="21"/>
                <w:szCs w:val="21"/>
                <w14:textFill>
                  <w14:solidFill>
                    <w14:schemeClr w14:val="tx1"/>
                  </w14:solidFill>
                </w14:textFill>
              </w:rPr>
            </w:pPr>
            <w:r>
              <w:rPr>
                <w:rFonts w:hint="default" w:ascii="Times New Roman" w:hAnsi="Times New Roman" w:eastAsia="宋体" w:cs="Times New Roman"/>
                <w:color w:val="000000" w:themeColor="text1"/>
                <w:spacing w:val="-5"/>
                <w:sz w:val="21"/>
                <w:szCs w:val="21"/>
                <w14:textFill>
                  <w14:solidFill>
                    <w14:schemeClr w14:val="tx1"/>
                  </w14:solidFill>
                </w14:textFill>
              </w:rPr>
              <w:t>呈乳白色或微黄色</w:t>
            </w:r>
          </w:p>
        </w:tc>
      </w:tr>
      <w:tr w14:paraId="6247A6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0" w:type="pct"/>
            <w:vAlign w:val="center"/>
          </w:tcPr>
          <w:p w14:paraId="4C019250">
            <w:pPr>
              <w:pStyle w:val="11"/>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000000" w:themeColor="text1"/>
                <w:spacing w:val="-5"/>
                <w:sz w:val="21"/>
                <w:szCs w:val="21"/>
                <w14:textFill>
                  <w14:solidFill>
                    <w14:schemeClr w14:val="tx1"/>
                  </w14:solidFill>
                </w14:textFill>
              </w:rPr>
            </w:pPr>
            <w:r>
              <w:rPr>
                <w:rFonts w:hint="default" w:ascii="Times New Roman" w:hAnsi="Times New Roman" w:eastAsia="宋体" w:cs="Times New Roman"/>
                <w:color w:val="000000" w:themeColor="text1"/>
                <w:spacing w:val="-5"/>
                <w:sz w:val="21"/>
                <w:szCs w:val="21"/>
                <w14:textFill>
                  <w14:solidFill>
                    <w14:schemeClr w14:val="tx1"/>
                  </w14:solidFill>
                </w14:textFill>
              </w:rPr>
              <w:t>滋味、气味</w:t>
            </w:r>
          </w:p>
        </w:tc>
        <w:tc>
          <w:tcPr>
            <w:tcW w:w="4070" w:type="pct"/>
            <w:vAlign w:val="center"/>
          </w:tcPr>
          <w:p w14:paraId="6FD9B395">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000000" w:themeColor="text1"/>
                <w:spacing w:val="-5"/>
                <w:sz w:val="21"/>
                <w:szCs w:val="21"/>
                <w14:textFill>
                  <w14:solidFill>
                    <w14:schemeClr w14:val="tx1"/>
                  </w14:solidFill>
                </w14:textFill>
              </w:rPr>
            </w:pPr>
            <w:r>
              <w:rPr>
                <w:rFonts w:hint="default" w:ascii="Times New Roman" w:hAnsi="Times New Roman" w:eastAsia="宋体" w:cs="Times New Roman"/>
                <w:color w:val="000000" w:themeColor="text1"/>
                <w:spacing w:val="-5"/>
                <w:sz w:val="21"/>
                <w:szCs w:val="21"/>
                <w14:textFill>
                  <w14:solidFill>
                    <w14:schemeClr w14:val="tx1"/>
                  </w14:solidFill>
                </w14:textFill>
              </w:rPr>
              <w:t>具有乳固有的香味，无异味</w:t>
            </w:r>
          </w:p>
        </w:tc>
      </w:tr>
      <w:tr w14:paraId="2C9381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0" w:type="pct"/>
            <w:vAlign w:val="center"/>
          </w:tcPr>
          <w:p w14:paraId="338917AF">
            <w:pPr>
              <w:pStyle w:val="11"/>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000000" w:themeColor="text1"/>
                <w:spacing w:val="-5"/>
                <w:sz w:val="21"/>
                <w:szCs w:val="21"/>
                <w14:textFill>
                  <w14:solidFill>
                    <w14:schemeClr w14:val="tx1"/>
                  </w14:solidFill>
                </w14:textFill>
              </w:rPr>
            </w:pPr>
            <w:r>
              <w:rPr>
                <w:rFonts w:hint="default" w:ascii="Times New Roman" w:hAnsi="Times New Roman" w:eastAsia="宋体" w:cs="Times New Roman"/>
                <w:color w:val="000000" w:themeColor="text1"/>
                <w:spacing w:val="-5"/>
                <w:sz w:val="21"/>
                <w:szCs w:val="21"/>
                <w14:textFill>
                  <w14:solidFill>
                    <w14:schemeClr w14:val="tx1"/>
                  </w14:solidFill>
                </w14:textFill>
              </w:rPr>
              <w:t>组织状态</w:t>
            </w:r>
          </w:p>
        </w:tc>
        <w:tc>
          <w:tcPr>
            <w:tcW w:w="4070" w:type="pct"/>
            <w:vAlign w:val="center"/>
          </w:tcPr>
          <w:p w14:paraId="5205BAE9">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000000" w:themeColor="text1"/>
                <w:spacing w:val="-5"/>
                <w:sz w:val="21"/>
                <w:szCs w:val="21"/>
                <w14:textFill>
                  <w14:solidFill>
                    <w14:schemeClr w14:val="tx1"/>
                  </w14:solidFill>
                </w14:textFill>
              </w:rPr>
            </w:pPr>
            <w:r>
              <w:rPr>
                <w:rFonts w:hint="default" w:ascii="Times New Roman" w:hAnsi="Times New Roman" w:eastAsia="宋体" w:cs="Times New Roman"/>
                <w:color w:val="000000" w:themeColor="text1"/>
                <w:spacing w:val="-5"/>
                <w:sz w:val="21"/>
                <w:szCs w:val="21"/>
                <w14:textFill>
                  <w14:solidFill>
                    <w14:schemeClr w14:val="tx1"/>
                  </w14:solidFill>
                </w14:textFill>
              </w:rPr>
              <w:t>呈均匀一致液体，无凝块、无沉淀、无正常视力可见异物</w:t>
            </w:r>
          </w:p>
        </w:tc>
      </w:tr>
    </w:tbl>
    <w:p w14:paraId="32D2C40F">
      <w:pPr>
        <w:pStyle w:val="11"/>
        <w:adjustRightInd w:val="0"/>
        <w:snapToGrid w:val="0"/>
        <w:ind w:firstLine="462"/>
        <w:jc w:val="center"/>
        <w:rPr>
          <w:rFonts w:hint="default" w:ascii="Times New Roman" w:hAnsi="Times New Roman" w:eastAsia="宋体" w:cs="Times New Roman"/>
          <w:b/>
          <w:color w:val="000000" w:themeColor="text1"/>
          <w:spacing w:val="-5"/>
          <w14:textFill>
            <w14:solidFill>
              <w14:schemeClr w14:val="tx1"/>
            </w14:solidFill>
          </w14:textFill>
        </w:rPr>
      </w:pPr>
      <w:r>
        <w:rPr>
          <w:rFonts w:hint="default" w:ascii="Times New Roman" w:hAnsi="Times New Roman" w:eastAsia="宋体" w:cs="Times New Roman"/>
          <w:b/>
          <w:color w:val="000000" w:themeColor="text1"/>
          <w:spacing w:val="-5"/>
          <w14:textFill>
            <w14:solidFill>
              <w14:schemeClr w14:val="tx1"/>
            </w14:solidFill>
          </w14:textFill>
        </w:rPr>
        <w:t>表3.1-</w:t>
      </w:r>
      <w:r>
        <w:rPr>
          <w:rFonts w:hint="default" w:ascii="Times New Roman" w:hAnsi="Times New Roman" w:eastAsia="宋体" w:cs="Times New Roman"/>
          <w:b/>
          <w:color w:val="000000" w:themeColor="text1"/>
          <w:spacing w:val="-5"/>
          <w:lang w:eastAsia="zh-CN"/>
          <w14:textFill>
            <w14:solidFill>
              <w14:schemeClr w14:val="tx1"/>
            </w14:solidFill>
          </w14:textFill>
        </w:rPr>
        <w:t>4</w:t>
      </w:r>
      <w:r>
        <w:rPr>
          <w:rFonts w:hint="default" w:ascii="Times New Roman" w:hAnsi="Times New Roman" w:eastAsia="宋体" w:cs="Times New Roman"/>
          <w:b/>
          <w:color w:val="000000" w:themeColor="text1"/>
          <w:spacing w:val="-5"/>
          <w14:textFill>
            <w14:solidFill>
              <w14:schemeClr w14:val="tx1"/>
            </w14:solidFill>
          </w14:textFill>
        </w:rPr>
        <w:t>理化指标</w:t>
      </w:r>
    </w:p>
    <w:tbl>
      <w:tblPr>
        <w:tblStyle w:val="3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52"/>
        <w:gridCol w:w="2870"/>
        <w:gridCol w:w="2799"/>
      </w:tblGrid>
      <w:tr w14:paraId="6A51F2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42" w:type="dxa"/>
            <w:vAlign w:val="center"/>
          </w:tcPr>
          <w:p w14:paraId="141A6F46">
            <w:pPr>
              <w:pStyle w:val="11"/>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000000" w:themeColor="text1"/>
                <w:spacing w:val="-5"/>
                <w:sz w:val="21"/>
                <w:szCs w:val="21"/>
                <w14:textFill>
                  <w14:solidFill>
                    <w14:schemeClr w14:val="tx1"/>
                  </w14:solidFill>
                </w14:textFill>
              </w:rPr>
            </w:pPr>
            <w:r>
              <w:rPr>
                <w:rFonts w:hint="default" w:ascii="Times New Roman" w:hAnsi="Times New Roman" w:eastAsia="宋体" w:cs="Times New Roman"/>
                <w:color w:val="000000" w:themeColor="text1"/>
                <w:spacing w:val="-5"/>
                <w:sz w:val="21"/>
                <w:szCs w:val="21"/>
                <w14:textFill>
                  <w14:solidFill>
                    <w14:schemeClr w14:val="tx1"/>
                  </w14:solidFill>
                </w14:textFill>
              </w:rPr>
              <w:t>项目</w:t>
            </w:r>
          </w:p>
        </w:tc>
        <w:tc>
          <w:tcPr>
            <w:tcW w:w="3242" w:type="dxa"/>
            <w:vAlign w:val="center"/>
          </w:tcPr>
          <w:p w14:paraId="578C5B3E">
            <w:pPr>
              <w:pStyle w:val="11"/>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000000" w:themeColor="text1"/>
                <w:spacing w:val="-5"/>
                <w:sz w:val="21"/>
                <w:szCs w:val="21"/>
                <w14:textFill>
                  <w14:solidFill>
                    <w14:schemeClr w14:val="tx1"/>
                  </w14:solidFill>
                </w14:textFill>
              </w:rPr>
            </w:pPr>
            <w:r>
              <w:rPr>
                <w:rFonts w:hint="default" w:ascii="Times New Roman" w:hAnsi="Times New Roman" w:eastAsia="宋体" w:cs="Times New Roman"/>
                <w:color w:val="000000" w:themeColor="text1"/>
                <w:spacing w:val="-5"/>
                <w:sz w:val="21"/>
                <w:szCs w:val="21"/>
                <w14:textFill>
                  <w14:solidFill>
                    <w14:schemeClr w14:val="tx1"/>
                  </w14:solidFill>
                </w14:textFill>
              </w:rPr>
              <w:t>指标</w:t>
            </w:r>
          </w:p>
        </w:tc>
        <w:tc>
          <w:tcPr>
            <w:tcW w:w="3242" w:type="dxa"/>
            <w:vAlign w:val="center"/>
          </w:tcPr>
          <w:p w14:paraId="62C723F3">
            <w:pPr>
              <w:pStyle w:val="11"/>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000000" w:themeColor="text1"/>
                <w:spacing w:val="-5"/>
                <w:sz w:val="21"/>
                <w:szCs w:val="21"/>
                <w14:textFill>
                  <w14:solidFill>
                    <w14:schemeClr w14:val="tx1"/>
                  </w14:solidFill>
                </w14:textFill>
              </w:rPr>
            </w:pPr>
            <w:r>
              <w:rPr>
                <w:rFonts w:hint="default" w:ascii="Times New Roman" w:hAnsi="Times New Roman" w:eastAsia="宋体" w:cs="Times New Roman"/>
                <w:color w:val="000000" w:themeColor="text1"/>
                <w:spacing w:val="-5"/>
                <w:sz w:val="21"/>
                <w:szCs w:val="21"/>
                <w14:textFill>
                  <w14:solidFill>
                    <w14:schemeClr w14:val="tx1"/>
                  </w14:solidFill>
                </w14:textFill>
              </w:rPr>
              <w:t>检验方法</w:t>
            </w:r>
          </w:p>
        </w:tc>
      </w:tr>
      <w:tr w14:paraId="5DEC6B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42" w:type="dxa"/>
            <w:vAlign w:val="center"/>
          </w:tcPr>
          <w:p w14:paraId="2D2942DA">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000000" w:themeColor="text1"/>
                <w:spacing w:val="-5"/>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zh-CN" w:eastAsia="en-US"/>
                <w14:textFill>
                  <w14:solidFill>
                    <w14:schemeClr w14:val="tx1"/>
                  </w14:solidFill>
                </w14:textFill>
              </w:rPr>
              <w:t>冰点/（℃）</w:t>
            </w:r>
          </w:p>
        </w:tc>
        <w:tc>
          <w:tcPr>
            <w:tcW w:w="3242" w:type="dxa"/>
            <w:vAlign w:val="center"/>
          </w:tcPr>
          <w:p w14:paraId="3353E91E">
            <w:pPr>
              <w:pStyle w:val="11"/>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000000" w:themeColor="text1"/>
                <w:spacing w:val="-5"/>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zh-CN"/>
                <w14:textFill>
                  <w14:solidFill>
                    <w14:schemeClr w14:val="tx1"/>
                  </w14:solidFill>
                </w14:textFill>
              </w:rPr>
              <w:t>-0.5000~-0.560</w:t>
            </w:r>
          </w:p>
        </w:tc>
        <w:tc>
          <w:tcPr>
            <w:tcW w:w="3242" w:type="dxa"/>
            <w:vAlign w:val="center"/>
          </w:tcPr>
          <w:p w14:paraId="655AC1CC">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000000" w:themeColor="text1"/>
                <w:sz w:val="21"/>
                <w:szCs w:val="21"/>
                <w:lang w:val="zh-CN"/>
                <w14:textFill>
                  <w14:solidFill>
                    <w14:schemeClr w14:val="tx1"/>
                  </w14:solidFill>
                </w14:textFill>
              </w:rPr>
            </w:pPr>
            <w:r>
              <w:rPr>
                <w:rFonts w:hint="default" w:ascii="Times New Roman" w:hAnsi="Times New Roman" w:eastAsia="宋体" w:cs="Times New Roman"/>
                <w:color w:val="000000" w:themeColor="text1"/>
                <w:sz w:val="21"/>
                <w:szCs w:val="21"/>
                <w:lang w:val="zh-CN" w:eastAsia="en-US"/>
                <w14:textFill>
                  <w14:solidFill>
                    <w14:schemeClr w14:val="tx1"/>
                  </w14:solidFill>
                </w14:textFill>
              </w:rPr>
              <w:t>GB5413.38</w:t>
            </w:r>
          </w:p>
        </w:tc>
      </w:tr>
      <w:tr w14:paraId="4E2ABF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42" w:type="dxa"/>
            <w:vAlign w:val="center"/>
          </w:tcPr>
          <w:p w14:paraId="5A23391C">
            <w:pPr>
              <w:pStyle w:val="11"/>
              <w:keepNext w:val="0"/>
              <w:keepLines w:val="0"/>
              <w:pageBreakBefore w:val="0"/>
              <w:widowControl w:val="0"/>
              <w:tabs>
                <w:tab w:val="left" w:pos="930"/>
              </w:tabs>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000000" w:themeColor="text1"/>
                <w:spacing w:val="-5"/>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zh-CN"/>
                <w14:textFill>
                  <w14:solidFill>
                    <w14:schemeClr w14:val="tx1"/>
                  </w14:solidFill>
                </w14:textFill>
              </w:rPr>
              <w:t>相对密度/（20℃/4℃）≥</w:t>
            </w:r>
          </w:p>
        </w:tc>
        <w:tc>
          <w:tcPr>
            <w:tcW w:w="3242" w:type="dxa"/>
            <w:vAlign w:val="center"/>
          </w:tcPr>
          <w:p w14:paraId="04506B60">
            <w:pPr>
              <w:pStyle w:val="11"/>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000000" w:themeColor="text1"/>
                <w:spacing w:val="-5"/>
                <w:sz w:val="21"/>
                <w:szCs w:val="21"/>
                <w14:textFill>
                  <w14:solidFill>
                    <w14:schemeClr w14:val="tx1"/>
                  </w14:solidFill>
                </w14:textFill>
              </w:rPr>
            </w:pPr>
            <w:r>
              <w:rPr>
                <w:rFonts w:hint="default" w:ascii="Times New Roman" w:hAnsi="Times New Roman" w:eastAsia="宋体" w:cs="Times New Roman"/>
                <w:color w:val="000000" w:themeColor="text1"/>
                <w:spacing w:val="-5"/>
                <w:sz w:val="21"/>
                <w:szCs w:val="21"/>
                <w14:textFill>
                  <w14:solidFill>
                    <w14:schemeClr w14:val="tx1"/>
                  </w14:solidFill>
                </w14:textFill>
              </w:rPr>
              <w:t>1.027</w:t>
            </w:r>
          </w:p>
        </w:tc>
        <w:tc>
          <w:tcPr>
            <w:tcW w:w="3242" w:type="dxa"/>
            <w:vAlign w:val="center"/>
          </w:tcPr>
          <w:p w14:paraId="40638D60">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000000" w:themeColor="text1"/>
                <w:sz w:val="21"/>
                <w:szCs w:val="21"/>
                <w:lang w:val="zh-CN"/>
                <w14:textFill>
                  <w14:solidFill>
                    <w14:schemeClr w14:val="tx1"/>
                  </w14:solidFill>
                </w14:textFill>
              </w:rPr>
            </w:pPr>
            <w:r>
              <w:rPr>
                <w:rFonts w:hint="default" w:ascii="Times New Roman" w:hAnsi="Times New Roman" w:eastAsia="宋体" w:cs="Times New Roman"/>
                <w:color w:val="000000" w:themeColor="text1"/>
                <w:sz w:val="21"/>
                <w:szCs w:val="21"/>
                <w:lang w:val="zh-CN" w:eastAsia="en-US"/>
                <w14:textFill>
                  <w14:solidFill>
                    <w14:schemeClr w14:val="tx1"/>
                  </w14:solidFill>
                </w14:textFill>
              </w:rPr>
              <w:t>GB5412.33</w:t>
            </w:r>
          </w:p>
        </w:tc>
      </w:tr>
      <w:tr w14:paraId="1A9F6E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42" w:type="dxa"/>
            <w:vAlign w:val="center"/>
          </w:tcPr>
          <w:p w14:paraId="6A83ECDB">
            <w:pPr>
              <w:pStyle w:val="11"/>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000000" w:themeColor="text1"/>
                <w:spacing w:val="-5"/>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zh-CN"/>
                <w14:textFill>
                  <w14:solidFill>
                    <w14:schemeClr w14:val="tx1"/>
                  </w14:solidFill>
                </w14:textFill>
              </w:rPr>
              <w:t>蛋白质/（g/100g）≥</w:t>
            </w:r>
          </w:p>
        </w:tc>
        <w:tc>
          <w:tcPr>
            <w:tcW w:w="3242" w:type="dxa"/>
            <w:vAlign w:val="center"/>
          </w:tcPr>
          <w:p w14:paraId="540F9C89">
            <w:pPr>
              <w:pStyle w:val="11"/>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000000" w:themeColor="text1"/>
                <w:spacing w:val="-5"/>
                <w:sz w:val="21"/>
                <w:szCs w:val="21"/>
                <w14:textFill>
                  <w14:solidFill>
                    <w14:schemeClr w14:val="tx1"/>
                  </w14:solidFill>
                </w14:textFill>
              </w:rPr>
            </w:pPr>
            <w:r>
              <w:rPr>
                <w:rFonts w:hint="default" w:ascii="Times New Roman" w:hAnsi="Times New Roman" w:eastAsia="宋体" w:cs="Times New Roman"/>
                <w:color w:val="000000" w:themeColor="text1"/>
                <w:spacing w:val="-5"/>
                <w:sz w:val="21"/>
                <w:szCs w:val="21"/>
                <w14:textFill>
                  <w14:solidFill>
                    <w14:schemeClr w14:val="tx1"/>
                  </w14:solidFill>
                </w14:textFill>
              </w:rPr>
              <w:t>2.8</w:t>
            </w:r>
          </w:p>
        </w:tc>
        <w:tc>
          <w:tcPr>
            <w:tcW w:w="3242" w:type="dxa"/>
            <w:vAlign w:val="center"/>
          </w:tcPr>
          <w:p w14:paraId="70AB1ADF">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000000" w:themeColor="text1"/>
                <w:sz w:val="21"/>
                <w:szCs w:val="21"/>
                <w:lang w:val="zh-CN"/>
                <w14:textFill>
                  <w14:solidFill>
                    <w14:schemeClr w14:val="tx1"/>
                  </w14:solidFill>
                </w14:textFill>
              </w:rPr>
            </w:pPr>
            <w:r>
              <w:rPr>
                <w:rFonts w:hint="default" w:ascii="Times New Roman" w:hAnsi="Times New Roman" w:eastAsia="宋体" w:cs="Times New Roman"/>
                <w:color w:val="000000" w:themeColor="text1"/>
                <w:sz w:val="21"/>
                <w:szCs w:val="21"/>
                <w:lang w:val="zh-CN" w:eastAsia="en-US"/>
                <w14:textFill>
                  <w14:solidFill>
                    <w14:schemeClr w14:val="tx1"/>
                  </w14:solidFill>
                </w14:textFill>
              </w:rPr>
              <w:t>GB5009.5</w:t>
            </w:r>
          </w:p>
        </w:tc>
      </w:tr>
      <w:tr w14:paraId="40D32A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42" w:type="dxa"/>
            <w:vAlign w:val="center"/>
          </w:tcPr>
          <w:p w14:paraId="3364EFC3">
            <w:pPr>
              <w:pStyle w:val="11"/>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000000" w:themeColor="text1"/>
                <w:spacing w:val="-5"/>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zh-CN"/>
                <w14:textFill>
                  <w14:solidFill>
                    <w14:schemeClr w14:val="tx1"/>
                  </w14:solidFill>
                </w14:textFill>
              </w:rPr>
              <w:t>脂肪/（g/100g）≥</w:t>
            </w:r>
          </w:p>
        </w:tc>
        <w:tc>
          <w:tcPr>
            <w:tcW w:w="3242" w:type="dxa"/>
            <w:vAlign w:val="center"/>
          </w:tcPr>
          <w:p w14:paraId="075ACA54">
            <w:pPr>
              <w:pStyle w:val="11"/>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000000" w:themeColor="text1"/>
                <w:spacing w:val="-5"/>
                <w:sz w:val="21"/>
                <w:szCs w:val="21"/>
                <w14:textFill>
                  <w14:solidFill>
                    <w14:schemeClr w14:val="tx1"/>
                  </w14:solidFill>
                </w14:textFill>
              </w:rPr>
            </w:pPr>
            <w:r>
              <w:rPr>
                <w:rFonts w:hint="default" w:ascii="Times New Roman" w:hAnsi="Times New Roman" w:eastAsia="宋体" w:cs="Times New Roman"/>
                <w:color w:val="000000" w:themeColor="text1"/>
                <w:spacing w:val="-5"/>
                <w:sz w:val="21"/>
                <w:szCs w:val="21"/>
                <w14:textFill>
                  <w14:solidFill>
                    <w14:schemeClr w14:val="tx1"/>
                  </w14:solidFill>
                </w14:textFill>
              </w:rPr>
              <w:t>3.1</w:t>
            </w:r>
          </w:p>
        </w:tc>
        <w:tc>
          <w:tcPr>
            <w:tcW w:w="3242" w:type="dxa"/>
            <w:vAlign w:val="center"/>
          </w:tcPr>
          <w:p w14:paraId="242F39DD">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000000" w:themeColor="text1"/>
                <w:sz w:val="21"/>
                <w:szCs w:val="21"/>
                <w:lang w:val="zh-CN"/>
                <w14:textFill>
                  <w14:solidFill>
                    <w14:schemeClr w14:val="tx1"/>
                  </w14:solidFill>
                </w14:textFill>
              </w:rPr>
            </w:pPr>
            <w:r>
              <w:rPr>
                <w:rFonts w:hint="default" w:ascii="Times New Roman" w:hAnsi="Times New Roman" w:eastAsia="宋体" w:cs="Times New Roman"/>
                <w:color w:val="000000" w:themeColor="text1"/>
                <w:sz w:val="21"/>
                <w:szCs w:val="21"/>
                <w:lang w:val="zh-CN" w:eastAsia="en-US"/>
                <w14:textFill>
                  <w14:solidFill>
                    <w14:schemeClr w14:val="tx1"/>
                  </w14:solidFill>
                </w14:textFill>
              </w:rPr>
              <w:t>GB5413.3</w:t>
            </w:r>
          </w:p>
        </w:tc>
      </w:tr>
      <w:tr w14:paraId="3CD712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42" w:type="dxa"/>
            <w:vAlign w:val="center"/>
          </w:tcPr>
          <w:p w14:paraId="2F74BFB1">
            <w:pPr>
              <w:pStyle w:val="11"/>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000000" w:themeColor="text1"/>
                <w:spacing w:val="-5"/>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val="zh-CN" w:eastAsia="zh-CN"/>
                <w14:textFill>
                  <w14:solidFill>
                    <w14:schemeClr w14:val="tx1"/>
                  </w14:solidFill>
                </w14:textFill>
              </w:rPr>
              <w:t>杂质度/（mg/kg）≤</w:t>
            </w:r>
          </w:p>
        </w:tc>
        <w:tc>
          <w:tcPr>
            <w:tcW w:w="3242" w:type="dxa"/>
            <w:vAlign w:val="center"/>
          </w:tcPr>
          <w:p w14:paraId="344A635F">
            <w:pPr>
              <w:pStyle w:val="11"/>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000000" w:themeColor="text1"/>
                <w:spacing w:val="-5"/>
                <w:sz w:val="21"/>
                <w:szCs w:val="21"/>
                <w14:textFill>
                  <w14:solidFill>
                    <w14:schemeClr w14:val="tx1"/>
                  </w14:solidFill>
                </w14:textFill>
              </w:rPr>
            </w:pPr>
            <w:r>
              <w:rPr>
                <w:rFonts w:hint="default" w:ascii="Times New Roman" w:hAnsi="Times New Roman" w:eastAsia="宋体" w:cs="Times New Roman"/>
                <w:color w:val="000000" w:themeColor="text1"/>
                <w:spacing w:val="-5"/>
                <w:sz w:val="21"/>
                <w:szCs w:val="21"/>
                <w14:textFill>
                  <w14:solidFill>
                    <w14:schemeClr w14:val="tx1"/>
                  </w14:solidFill>
                </w14:textFill>
              </w:rPr>
              <w:t>4.0</w:t>
            </w:r>
          </w:p>
        </w:tc>
        <w:tc>
          <w:tcPr>
            <w:tcW w:w="3242" w:type="dxa"/>
            <w:vAlign w:val="center"/>
          </w:tcPr>
          <w:p w14:paraId="30DC189D">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000000" w:themeColor="text1"/>
                <w:sz w:val="21"/>
                <w:szCs w:val="21"/>
                <w:lang w:val="zh-CN"/>
                <w14:textFill>
                  <w14:solidFill>
                    <w14:schemeClr w14:val="tx1"/>
                  </w14:solidFill>
                </w14:textFill>
              </w:rPr>
            </w:pPr>
            <w:r>
              <w:rPr>
                <w:rFonts w:hint="default" w:ascii="Times New Roman" w:hAnsi="Times New Roman" w:eastAsia="宋体" w:cs="Times New Roman"/>
                <w:color w:val="000000" w:themeColor="text1"/>
                <w:sz w:val="21"/>
                <w:szCs w:val="21"/>
                <w:lang w:val="zh-CN" w:eastAsia="en-US"/>
                <w14:textFill>
                  <w14:solidFill>
                    <w14:schemeClr w14:val="tx1"/>
                  </w14:solidFill>
                </w14:textFill>
              </w:rPr>
              <w:t>GB5413.30</w:t>
            </w:r>
          </w:p>
        </w:tc>
      </w:tr>
      <w:tr w14:paraId="2AEFC9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42" w:type="dxa"/>
            <w:vAlign w:val="center"/>
          </w:tcPr>
          <w:p w14:paraId="6214F297">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 w:val="21"/>
                <w:szCs w:val="21"/>
                <w:lang w:val="zh-CN"/>
                <w14:textFill>
                  <w14:solidFill>
                    <w14:schemeClr w14:val="tx1"/>
                  </w14:solidFill>
                </w14:textFill>
              </w:rPr>
              <w:t>非脂乳固体</w:t>
            </w:r>
            <w:r>
              <w:rPr>
                <w:rFonts w:hint="default" w:ascii="Times New Roman" w:hAnsi="Times New Roman" w:eastAsia="宋体" w:cs="Times New Roman"/>
                <w:color w:val="000000" w:themeColor="text1"/>
                <w:sz w:val="21"/>
                <w:szCs w:val="21"/>
                <w14:textFill>
                  <w14:solidFill>
                    <w14:schemeClr w14:val="tx1"/>
                  </w14:solidFill>
                </w14:textFill>
              </w:rPr>
              <w:t>/（g/100g）≥</w:t>
            </w:r>
          </w:p>
        </w:tc>
        <w:tc>
          <w:tcPr>
            <w:tcW w:w="3242" w:type="dxa"/>
            <w:vAlign w:val="center"/>
          </w:tcPr>
          <w:p w14:paraId="3FAD78B5">
            <w:pPr>
              <w:pStyle w:val="11"/>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000000" w:themeColor="text1"/>
                <w:spacing w:val="-5"/>
                <w:sz w:val="21"/>
                <w:szCs w:val="21"/>
                <w14:textFill>
                  <w14:solidFill>
                    <w14:schemeClr w14:val="tx1"/>
                  </w14:solidFill>
                </w14:textFill>
              </w:rPr>
            </w:pPr>
            <w:r>
              <w:rPr>
                <w:rFonts w:hint="default" w:ascii="Times New Roman" w:hAnsi="Times New Roman" w:eastAsia="宋体" w:cs="Times New Roman"/>
                <w:color w:val="000000" w:themeColor="text1"/>
                <w:spacing w:val="-5"/>
                <w:sz w:val="21"/>
                <w:szCs w:val="21"/>
                <w14:textFill>
                  <w14:solidFill>
                    <w14:schemeClr w14:val="tx1"/>
                  </w14:solidFill>
                </w14:textFill>
              </w:rPr>
              <w:t>8.1</w:t>
            </w:r>
          </w:p>
        </w:tc>
        <w:tc>
          <w:tcPr>
            <w:tcW w:w="3242" w:type="dxa"/>
            <w:vAlign w:val="center"/>
          </w:tcPr>
          <w:p w14:paraId="6C9DC223">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000000" w:themeColor="text1"/>
                <w:sz w:val="21"/>
                <w:szCs w:val="21"/>
                <w:lang w:val="zh-CN"/>
                <w14:textFill>
                  <w14:solidFill>
                    <w14:schemeClr w14:val="tx1"/>
                  </w14:solidFill>
                </w14:textFill>
              </w:rPr>
            </w:pPr>
            <w:r>
              <w:rPr>
                <w:rFonts w:hint="default" w:ascii="Times New Roman" w:hAnsi="Times New Roman" w:eastAsia="宋体" w:cs="Times New Roman"/>
                <w:color w:val="000000" w:themeColor="text1"/>
                <w:sz w:val="21"/>
                <w:szCs w:val="21"/>
                <w:lang w:val="zh-CN" w:eastAsia="en-US"/>
                <w14:textFill>
                  <w14:solidFill>
                    <w14:schemeClr w14:val="tx1"/>
                  </w14:solidFill>
                </w14:textFill>
              </w:rPr>
              <w:t>GB5413.39</w:t>
            </w:r>
          </w:p>
        </w:tc>
      </w:tr>
      <w:tr w14:paraId="47113E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42" w:type="dxa"/>
            <w:vAlign w:val="center"/>
          </w:tcPr>
          <w:p w14:paraId="68E9C197">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000000" w:themeColor="text1"/>
                <w:szCs w:val="21"/>
                <w:lang w:val="zh-CN" w:eastAsia="en-US"/>
                <w14:textFill>
                  <w14:solidFill>
                    <w14:schemeClr w14:val="tx1"/>
                  </w14:solidFill>
                </w14:textFill>
              </w:rPr>
            </w:pPr>
            <w:r>
              <w:rPr>
                <w:rFonts w:hint="default" w:ascii="Times New Roman" w:hAnsi="Times New Roman" w:eastAsia="宋体" w:cs="Times New Roman"/>
                <w:color w:val="000000" w:themeColor="text1"/>
                <w:sz w:val="21"/>
                <w:szCs w:val="21"/>
                <w:lang w:val="zh-CN" w:eastAsia="en-US"/>
                <w14:textFill>
                  <w14:solidFill>
                    <w14:schemeClr w14:val="tx1"/>
                  </w14:solidFill>
                </w14:textFill>
              </w:rPr>
              <w:t>酸度/（°T）</w:t>
            </w:r>
          </w:p>
        </w:tc>
        <w:tc>
          <w:tcPr>
            <w:tcW w:w="3242" w:type="dxa"/>
            <w:vAlign w:val="center"/>
          </w:tcPr>
          <w:p w14:paraId="738C1256">
            <w:pPr>
              <w:pStyle w:val="11"/>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000000" w:themeColor="text1"/>
                <w:spacing w:val="-5"/>
                <w:sz w:val="21"/>
                <w:szCs w:val="21"/>
                <w14:textFill>
                  <w14:solidFill>
                    <w14:schemeClr w14:val="tx1"/>
                  </w14:solidFill>
                </w14:textFill>
              </w:rPr>
            </w:pPr>
            <w:r>
              <w:rPr>
                <w:rFonts w:hint="default" w:ascii="Times New Roman" w:hAnsi="Times New Roman" w:eastAsia="宋体" w:cs="Times New Roman"/>
                <w:color w:val="000000" w:themeColor="text1"/>
                <w:spacing w:val="-5"/>
                <w:sz w:val="21"/>
                <w:szCs w:val="21"/>
                <w14:textFill>
                  <w14:solidFill>
                    <w14:schemeClr w14:val="tx1"/>
                  </w14:solidFill>
                </w14:textFill>
              </w:rPr>
              <w:t>12-18</w:t>
            </w:r>
          </w:p>
        </w:tc>
        <w:tc>
          <w:tcPr>
            <w:tcW w:w="3242" w:type="dxa"/>
            <w:vMerge w:val="restart"/>
            <w:vAlign w:val="center"/>
          </w:tcPr>
          <w:p w14:paraId="2373C96F">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000000" w:themeColor="text1"/>
                <w:sz w:val="21"/>
                <w:szCs w:val="21"/>
                <w:lang w:val="zh-CN"/>
                <w14:textFill>
                  <w14:solidFill>
                    <w14:schemeClr w14:val="tx1"/>
                  </w14:solidFill>
                </w14:textFill>
              </w:rPr>
            </w:pPr>
            <w:r>
              <w:rPr>
                <w:rFonts w:hint="default" w:ascii="Times New Roman" w:hAnsi="Times New Roman" w:eastAsia="宋体" w:cs="Times New Roman"/>
                <w:color w:val="000000" w:themeColor="text1"/>
                <w:sz w:val="21"/>
                <w:szCs w:val="21"/>
                <w:lang w:val="zh-CN" w:eastAsia="en-US"/>
                <w14:textFill>
                  <w14:solidFill>
                    <w14:schemeClr w14:val="tx1"/>
                  </w14:solidFill>
                </w14:textFill>
              </w:rPr>
              <w:t>GB5413.34</w:t>
            </w:r>
          </w:p>
        </w:tc>
      </w:tr>
      <w:tr w14:paraId="26704E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42" w:type="dxa"/>
            <w:vAlign w:val="center"/>
          </w:tcPr>
          <w:p w14:paraId="414A9C2C">
            <w:pPr>
              <w:pStyle w:val="11"/>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000000" w:themeColor="text1"/>
                <w:sz w:val="21"/>
                <w:szCs w:val="21"/>
                <w:lang w:val="zh-CN"/>
                <w14:textFill>
                  <w14:solidFill>
                    <w14:schemeClr w14:val="tx1"/>
                  </w14:solidFill>
                </w14:textFill>
              </w:rPr>
            </w:pPr>
            <w:r>
              <w:rPr>
                <w:rFonts w:hint="default" w:ascii="Times New Roman" w:hAnsi="Times New Roman" w:eastAsia="宋体" w:cs="Times New Roman"/>
                <w:color w:val="000000" w:themeColor="text1"/>
                <w:sz w:val="21"/>
                <w:szCs w:val="21"/>
                <w:lang w:val="zh-CN"/>
                <w14:textFill>
                  <w14:solidFill>
                    <w14:schemeClr w14:val="tx1"/>
                  </w14:solidFill>
                </w14:textFill>
              </w:rPr>
              <w:t>牛乳</w:t>
            </w:r>
          </w:p>
        </w:tc>
        <w:tc>
          <w:tcPr>
            <w:tcW w:w="3242" w:type="dxa"/>
            <w:vAlign w:val="center"/>
          </w:tcPr>
          <w:p w14:paraId="79DC1761">
            <w:pPr>
              <w:pStyle w:val="11"/>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000000" w:themeColor="text1"/>
                <w:spacing w:val="-5"/>
                <w:sz w:val="21"/>
                <w:szCs w:val="21"/>
                <w14:textFill>
                  <w14:solidFill>
                    <w14:schemeClr w14:val="tx1"/>
                  </w14:solidFill>
                </w14:textFill>
              </w:rPr>
            </w:pPr>
            <w:r>
              <w:rPr>
                <w:rFonts w:hint="default" w:ascii="Times New Roman" w:hAnsi="Times New Roman" w:eastAsia="宋体" w:cs="Times New Roman"/>
                <w:color w:val="000000" w:themeColor="text1"/>
                <w:spacing w:val="-5"/>
                <w:sz w:val="21"/>
                <w:szCs w:val="21"/>
                <w14:textFill>
                  <w14:solidFill>
                    <w14:schemeClr w14:val="tx1"/>
                  </w14:solidFill>
                </w14:textFill>
              </w:rPr>
              <w:t>6-13</w:t>
            </w:r>
          </w:p>
        </w:tc>
        <w:tc>
          <w:tcPr>
            <w:tcW w:w="3242" w:type="dxa"/>
            <w:vMerge w:val="continue"/>
            <w:vAlign w:val="center"/>
          </w:tcPr>
          <w:p w14:paraId="078D75E6">
            <w:pPr>
              <w:pStyle w:val="11"/>
              <w:adjustRightInd w:val="0"/>
              <w:snapToGrid w:val="0"/>
              <w:ind w:firstLine="400"/>
              <w:jc w:val="center"/>
              <w:rPr>
                <w:rFonts w:hint="default" w:ascii="Times New Roman" w:hAnsi="Times New Roman" w:eastAsia="宋体" w:cs="Times New Roman"/>
                <w:color w:val="000000" w:themeColor="text1"/>
                <w:spacing w:val="-5"/>
                <w:sz w:val="21"/>
                <w:szCs w:val="21"/>
                <w14:textFill>
                  <w14:solidFill>
                    <w14:schemeClr w14:val="tx1"/>
                  </w14:solidFill>
                </w14:textFill>
              </w:rPr>
            </w:pPr>
          </w:p>
        </w:tc>
      </w:tr>
    </w:tbl>
    <w:p w14:paraId="379309F6">
      <w:pPr>
        <w:pStyle w:val="11"/>
        <w:adjustRightInd w:val="0"/>
        <w:snapToGrid w:val="0"/>
        <w:ind w:firstLine="482"/>
        <w:outlineLvl w:val="2"/>
        <w:rPr>
          <w:rFonts w:hint="default" w:ascii="Times New Roman" w:hAnsi="Times New Roman" w:eastAsia="宋体" w:cs="Times New Roman"/>
          <w:b/>
          <w:color w:val="000000" w:themeColor="text1"/>
          <w14:textFill>
            <w14:solidFill>
              <w14:schemeClr w14:val="tx1"/>
            </w14:solidFill>
          </w14:textFill>
        </w:rPr>
      </w:pPr>
      <w:bookmarkStart w:id="106" w:name="_Toc21691"/>
      <w:r>
        <w:rPr>
          <w:rFonts w:hint="default" w:ascii="Times New Roman" w:hAnsi="Times New Roman" w:eastAsia="宋体" w:cs="Times New Roman"/>
          <w:b/>
          <w:color w:val="000000" w:themeColor="text1"/>
          <w14:textFill>
            <w14:solidFill>
              <w14:schemeClr w14:val="tx1"/>
            </w14:solidFill>
          </w14:textFill>
        </w:rPr>
        <w:t>3.1.</w:t>
      </w:r>
      <w:r>
        <w:rPr>
          <w:rFonts w:hint="default" w:ascii="Times New Roman" w:hAnsi="Times New Roman" w:eastAsia="宋体" w:cs="Times New Roman"/>
          <w:b/>
          <w:color w:val="000000" w:themeColor="text1"/>
          <w:lang w:eastAsia="zh-CN"/>
          <w14:textFill>
            <w14:solidFill>
              <w14:schemeClr w14:val="tx1"/>
            </w14:solidFill>
          </w14:textFill>
        </w:rPr>
        <w:t>4</w:t>
      </w:r>
      <w:r>
        <w:rPr>
          <w:rFonts w:hint="default" w:ascii="Times New Roman" w:hAnsi="Times New Roman" w:eastAsia="宋体" w:cs="Times New Roman"/>
          <w:b/>
          <w:color w:val="000000" w:themeColor="text1"/>
          <w14:textFill>
            <w14:solidFill>
              <w14:schemeClr w14:val="tx1"/>
            </w14:solidFill>
          </w14:textFill>
        </w:rPr>
        <w:t>主要生产设备</w:t>
      </w:r>
      <w:bookmarkEnd w:id="106"/>
    </w:p>
    <w:p w14:paraId="1805DC5D">
      <w:pPr>
        <w:pStyle w:val="11"/>
        <w:adjustRightInd w:val="0"/>
        <w:snapToGrid w:val="0"/>
        <w:ind w:firstLine="480"/>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eastAsia="宋体" w:cs="Times New Roman"/>
          <w:color w:val="000000" w:themeColor="text1"/>
          <w:lang w:eastAsia="zh-CN"/>
          <w14:textFill>
            <w14:solidFill>
              <w14:schemeClr w14:val="tx1"/>
            </w14:solidFill>
          </w14:textFill>
        </w:rPr>
        <w:t>本项目养殖区主要设备见表3.1-5。</w:t>
      </w:r>
    </w:p>
    <w:p w14:paraId="306C98B1">
      <w:pPr>
        <w:pStyle w:val="11"/>
        <w:adjustRightInd w:val="0"/>
        <w:snapToGrid w:val="0"/>
        <w:ind w:firstLine="482"/>
        <w:jc w:val="center"/>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eastAsia="宋体" w:cs="Times New Roman"/>
          <w:b/>
          <w:color w:val="000000" w:themeColor="text1"/>
          <w14:textFill>
            <w14:solidFill>
              <w14:schemeClr w14:val="tx1"/>
            </w14:solidFill>
          </w14:textFill>
        </w:rPr>
        <w:t>表3.1</w:t>
      </w:r>
      <w:r>
        <w:rPr>
          <w:rFonts w:hint="default" w:ascii="Times New Roman" w:hAnsi="Times New Roman" w:eastAsia="宋体" w:cs="Times New Roman"/>
          <w:b/>
          <w:color w:val="000000" w:themeColor="text1"/>
          <w:lang w:eastAsia="zh-CN"/>
          <w14:textFill>
            <w14:solidFill>
              <w14:schemeClr w14:val="tx1"/>
            </w14:solidFill>
          </w14:textFill>
        </w:rPr>
        <w:t>-5</w:t>
      </w:r>
      <w:r>
        <w:rPr>
          <w:rFonts w:hint="default" w:ascii="Times New Roman" w:hAnsi="Times New Roman" w:eastAsia="宋体" w:cs="Times New Roman"/>
          <w:b/>
          <w:color w:val="000000" w:themeColor="text1"/>
          <w14:textFill>
            <w14:solidFill>
              <w14:schemeClr w14:val="tx1"/>
            </w14:solidFill>
          </w14:textFill>
        </w:rPr>
        <w:t>主要设备一览表</w:t>
      </w:r>
    </w:p>
    <w:tbl>
      <w:tblPr>
        <w:tblStyle w:val="29"/>
        <w:tblW w:w="5000" w:type="pct"/>
        <w:jc w:val="center"/>
        <w:tblLayout w:type="fixed"/>
        <w:tblCellMar>
          <w:top w:w="0" w:type="dxa"/>
          <w:left w:w="108" w:type="dxa"/>
          <w:bottom w:w="0" w:type="dxa"/>
          <w:right w:w="108" w:type="dxa"/>
        </w:tblCellMar>
      </w:tblPr>
      <w:tblGrid>
        <w:gridCol w:w="872"/>
        <w:gridCol w:w="2195"/>
        <w:gridCol w:w="878"/>
        <w:gridCol w:w="1200"/>
        <w:gridCol w:w="3376"/>
      </w:tblGrid>
      <w:tr w14:paraId="10BEB696">
        <w:trPr>
          <w:trHeight w:val="23" w:hRule="atLeast"/>
          <w:jc w:val="center"/>
        </w:trPr>
        <w:tc>
          <w:tcPr>
            <w:tcW w:w="511" w:type="pct"/>
            <w:tcBorders>
              <w:top w:val="single" w:color="auto" w:sz="4" w:space="0"/>
              <w:left w:val="single" w:color="auto" w:sz="4" w:space="0"/>
              <w:bottom w:val="single" w:color="auto" w:sz="4" w:space="0"/>
              <w:right w:val="single" w:color="auto" w:sz="4" w:space="0"/>
            </w:tcBorders>
            <w:shd w:val="clear" w:color="auto" w:fill="auto"/>
            <w:noWrap/>
            <w:vAlign w:val="center"/>
          </w:tcPr>
          <w:p w14:paraId="48CDF893">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序号</w:t>
            </w:r>
          </w:p>
        </w:tc>
        <w:tc>
          <w:tcPr>
            <w:tcW w:w="1287" w:type="pct"/>
            <w:tcBorders>
              <w:top w:val="single" w:color="auto" w:sz="4" w:space="0"/>
              <w:left w:val="nil"/>
              <w:bottom w:val="single" w:color="auto" w:sz="4" w:space="0"/>
              <w:right w:val="single" w:color="auto" w:sz="4" w:space="0"/>
            </w:tcBorders>
            <w:shd w:val="clear" w:color="auto" w:fill="auto"/>
            <w:noWrap/>
            <w:vAlign w:val="center"/>
          </w:tcPr>
          <w:p w14:paraId="02CC2530">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设施、设备名称</w:t>
            </w:r>
          </w:p>
        </w:tc>
        <w:tc>
          <w:tcPr>
            <w:tcW w:w="515" w:type="pct"/>
            <w:tcBorders>
              <w:top w:val="single" w:color="auto" w:sz="4" w:space="0"/>
              <w:left w:val="nil"/>
              <w:bottom w:val="single" w:color="auto" w:sz="4" w:space="0"/>
              <w:right w:val="single" w:color="auto" w:sz="4" w:space="0"/>
            </w:tcBorders>
            <w:shd w:val="clear" w:color="auto" w:fill="auto"/>
            <w:noWrap/>
            <w:vAlign w:val="center"/>
          </w:tcPr>
          <w:p w14:paraId="7F22F5D5">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单位</w:t>
            </w:r>
          </w:p>
        </w:tc>
        <w:tc>
          <w:tcPr>
            <w:tcW w:w="704" w:type="pct"/>
            <w:tcBorders>
              <w:top w:val="single" w:color="auto" w:sz="4" w:space="0"/>
              <w:left w:val="nil"/>
              <w:bottom w:val="single" w:color="auto" w:sz="4" w:space="0"/>
              <w:right w:val="single" w:color="auto" w:sz="4" w:space="0"/>
            </w:tcBorders>
            <w:shd w:val="clear" w:color="auto" w:fill="auto"/>
            <w:vAlign w:val="center"/>
          </w:tcPr>
          <w:p w14:paraId="628E0886">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数量/处</w:t>
            </w:r>
          </w:p>
        </w:tc>
        <w:tc>
          <w:tcPr>
            <w:tcW w:w="1980" w:type="pct"/>
            <w:tcBorders>
              <w:top w:val="single" w:color="auto" w:sz="4" w:space="0"/>
              <w:left w:val="nil"/>
              <w:bottom w:val="single" w:color="auto" w:sz="4" w:space="0"/>
              <w:right w:val="single" w:color="auto" w:sz="4" w:space="0"/>
            </w:tcBorders>
            <w:shd w:val="clear" w:color="auto" w:fill="auto"/>
            <w:vAlign w:val="center"/>
          </w:tcPr>
          <w:p w14:paraId="03698CAF">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备注</w:t>
            </w:r>
          </w:p>
        </w:tc>
      </w:tr>
      <w:tr w14:paraId="50B8FE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pct"/>
            <w:shd w:val="clear" w:color="auto" w:fill="auto"/>
            <w:noWrap/>
            <w:vAlign w:val="center"/>
          </w:tcPr>
          <w:p w14:paraId="5ED194E3">
            <w:pPr>
              <w:pStyle w:val="38"/>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w:t>
            </w:r>
          </w:p>
        </w:tc>
        <w:tc>
          <w:tcPr>
            <w:tcW w:w="1287" w:type="pct"/>
            <w:shd w:val="clear" w:color="auto" w:fill="auto"/>
            <w:noWrap/>
            <w:vAlign w:val="center"/>
          </w:tcPr>
          <w:p w14:paraId="386C4F92">
            <w:pPr>
              <w:pStyle w:val="38"/>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50型给料设备</w:t>
            </w:r>
          </w:p>
        </w:tc>
        <w:tc>
          <w:tcPr>
            <w:tcW w:w="515" w:type="pct"/>
            <w:shd w:val="clear" w:color="auto" w:fill="auto"/>
            <w:noWrap/>
            <w:vAlign w:val="center"/>
          </w:tcPr>
          <w:p w14:paraId="487E70AB">
            <w:pPr>
              <w:pStyle w:val="38"/>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台</w:t>
            </w:r>
          </w:p>
        </w:tc>
        <w:tc>
          <w:tcPr>
            <w:tcW w:w="704" w:type="pct"/>
            <w:shd w:val="clear" w:color="auto" w:fill="auto"/>
            <w:noWrap/>
            <w:vAlign w:val="center"/>
          </w:tcPr>
          <w:p w14:paraId="2CFC0952">
            <w:pPr>
              <w:pStyle w:val="38"/>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w:t>
            </w:r>
          </w:p>
        </w:tc>
        <w:tc>
          <w:tcPr>
            <w:tcW w:w="1980" w:type="pct"/>
            <w:shd w:val="clear" w:color="auto" w:fill="auto"/>
            <w:noWrap/>
            <w:vAlign w:val="center"/>
          </w:tcPr>
          <w:p w14:paraId="06B84799">
            <w:pPr>
              <w:pStyle w:val="38"/>
              <w:spacing w:line="240" w:lineRule="auto"/>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w:t>
            </w:r>
          </w:p>
        </w:tc>
      </w:tr>
      <w:tr w14:paraId="5B8B7C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pct"/>
            <w:shd w:val="clear" w:color="auto" w:fill="auto"/>
            <w:noWrap/>
            <w:vAlign w:val="center"/>
          </w:tcPr>
          <w:p w14:paraId="7F5A19EB">
            <w:pPr>
              <w:pStyle w:val="38"/>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w:t>
            </w:r>
          </w:p>
        </w:tc>
        <w:tc>
          <w:tcPr>
            <w:tcW w:w="1287" w:type="pct"/>
            <w:shd w:val="clear" w:color="auto" w:fill="auto"/>
            <w:noWrap/>
            <w:vAlign w:val="center"/>
          </w:tcPr>
          <w:p w14:paraId="53288CBE">
            <w:pPr>
              <w:pStyle w:val="38"/>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20型上料设备</w:t>
            </w:r>
          </w:p>
        </w:tc>
        <w:tc>
          <w:tcPr>
            <w:tcW w:w="515" w:type="pct"/>
            <w:shd w:val="clear" w:color="auto" w:fill="auto"/>
            <w:noWrap/>
            <w:vAlign w:val="center"/>
          </w:tcPr>
          <w:p w14:paraId="31B59349">
            <w:pPr>
              <w:pStyle w:val="38"/>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台</w:t>
            </w:r>
          </w:p>
        </w:tc>
        <w:tc>
          <w:tcPr>
            <w:tcW w:w="704" w:type="pct"/>
            <w:shd w:val="clear" w:color="auto" w:fill="auto"/>
            <w:noWrap/>
            <w:vAlign w:val="center"/>
          </w:tcPr>
          <w:p w14:paraId="4BA5A987">
            <w:pPr>
              <w:pStyle w:val="38"/>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w:t>
            </w:r>
          </w:p>
        </w:tc>
        <w:tc>
          <w:tcPr>
            <w:tcW w:w="1980" w:type="pct"/>
            <w:shd w:val="clear" w:color="auto" w:fill="auto"/>
            <w:noWrap/>
            <w:vAlign w:val="center"/>
          </w:tcPr>
          <w:p w14:paraId="12D3CA92">
            <w:pPr>
              <w:pStyle w:val="38"/>
              <w:spacing w:line="240" w:lineRule="auto"/>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w:t>
            </w:r>
          </w:p>
        </w:tc>
      </w:tr>
      <w:tr w14:paraId="44AA97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pct"/>
            <w:shd w:val="clear" w:color="auto" w:fill="auto"/>
            <w:noWrap/>
            <w:vAlign w:val="center"/>
          </w:tcPr>
          <w:p w14:paraId="6F288330">
            <w:pPr>
              <w:pStyle w:val="38"/>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3</w:t>
            </w:r>
          </w:p>
        </w:tc>
        <w:tc>
          <w:tcPr>
            <w:tcW w:w="1287" w:type="pct"/>
            <w:shd w:val="clear" w:color="auto" w:fill="auto"/>
            <w:noWrap/>
            <w:vAlign w:val="center"/>
          </w:tcPr>
          <w:p w14:paraId="6015A16A">
            <w:pPr>
              <w:pStyle w:val="38"/>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成母牛颈枷</w:t>
            </w:r>
          </w:p>
        </w:tc>
        <w:tc>
          <w:tcPr>
            <w:tcW w:w="515" w:type="pct"/>
            <w:shd w:val="clear" w:color="auto" w:fill="auto"/>
            <w:noWrap/>
            <w:vAlign w:val="center"/>
          </w:tcPr>
          <w:p w14:paraId="219E2E6F">
            <w:pPr>
              <w:pStyle w:val="38"/>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组</w:t>
            </w:r>
          </w:p>
        </w:tc>
        <w:tc>
          <w:tcPr>
            <w:tcW w:w="704" w:type="pct"/>
            <w:shd w:val="clear" w:color="auto" w:fill="auto"/>
            <w:noWrap/>
            <w:vAlign w:val="center"/>
          </w:tcPr>
          <w:p w14:paraId="3E8BCD6A">
            <w:pPr>
              <w:pStyle w:val="38"/>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88</w:t>
            </w:r>
          </w:p>
        </w:tc>
        <w:tc>
          <w:tcPr>
            <w:tcW w:w="1980" w:type="pct"/>
            <w:shd w:val="clear" w:color="auto" w:fill="auto"/>
            <w:noWrap/>
            <w:vAlign w:val="center"/>
          </w:tcPr>
          <w:p w14:paraId="6A94B379">
            <w:pPr>
              <w:pStyle w:val="38"/>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每组8位</w:t>
            </w:r>
          </w:p>
        </w:tc>
      </w:tr>
      <w:tr w14:paraId="1D7BF0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pct"/>
            <w:shd w:val="clear" w:color="auto" w:fill="auto"/>
            <w:noWrap/>
            <w:vAlign w:val="center"/>
          </w:tcPr>
          <w:p w14:paraId="44CBEF96">
            <w:pPr>
              <w:pStyle w:val="38"/>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4</w:t>
            </w:r>
          </w:p>
        </w:tc>
        <w:tc>
          <w:tcPr>
            <w:tcW w:w="1287" w:type="pct"/>
            <w:shd w:val="clear" w:color="auto" w:fill="auto"/>
            <w:noWrap/>
            <w:vAlign w:val="center"/>
          </w:tcPr>
          <w:p w14:paraId="2AFE443B">
            <w:pPr>
              <w:pStyle w:val="38"/>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卧床</w:t>
            </w:r>
          </w:p>
        </w:tc>
        <w:tc>
          <w:tcPr>
            <w:tcW w:w="515" w:type="pct"/>
            <w:shd w:val="clear" w:color="auto" w:fill="auto"/>
            <w:noWrap/>
            <w:vAlign w:val="center"/>
          </w:tcPr>
          <w:p w14:paraId="38192899">
            <w:pPr>
              <w:pStyle w:val="38"/>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牛位</w:t>
            </w:r>
          </w:p>
        </w:tc>
        <w:tc>
          <w:tcPr>
            <w:tcW w:w="704" w:type="pct"/>
            <w:shd w:val="clear" w:color="auto" w:fill="auto"/>
            <w:noWrap/>
            <w:vAlign w:val="center"/>
          </w:tcPr>
          <w:p w14:paraId="41B33129">
            <w:pPr>
              <w:pStyle w:val="38"/>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520</w:t>
            </w:r>
          </w:p>
        </w:tc>
        <w:tc>
          <w:tcPr>
            <w:tcW w:w="1980" w:type="pct"/>
            <w:shd w:val="clear" w:color="auto" w:fill="auto"/>
            <w:noWrap/>
            <w:vAlign w:val="center"/>
          </w:tcPr>
          <w:p w14:paraId="0466EF71">
            <w:pPr>
              <w:pStyle w:val="38"/>
              <w:spacing w:line="240" w:lineRule="auto"/>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w:t>
            </w:r>
          </w:p>
        </w:tc>
      </w:tr>
      <w:tr w14:paraId="56BE20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pct"/>
            <w:shd w:val="clear" w:color="auto" w:fill="auto"/>
            <w:noWrap/>
            <w:vAlign w:val="center"/>
          </w:tcPr>
          <w:p w14:paraId="5FAA126D">
            <w:pPr>
              <w:pStyle w:val="38"/>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5</w:t>
            </w:r>
          </w:p>
        </w:tc>
        <w:tc>
          <w:tcPr>
            <w:tcW w:w="1287" w:type="pct"/>
            <w:shd w:val="clear" w:color="auto" w:fill="auto"/>
            <w:noWrap/>
            <w:vAlign w:val="center"/>
          </w:tcPr>
          <w:p w14:paraId="65990B28">
            <w:pPr>
              <w:pStyle w:val="38"/>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饮水槽</w:t>
            </w:r>
          </w:p>
        </w:tc>
        <w:tc>
          <w:tcPr>
            <w:tcW w:w="515" w:type="pct"/>
            <w:shd w:val="clear" w:color="auto" w:fill="auto"/>
            <w:noWrap/>
            <w:vAlign w:val="center"/>
          </w:tcPr>
          <w:p w14:paraId="457441D5">
            <w:pPr>
              <w:pStyle w:val="38"/>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个</w:t>
            </w:r>
          </w:p>
        </w:tc>
        <w:tc>
          <w:tcPr>
            <w:tcW w:w="704" w:type="pct"/>
            <w:shd w:val="clear" w:color="auto" w:fill="auto"/>
            <w:noWrap/>
            <w:vAlign w:val="center"/>
          </w:tcPr>
          <w:p w14:paraId="69C442E8">
            <w:pPr>
              <w:pStyle w:val="38"/>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28</w:t>
            </w:r>
          </w:p>
        </w:tc>
        <w:tc>
          <w:tcPr>
            <w:tcW w:w="1980" w:type="pct"/>
            <w:shd w:val="clear" w:color="auto" w:fill="auto"/>
            <w:noWrap/>
            <w:vAlign w:val="center"/>
          </w:tcPr>
          <w:p w14:paraId="428C4672">
            <w:pPr>
              <w:pStyle w:val="38"/>
              <w:spacing w:line="240" w:lineRule="auto"/>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w:t>
            </w:r>
          </w:p>
        </w:tc>
      </w:tr>
      <w:tr w14:paraId="73ADF2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pct"/>
            <w:shd w:val="clear" w:color="auto" w:fill="auto"/>
            <w:noWrap/>
            <w:vAlign w:val="center"/>
          </w:tcPr>
          <w:p w14:paraId="35A37259">
            <w:pPr>
              <w:pStyle w:val="38"/>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6</w:t>
            </w:r>
          </w:p>
        </w:tc>
        <w:tc>
          <w:tcPr>
            <w:tcW w:w="1287" w:type="pct"/>
            <w:shd w:val="clear" w:color="auto" w:fill="auto"/>
            <w:noWrap/>
            <w:vAlign w:val="center"/>
          </w:tcPr>
          <w:p w14:paraId="27697235">
            <w:pPr>
              <w:pStyle w:val="38"/>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牛体刷</w:t>
            </w:r>
          </w:p>
        </w:tc>
        <w:tc>
          <w:tcPr>
            <w:tcW w:w="515" w:type="pct"/>
            <w:shd w:val="clear" w:color="auto" w:fill="auto"/>
            <w:noWrap/>
            <w:vAlign w:val="center"/>
          </w:tcPr>
          <w:p w14:paraId="024B21E6">
            <w:pPr>
              <w:pStyle w:val="38"/>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把</w:t>
            </w:r>
          </w:p>
        </w:tc>
        <w:tc>
          <w:tcPr>
            <w:tcW w:w="704" w:type="pct"/>
            <w:shd w:val="clear" w:color="auto" w:fill="auto"/>
            <w:noWrap/>
            <w:vAlign w:val="center"/>
          </w:tcPr>
          <w:p w14:paraId="14B992EB">
            <w:pPr>
              <w:pStyle w:val="38"/>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30</w:t>
            </w:r>
          </w:p>
        </w:tc>
        <w:tc>
          <w:tcPr>
            <w:tcW w:w="1980" w:type="pct"/>
            <w:shd w:val="clear" w:color="auto" w:fill="auto"/>
            <w:noWrap/>
            <w:vAlign w:val="center"/>
          </w:tcPr>
          <w:p w14:paraId="4B54BF3C">
            <w:pPr>
              <w:pStyle w:val="38"/>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含青年牛</w:t>
            </w:r>
          </w:p>
        </w:tc>
      </w:tr>
      <w:tr w14:paraId="29595F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pct"/>
            <w:shd w:val="clear" w:color="auto" w:fill="auto"/>
            <w:noWrap/>
            <w:vAlign w:val="center"/>
          </w:tcPr>
          <w:p w14:paraId="6EBEAA84">
            <w:pPr>
              <w:pStyle w:val="38"/>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7</w:t>
            </w:r>
          </w:p>
        </w:tc>
        <w:tc>
          <w:tcPr>
            <w:tcW w:w="1287" w:type="pct"/>
            <w:shd w:val="clear" w:color="auto" w:fill="auto"/>
            <w:noWrap/>
            <w:vAlign w:val="center"/>
          </w:tcPr>
          <w:p w14:paraId="46629AA5">
            <w:pPr>
              <w:pStyle w:val="38"/>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犊牛岛</w:t>
            </w:r>
          </w:p>
        </w:tc>
        <w:tc>
          <w:tcPr>
            <w:tcW w:w="515" w:type="pct"/>
            <w:shd w:val="clear" w:color="auto" w:fill="auto"/>
            <w:noWrap/>
            <w:vAlign w:val="center"/>
          </w:tcPr>
          <w:p w14:paraId="2ABFDDF9">
            <w:pPr>
              <w:pStyle w:val="38"/>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套</w:t>
            </w:r>
          </w:p>
        </w:tc>
        <w:tc>
          <w:tcPr>
            <w:tcW w:w="704" w:type="pct"/>
            <w:shd w:val="clear" w:color="auto" w:fill="auto"/>
            <w:noWrap/>
            <w:vAlign w:val="center"/>
          </w:tcPr>
          <w:p w14:paraId="55993DC2">
            <w:pPr>
              <w:pStyle w:val="38"/>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100</w:t>
            </w:r>
          </w:p>
        </w:tc>
        <w:tc>
          <w:tcPr>
            <w:tcW w:w="1980" w:type="pct"/>
            <w:shd w:val="clear" w:color="auto" w:fill="auto"/>
            <w:noWrap/>
            <w:vAlign w:val="center"/>
          </w:tcPr>
          <w:p w14:paraId="7C6707A6">
            <w:pPr>
              <w:pStyle w:val="38"/>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p>
        </w:tc>
      </w:tr>
      <w:tr w14:paraId="2CBEE2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pct"/>
            <w:shd w:val="clear" w:color="auto" w:fill="auto"/>
            <w:noWrap/>
            <w:vAlign w:val="center"/>
          </w:tcPr>
          <w:p w14:paraId="72CD9C34">
            <w:pPr>
              <w:pStyle w:val="38"/>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8</w:t>
            </w:r>
          </w:p>
        </w:tc>
        <w:tc>
          <w:tcPr>
            <w:tcW w:w="1287" w:type="pct"/>
            <w:shd w:val="clear" w:color="auto" w:fill="auto"/>
            <w:noWrap/>
            <w:vAlign w:val="center"/>
          </w:tcPr>
          <w:p w14:paraId="66047093">
            <w:pPr>
              <w:pStyle w:val="38"/>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防疫消毒设备</w:t>
            </w:r>
          </w:p>
        </w:tc>
        <w:tc>
          <w:tcPr>
            <w:tcW w:w="515" w:type="pct"/>
            <w:shd w:val="clear" w:color="auto" w:fill="auto"/>
            <w:noWrap/>
            <w:vAlign w:val="center"/>
          </w:tcPr>
          <w:p w14:paraId="752AD2A4">
            <w:pPr>
              <w:pStyle w:val="38"/>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项</w:t>
            </w:r>
          </w:p>
        </w:tc>
        <w:tc>
          <w:tcPr>
            <w:tcW w:w="704" w:type="pct"/>
            <w:shd w:val="clear" w:color="auto" w:fill="auto"/>
            <w:noWrap/>
            <w:vAlign w:val="center"/>
          </w:tcPr>
          <w:p w14:paraId="615ECDD1">
            <w:pPr>
              <w:pStyle w:val="38"/>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w:t>
            </w:r>
          </w:p>
        </w:tc>
        <w:tc>
          <w:tcPr>
            <w:tcW w:w="1980" w:type="pct"/>
            <w:shd w:val="clear" w:color="auto" w:fill="auto"/>
            <w:noWrap/>
            <w:vAlign w:val="center"/>
          </w:tcPr>
          <w:p w14:paraId="73C24F88">
            <w:pPr>
              <w:pStyle w:val="38"/>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含消毒机</w:t>
            </w:r>
          </w:p>
        </w:tc>
      </w:tr>
      <w:tr w14:paraId="1732D5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pct"/>
            <w:shd w:val="clear" w:color="auto" w:fill="auto"/>
            <w:noWrap/>
            <w:vAlign w:val="center"/>
          </w:tcPr>
          <w:p w14:paraId="60B77662">
            <w:pPr>
              <w:pStyle w:val="38"/>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9</w:t>
            </w:r>
          </w:p>
        </w:tc>
        <w:tc>
          <w:tcPr>
            <w:tcW w:w="1287" w:type="pct"/>
            <w:shd w:val="clear" w:color="auto" w:fill="auto"/>
            <w:noWrap/>
            <w:vAlign w:val="center"/>
          </w:tcPr>
          <w:p w14:paraId="6155267D">
            <w:pPr>
              <w:pStyle w:val="38"/>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清粪设备</w:t>
            </w:r>
          </w:p>
        </w:tc>
        <w:tc>
          <w:tcPr>
            <w:tcW w:w="515" w:type="pct"/>
            <w:shd w:val="clear" w:color="auto" w:fill="auto"/>
            <w:noWrap/>
            <w:vAlign w:val="center"/>
          </w:tcPr>
          <w:p w14:paraId="6BA626D5">
            <w:pPr>
              <w:pStyle w:val="38"/>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台</w:t>
            </w:r>
          </w:p>
        </w:tc>
        <w:tc>
          <w:tcPr>
            <w:tcW w:w="704" w:type="pct"/>
            <w:shd w:val="clear" w:color="auto" w:fill="auto"/>
            <w:noWrap/>
            <w:vAlign w:val="center"/>
          </w:tcPr>
          <w:p w14:paraId="4058836D">
            <w:pPr>
              <w:pStyle w:val="38"/>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w:t>
            </w:r>
          </w:p>
        </w:tc>
        <w:tc>
          <w:tcPr>
            <w:tcW w:w="1980" w:type="pct"/>
            <w:shd w:val="clear" w:color="auto" w:fill="auto"/>
            <w:noWrap/>
            <w:vAlign w:val="center"/>
          </w:tcPr>
          <w:p w14:paraId="64BC94A0">
            <w:pPr>
              <w:pStyle w:val="38"/>
              <w:spacing w:line="240" w:lineRule="auto"/>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w:t>
            </w:r>
          </w:p>
        </w:tc>
      </w:tr>
      <w:tr w14:paraId="42B62B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pct"/>
            <w:shd w:val="clear" w:color="auto" w:fill="auto"/>
            <w:noWrap/>
            <w:vAlign w:val="center"/>
          </w:tcPr>
          <w:p w14:paraId="3BCF9E6D">
            <w:pPr>
              <w:pStyle w:val="38"/>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10</w:t>
            </w:r>
          </w:p>
        </w:tc>
        <w:tc>
          <w:tcPr>
            <w:tcW w:w="1287" w:type="pct"/>
            <w:shd w:val="clear" w:color="auto" w:fill="auto"/>
            <w:noWrap/>
            <w:vAlign w:val="center"/>
          </w:tcPr>
          <w:p w14:paraId="3AADF814">
            <w:pPr>
              <w:pStyle w:val="38"/>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螺旋挤压机</w:t>
            </w:r>
          </w:p>
        </w:tc>
        <w:tc>
          <w:tcPr>
            <w:tcW w:w="515" w:type="pct"/>
            <w:shd w:val="clear" w:color="auto" w:fill="auto"/>
            <w:noWrap/>
            <w:vAlign w:val="center"/>
          </w:tcPr>
          <w:p w14:paraId="48E48BA4">
            <w:pPr>
              <w:pStyle w:val="38"/>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台</w:t>
            </w:r>
          </w:p>
        </w:tc>
        <w:tc>
          <w:tcPr>
            <w:tcW w:w="704" w:type="pct"/>
            <w:shd w:val="clear" w:color="auto" w:fill="auto"/>
            <w:noWrap/>
            <w:vAlign w:val="center"/>
          </w:tcPr>
          <w:p w14:paraId="0869D0A9">
            <w:pPr>
              <w:pStyle w:val="38"/>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w:t>
            </w:r>
          </w:p>
        </w:tc>
        <w:tc>
          <w:tcPr>
            <w:tcW w:w="1980" w:type="pct"/>
            <w:shd w:val="clear" w:color="auto" w:fill="auto"/>
            <w:noWrap/>
            <w:vAlign w:val="center"/>
          </w:tcPr>
          <w:p w14:paraId="3F5F12B0">
            <w:pPr>
              <w:pStyle w:val="38"/>
              <w:spacing w:line="240" w:lineRule="auto"/>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w:t>
            </w:r>
          </w:p>
        </w:tc>
      </w:tr>
      <w:tr w14:paraId="3823AD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pct"/>
            <w:shd w:val="clear" w:color="auto" w:fill="auto"/>
            <w:noWrap/>
            <w:vAlign w:val="center"/>
          </w:tcPr>
          <w:p w14:paraId="0EDE0E09">
            <w:pPr>
              <w:pStyle w:val="38"/>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11</w:t>
            </w:r>
          </w:p>
        </w:tc>
        <w:tc>
          <w:tcPr>
            <w:tcW w:w="1287" w:type="pct"/>
            <w:shd w:val="clear" w:color="auto" w:fill="auto"/>
            <w:noWrap/>
            <w:vAlign w:val="center"/>
          </w:tcPr>
          <w:p w14:paraId="0F8989DA">
            <w:pPr>
              <w:pStyle w:val="38"/>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高压冲洗系统</w:t>
            </w:r>
          </w:p>
        </w:tc>
        <w:tc>
          <w:tcPr>
            <w:tcW w:w="515" w:type="pct"/>
            <w:shd w:val="clear" w:color="auto" w:fill="auto"/>
            <w:noWrap/>
            <w:vAlign w:val="center"/>
          </w:tcPr>
          <w:p w14:paraId="0584746C">
            <w:pPr>
              <w:pStyle w:val="38"/>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套</w:t>
            </w:r>
          </w:p>
        </w:tc>
        <w:tc>
          <w:tcPr>
            <w:tcW w:w="704" w:type="pct"/>
            <w:shd w:val="clear" w:color="auto" w:fill="auto"/>
            <w:noWrap/>
            <w:vAlign w:val="center"/>
          </w:tcPr>
          <w:p w14:paraId="3B28A713">
            <w:pPr>
              <w:pStyle w:val="38"/>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w:t>
            </w:r>
          </w:p>
        </w:tc>
        <w:tc>
          <w:tcPr>
            <w:tcW w:w="1980" w:type="pct"/>
            <w:shd w:val="clear" w:color="auto" w:fill="auto"/>
            <w:noWrap/>
            <w:vAlign w:val="center"/>
          </w:tcPr>
          <w:p w14:paraId="1E993215">
            <w:pPr>
              <w:pStyle w:val="38"/>
              <w:spacing w:line="240" w:lineRule="auto"/>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w:t>
            </w:r>
          </w:p>
        </w:tc>
      </w:tr>
      <w:tr w14:paraId="5C9D68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pct"/>
            <w:shd w:val="clear" w:color="auto" w:fill="auto"/>
            <w:noWrap/>
            <w:vAlign w:val="center"/>
          </w:tcPr>
          <w:p w14:paraId="59AC52F4">
            <w:pPr>
              <w:pStyle w:val="38"/>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12</w:t>
            </w:r>
          </w:p>
        </w:tc>
        <w:tc>
          <w:tcPr>
            <w:tcW w:w="1287" w:type="pct"/>
            <w:shd w:val="clear" w:color="auto" w:fill="auto"/>
            <w:noWrap/>
            <w:vAlign w:val="center"/>
          </w:tcPr>
          <w:p w14:paraId="280C1DBA">
            <w:pPr>
              <w:pStyle w:val="38"/>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搅拌器</w:t>
            </w:r>
          </w:p>
        </w:tc>
        <w:tc>
          <w:tcPr>
            <w:tcW w:w="515" w:type="pct"/>
            <w:shd w:val="clear" w:color="auto" w:fill="auto"/>
            <w:noWrap/>
            <w:vAlign w:val="center"/>
          </w:tcPr>
          <w:p w14:paraId="281F234A">
            <w:pPr>
              <w:pStyle w:val="38"/>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台</w:t>
            </w:r>
          </w:p>
        </w:tc>
        <w:tc>
          <w:tcPr>
            <w:tcW w:w="704" w:type="pct"/>
            <w:shd w:val="clear" w:color="auto" w:fill="auto"/>
            <w:noWrap/>
            <w:vAlign w:val="center"/>
          </w:tcPr>
          <w:p w14:paraId="5EB73068">
            <w:pPr>
              <w:pStyle w:val="38"/>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w:t>
            </w:r>
          </w:p>
        </w:tc>
        <w:tc>
          <w:tcPr>
            <w:tcW w:w="1980" w:type="pct"/>
            <w:shd w:val="clear" w:color="auto" w:fill="auto"/>
            <w:noWrap/>
            <w:vAlign w:val="center"/>
          </w:tcPr>
          <w:p w14:paraId="01359742">
            <w:pPr>
              <w:pStyle w:val="38"/>
              <w:spacing w:line="240" w:lineRule="auto"/>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w:t>
            </w:r>
          </w:p>
        </w:tc>
      </w:tr>
      <w:tr w14:paraId="630803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pct"/>
            <w:shd w:val="clear" w:color="auto" w:fill="auto"/>
            <w:noWrap/>
            <w:vAlign w:val="center"/>
          </w:tcPr>
          <w:p w14:paraId="7AAD9895">
            <w:pPr>
              <w:pStyle w:val="38"/>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13</w:t>
            </w:r>
          </w:p>
        </w:tc>
        <w:tc>
          <w:tcPr>
            <w:tcW w:w="1287" w:type="pct"/>
            <w:shd w:val="clear" w:color="auto" w:fill="auto"/>
            <w:noWrap/>
            <w:vAlign w:val="center"/>
          </w:tcPr>
          <w:p w14:paraId="1D334B66">
            <w:pPr>
              <w:pStyle w:val="38"/>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粪污泵</w:t>
            </w:r>
          </w:p>
        </w:tc>
        <w:tc>
          <w:tcPr>
            <w:tcW w:w="515" w:type="pct"/>
            <w:shd w:val="clear" w:color="auto" w:fill="auto"/>
            <w:noWrap/>
            <w:vAlign w:val="center"/>
          </w:tcPr>
          <w:p w14:paraId="205DD585">
            <w:pPr>
              <w:pStyle w:val="38"/>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台</w:t>
            </w:r>
          </w:p>
        </w:tc>
        <w:tc>
          <w:tcPr>
            <w:tcW w:w="704" w:type="pct"/>
            <w:shd w:val="clear" w:color="auto" w:fill="auto"/>
            <w:noWrap/>
            <w:vAlign w:val="center"/>
          </w:tcPr>
          <w:p w14:paraId="26437542">
            <w:pPr>
              <w:pStyle w:val="38"/>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3</w:t>
            </w:r>
          </w:p>
        </w:tc>
        <w:tc>
          <w:tcPr>
            <w:tcW w:w="1980" w:type="pct"/>
            <w:shd w:val="clear" w:color="auto" w:fill="auto"/>
            <w:noWrap/>
            <w:vAlign w:val="center"/>
          </w:tcPr>
          <w:p w14:paraId="6ECC6042">
            <w:pPr>
              <w:pStyle w:val="38"/>
              <w:spacing w:line="240" w:lineRule="auto"/>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w:t>
            </w:r>
          </w:p>
        </w:tc>
      </w:tr>
      <w:tr w14:paraId="160DA5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pct"/>
            <w:shd w:val="clear" w:color="auto" w:fill="auto"/>
            <w:noWrap/>
            <w:vAlign w:val="center"/>
          </w:tcPr>
          <w:p w14:paraId="70F3DF8F">
            <w:pPr>
              <w:pStyle w:val="38"/>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14</w:t>
            </w:r>
          </w:p>
        </w:tc>
        <w:tc>
          <w:tcPr>
            <w:tcW w:w="1287" w:type="pct"/>
            <w:shd w:val="clear" w:color="auto" w:fill="auto"/>
            <w:noWrap/>
            <w:vAlign w:val="center"/>
          </w:tcPr>
          <w:p w14:paraId="2C98848B">
            <w:pPr>
              <w:pStyle w:val="38"/>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翻抛机</w:t>
            </w:r>
          </w:p>
        </w:tc>
        <w:tc>
          <w:tcPr>
            <w:tcW w:w="515" w:type="pct"/>
            <w:shd w:val="clear" w:color="auto" w:fill="auto"/>
            <w:noWrap/>
            <w:vAlign w:val="center"/>
          </w:tcPr>
          <w:p w14:paraId="73A96EB4">
            <w:pPr>
              <w:pStyle w:val="38"/>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台</w:t>
            </w:r>
          </w:p>
        </w:tc>
        <w:tc>
          <w:tcPr>
            <w:tcW w:w="704" w:type="pct"/>
            <w:shd w:val="clear" w:color="auto" w:fill="auto"/>
            <w:noWrap/>
            <w:vAlign w:val="center"/>
          </w:tcPr>
          <w:p w14:paraId="225B425D">
            <w:pPr>
              <w:pStyle w:val="38"/>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w:t>
            </w:r>
          </w:p>
        </w:tc>
        <w:tc>
          <w:tcPr>
            <w:tcW w:w="1980" w:type="pct"/>
            <w:shd w:val="clear" w:color="auto" w:fill="auto"/>
            <w:noWrap/>
            <w:vAlign w:val="center"/>
          </w:tcPr>
          <w:p w14:paraId="4D89CD7B">
            <w:pPr>
              <w:pStyle w:val="38"/>
              <w:spacing w:line="240" w:lineRule="auto"/>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w:t>
            </w:r>
          </w:p>
        </w:tc>
      </w:tr>
      <w:tr w14:paraId="3E75CB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pct"/>
            <w:shd w:val="clear" w:color="auto" w:fill="auto"/>
            <w:noWrap/>
            <w:vAlign w:val="center"/>
          </w:tcPr>
          <w:p w14:paraId="16062505">
            <w:pPr>
              <w:pStyle w:val="38"/>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15</w:t>
            </w:r>
          </w:p>
        </w:tc>
        <w:tc>
          <w:tcPr>
            <w:tcW w:w="1287" w:type="pct"/>
            <w:shd w:val="clear" w:color="auto" w:fill="auto"/>
            <w:noWrap/>
            <w:vAlign w:val="center"/>
          </w:tcPr>
          <w:p w14:paraId="1B977759">
            <w:pPr>
              <w:pStyle w:val="38"/>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垫料喷洒设备</w:t>
            </w:r>
          </w:p>
        </w:tc>
        <w:tc>
          <w:tcPr>
            <w:tcW w:w="515" w:type="pct"/>
            <w:shd w:val="clear" w:color="auto" w:fill="auto"/>
            <w:noWrap/>
            <w:vAlign w:val="center"/>
          </w:tcPr>
          <w:p w14:paraId="5951FBB2">
            <w:pPr>
              <w:pStyle w:val="38"/>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台</w:t>
            </w:r>
          </w:p>
        </w:tc>
        <w:tc>
          <w:tcPr>
            <w:tcW w:w="704" w:type="pct"/>
            <w:shd w:val="clear" w:color="auto" w:fill="auto"/>
            <w:noWrap/>
            <w:vAlign w:val="center"/>
          </w:tcPr>
          <w:p w14:paraId="61A34D8C">
            <w:pPr>
              <w:pStyle w:val="38"/>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w:t>
            </w:r>
          </w:p>
        </w:tc>
        <w:tc>
          <w:tcPr>
            <w:tcW w:w="1980" w:type="pct"/>
            <w:shd w:val="clear" w:color="auto" w:fill="auto"/>
            <w:noWrap/>
            <w:vAlign w:val="center"/>
          </w:tcPr>
          <w:p w14:paraId="7FC418AB">
            <w:pPr>
              <w:pStyle w:val="38"/>
              <w:spacing w:line="240" w:lineRule="auto"/>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w:t>
            </w:r>
          </w:p>
        </w:tc>
      </w:tr>
      <w:tr w14:paraId="7A3F15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pct"/>
            <w:shd w:val="clear" w:color="auto" w:fill="auto"/>
            <w:noWrap/>
            <w:vAlign w:val="center"/>
          </w:tcPr>
          <w:p w14:paraId="374E310A">
            <w:pPr>
              <w:pStyle w:val="38"/>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16</w:t>
            </w:r>
          </w:p>
        </w:tc>
        <w:tc>
          <w:tcPr>
            <w:tcW w:w="1287" w:type="pct"/>
            <w:shd w:val="clear" w:color="auto" w:fill="auto"/>
            <w:noWrap/>
            <w:vAlign w:val="center"/>
          </w:tcPr>
          <w:p w14:paraId="16ECE862">
            <w:pPr>
              <w:pStyle w:val="38"/>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地磅</w:t>
            </w:r>
          </w:p>
        </w:tc>
        <w:tc>
          <w:tcPr>
            <w:tcW w:w="515" w:type="pct"/>
            <w:shd w:val="clear" w:color="auto" w:fill="auto"/>
            <w:noWrap/>
            <w:vAlign w:val="center"/>
          </w:tcPr>
          <w:p w14:paraId="792F137B">
            <w:pPr>
              <w:pStyle w:val="38"/>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个</w:t>
            </w:r>
          </w:p>
        </w:tc>
        <w:tc>
          <w:tcPr>
            <w:tcW w:w="704" w:type="pct"/>
            <w:shd w:val="clear" w:color="auto" w:fill="auto"/>
            <w:noWrap/>
            <w:vAlign w:val="center"/>
          </w:tcPr>
          <w:p w14:paraId="2D9178F3">
            <w:pPr>
              <w:pStyle w:val="38"/>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w:t>
            </w:r>
          </w:p>
        </w:tc>
        <w:tc>
          <w:tcPr>
            <w:tcW w:w="1980" w:type="pct"/>
            <w:shd w:val="clear" w:color="auto" w:fill="auto"/>
            <w:noWrap/>
            <w:vAlign w:val="center"/>
          </w:tcPr>
          <w:p w14:paraId="58DFEE54">
            <w:pPr>
              <w:pStyle w:val="38"/>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100吨</w:t>
            </w:r>
          </w:p>
        </w:tc>
      </w:tr>
      <w:tr w14:paraId="08ED0F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pct"/>
            <w:shd w:val="clear" w:color="auto" w:fill="auto"/>
            <w:noWrap/>
            <w:vAlign w:val="center"/>
          </w:tcPr>
          <w:p w14:paraId="5D5E41C5">
            <w:pPr>
              <w:pStyle w:val="38"/>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17</w:t>
            </w:r>
          </w:p>
        </w:tc>
        <w:tc>
          <w:tcPr>
            <w:tcW w:w="1287" w:type="pct"/>
            <w:shd w:val="clear" w:color="auto" w:fill="auto"/>
            <w:noWrap/>
            <w:vAlign w:val="center"/>
          </w:tcPr>
          <w:p w14:paraId="12332076">
            <w:pPr>
              <w:pStyle w:val="38"/>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牛磅</w:t>
            </w:r>
          </w:p>
        </w:tc>
        <w:tc>
          <w:tcPr>
            <w:tcW w:w="515" w:type="pct"/>
            <w:shd w:val="clear" w:color="auto" w:fill="auto"/>
            <w:noWrap/>
            <w:vAlign w:val="center"/>
          </w:tcPr>
          <w:p w14:paraId="1CA4300A">
            <w:pPr>
              <w:pStyle w:val="38"/>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个</w:t>
            </w:r>
          </w:p>
        </w:tc>
        <w:tc>
          <w:tcPr>
            <w:tcW w:w="704" w:type="pct"/>
            <w:shd w:val="clear" w:color="auto" w:fill="auto"/>
            <w:noWrap/>
            <w:vAlign w:val="center"/>
          </w:tcPr>
          <w:p w14:paraId="4E518B9B">
            <w:pPr>
              <w:pStyle w:val="38"/>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w:t>
            </w:r>
          </w:p>
        </w:tc>
        <w:tc>
          <w:tcPr>
            <w:tcW w:w="1980" w:type="pct"/>
            <w:shd w:val="clear" w:color="auto" w:fill="auto"/>
            <w:noWrap/>
            <w:vAlign w:val="center"/>
          </w:tcPr>
          <w:p w14:paraId="32409816">
            <w:pPr>
              <w:pStyle w:val="38"/>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1.5吨秤</w:t>
            </w:r>
          </w:p>
        </w:tc>
      </w:tr>
      <w:tr w14:paraId="19A0FD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pct"/>
            <w:shd w:val="clear" w:color="auto" w:fill="auto"/>
            <w:noWrap/>
            <w:vAlign w:val="center"/>
          </w:tcPr>
          <w:p w14:paraId="329449AC">
            <w:pPr>
              <w:pStyle w:val="38"/>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18</w:t>
            </w:r>
          </w:p>
        </w:tc>
        <w:tc>
          <w:tcPr>
            <w:tcW w:w="1287" w:type="pct"/>
            <w:shd w:val="clear" w:color="auto" w:fill="auto"/>
            <w:noWrap/>
            <w:vAlign w:val="center"/>
          </w:tcPr>
          <w:p w14:paraId="00C95963">
            <w:pPr>
              <w:pStyle w:val="38"/>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供暖设备</w:t>
            </w:r>
          </w:p>
        </w:tc>
        <w:tc>
          <w:tcPr>
            <w:tcW w:w="515" w:type="pct"/>
            <w:shd w:val="clear" w:color="auto" w:fill="auto"/>
            <w:noWrap/>
            <w:vAlign w:val="center"/>
          </w:tcPr>
          <w:p w14:paraId="24F1A041">
            <w:pPr>
              <w:pStyle w:val="38"/>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套</w:t>
            </w:r>
          </w:p>
        </w:tc>
        <w:tc>
          <w:tcPr>
            <w:tcW w:w="704" w:type="pct"/>
            <w:shd w:val="clear" w:color="auto" w:fill="auto"/>
            <w:noWrap/>
            <w:vAlign w:val="center"/>
          </w:tcPr>
          <w:p w14:paraId="57B86C60">
            <w:pPr>
              <w:pStyle w:val="38"/>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w:t>
            </w:r>
          </w:p>
        </w:tc>
        <w:tc>
          <w:tcPr>
            <w:tcW w:w="1980" w:type="pct"/>
            <w:shd w:val="clear" w:color="auto" w:fill="auto"/>
            <w:noWrap/>
            <w:vAlign w:val="center"/>
          </w:tcPr>
          <w:p w14:paraId="47206FC1">
            <w:pPr>
              <w:pStyle w:val="38"/>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节能</w:t>
            </w:r>
          </w:p>
        </w:tc>
      </w:tr>
      <w:tr w14:paraId="326D1D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pct"/>
            <w:shd w:val="clear" w:color="auto" w:fill="auto"/>
            <w:noWrap/>
            <w:vAlign w:val="center"/>
          </w:tcPr>
          <w:p w14:paraId="527321A5">
            <w:pPr>
              <w:pStyle w:val="38"/>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19</w:t>
            </w:r>
          </w:p>
        </w:tc>
        <w:tc>
          <w:tcPr>
            <w:tcW w:w="1287" w:type="pct"/>
            <w:shd w:val="clear" w:color="auto" w:fill="auto"/>
            <w:noWrap/>
            <w:vAlign w:val="center"/>
          </w:tcPr>
          <w:p w14:paraId="225DEC92">
            <w:pPr>
              <w:pStyle w:val="38"/>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发电机组</w:t>
            </w:r>
          </w:p>
        </w:tc>
        <w:tc>
          <w:tcPr>
            <w:tcW w:w="515" w:type="pct"/>
            <w:shd w:val="clear" w:color="auto" w:fill="auto"/>
            <w:noWrap/>
            <w:vAlign w:val="center"/>
          </w:tcPr>
          <w:p w14:paraId="149DD431">
            <w:pPr>
              <w:pStyle w:val="38"/>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组</w:t>
            </w:r>
          </w:p>
        </w:tc>
        <w:tc>
          <w:tcPr>
            <w:tcW w:w="704" w:type="pct"/>
            <w:shd w:val="clear" w:color="auto" w:fill="auto"/>
            <w:noWrap/>
            <w:vAlign w:val="center"/>
          </w:tcPr>
          <w:p w14:paraId="6283B1CC">
            <w:pPr>
              <w:pStyle w:val="38"/>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w:t>
            </w:r>
          </w:p>
        </w:tc>
        <w:tc>
          <w:tcPr>
            <w:tcW w:w="1980" w:type="pct"/>
            <w:shd w:val="clear" w:color="auto" w:fill="auto"/>
            <w:noWrap/>
            <w:vAlign w:val="center"/>
          </w:tcPr>
          <w:p w14:paraId="0F9AE261">
            <w:pPr>
              <w:pStyle w:val="38"/>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200千瓦</w:t>
            </w:r>
          </w:p>
        </w:tc>
      </w:tr>
    </w:tbl>
    <w:p w14:paraId="64FB26D5">
      <w:pPr>
        <w:pStyle w:val="11"/>
        <w:keepNext w:val="0"/>
        <w:keepLines w:val="0"/>
        <w:pageBreakBefore w:val="0"/>
        <w:widowControl w:val="0"/>
        <w:kinsoku/>
        <w:wordWrap/>
        <w:overflowPunct/>
        <w:topLinePunct w:val="0"/>
        <w:autoSpaceDE/>
        <w:autoSpaceDN/>
        <w:bidi w:val="0"/>
        <w:adjustRightInd w:val="0"/>
        <w:snapToGrid w:val="0"/>
        <w:spacing w:line="360" w:lineRule="auto"/>
        <w:ind w:firstLine="482"/>
        <w:textAlignment w:val="auto"/>
        <w:outlineLvl w:val="2"/>
        <w:rPr>
          <w:rFonts w:hint="default" w:ascii="Times New Roman" w:hAnsi="Times New Roman" w:eastAsia="宋体" w:cs="Times New Roman"/>
          <w:b/>
          <w:color w:val="000000" w:themeColor="text1"/>
          <w:lang w:eastAsia="zh-CN"/>
          <w14:textFill>
            <w14:solidFill>
              <w14:schemeClr w14:val="tx1"/>
            </w14:solidFill>
          </w14:textFill>
        </w:rPr>
      </w:pPr>
      <w:bookmarkStart w:id="107" w:name="_Toc27238"/>
      <w:r>
        <w:rPr>
          <w:rFonts w:hint="default" w:ascii="Times New Roman" w:hAnsi="Times New Roman" w:eastAsia="宋体" w:cs="Times New Roman"/>
          <w:b/>
          <w:color w:val="000000" w:themeColor="text1"/>
          <w:lang w:eastAsia="zh-CN"/>
          <w14:textFill>
            <w14:solidFill>
              <w14:schemeClr w14:val="tx1"/>
            </w14:solidFill>
          </w14:textFill>
        </w:rPr>
        <w:t>3.1.5原辅材料</w:t>
      </w:r>
      <w:bookmarkEnd w:id="107"/>
    </w:p>
    <w:p w14:paraId="5280ABC4">
      <w:pPr>
        <w:keepNext w:val="0"/>
        <w:keepLines w:val="0"/>
        <w:pageBreakBefore w:val="0"/>
        <w:widowControl w:val="0"/>
        <w:kinsoku/>
        <w:wordWrap/>
        <w:overflowPunct/>
        <w:topLinePunct w:val="0"/>
        <w:autoSpaceDE/>
        <w:autoSpaceDN/>
        <w:bidi w:val="0"/>
        <w:spacing w:line="360" w:lineRule="auto"/>
        <w:ind w:firstLine="48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项目主要原辅材料包括牛饲料、消毒剂等，其中牛饲料分为精饲料、粗饲料、青贮料等。</w:t>
      </w:r>
    </w:p>
    <w:p w14:paraId="3976B9D6">
      <w:pPr>
        <w:keepNext w:val="0"/>
        <w:keepLines w:val="0"/>
        <w:pageBreakBefore w:val="0"/>
        <w:widowControl w:val="0"/>
        <w:kinsoku/>
        <w:wordWrap/>
        <w:overflowPunct/>
        <w:topLinePunct w:val="0"/>
        <w:autoSpaceDE/>
        <w:autoSpaceDN/>
        <w:bidi w:val="0"/>
        <w:spacing w:line="360" w:lineRule="auto"/>
        <w:ind w:firstLine="48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精饲料包括玉米、麸皮、豆粕、盐等，项目年存栏为700头牛，精饲料耗量按照12.3kg/d头计，全场精饲料年耗量约为8.61t；粗饲料主要是周边村庄的玉米杆，参考同类项目，粗饲料耗量按照17.8kg/d·头计，年耗量约为12.46t；青贮料主要是青绿秸杆等，主要来自于项目周边村庄农户，由于周边村庄农户种植有大量玉米等，奶牛场的饲料供应有保证，参考同类项目，奶牛青饲料耗量按照7.2kg/d·头计，年耗量约为5.04t。由此可计算出，项目饲料用量为</w:t>
      </w:r>
      <w:r>
        <w:rPr>
          <w:rFonts w:hint="default" w:ascii="Times New Roman" w:hAnsi="Times New Roman" w:eastAsia="宋体" w:cs="Times New Roman"/>
          <w:color w:val="000000" w:themeColor="text1"/>
          <w:lang w:val="en-US" w:eastAsia="zh-CN"/>
          <w14:textFill>
            <w14:solidFill>
              <w14:schemeClr w14:val="tx1"/>
            </w14:solidFill>
          </w14:textFill>
        </w:rPr>
        <w:t>26.11</w:t>
      </w:r>
      <w:r>
        <w:rPr>
          <w:rFonts w:hint="default" w:ascii="Times New Roman" w:hAnsi="Times New Roman" w:eastAsia="宋体" w:cs="Times New Roman"/>
          <w:color w:val="000000" w:themeColor="text1"/>
          <w14:textFill>
            <w14:solidFill>
              <w14:schemeClr w14:val="tx1"/>
            </w14:solidFill>
          </w14:textFill>
        </w:rPr>
        <w:t>t/a。</w:t>
      </w:r>
    </w:p>
    <w:p w14:paraId="5DD4396E">
      <w:pPr>
        <w:keepNext w:val="0"/>
        <w:keepLines w:val="0"/>
        <w:pageBreakBefore w:val="0"/>
        <w:widowControl w:val="0"/>
        <w:kinsoku/>
        <w:wordWrap/>
        <w:overflowPunct/>
        <w:topLinePunct w:val="0"/>
        <w:autoSpaceDE/>
        <w:autoSpaceDN/>
        <w:bidi w:val="0"/>
        <w:spacing w:line="360" w:lineRule="auto"/>
        <w:ind w:firstLine="482"/>
        <w:jc w:val="center"/>
        <w:textAlignment w:val="auto"/>
        <w:rPr>
          <w:rFonts w:hint="default" w:ascii="Times New Roman" w:hAnsi="Times New Roman" w:eastAsia="宋体" w:cs="Times New Roman"/>
          <w:b/>
          <w:color w:val="000000" w:themeColor="text1"/>
          <w14:textFill>
            <w14:solidFill>
              <w14:schemeClr w14:val="tx1"/>
            </w14:solidFill>
          </w14:textFill>
        </w:rPr>
      </w:pPr>
      <w:r>
        <w:rPr>
          <w:rFonts w:hint="default" w:ascii="Times New Roman" w:hAnsi="Times New Roman" w:eastAsia="宋体" w:cs="Times New Roman"/>
          <w:b/>
          <w:color w:val="000000" w:themeColor="text1"/>
          <w14:textFill>
            <w14:solidFill>
              <w14:schemeClr w14:val="tx1"/>
            </w14:solidFill>
          </w14:textFill>
        </w:rPr>
        <w:t>表3.1-6原辅材料一览表</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3"/>
        <w:gridCol w:w="1193"/>
        <w:gridCol w:w="788"/>
        <w:gridCol w:w="1103"/>
        <w:gridCol w:w="2437"/>
        <w:gridCol w:w="2227"/>
      </w:tblGrid>
      <w:tr w14:paraId="050BE0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3" w:type="pct"/>
          </w:tcPr>
          <w:p w14:paraId="79B7AA4F">
            <w:pPr>
              <w:pStyle w:val="23"/>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序号</w:t>
            </w:r>
          </w:p>
        </w:tc>
        <w:tc>
          <w:tcPr>
            <w:tcW w:w="700" w:type="pct"/>
          </w:tcPr>
          <w:p w14:paraId="6457B41F">
            <w:pPr>
              <w:pStyle w:val="23"/>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名称</w:t>
            </w:r>
          </w:p>
        </w:tc>
        <w:tc>
          <w:tcPr>
            <w:tcW w:w="462" w:type="pct"/>
          </w:tcPr>
          <w:p w14:paraId="4900A282">
            <w:pPr>
              <w:pStyle w:val="23"/>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单位</w:t>
            </w:r>
          </w:p>
        </w:tc>
        <w:tc>
          <w:tcPr>
            <w:tcW w:w="647" w:type="pct"/>
          </w:tcPr>
          <w:p w14:paraId="536B801D">
            <w:pPr>
              <w:pStyle w:val="23"/>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消耗量</w:t>
            </w:r>
          </w:p>
        </w:tc>
        <w:tc>
          <w:tcPr>
            <w:tcW w:w="1429" w:type="pct"/>
            <w:vAlign w:val="center"/>
          </w:tcPr>
          <w:p w14:paraId="0D295624">
            <w:pPr>
              <w:pStyle w:val="23"/>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主要成分</w:t>
            </w:r>
          </w:p>
        </w:tc>
        <w:tc>
          <w:tcPr>
            <w:tcW w:w="1306" w:type="pct"/>
          </w:tcPr>
          <w:p w14:paraId="7D130BDC">
            <w:pPr>
              <w:pStyle w:val="23"/>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来源</w:t>
            </w:r>
          </w:p>
        </w:tc>
      </w:tr>
      <w:tr w14:paraId="7D2836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3" w:type="pct"/>
            <w:vMerge w:val="restart"/>
            <w:vAlign w:val="center"/>
          </w:tcPr>
          <w:p w14:paraId="6C6AF18E">
            <w:pPr>
              <w:pStyle w:val="23"/>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原料</w:t>
            </w:r>
          </w:p>
        </w:tc>
        <w:tc>
          <w:tcPr>
            <w:tcW w:w="700" w:type="pct"/>
            <w:vAlign w:val="center"/>
          </w:tcPr>
          <w:p w14:paraId="5A794424">
            <w:pPr>
              <w:pStyle w:val="23"/>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精饲料</w:t>
            </w:r>
          </w:p>
        </w:tc>
        <w:tc>
          <w:tcPr>
            <w:tcW w:w="462" w:type="pct"/>
            <w:vAlign w:val="center"/>
          </w:tcPr>
          <w:p w14:paraId="4F0A0886">
            <w:pPr>
              <w:pStyle w:val="23"/>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t/a</w:t>
            </w:r>
          </w:p>
        </w:tc>
        <w:tc>
          <w:tcPr>
            <w:tcW w:w="647" w:type="pct"/>
            <w:vAlign w:val="center"/>
          </w:tcPr>
          <w:p w14:paraId="00DD1DEC">
            <w:pPr>
              <w:pStyle w:val="23"/>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8.61</w:t>
            </w:r>
          </w:p>
        </w:tc>
        <w:tc>
          <w:tcPr>
            <w:tcW w:w="1429" w:type="pct"/>
            <w:vAlign w:val="center"/>
          </w:tcPr>
          <w:p w14:paraId="6E17D332">
            <w:pPr>
              <w:pStyle w:val="23"/>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玉米、麸皮、豆粕、盐等</w:t>
            </w:r>
          </w:p>
        </w:tc>
        <w:tc>
          <w:tcPr>
            <w:tcW w:w="1306" w:type="pct"/>
            <w:vAlign w:val="center"/>
          </w:tcPr>
          <w:p w14:paraId="0F16E033">
            <w:pPr>
              <w:pStyle w:val="23"/>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外购</w:t>
            </w:r>
          </w:p>
        </w:tc>
      </w:tr>
      <w:tr w14:paraId="2E9734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3" w:type="pct"/>
            <w:vMerge w:val="continue"/>
            <w:vAlign w:val="center"/>
          </w:tcPr>
          <w:p w14:paraId="25DC56CC">
            <w:pPr>
              <w:pStyle w:val="23"/>
              <w:rPr>
                <w:rFonts w:hint="default" w:ascii="Times New Roman" w:hAnsi="Times New Roman" w:eastAsia="宋体" w:cs="Times New Roman"/>
                <w:color w:val="000000" w:themeColor="text1"/>
                <w:sz w:val="21"/>
                <w:szCs w:val="21"/>
                <w14:textFill>
                  <w14:solidFill>
                    <w14:schemeClr w14:val="tx1"/>
                  </w14:solidFill>
                </w14:textFill>
              </w:rPr>
            </w:pPr>
          </w:p>
        </w:tc>
        <w:tc>
          <w:tcPr>
            <w:tcW w:w="700" w:type="pct"/>
            <w:vAlign w:val="center"/>
          </w:tcPr>
          <w:p w14:paraId="23BB2A5F">
            <w:pPr>
              <w:pStyle w:val="23"/>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粗饲料</w:t>
            </w:r>
          </w:p>
        </w:tc>
        <w:tc>
          <w:tcPr>
            <w:tcW w:w="462" w:type="pct"/>
            <w:vAlign w:val="center"/>
          </w:tcPr>
          <w:p w14:paraId="5460C888">
            <w:pPr>
              <w:pStyle w:val="23"/>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t/a</w:t>
            </w:r>
          </w:p>
        </w:tc>
        <w:tc>
          <w:tcPr>
            <w:tcW w:w="647" w:type="pct"/>
            <w:vAlign w:val="center"/>
          </w:tcPr>
          <w:p w14:paraId="45DF1F45">
            <w:pPr>
              <w:pStyle w:val="23"/>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12.46</w:t>
            </w:r>
          </w:p>
        </w:tc>
        <w:tc>
          <w:tcPr>
            <w:tcW w:w="1429" w:type="pct"/>
            <w:vAlign w:val="center"/>
          </w:tcPr>
          <w:p w14:paraId="29546BEC">
            <w:pPr>
              <w:pStyle w:val="23"/>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玉米杆</w:t>
            </w:r>
          </w:p>
        </w:tc>
        <w:tc>
          <w:tcPr>
            <w:tcW w:w="1306" w:type="pct"/>
            <w:vAlign w:val="center"/>
          </w:tcPr>
          <w:p w14:paraId="1233ED6A">
            <w:pPr>
              <w:pStyle w:val="23"/>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周边农户</w:t>
            </w:r>
          </w:p>
        </w:tc>
      </w:tr>
      <w:tr w14:paraId="68DDFF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3" w:type="pct"/>
            <w:vMerge w:val="continue"/>
            <w:vAlign w:val="center"/>
          </w:tcPr>
          <w:p w14:paraId="58934776">
            <w:pPr>
              <w:pStyle w:val="23"/>
              <w:rPr>
                <w:rFonts w:hint="default" w:ascii="Times New Roman" w:hAnsi="Times New Roman" w:eastAsia="宋体" w:cs="Times New Roman"/>
                <w:color w:val="000000" w:themeColor="text1"/>
                <w:sz w:val="21"/>
                <w:szCs w:val="21"/>
                <w14:textFill>
                  <w14:solidFill>
                    <w14:schemeClr w14:val="tx1"/>
                  </w14:solidFill>
                </w14:textFill>
              </w:rPr>
            </w:pPr>
          </w:p>
        </w:tc>
        <w:tc>
          <w:tcPr>
            <w:tcW w:w="700" w:type="pct"/>
            <w:vAlign w:val="center"/>
          </w:tcPr>
          <w:p w14:paraId="1D0933A5">
            <w:pPr>
              <w:pStyle w:val="23"/>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青饲料</w:t>
            </w:r>
          </w:p>
        </w:tc>
        <w:tc>
          <w:tcPr>
            <w:tcW w:w="462" w:type="pct"/>
            <w:vAlign w:val="center"/>
          </w:tcPr>
          <w:p w14:paraId="1CC931F8">
            <w:pPr>
              <w:pStyle w:val="23"/>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t/a</w:t>
            </w:r>
          </w:p>
        </w:tc>
        <w:tc>
          <w:tcPr>
            <w:tcW w:w="647" w:type="pct"/>
            <w:vAlign w:val="center"/>
          </w:tcPr>
          <w:p w14:paraId="26B7DF9B">
            <w:pPr>
              <w:pStyle w:val="23"/>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5.04</w:t>
            </w:r>
          </w:p>
        </w:tc>
        <w:tc>
          <w:tcPr>
            <w:tcW w:w="1429" w:type="pct"/>
            <w:vAlign w:val="center"/>
          </w:tcPr>
          <w:p w14:paraId="7F4D71F5">
            <w:pPr>
              <w:pStyle w:val="23"/>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牧草、青绿秸秆等</w:t>
            </w:r>
          </w:p>
        </w:tc>
        <w:tc>
          <w:tcPr>
            <w:tcW w:w="1306" w:type="pct"/>
            <w:vAlign w:val="center"/>
          </w:tcPr>
          <w:p w14:paraId="76D2EDCE">
            <w:pPr>
              <w:pStyle w:val="23"/>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外购</w:t>
            </w:r>
          </w:p>
        </w:tc>
      </w:tr>
      <w:tr w14:paraId="2E9684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3" w:type="pct"/>
            <w:vMerge w:val="continue"/>
            <w:vAlign w:val="center"/>
          </w:tcPr>
          <w:p w14:paraId="7B8B6603">
            <w:pPr>
              <w:pStyle w:val="23"/>
              <w:rPr>
                <w:rFonts w:hint="default" w:ascii="Times New Roman" w:hAnsi="Times New Roman" w:eastAsia="宋体" w:cs="Times New Roman"/>
                <w:color w:val="000000" w:themeColor="text1"/>
                <w:sz w:val="21"/>
                <w:szCs w:val="21"/>
                <w14:textFill>
                  <w14:solidFill>
                    <w14:schemeClr w14:val="tx1"/>
                  </w14:solidFill>
                </w14:textFill>
              </w:rPr>
            </w:pPr>
          </w:p>
        </w:tc>
        <w:tc>
          <w:tcPr>
            <w:tcW w:w="700" w:type="pct"/>
            <w:vAlign w:val="center"/>
          </w:tcPr>
          <w:p w14:paraId="47AEA096">
            <w:pPr>
              <w:pStyle w:val="23"/>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合计</w:t>
            </w:r>
          </w:p>
        </w:tc>
        <w:tc>
          <w:tcPr>
            <w:tcW w:w="462" w:type="pct"/>
            <w:vAlign w:val="center"/>
          </w:tcPr>
          <w:p w14:paraId="54D54C19">
            <w:pPr>
              <w:pStyle w:val="23"/>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t/a</w:t>
            </w:r>
          </w:p>
        </w:tc>
        <w:tc>
          <w:tcPr>
            <w:tcW w:w="647" w:type="pct"/>
            <w:vAlign w:val="center"/>
          </w:tcPr>
          <w:p w14:paraId="035BC2D1">
            <w:pPr>
              <w:pStyle w:val="23"/>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26.11</w:t>
            </w:r>
          </w:p>
        </w:tc>
        <w:tc>
          <w:tcPr>
            <w:tcW w:w="1429" w:type="pct"/>
            <w:vAlign w:val="center"/>
          </w:tcPr>
          <w:p w14:paraId="38AFEB7C">
            <w:pPr>
              <w:pStyle w:val="23"/>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p>
        </w:tc>
        <w:tc>
          <w:tcPr>
            <w:tcW w:w="1306" w:type="pct"/>
            <w:vAlign w:val="center"/>
          </w:tcPr>
          <w:p w14:paraId="594AE3F0">
            <w:pPr>
              <w:pStyle w:val="23"/>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外购</w:t>
            </w:r>
          </w:p>
        </w:tc>
      </w:tr>
      <w:tr w14:paraId="053344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3" w:type="pct"/>
            <w:vMerge w:val="restart"/>
            <w:vAlign w:val="center"/>
          </w:tcPr>
          <w:p w14:paraId="7219DAB4">
            <w:pPr>
              <w:pStyle w:val="23"/>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辅料</w:t>
            </w:r>
          </w:p>
        </w:tc>
        <w:tc>
          <w:tcPr>
            <w:tcW w:w="700" w:type="pct"/>
            <w:vAlign w:val="center"/>
          </w:tcPr>
          <w:p w14:paraId="49D2265E">
            <w:pPr>
              <w:pStyle w:val="23"/>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除臭剂</w:t>
            </w:r>
          </w:p>
        </w:tc>
        <w:tc>
          <w:tcPr>
            <w:tcW w:w="462" w:type="pct"/>
            <w:vAlign w:val="center"/>
          </w:tcPr>
          <w:p w14:paraId="1478A46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t/a</w:t>
            </w:r>
          </w:p>
        </w:tc>
        <w:tc>
          <w:tcPr>
            <w:tcW w:w="647" w:type="pct"/>
            <w:vAlign w:val="center"/>
          </w:tcPr>
          <w:p w14:paraId="644F444B">
            <w:pPr>
              <w:pStyle w:val="23"/>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1.5</w:t>
            </w:r>
          </w:p>
        </w:tc>
        <w:tc>
          <w:tcPr>
            <w:tcW w:w="1429" w:type="pct"/>
            <w:vAlign w:val="center"/>
          </w:tcPr>
          <w:p w14:paraId="7C045AA9">
            <w:pPr>
              <w:pStyle w:val="23"/>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植物型除臭剂原液稀释100倍喷洒</w:t>
            </w:r>
          </w:p>
        </w:tc>
        <w:tc>
          <w:tcPr>
            <w:tcW w:w="1306" w:type="pct"/>
            <w:vAlign w:val="center"/>
          </w:tcPr>
          <w:p w14:paraId="12E6AFF1">
            <w:pPr>
              <w:pStyle w:val="23"/>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项目牛舍、固液分离间、粪</w:t>
            </w:r>
            <w:r>
              <w:rPr>
                <w:rFonts w:hint="eastAsia" w:cs="Times New Roman"/>
                <w:color w:val="000000" w:themeColor="text1"/>
                <w:sz w:val="21"/>
                <w:szCs w:val="21"/>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污处理区均需要喷洒除臭剂</w:t>
            </w:r>
          </w:p>
        </w:tc>
      </w:tr>
      <w:tr w14:paraId="4D1C16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3" w:type="pct"/>
            <w:vMerge w:val="continue"/>
            <w:vAlign w:val="center"/>
          </w:tcPr>
          <w:p w14:paraId="1CE1C920">
            <w:pPr>
              <w:pStyle w:val="23"/>
              <w:rPr>
                <w:rFonts w:hint="eastAsia" w:cs="Times New Roman"/>
                <w:color w:val="000000" w:themeColor="text1"/>
                <w:sz w:val="21"/>
                <w:szCs w:val="21"/>
                <w:lang w:val="en-US" w:eastAsia="zh-CN"/>
                <w14:textFill>
                  <w14:solidFill>
                    <w14:schemeClr w14:val="tx1"/>
                  </w14:solidFill>
                </w14:textFill>
              </w:rPr>
            </w:pPr>
          </w:p>
        </w:tc>
        <w:tc>
          <w:tcPr>
            <w:tcW w:w="700" w:type="pct"/>
            <w:vAlign w:val="center"/>
          </w:tcPr>
          <w:p w14:paraId="4968E9D6">
            <w:pPr>
              <w:pStyle w:val="23"/>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消毒剂</w:t>
            </w:r>
          </w:p>
          <w:p w14:paraId="7D5399DD">
            <w:pPr>
              <w:pStyle w:val="23"/>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（戊二醛）</w:t>
            </w:r>
          </w:p>
        </w:tc>
        <w:tc>
          <w:tcPr>
            <w:tcW w:w="462" w:type="pct"/>
            <w:vAlign w:val="center"/>
          </w:tcPr>
          <w:p w14:paraId="7099129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t/a</w:t>
            </w:r>
          </w:p>
        </w:tc>
        <w:tc>
          <w:tcPr>
            <w:tcW w:w="647" w:type="pct"/>
            <w:vAlign w:val="center"/>
          </w:tcPr>
          <w:p w14:paraId="3E63FC0C">
            <w:pPr>
              <w:pStyle w:val="23"/>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0.1</w:t>
            </w:r>
          </w:p>
        </w:tc>
        <w:tc>
          <w:tcPr>
            <w:tcW w:w="1429" w:type="pct"/>
            <w:vAlign w:val="center"/>
          </w:tcPr>
          <w:p w14:paraId="7B140B67">
            <w:pPr>
              <w:pStyle w:val="23"/>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厂内最大储存量40lL</w:t>
            </w:r>
          </w:p>
        </w:tc>
        <w:tc>
          <w:tcPr>
            <w:tcW w:w="1306" w:type="pct"/>
            <w:vAlign w:val="center"/>
          </w:tcPr>
          <w:p w14:paraId="53861AC7">
            <w:pPr>
              <w:pStyle w:val="23"/>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外购，桶装</w:t>
            </w:r>
          </w:p>
        </w:tc>
      </w:tr>
      <w:tr w14:paraId="3B1A49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3" w:type="pct"/>
            <w:vMerge w:val="continue"/>
            <w:vAlign w:val="center"/>
          </w:tcPr>
          <w:p w14:paraId="79BFED11">
            <w:pPr>
              <w:pStyle w:val="23"/>
              <w:rPr>
                <w:rFonts w:hint="eastAsia" w:cs="Times New Roman"/>
                <w:color w:val="000000" w:themeColor="text1"/>
                <w:sz w:val="21"/>
                <w:szCs w:val="21"/>
                <w:lang w:val="en-US" w:eastAsia="zh-CN"/>
                <w14:textFill>
                  <w14:solidFill>
                    <w14:schemeClr w14:val="tx1"/>
                  </w14:solidFill>
                </w14:textFill>
              </w:rPr>
            </w:pPr>
          </w:p>
        </w:tc>
        <w:tc>
          <w:tcPr>
            <w:tcW w:w="700" w:type="pct"/>
            <w:shd w:val="clear" w:color="auto" w:fill="auto"/>
            <w:vAlign w:val="center"/>
          </w:tcPr>
          <w:p w14:paraId="70EB2E60">
            <w:pPr>
              <w:spacing w:line="240" w:lineRule="auto"/>
              <w:ind w:firstLine="0" w:firstLineChars="0"/>
              <w:jc w:val="center"/>
              <w:rPr>
                <w:rFonts w:hint="eastAsia" w:ascii="Times New Roman" w:hAnsi="Times New Roman" w:eastAsia="宋体" w:cs="Times New Roman"/>
                <w:bCs/>
                <w:color w:val="0000FF"/>
                <w:kern w:val="28"/>
                <w:sz w:val="21"/>
                <w:szCs w:val="21"/>
                <w:lang w:val="en-US" w:eastAsia="zh-CN" w:bidi="ar-SA"/>
              </w:rPr>
            </w:pPr>
            <w:r>
              <w:rPr>
                <w:rFonts w:hint="eastAsia" w:ascii="Times New Roman" w:hAnsi="Times New Roman" w:eastAsia="宋体" w:cs="Times New Roman"/>
                <w:bCs/>
                <w:color w:val="0000FF"/>
                <w:kern w:val="28"/>
                <w:sz w:val="21"/>
                <w:szCs w:val="21"/>
                <w:lang w:val="en-US" w:eastAsia="zh-CN" w:bidi="ar-SA"/>
              </w:rPr>
              <w:t>酸性清</w:t>
            </w:r>
          </w:p>
          <w:p w14:paraId="2CEB2D0C">
            <w:pPr>
              <w:spacing w:line="240" w:lineRule="auto"/>
              <w:ind w:firstLine="0" w:firstLineChars="0"/>
              <w:jc w:val="center"/>
              <w:rPr>
                <w:rFonts w:hint="default" w:ascii="Times New Roman" w:hAnsi="Times New Roman" w:eastAsia="宋体" w:cs="Times New Roman"/>
                <w:bCs/>
                <w:color w:val="0000FF"/>
                <w:kern w:val="28"/>
                <w:sz w:val="21"/>
                <w:szCs w:val="21"/>
                <w:lang w:val="en-US" w:eastAsia="zh-CN" w:bidi="ar-SA"/>
              </w:rPr>
            </w:pPr>
            <w:r>
              <w:rPr>
                <w:rFonts w:hint="eastAsia" w:ascii="Times New Roman" w:hAnsi="Times New Roman" w:eastAsia="宋体" w:cs="Times New Roman"/>
                <w:bCs/>
                <w:color w:val="0000FF"/>
                <w:kern w:val="28"/>
                <w:sz w:val="21"/>
                <w:szCs w:val="21"/>
                <w:lang w:val="en-US" w:eastAsia="zh-CN" w:bidi="ar-SA"/>
              </w:rPr>
              <w:t>洗剂</w:t>
            </w:r>
          </w:p>
        </w:tc>
        <w:tc>
          <w:tcPr>
            <w:tcW w:w="462" w:type="pct"/>
            <w:shd w:val="clear" w:color="auto" w:fill="auto"/>
            <w:vAlign w:val="center"/>
          </w:tcPr>
          <w:p w14:paraId="57F67B50">
            <w:pPr>
              <w:spacing w:line="240" w:lineRule="auto"/>
              <w:ind w:firstLine="0" w:firstLineChars="0"/>
              <w:jc w:val="center"/>
              <w:rPr>
                <w:rFonts w:hint="default" w:ascii="Times New Roman" w:hAnsi="Times New Roman" w:eastAsia="宋体" w:cs="Times New Roman"/>
                <w:bCs/>
                <w:color w:val="0000FF"/>
                <w:kern w:val="28"/>
                <w:sz w:val="21"/>
                <w:szCs w:val="21"/>
                <w:lang w:val="en-US" w:eastAsia="zh-CN" w:bidi="ar-SA"/>
              </w:rPr>
            </w:pPr>
            <w:r>
              <w:rPr>
                <w:rFonts w:hint="eastAsia" w:ascii="Times New Roman" w:hAnsi="Times New Roman" w:eastAsia="宋体" w:cs="Times New Roman"/>
                <w:bCs/>
                <w:color w:val="0000FF"/>
                <w:kern w:val="28"/>
                <w:sz w:val="21"/>
                <w:szCs w:val="21"/>
                <w:lang w:val="en-US" w:eastAsia="zh-CN" w:bidi="ar-SA"/>
              </w:rPr>
              <w:t>t</w:t>
            </w:r>
            <w:r>
              <w:rPr>
                <w:rFonts w:hint="default" w:ascii="Times New Roman" w:hAnsi="Times New Roman" w:eastAsia="宋体" w:cs="Times New Roman"/>
                <w:bCs/>
                <w:color w:val="0000FF"/>
                <w:kern w:val="28"/>
                <w:sz w:val="21"/>
                <w:szCs w:val="21"/>
                <w:lang w:val="en-US" w:eastAsia="zh-CN" w:bidi="ar-SA"/>
              </w:rPr>
              <w:t>/a</w:t>
            </w:r>
          </w:p>
        </w:tc>
        <w:tc>
          <w:tcPr>
            <w:tcW w:w="647" w:type="pct"/>
            <w:shd w:val="clear" w:color="auto" w:fill="auto"/>
            <w:vAlign w:val="center"/>
          </w:tcPr>
          <w:p w14:paraId="6C417E62">
            <w:pPr>
              <w:spacing w:line="240" w:lineRule="auto"/>
              <w:ind w:firstLine="0" w:firstLineChars="0"/>
              <w:jc w:val="center"/>
              <w:rPr>
                <w:rFonts w:hint="default" w:ascii="Times New Roman" w:hAnsi="Times New Roman" w:eastAsia="宋体" w:cs="Times New Roman"/>
                <w:bCs/>
                <w:color w:val="0000FF"/>
                <w:kern w:val="28"/>
                <w:sz w:val="21"/>
                <w:szCs w:val="21"/>
                <w:lang w:val="en-US" w:eastAsia="zh-CN" w:bidi="ar-SA"/>
              </w:rPr>
            </w:pPr>
            <w:r>
              <w:rPr>
                <w:rFonts w:hint="eastAsia" w:ascii="Times New Roman" w:hAnsi="Times New Roman" w:eastAsia="宋体" w:cs="Times New Roman"/>
                <w:bCs/>
                <w:color w:val="0000FF"/>
                <w:kern w:val="28"/>
                <w:sz w:val="21"/>
                <w:szCs w:val="21"/>
                <w:lang w:val="en-US" w:eastAsia="zh-CN" w:bidi="ar-SA"/>
              </w:rPr>
              <w:t>0.1</w:t>
            </w:r>
          </w:p>
        </w:tc>
        <w:tc>
          <w:tcPr>
            <w:tcW w:w="1429" w:type="pct"/>
            <w:shd w:val="clear" w:color="auto" w:fill="auto"/>
            <w:vAlign w:val="center"/>
          </w:tcPr>
          <w:p w14:paraId="2825720E">
            <w:pPr>
              <w:spacing w:line="240" w:lineRule="auto"/>
              <w:ind w:firstLine="0" w:firstLineChars="0"/>
              <w:jc w:val="center"/>
              <w:rPr>
                <w:rFonts w:hint="default" w:ascii="Times New Roman" w:hAnsi="Times New Roman" w:eastAsia="宋体" w:cs="Times New Roman"/>
                <w:bCs/>
                <w:color w:val="0000FF"/>
                <w:kern w:val="28"/>
                <w:sz w:val="21"/>
                <w:szCs w:val="21"/>
                <w:lang w:val="en-US" w:eastAsia="zh-CN" w:bidi="ar-SA"/>
              </w:rPr>
            </w:pPr>
            <w:r>
              <w:rPr>
                <w:rFonts w:hint="eastAsia" w:ascii="Times New Roman" w:hAnsi="Times New Roman" w:eastAsia="宋体" w:cs="Times New Roman"/>
                <w:bCs/>
                <w:color w:val="0000FF"/>
                <w:kern w:val="28"/>
                <w:sz w:val="21"/>
                <w:szCs w:val="21"/>
                <w:lang w:val="en-US" w:eastAsia="zh-CN" w:bidi="ar-SA"/>
              </w:rPr>
              <w:t>塑料桶装</w:t>
            </w:r>
            <w:r>
              <w:rPr>
                <w:rFonts w:hint="eastAsia" w:cs="Times New Roman"/>
                <w:bCs/>
                <w:color w:val="0000FF"/>
                <w:kern w:val="28"/>
                <w:sz w:val="21"/>
                <w:szCs w:val="21"/>
                <w:lang w:val="en-US" w:eastAsia="zh-CN" w:bidi="ar-SA"/>
              </w:rPr>
              <w:t>（50kg/桶）</w:t>
            </w:r>
            <w:r>
              <w:rPr>
                <w:rFonts w:hint="eastAsia" w:ascii="Times New Roman" w:hAnsi="Times New Roman" w:eastAsia="宋体" w:cs="Times New Roman"/>
                <w:bCs/>
                <w:color w:val="0000FF"/>
                <w:kern w:val="28"/>
                <w:sz w:val="21"/>
                <w:szCs w:val="21"/>
                <w:lang w:val="en-US" w:eastAsia="zh-CN" w:bidi="ar-SA"/>
              </w:rPr>
              <w:t>，设备用房</w:t>
            </w:r>
          </w:p>
        </w:tc>
        <w:tc>
          <w:tcPr>
            <w:tcW w:w="1306" w:type="pct"/>
            <w:shd w:val="clear" w:color="auto" w:fill="auto"/>
            <w:vAlign w:val="center"/>
          </w:tcPr>
          <w:p w14:paraId="14EA9B57">
            <w:pPr>
              <w:spacing w:line="240" w:lineRule="auto"/>
              <w:ind w:firstLine="0" w:firstLineChars="0"/>
              <w:jc w:val="center"/>
              <w:rPr>
                <w:rFonts w:hint="default" w:ascii="Times New Roman" w:hAnsi="Times New Roman" w:eastAsia="宋体" w:cs="Times New Roman"/>
                <w:bCs/>
                <w:color w:val="0000FF"/>
                <w:kern w:val="28"/>
                <w:sz w:val="21"/>
                <w:szCs w:val="21"/>
                <w:lang w:val="en-US" w:eastAsia="zh-CN" w:bidi="ar-SA"/>
              </w:rPr>
            </w:pPr>
            <w:r>
              <w:rPr>
                <w:rFonts w:hint="eastAsia" w:ascii="Times New Roman" w:hAnsi="Times New Roman" w:eastAsia="宋体" w:cs="Times New Roman"/>
                <w:bCs/>
                <w:color w:val="0000FF"/>
                <w:kern w:val="28"/>
                <w:sz w:val="21"/>
                <w:szCs w:val="21"/>
                <w:lang w:val="en-US" w:eastAsia="zh-CN" w:bidi="ar-SA"/>
              </w:rPr>
              <w:t>外购</w:t>
            </w:r>
          </w:p>
        </w:tc>
      </w:tr>
      <w:tr w14:paraId="020B02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3" w:type="pct"/>
            <w:vMerge w:val="continue"/>
            <w:vAlign w:val="center"/>
          </w:tcPr>
          <w:p w14:paraId="3A4F98FE">
            <w:pPr>
              <w:pStyle w:val="23"/>
              <w:rPr>
                <w:rFonts w:hint="eastAsia" w:cs="Times New Roman"/>
                <w:color w:val="000000" w:themeColor="text1"/>
                <w:sz w:val="21"/>
                <w:szCs w:val="21"/>
                <w:lang w:val="en-US" w:eastAsia="zh-CN"/>
                <w14:textFill>
                  <w14:solidFill>
                    <w14:schemeClr w14:val="tx1"/>
                  </w14:solidFill>
                </w14:textFill>
              </w:rPr>
            </w:pPr>
          </w:p>
        </w:tc>
        <w:tc>
          <w:tcPr>
            <w:tcW w:w="700" w:type="pct"/>
            <w:shd w:val="clear" w:color="auto" w:fill="auto"/>
            <w:vAlign w:val="center"/>
          </w:tcPr>
          <w:p w14:paraId="11FF82A0">
            <w:pPr>
              <w:spacing w:line="240" w:lineRule="auto"/>
              <w:ind w:firstLine="0" w:firstLineChars="0"/>
              <w:jc w:val="center"/>
              <w:rPr>
                <w:rFonts w:hint="eastAsia" w:ascii="Times New Roman" w:hAnsi="Times New Roman" w:eastAsia="宋体" w:cs="Times New Roman"/>
                <w:bCs/>
                <w:color w:val="0000FF"/>
                <w:kern w:val="28"/>
                <w:sz w:val="21"/>
                <w:szCs w:val="21"/>
                <w:lang w:val="en-US" w:eastAsia="zh-CN" w:bidi="ar-SA"/>
              </w:rPr>
            </w:pPr>
            <w:r>
              <w:rPr>
                <w:rFonts w:hint="eastAsia" w:ascii="Times New Roman" w:hAnsi="Times New Roman" w:eastAsia="宋体" w:cs="Times New Roman"/>
                <w:bCs/>
                <w:color w:val="0000FF"/>
                <w:kern w:val="28"/>
                <w:sz w:val="21"/>
                <w:szCs w:val="21"/>
                <w:lang w:val="en-US" w:eastAsia="zh-CN" w:bidi="ar-SA"/>
              </w:rPr>
              <w:t>碱性清</w:t>
            </w:r>
          </w:p>
          <w:p w14:paraId="2270381B">
            <w:pPr>
              <w:spacing w:line="240" w:lineRule="auto"/>
              <w:ind w:firstLine="0" w:firstLineChars="0"/>
              <w:jc w:val="center"/>
              <w:rPr>
                <w:rFonts w:hint="default" w:ascii="Times New Roman" w:hAnsi="Times New Roman" w:eastAsia="宋体" w:cs="Times New Roman"/>
                <w:bCs/>
                <w:color w:val="0000FF"/>
                <w:kern w:val="28"/>
                <w:sz w:val="21"/>
                <w:szCs w:val="21"/>
                <w:lang w:val="en-US" w:eastAsia="zh-CN" w:bidi="ar-SA"/>
              </w:rPr>
            </w:pPr>
            <w:r>
              <w:rPr>
                <w:rFonts w:hint="eastAsia" w:ascii="Times New Roman" w:hAnsi="Times New Roman" w:eastAsia="宋体" w:cs="Times New Roman"/>
                <w:bCs/>
                <w:color w:val="0000FF"/>
                <w:kern w:val="28"/>
                <w:sz w:val="21"/>
                <w:szCs w:val="21"/>
                <w:lang w:val="en-US" w:eastAsia="zh-CN" w:bidi="ar-SA"/>
              </w:rPr>
              <w:t>洗剂</w:t>
            </w:r>
          </w:p>
        </w:tc>
        <w:tc>
          <w:tcPr>
            <w:tcW w:w="462" w:type="pct"/>
            <w:shd w:val="clear" w:color="auto" w:fill="auto"/>
            <w:vAlign w:val="center"/>
          </w:tcPr>
          <w:p w14:paraId="62E65F01">
            <w:pPr>
              <w:spacing w:line="240" w:lineRule="auto"/>
              <w:ind w:firstLine="0" w:firstLineChars="0"/>
              <w:jc w:val="center"/>
              <w:rPr>
                <w:rFonts w:hint="default" w:ascii="Times New Roman" w:hAnsi="Times New Roman" w:eastAsia="宋体" w:cs="Times New Roman"/>
                <w:bCs/>
                <w:color w:val="0000FF"/>
                <w:kern w:val="28"/>
                <w:sz w:val="21"/>
                <w:szCs w:val="21"/>
                <w:lang w:val="en-US" w:eastAsia="zh-CN" w:bidi="ar-SA"/>
              </w:rPr>
            </w:pPr>
            <w:r>
              <w:rPr>
                <w:rFonts w:hint="eastAsia" w:ascii="Times New Roman" w:hAnsi="Times New Roman" w:eastAsia="宋体" w:cs="Times New Roman"/>
                <w:bCs/>
                <w:color w:val="0000FF"/>
                <w:kern w:val="28"/>
                <w:sz w:val="21"/>
                <w:szCs w:val="21"/>
                <w:lang w:val="en-US" w:eastAsia="zh-CN" w:bidi="ar-SA"/>
              </w:rPr>
              <w:t>t</w:t>
            </w:r>
            <w:r>
              <w:rPr>
                <w:rFonts w:hint="default" w:ascii="Times New Roman" w:hAnsi="Times New Roman" w:eastAsia="宋体" w:cs="Times New Roman"/>
                <w:bCs/>
                <w:color w:val="0000FF"/>
                <w:kern w:val="28"/>
                <w:sz w:val="21"/>
                <w:szCs w:val="21"/>
                <w:lang w:val="en-US" w:eastAsia="zh-CN" w:bidi="ar-SA"/>
              </w:rPr>
              <w:t>/a</w:t>
            </w:r>
          </w:p>
        </w:tc>
        <w:tc>
          <w:tcPr>
            <w:tcW w:w="647" w:type="pct"/>
            <w:shd w:val="clear" w:color="auto" w:fill="auto"/>
            <w:vAlign w:val="center"/>
          </w:tcPr>
          <w:p w14:paraId="23AF8250">
            <w:pPr>
              <w:spacing w:line="240" w:lineRule="auto"/>
              <w:ind w:firstLine="0" w:firstLineChars="0"/>
              <w:jc w:val="center"/>
              <w:rPr>
                <w:rFonts w:hint="default" w:ascii="Times New Roman" w:hAnsi="Times New Roman" w:eastAsia="宋体" w:cs="Times New Roman"/>
                <w:bCs/>
                <w:color w:val="0000FF"/>
                <w:kern w:val="28"/>
                <w:sz w:val="21"/>
                <w:szCs w:val="21"/>
                <w:lang w:val="en-US" w:eastAsia="zh-CN" w:bidi="ar-SA"/>
              </w:rPr>
            </w:pPr>
            <w:r>
              <w:rPr>
                <w:rFonts w:hint="eastAsia" w:ascii="Times New Roman" w:hAnsi="Times New Roman" w:eastAsia="宋体" w:cs="Times New Roman"/>
                <w:bCs/>
                <w:color w:val="0000FF"/>
                <w:kern w:val="28"/>
                <w:sz w:val="21"/>
                <w:szCs w:val="21"/>
                <w:lang w:val="en-US" w:eastAsia="zh-CN" w:bidi="ar-SA"/>
              </w:rPr>
              <w:t>0.2</w:t>
            </w:r>
          </w:p>
        </w:tc>
        <w:tc>
          <w:tcPr>
            <w:tcW w:w="1429" w:type="pct"/>
            <w:shd w:val="clear" w:color="auto" w:fill="auto"/>
            <w:vAlign w:val="center"/>
          </w:tcPr>
          <w:p w14:paraId="160A8B0B">
            <w:pPr>
              <w:spacing w:line="240" w:lineRule="auto"/>
              <w:ind w:firstLine="0" w:firstLineChars="0"/>
              <w:jc w:val="center"/>
              <w:rPr>
                <w:rFonts w:hint="default" w:ascii="Times New Roman" w:hAnsi="Times New Roman" w:eastAsia="宋体" w:cs="Times New Roman"/>
                <w:bCs/>
                <w:color w:val="0000FF"/>
                <w:kern w:val="28"/>
                <w:sz w:val="21"/>
                <w:szCs w:val="21"/>
                <w:lang w:val="en-US" w:eastAsia="zh-CN" w:bidi="ar-SA"/>
              </w:rPr>
            </w:pPr>
            <w:r>
              <w:rPr>
                <w:rFonts w:hint="eastAsia" w:ascii="Times New Roman" w:hAnsi="Times New Roman" w:eastAsia="宋体" w:cs="Times New Roman"/>
                <w:bCs/>
                <w:color w:val="0000FF"/>
                <w:kern w:val="28"/>
                <w:sz w:val="21"/>
                <w:szCs w:val="21"/>
                <w:lang w:val="en-US" w:eastAsia="zh-CN" w:bidi="ar-SA"/>
              </w:rPr>
              <w:t>塑料桶装，设备用房</w:t>
            </w:r>
          </w:p>
        </w:tc>
        <w:tc>
          <w:tcPr>
            <w:tcW w:w="1306" w:type="pct"/>
            <w:shd w:val="clear" w:color="auto" w:fill="auto"/>
            <w:vAlign w:val="center"/>
          </w:tcPr>
          <w:p w14:paraId="6F42F170">
            <w:pPr>
              <w:spacing w:line="240" w:lineRule="auto"/>
              <w:ind w:firstLine="0" w:firstLineChars="0"/>
              <w:jc w:val="center"/>
              <w:rPr>
                <w:rFonts w:hint="default" w:ascii="Times New Roman" w:hAnsi="Times New Roman" w:eastAsia="宋体" w:cs="Times New Roman"/>
                <w:bCs/>
                <w:color w:val="0000FF"/>
                <w:kern w:val="28"/>
                <w:sz w:val="21"/>
                <w:szCs w:val="21"/>
                <w:lang w:val="en-US" w:eastAsia="zh-CN" w:bidi="ar-SA"/>
              </w:rPr>
            </w:pPr>
            <w:r>
              <w:rPr>
                <w:rFonts w:hint="eastAsia" w:ascii="Times New Roman" w:hAnsi="Times New Roman" w:eastAsia="宋体" w:cs="Times New Roman"/>
                <w:bCs/>
                <w:color w:val="0000FF"/>
                <w:kern w:val="28"/>
                <w:sz w:val="21"/>
                <w:szCs w:val="21"/>
                <w:lang w:val="en-US" w:eastAsia="zh-CN" w:bidi="ar-SA"/>
              </w:rPr>
              <w:t>外购</w:t>
            </w:r>
          </w:p>
        </w:tc>
      </w:tr>
      <w:tr w14:paraId="530756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3" w:type="pct"/>
            <w:vMerge w:val="restart"/>
            <w:vAlign w:val="center"/>
          </w:tcPr>
          <w:p w14:paraId="31B58A86">
            <w:pPr>
              <w:pStyle w:val="23"/>
              <w:rPr>
                <w:rFonts w:hint="default"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能源</w:t>
            </w:r>
          </w:p>
        </w:tc>
        <w:tc>
          <w:tcPr>
            <w:tcW w:w="700" w:type="pct"/>
            <w:vAlign w:val="center"/>
          </w:tcPr>
          <w:p w14:paraId="5EDDE9C9">
            <w:pPr>
              <w:pStyle w:val="23"/>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电</w:t>
            </w:r>
          </w:p>
        </w:tc>
        <w:tc>
          <w:tcPr>
            <w:tcW w:w="462" w:type="pct"/>
            <w:vAlign w:val="center"/>
          </w:tcPr>
          <w:p w14:paraId="6614FABB">
            <w:pPr>
              <w:pStyle w:val="23"/>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KW/a</w:t>
            </w:r>
          </w:p>
        </w:tc>
        <w:tc>
          <w:tcPr>
            <w:tcW w:w="647" w:type="pct"/>
            <w:vAlign w:val="center"/>
          </w:tcPr>
          <w:p w14:paraId="21E9A7D9">
            <w:pPr>
              <w:pStyle w:val="23"/>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260万</w:t>
            </w:r>
          </w:p>
        </w:tc>
        <w:tc>
          <w:tcPr>
            <w:tcW w:w="1429" w:type="pct"/>
            <w:vAlign w:val="center"/>
          </w:tcPr>
          <w:p w14:paraId="06B3C98A">
            <w:pPr>
              <w:pStyle w:val="23"/>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w:t>
            </w:r>
          </w:p>
        </w:tc>
        <w:tc>
          <w:tcPr>
            <w:tcW w:w="1306" w:type="pct"/>
            <w:vAlign w:val="center"/>
          </w:tcPr>
          <w:p w14:paraId="176D3945">
            <w:pPr>
              <w:pStyle w:val="23"/>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市政电网</w:t>
            </w:r>
          </w:p>
        </w:tc>
      </w:tr>
      <w:tr w14:paraId="1D3AE8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3" w:type="pct"/>
            <w:vMerge w:val="continue"/>
            <w:vAlign w:val="center"/>
          </w:tcPr>
          <w:p w14:paraId="58D9E10C">
            <w:pPr>
              <w:pStyle w:val="23"/>
              <w:rPr>
                <w:rFonts w:hint="eastAsia" w:cs="Times New Roman"/>
                <w:color w:val="000000" w:themeColor="text1"/>
                <w:sz w:val="21"/>
                <w:szCs w:val="21"/>
                <w:lang w:val="en-US" w:eastAsia="zh-CN"/>
                <w14:textFill>
                  <w14:solidFill>
                    <w14:schemeClr w14:val="tx1"/>
                  </w14:solidFill>
                </w14:textFill>
              </w:rPr>
            </w:pPr>
          </w:p>
        </w:tc>
        <w:tc>
          <w:tcPr>
            <w:tcW w:w="700" w:type="pct"/>
            <w:vAlign w:val="center"/>
          </w:tcPr>
          <w:p w14:paraId="701FB018">
            <w:pPr>
              <w:pStyle w:val="23"/>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水</w:t>
            </w:r>
          </w:p>
        </w:tc>
        <w:tc>
          <w:tcPr>
            <w:tcW w:w="462" w:type="pct"/>
            <w:vAlign w:val="center"/>
          </w:tcPr>
          <w:p w14:paraId="1F36D80D">
            <w:pPr>
              <w:pStyle w:val="23"/>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t/a</w:t>
            </w:r>
          </w:p>
        </w:tc>
        <w:tc>
          <w:tcPr>
            <w:tcW w:w="647" w:type="pct"/>
            <w:vAlign w:val="center"/>
          </w:tcPr>
          <w:p w14:paraId="64C5C4AD">
            <w:pPr>
              <w:pStyle w:val="23"/>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191</w:t>
            </w:r>
            <w:r>
              <w:rPr>
                <w:rFonts w:hint="default" w:ascii="Times New Roman" w:hAnsi="Times New Roman" w:eastAsia="宋体" w:cs="Times New Roman"/>
                <w:color w:val="000000" w:themeColor="text1"/>
                <w:sz w:val="21"/>
                <w:szCs w:val="21"/>
                <w14:textFill>
                  <w14:solidFill>
                    <w14:schemeClr w14:val="tx1"/>
                  </w14:solidFill>
                </w14:textFill>
              </w:rPr>
              <w:t>55</w:t>
            </w:r>
          </w:p>
        </w:tc>
        <w:tc>
          <w:tcPr>
            <w:tcW w:w="1429" w:type="pct"/>
            <w:vAlign w:val="center"/>
          </w:tcPr>
          <w:p w14:paraId="7F46B8C9">
            <w:pPr>
              <w:pStyle w:val="23"/>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w:t>
            </w:r>
          </w:p>
        </w:tc>
        <w:tc>
          <w:tcPr>
            <w:tcW w:w="1306" w:type="pct"/>
            <w:vAlign w:val="center"/>
          </w:tcPr>
          <w:p w14:paraId="30A35262">
            <w:pPr>
              <w:pStyle w:val="23"/>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自备水井</w:t>
            </w:r>
          </w:p>
        </w:tc>
      </w:tr>
      <w:tr w14:paraId="4DF304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6"/>
            <w:vAlign w:val="center"/>
          </w:tcPr>
          <w:p w14:paraId="339D36BE">
            <w:pPr>
              <w:pStyle w:val="23"/>
              <w:jc w:val="left"/>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注：本项目不使用抗生素。</w:t>
            </w:r>
          </w:p>
        </w:tc>
      </w:tr>
      <w:tr w14:paraId="1F66EF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6"/>
            <w:vAlign w:val="center"/>
          </w:tcPr>
          <w:p w14:paraId="10A7A005">
            <w:pPr>
              <w:pStyle w:val="23"/>
              <w:jc w:val="left"/>
              <w:rPr>
                <w:rFonts w:hint="default" w:ascii="Times New Roman" w:hAnsi="Times New Roman" w:eastAsia="宋体" w:cs="Times New Roman"/>
                <w:b/>
                <w:bCs w:val="0"/>
                <w:color w:val="0000FF"/>
                <w:sz w:val="21"/>
                <w:szCs w:val="21"/>
              </w:rPr>
            </w:pPr>
            <w:r>
              <w:rPr>
                <w:rFonts w:hint="default" w:ascii="Times New Roman" w:hAnsi="Times New Roman" w:eastAsia="宋体" w:cs="Times New Roman"/>
                <w:b/>
                <w:bCs w:val="0"/>
                <w:color w:val="0000FF"/>
                <w:sz w:val="21"/>
                <w:szCs w:val="21"/>
              </w:rPr>
              <w:t>原辅材料理化性质及技术指标：</w:t>
            </w:r>
          </w:p>
          <w:p w14:paraId="708483D0">
            <w:pPr>
              <w:pStyle w:val="23"/>
              <w:jc w:val="left"/>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1）酸性清洗剂：酸性清洗剂以硝酸、磷酸为主要有效成分，一种无色或淡黄色透明、无泡、浓缩的液体高效酸性清洗剂，能强力去除顽固复杂的矿物质污垢、乳垢，在碱性清洗完成后，用它作为酸性清洗剂，能有效防止奶石、石灰质及其他矿物质污垢的积聚。主要用于挤奶机、贮奶罐及相关管道，容器等乳品设备内壁奶垢、水垢和金属残留的去除、清洗。</w:t>
            </w:r>
          </w:p>
          <w:p w14:paraId="6C04DAFD">
            <w:pPr>
              <w:pStyle w:val="23"/>
              <w:jc w:val="left"/>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FF"/>
                <w:sz w:val="21"/>
                <w:szCs w:val="21"/>
              </w:rPr>
              <w:t>（2）碱性清洗剂：碱性清洗剂是以苛性钠、次氯酸钠、增效剂为主要有效成份的复合液体清洁杀菌剂，主要用于挤奶机、储奶罐及容器、管道和乳制品厂生产设备及管道的循环、清洗、灭菌。</w:t>
            </w:r>
          </w:p>
        </w:tc>
      </w:tr>
    </w:tbl>
    <w:p w14:paraId="1891B88C">
      <w:pPr>
        <w:pStyle w:val="11"/>
        <w:keepNext w:val="0"/>
        <w:keepLines w:val="0"/>
        <w:pageBreakBefore w:val="0"/>
        <w:widowControl w:val="0"/>
        <w:kinsoku/>
        <w:wordWrap/>
        <w:overflowPunct/>
        <w:topLinePunct w:val="0"/>
        <w:autoSpaceDE/>
        <w:autoSpaceDN/>
        <w:bidi w:val="0"/>
        <w:adjustRightInd w:val="0"/>
        <w:snapToGrid w:val="0"/>
        <w:spacing w:line="360" w:lineRule="auto"/>
        <w:ind w:firstLine="482"/>
        <w:jc w:val="left"/>
        <w:textAlignment w:val="auto"/>
        <w:outlineLvl w:val="2"/>
        <w:rPr>
          <w:rFonts w:hint="default" w:ascii="Times New Roman" w:hAnsi="Times New Roman" w:eastAsia="宋体" w:cs="Times New Roman"/>
          <w:b/>
          <w:color w:val="000000" w:themeColor="text1"/>
          <w:lang w:eastAsia="zh-CN"/>
          <w14:textFill>
            <w14:solidFill>
              <w14:schemeClr w14:val="tx1"/>
            </w14:solidFill>
          </w14:textFill>
        </w:rPr>
      </w:pPr>
      <w:bookmarkStart w:id="108" w:name="_Toc6783"/>
      <w:r>
        <w:rPr>
          <w:rFonts w:hint="default" w:ascii="Times New Roman" w:hAnsi="Times New Roman" w:eastAsia="宋体" w:cs="Times New Roman"/>
          <w:b/>
          <w:color w:val="000000" w:themeColor="text1"/>
          <w:lang w:eastAsia="zh-CN"/>
          <w14:textFill>
            <w14:solidFill>
              <w14:schemeClr w14:val="tx1"/>
            </w14:solidFill>
          </w14:textFill>
        </w:rPr>
        <w:t>3.1.6公用工程</w:t>
      </w:r>
      <w:bookmarkEnd w:id="108"/>
    </w:p>
    <w:p w14:paraId="3CFA87A0">
      <w:pPr>
        <w:keepNext w:val="0"/>
        <w:keepLines w:val="0"/>
        <w:pageBreakBefore w:val="0"/>
        <w:widowControl w:val="0"/>
        <w:kinsoku/>
        <w:wordWrap/>
        <w:overflowPunct/>
        <w:topLinePunct w:val="0"/>
        <w:autoSpaceDE/>
        <w:autoSpaceDN/>
        <w:bidi w:val="0"/>
        <w:spacing w:line="360" w:lineRule="auto"/>
        <w:ind w:firstLine="48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（1）给排水</w:t>
      </w:r>
    </w:p>
    <w:p w14:paraId="0ECB4119">
      <w:pPr>
        <w:keepNext w:val="0"/>
        <w:keepLines w:val="0"/>
        <w:pageBreakBefore w:val="0"/>
        <w:widowControl w:val="0"/>
        <w:kinsoku/>
        <w:wordWrap/>
        <w:overflowPunct/>
        <w:topLinePunct w:val="0"/>
        <w:autoSpaceDE/>
        <w:autoSpaceDN/>
        <w:bidi w:val="0"/>
        <w:spacing w:line="360" w:lineRule="auto"/>
        <w:ind w:firstLine="48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1）给水</w:t>
      </w:r>
    </w:p>
    <w:p w14:paraId="2A9B26B1">
      <w:pPr>
        <w:keepNext w:val="0"/>
        <w:keepLines w:val="0"/>
        <w:pageBreakBefore w:val="0"/>
        <w:widowControl w:val="0"/>
        <w:kinsoku/>
        <w:wordWrap/>
        <w:overflowPunct/>
        <w:topLinePunct w:val="0"/>
        <w:autoSpaceDE/>
        <w:autoSpaceDN/>
        <w:bidi w:val="0"/>
        <w:spacing w:line="360" w:lineRule="auto"/>
        <w:ind w:firstLine="452"/>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spacing w:val="-7"/>
          <w14:textFill>
            <w14:solidFill>
              <w14:schemeClr w14:val="tx1"/>
            </w14:solidFill>
          </w14:textFill>
        </w:rPr>
        <w:t>本项目所处区域无市政管网，因此采用地下水作为水源。本项目设</w:t>
      </w:r>
      <w:r>
        <w:rPr>
          <w:rFonts w:hint="default" w:ascii="Times New Roman" w:hAnsi="Times New Roman" w:eastAsia="宋体" w:cs="Times New Roman"/>
          <w:color w:val="000000" w:themeColor="text1"/>
          <w:spacing w:val="-7"/>
          <w:lang w:val="en-US" w:eastAsia="zh-CN"/>
          <w14:textFill>
            <w14:solidFill>
              <w14:schemeClr w14:val="tx1"/>
            </w14:solidFill>
          </w14:textFill>
        </w:rPr>
        <w:t>3</w:t>
      </w:r>
      <w:r>
        <w:rPr>
          <w:rFonts w:hint="default" w:ascii="Times New Roman" w:hAnsi="Times New Roman" w:eastAsia="宋体" w:cs="Times New Roman"/>
          <w:color w:val="000000" w:themeColor="text1"/>
          <w:spacing w:val="-7"/>
          <w14:textFill>
            <w14:solidFill>
              <w14:schemeClr w14:val="tx1"/>
            </w14:solidFill>
          </w14:textFill>
        </w:rPr>
        <w:t>口自备水井，井深100m，出水量均为40m</w:t>
      </w:r>
      <w:r>
        <w:rPr>
          <w:rFonts w:hint="default" w:ascii="Times New Roman" w:hAnsi="Times New Roman" w:eastAsia="宋体" w:cs="Times New Roman"/>
          <w:color w:val="000000" w:themeColor="text1"/>
          <w:spacing w:val="-7"/>
          <w:vertAlign w:val="superscript"/>
          <w14:textFill>
            <w14:solidFill>
              <w14:schemeClr w14:val="tx1"/>
            </w14:solidFill>
          </w14:textFill>
        </w:rPr>
        <w:t>3</w:t>
      </w:r>
      <w:r>
        <w:rPr>
          <w:rFonts w:hint="default" w:ascii="Times New Roman" w:hAnsi="Times New Roman" w:eastAsia="宋体" w:cs="Times New Roman"/>
          <w:color w:val="000000" w:themeColor="text1"/>
          <w:spacing w:val="-7"/>
          <w14:textFill>
            <w14:solidFill>
              <w14:schemeClr w14:val="tx1"/>
            </w14:solidFill>
          </w14:textFill>
        </w:rPr>
        <w:t>/h，</w:t>
      </w:r>
      <w:r>
        <w:rPr>
          <w:rFonts w:hint="default" w:ascii="Times New Roman" w:hAnsi="Times New Roman" w:eastAsia="宋体" w:cs="Times New Roman"/>
          <w:color w:val="000000" w:themeColor="text1"/>
          <w14:textFill>
            <w14:solidFill>
              <w14:schemeClr w14:val="tx1"/>
            </w14:solidFill>
          </w14:textFill>
        </w:rPr>
        <w:t>水质与水量均能够满足本项目用水需求。项目运营期用水主要包括职工生活用水、生产用水、绿化用水等，其中生产用水包括牛饮用水、挤奶厅地面</w:t>
      </w:r>
      <w:r>
        <w:rPr>
          <w:rFonts w:hint="eastAsia" w:cs="Times New Roman"/>
          <w:color w:val="000000" w:themeColor="text1"/>
          <w:lang w:val="en-US" w:eastAsia="zh-CN"/>
          <w14:textFill>
            <w14:solidFill>
              <w14:schemeClr w14:val="tx1"/>
            </w14:solidFill>
          </w14:textFill>
        </w:rPr>
        <w:t>及</w:t>
      </w:r>
      <w:r>
        <w:rPr>
          <w:rFonts w:hint="default" w:ascii="Times New Roman" w:hAnsi="Times New Roman" w:eastAsia="宋体" w:cs="Times New Roman"/>
          <w:color w:val="000000" w:themeColor="text1"/>
          <w14:textFill>
            <w14:solidFill>
              <w14:schemeClr w14:val="tx1"/>
            </w14:solidFill>
          </w14:textFill>
        </w:rPr>
        <w:t>设备冲洗用水、饲料搅拌用水等。</w:t>
      </w:r>
    </w:p>
    <w:p w14:paraId="60DA966C">
      <w:pPr>
        <w:keepNext w:val="0"/>
        <w:keepLines w:val="0"/>
        <w:pageBreakBefore w:val="0"/>
        <w:widowControl w:val="0"/>
        <w:kinsoku/>
        <w:wordWrap/>
        <w:overflowPunct/>
        <w:topLinePunct w:val="0"/>
        <w:autoSpaceDE/>
        <w:autoSpaceDN/>
        <w:bidi w:val="0"/>
        <w:spacing w:line="360" w:lineRule="auto"/>
        <w:ind w:firstLine="48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2）用水量</w:t>
      </w:r>
    </w:p>
    <w:p w14:paraId="59C3078F">
      <w:pPr>
        <w:keepNext w:val="0"/>
        <w:keepLines w:val="0"/>
        <w:pageBreakBefore w:val="0"/>
        <w:widowControl w:val="0"/>
        <w:kinsoku/>
        <w:wordWrap/>
        <w:overflowPunct/>
        <w:topLinePunct w:val="0"/>
        <w:autoSpaceDE/>
        <w:autoSpaceDN/>
        <w:bidi w:val="0"/>
        <w:snapToGrid w:val="0"/>
        <w:spacing w:line="360" w:lineRule="auto"/>
        <w:ind w:firstLine="48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fldChar w:fldCharType="begin"/>
      </w:r>
      <w:r>
        <w:rPr>
          <w:rFonts w:hint="default" w:ascii="Times New Roman" w:hAnsi="Times New Roman" w:eastAsia="宋体" w:cs="Times New Roman"/>
          <w:color w:val="000000" w:themeColor="text1"/>
          <w14:textFill>
            <w14:solidFill>
              <w14:schemeClr w14:val="tx1"/>
            </w14:solidFill>
          </w14:textFill>
        </w:rPr>
        <w:instrText xml:space="preserve"> = 1 \* GB3 \* MERGEFORMAT </w:instrText>
      </w:r>
      <w:r>
        <w:rPr>
          <w:rFonts w:hint="default" w:ascii="Times New Roman" w:hAnsi="Times New Roman" w:eastAsia="宋体" w:cs="Times New Roman"/>
          <w:color w:val="000000" w:themeColor="text1"/>
          <w14:textFill>
            <w14:solidFill>
              <w14:schemeClr w14:val="tx1"/>
            </w14:solidFill>
          </w14:textFill>
        </w:rPr>
        <w:fldChar w:fldCharType="separate"/>
      </w:r>
      <w:r>
        <w:rPr>
          <w:rFonts w:hint="default" w:ascii="Times New Roman" w:hAnsi="Times New Roman" w:eastAsia="宋体" w:cs="Times New Roman"/>
          <w:color w:val="000000" w:themeColor="text1"/>
          <w14:textFill>
            <w14:solidFill>
              <w14:schemeClr w14:val="tx1"/>
            </w14:solidFill>
          </w14:textFill>
        </w:rPr>
        <w:t>①</w:t>
      </w:r>
      <w:r>
        <w:rPr>
          <w:rFonts w:hint="default" w:ascii="Times New Roman" w:hAnsi="Times New Roman" w:eastAsia="宋体" w:cs="Times New Roman"/>
          <w:color w:val="000000" w:themeColor="text1"/>
          <w14:textFill>
            <w14:solidFill>
              <w14:schemeClr w14:val="tx1"/>
            </w14:solidFill>
          </w14:textFill>
        </w:rPr>
        <w:fldChar w:fldCharType="end"/>
      </w:r>
      <w:r>
        <w:rPr>
          <w:rFonts w:hint="default" w:ascii="Times New Roman" w:hAnsi="Times New Roman" w:eastAsia="宋体" w:cs="Times New Roman"/>
          <w:color w:val="000000" w:themeColor="text1"/>
          <w14:textFill>
            <w14:solidFill>
              <w14:schemeClr w14:val="tx1"/>
            </w14:solidFill>
          </w14:textFill>
        </w:rPr>
        <w:t>生活用水</w:t>
      </w:r>
    </w:p>
    <w:p w14:paraId="4E56D23A">
      <w:pPr>
        <w:keepNext w:val="0"/>
        <w:keepLines w:val="0"/>
        <w:pageBreakBefore w:val="0"/>
        <w:widowControl w:val="0"/>
        <w:kinsoku/>
        <w:wordWrap/>
        <w:overflowPunct/>
        <w:topLinePunct w:val="0"/>
        <w:autoSpaceDE/>
        <w:autoSpaceDN/>
        <w:bidi w:val="0"/>
        <w:spacing w:line="360" w:lineRule="auto"/>
        <w:ind w:firstLine="48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本项目劳动定员30人，年工作365d，根据《行业用水定额标准》</w:t>
      </w:r>
      <w:r>
        <w:rPr>
          <w:rFonts w:hint="default" w:ascii="Times New Roman" w:hAnsi="Times New Roman" w:eastAsia="宋体" w:cs="Times New Roman"/>
          <w:color w:val="000000" w:themeColor="text1"/>
          <w:lang w:val="en-US" w:eastAsia="zh-CN"/>
          <w14:textFill>
            <w14:solidFill>
              <w14:schemeClr w14:val="tx1"/>
            </w14:solidFill>
          </w14:textFill>
        </w:rPr>
        <w:t>（DB15/T385-2020）</w:t>
      </w:r>
      <w:r>
        <w:rPr>
          <w:rFonts w:hint="default" w:ascii="Times New Roman" w:hAnsi="Times New Roman" w:eastAsia="宋体" w:cs="Times New Roman"/>
          <w:color w:val="000000" w:themeColor="text1"/>
          <w14:textFill>
            <w14:solidFill>
              <w14:schemeClr w14:val="tx1"/>
            </w14:solidFill>
          </w14:textFill>
        </w:rPr>
        <w:t>，生活用水量定额按60L/人·d计，则生活用水量为1.8m</w:t>
      </w:r>
      <w:r>
        <w:rPr>
          <w:rFonts w:hint="default" w:ascii="Times New Roman" w:hAnsi="Times New Roman" w:eastAsia="宋体" w:cs="Times New Roman"/>
          <w:color w:val="000000" w:themeColor="text1"/>
          <w:vertAlign w:val="superscript"/>
          <w14:textFill>
            <w14:solidFill>
              <w14:schemeClr w14:val="tx1"/>
            </w14:solidFill>
          </w14:textFill>
        </w:rPr>
        <w:t>3</w:t>
      </w:r>
      <w:r>
        <w:rPr>
          <w:rFonts w:hint="default" w:ascii="Times New Roman" w:hAnsi="Times New Roman" w:eastAsia="宋体" w:cs="Times New Roman"/>
          <w:color w:val="000000" w:themeColor="text1"/>
          <w14:textFill>
            <w14:solidFill>
              <w14:schemeClr w14:val="tx1"/>
            </w14:solidFill>
          </w14:textFill>
        </w:rPr>
        <w:t>/d（657m</w:t>
      </w:r>
      <w:r>
        <w:rPr>
          <w:rFonts w:hint="default" w:ascii="Times New Roman" w:hAnsi="Times New Roman" w:eastAsia="宋体" w:cs="Times New Roman"/>
          <w:color w:val="000000" w:themeColor="text1"/>
          <w:vertAlign w:val="superscript"/>
          <w14:textFill>
            <w14:solidFill>
              <w14:schemeClr w14:val="tx1"/>
            </w14:solidFill>
          </w14:textFill>
        </w:rPr>
        <w:t>3</w:t>
      </w:r>
      <w:r>
        <w:rPr>
          <w:rFonts w:hint="default" w:ascii="Times New Roman" w:hAnsi="Times New Roman" w:eastAsia="宋体" w:cs="Times New Roman"/>
          <w:color w:val="000000" w:themeColor="text1"/>
          <w14:textFill>
            <w14:solidFill>
              <w14:schemeClr w14:val="tx1"/>
            </w14:solidFill>
          </w14:textFill>
        </w:rPr>
        <w:t>/a）。</w:t>
      </w:r>
    </w:p>
    <w:p w14:paraId="115A3166">
      <w:pPr>
        <w:keepNext w:val="0"/>
        <w:keepLines w:val="0"/>
        <w:pageBreakBefore w:val="0"/>
        <w:widowControl w:val="0"/>
        <w:kinsoku/>
        <w:wordWrap/>
        <w:overflowPunct/>
        <w:topLinePunct w:val="0"/>
        <w:autoSpaceDE/>
        <w:autoSpaceDN/>
        <w:bidi w:val="0"/>
        <w:snapToGrid w:val="0"/>
        <w:spacing w:line="360" w:lineRule="auto"/>
        <w:ind w:firstLine="48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fldChar w:fldCharType="begin"/>
      </w:r>
      <w:r>
        <w:rPr>
          <w:rFonts w:hint="default" w:ascii="Times New Roman" w:hAnsi="Times New Roman" w:eastAsia="宋体" w:cs="Times New Roman"/>
          <w:color w:val="000000" w:themeColor="text1"/>
          <w14:textFill>
            <w14:solidFill>
              <w14:schemeClr w14:val="tx1"/>
            </w14:solidFill>
          </w14:textFill>
        </w:rPr>
        <w:instrText xml:space="preserve"> = 2 \* GB3 \* MERGEFORMAT </w:instrText>
      </w:r>
      <w:r>
        <w:rPr>
          <w:rFonts w:hint="default" w:ascii="Times New Roman" w:hAnsi="Times New Roman" w:eastAsia="宋体" w:cs="Times New Roman"/>
          <w:color w:val="000000" w:themeColor="text1"/>
          <w14:textFill>
            <w14:solidFill>
              <w14:schemeClr w14:val="tx1"/>
            </w14:solidFill>
          </w14:textFill>
        </w:rPr>
        <w:fldChar w:fldCharType="separate"/>
      </w:r>
      <w:r>
        <w:rPr>
          <w:rFonts w:hint="default" w:ascii="Times New Roman" w:hAnsi="Times New Roman" w:eastAsia="宋体" w:cs="Times New Roman"/>
          <w:color w:val="000000" w:themeColor="text1"/>
          <w14:textFill>
            <w14:solidFill>
              <w14:schemeClr w14:val="tx1"/>
            </w14:solidFill>
          </w14:textFill>
        </w:rPr>
        <w:t>②</w:t>
      </w:r>
      <w:r>
        <w:rPr>
          <w:rFonts w:hint="default" w:ascii="Times New Roman" w:hAnsi="Times New Roman" w:eastAsia="宋体" w:cs="Times New Roman"/>
          <w:color w:val="000000" w:themeColor="text1"/>
          <w14:textFill>
            <w14:solidFill>
              <w14:schemeClr w14:val="tx1"/>
            </w14:solidFill>
          </w14:textFill>
        </w:rPr>
        <w:fldChar w:fldCharType="end"/>
      </w:r>
      <w:r>
        <w:rPr>
          <w:rFonts w:hint="default" w:ascii="Times New Roman" w:hAnsi="Times New Roman" w:eastAsia="宋体" w:cs="Times New Roman"/>
          <w:color w:val="000000" w:themeColor="text1"/>
          <w14:textFill>
            <w14:solidFill>
              <w14:schemeClr w14:val="tx1"/>
            </w14:solidFill>
          </w14:textFill>
        </w:rPr>
        <w:t>牛养殖用水</w:t>
      </w:r>
    </w:p>
    <w:p w14:paraId="25274A6B">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color w:val="000000" w:themeColor="text1"/>
          <w:highlight w:val="yellow"/>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根据企业提供资料，</w:t>
      </w:r>
      <w:r>
        <w:rPr>
          <w:rFonts w:hint="default" w:ascii="Times New Roman" w:hAnsi="Times New Roman" w:eastAsia="宋体" w:cs="Times New Roman"/>
          <w:bCs/>
          <w:color w:val="000000" w:themeColor="text1"/>
          <w14:textFill>
            <w14:solidFill>
              <w14:schemeClr w14:val="tx1"/>
            </w14:solidFill>
          </w14:textFill>
        </w:rPr>
        <w:t>泌乳牛饮用水量80L</w:t>
      </w:r>
      <w:r>
        <w:rPr>
          <w:rFonts w:hint="default" w:ascii="Times New Roman" w:hAnsi="Times New Roman" w:eastAsia="宋体" w:cs="Times New Roman"/>
          <w:color w:val="000000" w:themeColor="text1"/>
          <w14:textFill>
            <w14:solidFill>
              <w14:schemeClr w14:val="tx1"/>
            </w14:solidFill>
          </w14:textFill>
        </w:rPr>
        <w:t>/头·d，围产干奶牛饮用水量50L/头·d，隔离牛饮用水量50L/头·d，青年牛饮用水量30L/头·d，育成牛饮用水量20L/头·d，犊牛饮用水量5L/头·d。项目营运期约有泌乳牛400头，干奶牛100头，青年牛50头，育成牛50头，犊牛100头。经计算，项目牛饮用水量共计为40.5（32+5+1.5+1.5+0.5）m</w:t>
      </w:r>
      <w:r>
        <w:rPr>
          <w:rFonts w:hint="default" w:ascii="Times New Roman" w:hAnsi="Times New Roman" w:eastAsia="宋体" w:cs="Times New Roman"/>
          <w:color w:val="000000" w:themeColor="text1"/>
          <w:vertAlign w:val="superscript"/>
          <w14:textFill>
            <w14:solidFill>
              <w14:schemeClr w14:val="tx1"/>
            </w14:solidFill>
          </w14:textFill>
        </w:rPr>
        <w:t>3</w:t>
      </w:r>
      <w:r>
        <w:rPr>
          <w:rFonts w:hint="default" w:ascii="Times New Roman" w:hAnsi="Times New Roman" w:eastAsia="宋体" w:cs="Times New Roman"/>
          <w:color w:val="000000" w:themeColor="text1"/>
          <w14:textFill>
            <w14:solidFill>
              <w14:schemeClr w14:val="tx1"/>
            </w14:solidFill>
          </w14:textFill>
        </w:rPr>
        <w:t>/d。</w:t>
      </w:r>
    </w:p>
    <w:p w14:paraId="673B9101">
      <w:pPr>
        <w:pStyle w:val="2"/>
        <w:keepNext w:val="0"/>
        <w:keepLines w:val="0"/>
        <w:pageBreakBefore w:val="0"/>
        <w:widowControl w:val="0"/>
        <w:kinsoku/>
        <w:wordWrap/>
        <w:overflowPunct/>
        <w:topLinePunct w:val="0"/>
        <w:autoSpaceDE/>
        <w:autoSpaceDN/>
        <w:bidi w:val="0"/>
        <w:adjustRightInd w:val="0"/>
        <w:spacing w:line="360" w:lineRule="auto"/>
        <w:ind w:firstLine="48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③挤奶厅设备清洗水</w:t>
      </w:r>
    </w:p>
    <w:p w14:paraId="0C42D576">
      <w:pPr>
        <w:pStyle w:val="2"/>
        <w:keepNext w:val="0"/>
        <w:keepLines w:val="0"/>
        <w:pageBreakBefore w:val="0"/>
        <w:widowControl w:val="0"/>
        <w:kinsoku/>
        <w:wordWrap/>
        <w:overflowPunct/>
        <w:topLinePunct w:val="0"/>
        <w:autoSpaceDE/>
        <w:autoSpaceDN/>
        <w:bidi w:val="0"/>
        <w:adjustRightInd w:val="0"/>
        <w:spacing w:line="360" w:lineRule="auto"/>
        <w:ind w:firstLine="48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本项目新建1座挤奶厅，用水主要为设备及奶厅地面清洗用水，水源为新鲜水，根据企业提供资料，清洗设备每次用水</w:t>
      </w:r>
      <w:r>
        <w:rPr>
          <w:rFonts w:hint="eastAsia" w:ascii="Times New Roman" w:hAnsi="Times New Roman" w:cs="Times New Roman"/>
          <w:color w:val="000000" w:themeColor="text1"/>
          <w:lang w:val="en-US" w:eastAsia="zh-CN"/>
          <w14:textFill>
            <w14:solidFill>
              <w14:schemeClr w14:val="tx1"/>
            </w14:solidFill>
          </w14:textFill>
        </w:rPr>
        <w:t>1.16</w:t>
      </w:r>
      <w:r>
        <w:rPr>
          <w:rFonts w:hint="default" w:ascii="Times New Roman" w:hAnsi="Times New Roman" w:eastAsia="宋体" w:cs="Times New Roman"/>
          <w:color w:val="000000" w:themeColor="text1"/>
          <w14:textFill>
            <w14:solidFill>
              <w14:schemeClr w14:val="tx1"/>
            </w14:solidFill>
          </w14:textFill>
        </w:rPr>
        <w:t>m</w:t>
      </w:r>
      <w:r>
        <w:rPr>
          <w:rFonts w:hint="default" w:ascii="Times New Roman" w:hAnsi="Times New Roman" w:eastAsia="宋体" w:cs="Times New Roman"/>
          <w:color w:val="000000" w:themeColor="text1"/>
          <w:vertAlign w:val="superscript"/>
          <w14:textFill>
            <w14:solidFill>
              <w14:schemeClr w14:val="tx1"/>
            </w14:solidFill>
          </w14:textFill>
        </w:rPr>
        <w:t>3</w:t>
      </w:r>
      <w:r>
        <w:rPr>
          <w:rFonts w:hint="default" w:ascii="Times New Roman" w:hAnsi="Times New Roman" w:eastAsia="宋体" w:cs="Times New Roman"/>
          <w:color w:val="000000" w:themeColor="text1"/>
          <w14:textFill>
            <w14:solidFill>
              <w14:schemeClr w14:val="tx1"/>
            </w14:solidFill>
          </w14:textFill>
        </w:rPr>
        <w:t>，每天早中晚共清洗三次，共用</w:t>
      </w:r>
      <w:r>
        <w:rPr>
          <w:rFonts w:hint="eastAsia" w:ascii="Times New Roman" w:hAnsi="Times New Roman" w:cs="Times New Roman"/>
          <w:color w:val="000000" w:themeColor="text1"/>
          <w:lang w:val="en-US" w:eastAsia="zh-CN"/>
          <w14:textFill>
            <w14:solidFill>
              <w14:schemeClr w14:val="tx1"/>
            </w14:solidFill>
          </w14:textFill>
        </w:rPr>
        <w:t>3.5</w:t>
      </w:r>
      <w:r>
        <w:rPr>
          <w:rFonts w:hint="default" w:ascii="Times New Roman" w:hAnsi="Times New Roman" w:eastAsia="宋体" w:cs="Times New Roman"/>
          <w:color w:val="000000" w:themeColor="text1"/>
          <w14:textFill>
            <w14:solidFill>
              <w14:schemeClr w14:val="tx1"/>
            </w14:solidFill>
          </w14:textFill>
        </w:rPr>
        <w:t>m</w:t>
      </w:r>
      <w:r>
        <w:rPr>
          <w:rFonts w:hint="default" w:ascii="Times New Roman" w:hAnsi="Times New Roman" w:eastAsia="宋体" w:cs="Times New Roman"/>
          <w:color w:val="000000" w:themeColor="text1"/>
          <w:vertAlign w:val="superscript"/>
          <w14:textFill>
            <w14:solidFill>
              <w14:schemeClr w14:val="tx1"/>
            </w14:solidFill>
          </w14:textFill>
        </w:rPr>
        <w:t>3</w:t>
      </w:r>
      <w:r>
        <w:rPr>
          <w:rFonts w:hint="default" w:ascii="Times New Roman" w:hAnsi="Times New Roman" w:eastAsia="宋体" w:cs="Times New Roman"/>
          <w:color w:val="000000" w:themeColor="text1"/>
          <w14:textFill>
            <w14:solidFill>
              <w14:schemeClr w14:val="tx1"/>
            </w14:solidFill>
          </w14:textFill>
        </w:rPr>
        <w:t>/d（</w:t>
      </w:r>
      <w:r>
        <w:rPr>
          <w:rFonts w:hint="eastAsia" w:ascii="Times New Roman" w:hAnsi="Times New Roman" w:cs="Times New Roman"/>
          <w:color w:val="000000" w:themeColor="text1"/>
          <w:lang w:val="en-US" w:eastAsia="zh-CN"/>
          <w14:textFill>
            <w14:solidFill>
              <w14:schemeClr w14:val="tx1"/>
            </w14:solidFill>
          </w14:textFill>
        </w:rPr>
        <w:t>1277.5</w:t>
      </w:r>
      <w:r>
        <w:rPr>
          <w:rFonts w:hint="default" w:ascii="Times New Roman" w:hAnsi="Times New Roman" w:eastAsia="宋体" w:cs="Times New Roman"/>
          <w:color w:val="000000" w:themeColor="text1"/>
          <w14:textFill>
            <w14:solidFill>
              <w14:schemeClr w14:val="tx1"/>
            </w14:solidFill>
          </w14:textFill>
        </w:rPr>
        <w:t>m</w:t>
      </w:r>
      <w:r>
        <w:rPr>
          <w:rFonts w:hint="default" w:ascii="Times New Roman" w:hAnsi="Times New Roman" w:eastAsia="宋体" w:cs="Times New Roman"/>
          <w:color w:val="000000" w:themeColor="text1"/>
          <w:vertAlign w:val="superscript"/>
          <w14:textFill>
            <w14:solidFill>
              <w14:schemeClr w14:val="tx1"/>
            </w14:solidFill>
          </w14:textFill>
        </w:rPr>
        <w:t>3</w:t>
      </w:r>
      <w:r>
        <w:rPr>
          <w:rFonts w:hint="default" w:ascii="Times New Roman" w:hAnsi="Times New Roman" w:eastAsia="宋体" w:cs="Times New Roman"/>
          <w:color w:val="000000" w:themeColor="text1"/>
          <w14:textFill>
            <w14:solidFill>
              <w14:schemeClr w14:val="tx1"/>
            </w14:solidFill>
          </w14:textFill>
        </w:rPr>
        <w:t>/a），清洗水回用于奶厅</w:t>
      </w:r>
      <w:r>
        <w:rPr>
          <w:rFonts w:hint="eastAsia" w:ascii="Times New Roman" w:hAnsi="Times New Roman" w:cs="Times New Roman"/>
          <w:color w:val="000000" w:themeColor="text1"/>
          <w:lang w:val="en-US" w:eastAsia="zh-CN"/>
          <w14:textFill>
            <w14:solidFill>
              <w14:schemeClr w14:val="tx1"/>
            </w14:solidFill>
          </w14:textFill>
        </w:rPr>
        <w:t>地面</w:t>
      </w:r>
      <w:r>
        <w:rPr>
          <w:rFonts w:hint="default" w:ascii="Times New Roman" w:hAnsi="Times New Roman" w:eastAsia="宋体" w:cs="Times New Roman"/>
          <w:color w:val="000000" w:themeColor="text1"/>
          <w14:textFill>
            <w14:solidFill>
              <w14:schemeClr w14:val="tx1"/>
            </w14:solidFill>
          </w14:textFill>
        </w:rPr>
        <w:t>冲洗。挤奶设备的酸洗和碱洗的酸液和碱液是经过专业厂家配置的复合有机酸和碱液，是进行交替进行酸碱清洗，清洗完后酸碱清洗废水的pH值在7至8.5略偏碱性，全部回用于地面冲洗。</w:t>
      </w:r>
    </w:p>
    <w:p w14:paraId="0C18C0E4">
      <w:pPr>
        <w:pStyle w:val="2"/>
        <w:keepNext w:val="0"/>
        <w:keepLines w:val="0"/>
        <w:pageBreakBefore w:val="0"/>
        <w:widowControl w:val="0"/>
        <w:kinsoku/>
        <w:wordWrap/>
        <w:overflowPunct/>
        <w:topLinePunct w:val="0"/>
        <w:autoSpaceDE/>
        <w:autoSpaceDN/>
        <w:bidi w:val="0"/>
        <w:adjustRightInd w:val="0"/>
        <w:spacing w:line="360" w:lineRule="auto"/>
        <w:ind w:firstLine="48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④挤奶厅地面冲洗水</w:t>
      </w:r>
    </w:p>
    <w:p w14:paraId="0C733721">
      <w:pPr>
        <w:pStyle w:val="2"/>
        <w:keepNext w:val="0"/>
        <w:keepLines w:val="0"/>
        <w:pageBreakBefore w:val="0"/>
        <w:widowControl w:val="0"/>
        <w:kinsoku/>
        <w:wordWrap/>
        <w:overflowPunct/>
        <w:topLinePunct w:val="0"/>
        <w:autoSpaceDE/>
        <w:autoSpaceDN/>
        <w:bidi w:val="0"/>
        <w:adjustRightInd w:val="0"/>
        <w:spacing w:line="360" w:lineRule="auto"/>
        <w:ind w:firstLine="48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挤奶厅地面需进行定期清洗，用水定额按3</w:t>
      </w:r>
      <w:r>
        <w:rPr>
          <w:rFonts w:hint="default" w:ascii="Times New Roman" w:hAnsi="Times New Roman" w:eastAsia="宋体" w:cs="Times New Roman"/>
          <w:bCs/>
          <w:color w:val="000000" w:themeColor="text1"/>
          <w14:textFill>
            <w14:solidFill>
              <w14:schemeClr w14:val="tx1"/>
            </w14:solidFill>
          </w14:textFill>
        </w:rPr>
        <w:t>L</w:t>
      </w:r>
      <w:r>
        <w:rPr>
          <w:rFonts w:hint="default" w:ascii="Times New Roman" w:hAnsi="Times New Roman" w:eastAsia="宋体" w:cs="Times New Roman"/>
          <w:color w:val="000000" w:themeColor="text1"/>
          <w14:textFill>
            <w14:solidFill>
              <w14:schemeClr w14:val="tx1"/>
            </w14:solidFill>
          </w14:textFill>
        </w:rPr>
        <w:t>/m</w:t>
      </w:r>
      <w:r>
        <w:rPr>
          <w:rFonts w:hint="default" w:ascii="Times New Roman" w:hAnsi="Times New Roman" w:eastAsia="宋体" w:cs="Times New Roman"/>
          <w:color w:val="000000" w:themeColor="text1"/>
          <w:vertAlign w:val="superscript"/>
          <w14:textFill>
            <w14:solidFill>
              <w14:schemeClr w14:val="tx1"/>
            </w14:solidFill>
          </w14:textFill>
        </w:rPr>
        <w:t>2</w:t>
      </w:r>
      <w:r>
        <w:rPr>
          <w:rFonts w:hint="default" w:ascii="Times New Roman" w:hAnsi="Times New Roman" w:eastAsia="宋体" w:cs="Times New Roman"/>
          <w:color w:val="000000" w:themeColor="text1"/>
          <w14:textFill>
            <w14:solidFill>
              <w14:schemeClr w14:val="tx1"/>
            </w14:solidFill>
          </w14:textFill>
        </w:rPr>
        <w:t>计算，每天冲洗3次，项目设有1个挤奶厅，面积为500m</w:t>
      </w:r>
      <w:r>
        <w:rPr>
          <w:rFonts w:hint="default" w:ascii="Times New Roman" w:hAnsi="Times New Roman" w:eastAsia="宋体" w:cs="Times New Roman"/>
          <w:color w:val="000000" w:themeColor="text1"/>
          <w:vertAlign w:val="superscript"/>
          <w14:textFill>
            <w14:solidFill>
              <w14:schemeClr w14:val="tx1"/>
            </w14:solidFill>
          </w14:textFill>
        </w:rPr>
        <w:t>2</w:t>
      </w:r>
      <w:r>
        <w:rPr>
          <w:rFonts w:hint="default" w:ascii="Times New Roman" w:hAnsi="Times New Roman" w:eastAsia="宋体" w:cs="Times New Roman"/>
          <w:color w:val="000000" w:themeColor="text1"/>
          <w14:textFill>
            <w14:solidFill>
              <w14:schemeClr w14:val="tx1"/>
            </w14:solidFill>
          </w14:textFill>
        </w:rPr>
        <w:t>，则挤奶厅地面冲洗水用量为1.5m</w:t>
      </w:r>
      <w:r>
        <w:rPr>
          <w:rFonts w:hint="default" w:ascii="Times New Roman" w:hAnsi="Times New Roman" w:eastAsia="宋体" w:cs="Times New Roman"/>
          <w:color w:val="000000" w:themeColor="text1"/>
          <w:vertAlign w:val="superscript"/>
          <w14:textFill>
            <w14:solidFill>
              <w14:schemeClr w14:val="tx1"/>
            </w14:solidFill>
          </w14:textFill>
        </w:rPr>
        <w:t>3</w:t>
      </w:r>
      <w:r>
        <w:rPr>
          <w:rFonts w:hint="default" w:ascii="Times New Roman" w:hAnsi="Times New Roman" w:eastAsia="宋体" w:cs="Times New Roman"/>
          <w:color w:val="000000" w:themeColor="text1"/>
          <w14:textFill>
            <w14:solidFill>
              <w14:schemeClr w14:val="tx1"/>
            </w14:solidFill>
          </w14:textFill>
        </w:rPr>
        <w:t>/d。</w:t>
      </w:r>
    </w:p>
    <w:p w14:paraId="37CCCC74">
      <w:pPr>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eastAsia="宋体" w:cs="Times New Roman"/>
          <w:bCs/>
          <w:color w:val="000000" w:themeColor="text1"/>
          <w14:textFill>
            <w14:solidFill>
              <w14:schemeClr w14:val="tx1"/>
            </w14:solidFill>
          </w14:textFill>
        </w:rPr>
      </w:pPr>
      <w:r>
        <w:rPr>
          <w:rFonts w:hint="default" w:ascii="Times New Roman" w:hAnsi="Times New Roman" w:eastAsia="宋体" w:cs="Times New Roman"/>
          <w:bCs/>
          <w:color w:val="000000" w:themeColor="text1"/>
          <w14:textFill>
            <w14:solidFill>
              <w14:schemeClr w14:val="tx1"/>
            </w14:solidFill>
          </w14:textFill>
        </w:rPr>
        <w:t>⑤饲料搅拌用水</w:t>
      </w:r>
    </w:p>
    <w:p w14:paraId="0D9D54DB">
      <w:pPr>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eastAsia="宋体" w:cs="Times New Roman"/>
          <w:bCs/>
          <w:color w:val="000000" w:themeColor="text1"/>
          <w14:textFill>
            <w14:solidFill>
              <w14:schemeClr w14:val="tx1"/>
            </w14:solidFill>
          </w14:textFill>
        </w:rPr>
      </w:pPr>
      <w:r>
        <w:rPr>
          <w:rFonts w:hint="default" w:ascii="Times New Roman" w:hAnsi="Times New Roman" w:eastAsia="宋体" w:cs="Times New Roman"/>
          <w:bCs/>
          <w:color w:val="000000" w:themeColor="text1"/>
          <w14:textFill>
            <w14:solidFill>
              <w14:schemeClr w14:val="tx1"/>
            </w14:solidFill>
          </w14:textFill>
        </w:rPr>
        <w:t>饲料搅拌过程需要加少量水喷洒调湿，根据企业提供资料，饲料搅拌用水量为1m</w:t>
      </w:r>
      <w:r>
        <w:rPr>
          <w:rFonts w:hint="default" w:ascii="Times New Roman" w:hAnsi="Times New Roman" w:eastAsia="宋体" w:cs="Times New Roman"/>
          <w:bCs/>
          <w:color w:val="000000" w:themeColor="text1"/>
          <w:vertAlign w:val="superscript"/>
          <w14:textFill>
            <w14:solidFill>
              <w14:schemeClr w14:val="tx1"/>
            </w14:solidFill>
          </w14:textFill>
        </w:rPr>
        <w:t>3</w:t>
      </w:r>
      <w:r>
        <w:rPr>
          <w:rFonts w:hint="default" w:ascii="Times New Roman" w:hAnsi="Times New Roman" w:eastAsia="宋体" w:cs="Times New Roman"/>
          <w:bCs/>
          <w:color w:val="000000" w:themeColor="text1"/>
          <w14:textFill>
            <w14:solidFill>
              <w14:schemeClr w14:val="tx1"/>
            </w14:solidFill>
          </w14:textFill>
        </w:rPr>
        <w:t>/d（365m</w:t>
      </w:r>
      <w:r>
        <w:rPr>
          <w:rFonts w:hint="default" w:ascii="Times New Roman" w:hAnsi="Times New Roman" w:eastAsia="宋体" w:cs="Times New Roman"/>
          <w:bCs/>
          <w:color w:val="000000" w:themeColor="text1"/>
          <w:vertAlign w:val="superscript"/>
          <w14:textFill>
            <w14:solidFill>
              <w14:schemeClr w14:val="tx1"/>
            </w14:solidFill>
          </w14:textFill>
        </w:rPr>
        <w:t>3</w:t>
      </w:r>
      <w:r>
        <w:rPr>
          <w:rFonts w:hint="default" w:ascii="Times New Roman" w:hAnsi="Times New Roman" w:eastAsia="宋体" w:cs="Times New Roman"/>
          <w:bCs/>
          <w:color w:val="000000" w:themeColor="text1"/>
          <w14:textFill>
            <w14:solidFill>
              <w14:schemeClr w14:val="tx1"/>
            </w14:solidFill>
          </w14:textFill>
        </w:rPr>
        <w:t>/a），直接代入饲料中。</w:t>
      </w:r>
    </w:p>
    <w:p w14:paraId="4EB51982">
      <w:pPr>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eastAsia="宋体" w:cs="Times New Roman"/>
          <w:bCs/>
          <w:color w:val="000000" w:themeColor="text1"/>
          <w14:textFill>
            <w14:solidFill>
              <w14:schemeClr w14:val="tx1"/>
            </w14:solidFill>
          </w14:textFill>
        </w:rPr>
      </w:pPr>
      <w:r>
        <w:rPr>
          <w:rFonts w:hint="default" w:ascii="Times New Roman" w:hAnsi="Times New Roman" w:eastAsia="宋体" w:cs="Times New Roman"/>
          <w:bCs/>
          <w:color w:val="000000" w:themeColor="text1"/>
          <w14:textFill>
            <w14:solidFill>
              <w14:schemeClr w14:val="tx1"/>
            </w14:solidFill>
          </w14:textFill>
        </w:rPr>
        <w:t>⑥绿化用水</w:t>
      </w:r>
    </w:p>
    <w:p w14:paraId="6ABC4657">
      <w:pPr>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eastAsia="宋体" w:cs="Times New Roman"/>
          <w:bCs/>
          <w:color w:val="000000" w:themeColor="text1"/>
          <w14:textFill>
            <w14:solidFill>
              <w14:schemeClr w14:val="tx1"/>
            </w14:solidFill>
          </w14:textFill>
        </w:rPr>
      </w:pPr>
      <w:r>
        <w:rPr>
          <w:rFonts w:hint="default" w:ascii="Times New Roman" w:hAnsi="Times New Roman" w:eastAsia="宋体" w:cs="Times New Roman"/>
          <w:bCs/>
          <w:color w:val="000000" w:themeColor="text1"/>
          <w14:textFill>
            <w14:solidFill>
              <w14:schemeClr w14:val="tx1"/>
            </w14:solidFill>
          </w14:textFill>
        </w:rPr>
        <w:t>根据《室外给水设计规范》，本项目绿化用水量定额按1.0L/（m</w:t>
      </w:r>
      <w:r>
        <w:rPr>
          <w:rFonts w:hint="default" w:ascii="Times New Roman" w:hAnsi="Times New Roman" w:eastAsia="宋体" w:cs="Times New Roman"/>
          <w:bCs/>
          <w:color w:val="000000" w:themeColor="text1"/>
          <w:vertAlign w:val="superscript"/>
          <w14:textFill>
            <w14:solidFill>
              <w14:schemeClr w14:val="tx1"/>
            </w14:solidFill>
          </w14:textFill>
        </w:rPr>
        <w:t>2</w:t>
      </w:r>
      <w:r>
        <w:rPr>
          <w:rFonts w:hint="default" w:ascii="Times New Roman" w:hAnsi="Times New Roman" w:eastAsia="宋体" w:cs="Times New Roman"/>
          <w:bCs/>
          <w:color w:val="000000" w:themeColor="text1"/>
          <w14:textFill>
            <w14:solidFill>
              <w14:schemeClr w14:val="tx1"/>
            </w14:solidFill>
          </w14:textFill>
        </w:rPr>
        <w:t>·d），养殖场内绿化面积为2000m</w:t>
      </w:r>
      <w:r>
        <w:rPr>
          <w:rFonts w:hint="default" w:ascii="Times New Roman" w:hAnsi="Times New Roman" w:eastAsia="宋体" w:cs="Times New Roman"/>
          <w:bCs/>
          <w:color w:val="000000" w:themeColor="text1"/>
          <w:vertAlign w:val="superscript"/>
          <w14:textFill>
            <w14:solidFill>
              <w14:schemeClr w14:val="tx1"/>
            </w14:solidFill>
          </w14:textFill>
        </w:rPr>
        <w:t>2</w:t>
      </w:r>
      <w:r>
        <w:rPr>
          <w:rFonts w:hint="default" w:ascii="Times New Roman" w:hAnsi="Times New Roman" w:eastAsia="宋体" w:cs="Times New Roman"/>
          <w:bCs/>
          <w:color w:val="000000" w:themeColor="text1"/>
          <w14:textFill>
            <w14:solidFill>
              <w14:schemeClr w14:val="tx1"/>
            </w14:solidFill>
          </w14:textFill>
        </w:rPr>
        <w:t>，绿化用水为2m</w:t>
      </w:r>
      <w:r>
        <w:rPr>
          <w:rFonts w:hint="default" w:ascii="Times New Roman" w:hAnsi="Times New Roman" w:eastAsia="宋体" w:cs="Times New Roman"/>
          <w:bCs/>
          <w:color w:val="000000" w:themeColor="text1"/>
          <w:vertAlign w:val="superscript"/>
          <w14:textFill>
            <w14:solidFill>
              <w14:schemeClr w14:val="tx1"/>
            </w14:solidFill>
          </w14:textFill>
        </w:rPr>
        <w:t>3</w:t>
      </w:r>
      <w:r>
        <w:rPr>
          <w:rFonts w:hint="default" w:ascii="Times New Roman" w:hAnsi="Times New Roman" w:eastAsia="宋体" w:cs="Times New Roman"/>
          <w:bCs/>
          <w:color w:val="000000" w:themeColor="text1"/>
          <w14:textFill>
            <w14:solidFill>
              <w14:schemeClr w14:val="tx1"/>
            </w14:solidFill>
          </w14:textFill>
        </w:rPr>
        <w:t>/d，绿化用水主要在春、夏季（185天），因此绿化用水水量为370m</w:t>
      </w:r>
      <w:r>
        <w:rPr>
          <w:rFonts w:hint="default" w:ascii="Times New Roman" w:hAnsi="Times New Roman" w:eastAsia="宋体" w:cs="Times New Roman"/>
          <w:bCs/>
          <w:color w:val="000000" w:themeColor="text1"/>
          <w:vertAlign w:val="superscript"/>
          <w14:textFill>
            <w14:solidFill>
              <w14:schemeClr w14:val="tx1"/>
            </w14:solidFill>
          </w14:textFill>
        </w:rPr>
        <w:t>3</w:t>
      </w:r>
      <w:r>
        <w:rPr>
          <w:rFonts w:hint="default" w:ascii="Times New Roman" w:hAnsi="Times New Roman" w:eastAsia="宋体" w:cs="Times New Roman"/>
          <w:bCs/>
          <w:color w:val="000000" w:themeColor="text1"/>
          <w14:textFill>
            <w14:solidFill>
              <w14:schemeClr w14:val="tx1"/>
            </w14:solidFill>
          </w14:textFill>
        </w:rPr>
        <w:t>/a。</w:t>
      </w:r>
    </w:p>
    <w:p w14:paraId="01933373">
      <w:pPr>
        <w:adjustRightInd w:val="0"/>
        <w:snapToGrid w:val="0"/>
        <w:spacing w:line="500" w:lineRule="exact"/>
        <w:ind w:firstLine="482"/>
        <w:jc w:val="center"/>
        <w:rPr>
          <w:rFonts w:hint="default" w:ascii="Times New Roman" w:hAnsi="Times New Roman" w:eastAsia="宋体" w:cs="Times New Roman"/>
          <w:b/>
          <w:color w:val="000000" w:themeColor="text1"/>
          <w14:textFill>
            <w14:solidFill>
              <w14:schemeClr w14:val="tx1"/>
            </w14:solidFill>
          </w14:textFill>
        </w:rPr>
      </w:pPr>
      <w:r>
        <w:rPr>
          <w:rFonts w:hint="default" w:ascii="Times New Roman" w:hAnsi="Times New Roman" w:eastAsia="宋体" w:cs="Times New Roman"/>
          <w:b/>
          <w:color w:val="000000" w:themeColor="text1"/>
          <w14:textFill>
            <w14:solidFill>
              <w14:schemeClr w14:val="tx1"/>
            </w14:solidFill>
          </w14:textFill>
        </w:rPr>
        <w:t>表3.1-7项目全厂年用水量计算表</w:t>
      </w:r>
    </w:p>
    <w:tbl>
      <w:tblPr>
        <w:tblStyle w:val="29"/>
        <w:tblW w:w="90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27"/>
        <w:gridCol w:w="660"/>
        <w:gridCol w:w="1287"/>
        <w:gridCol w:w="1350"/>
        <w:gridCol w:w="1138"/>
        <w:gridCol w:w="1291"/>
        <w:gridCol w:w="1057"/>
        <w:gridCol w:w="1712"/>
      </w:tblGrid>
      <w:tr w14:paraId="1CA116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9" w:hRule="atLeast"/>
          <w:jc w:val="center"/>
        </w:trPr>
        <w:tc>
          <w:tcPr>
            <w:tcW w:w="527" w:type="dxa"/>
            <w:vAlign w:val="center"/>
          </w:tcPr>
          <w:p w14:paraId="7F5A3CD6">
            <w:pPr>
              <w:widowControl/>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序号</w:t>
            </w:r>
          </w:p>
        </w:tc>
        <w:tc>
          <w:tcPr>
            <w:tcW w:w="1947" w:type="dxa"/>
            <w:gridSpan w:val="2"/>
            <w:vAlign w:val="center"/>
          </w:tcPr>
          <w:p w14:paraId="5B8BC792">
            <w:pPr>
              <w:widowControl/>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用水项目</w:t>
            </w:r>
          </w:p>
        </w:tc>
        <w:tc>
          <w:tcPr>
            <w:tcW w:w="1350" w:type="dxa"/>
            <w:vAlign w:val="center"/>
          </w:tcPr>
          <w:p w14:paraId="224A26EC">
            <w:pPr>
              <w:widowControl/>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用水量定额</w:t>
            </w:r>
          </w:p>
        </w:tc>
        <w:tc>
          <w:tcPr>
            <w:tcW w:w="1138" w:type="dxa"/>
            <w:vAlign w:val="center"/>
          </w:tcPr>
          <w:p w14:paraId="3A168F41">
            <w:pPr>
              <w:widowControl/>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用水规模</w:t>
            </w:r>
          </w:p>
        </w:tc>
        <w:tc>
          <w:tcPr>
            <w:tcW w:w="1291" w:type="dxa"/>
            <w:vAlign w:val="center"/>
          </w:tcPr>
          <w:p w14:paraId="667CE63E">
            <w:pPr>
              <w:widowControl/>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日用水量m</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3</w:t>
            </w:r>
            <w:r>
              <w:rPr>
                <w:rFonts w:hint="default" w:ascii="Times New Roman" w:hAnsi="Times New Roman" w:eastAsia="宋体" w:cs="Times New Roman"/>
                <w:color w:val="000000" w:themeColor="text1"/>
                <w:sz w:val="21"/>
                <w:szCs w:val="21"/>
                <w14:textFill>
                  <w14:solidFill>
                    <w14:schemeClr w14:val="tx1"/>
                  </w14:solidFill>
                </w14:textFill>
              </w:rPr>
              <w:t>/d</w:t>
            </w:r>
          </w:p>
        </w:tc>
        <w:tc>
          <w:tcPr>
            <w:tcW w:w="1057" w:type="dxa"/>
            <w:vAlign w:val="center"/>
          </w:tcPr>
          <w:p w14:paraId="46DF75DD">
            <w:pPr>
              <w:widowControl/>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年用水量m</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3</w:t>
            </w:r>
            <w:r>
              <w:rPr>
                <w:rFonts w:hint="default" w:ascii="Times New Roman" w:hAnsi="Times New Roman" w:eastAsia="宋体" w:cs="Times New Roman"/>
                <w:color w:val="000000" w:themeColor="text1"/>
                <w:sz w:val="21"/>
                <w:szCs w:val="21"/>
                <w14:textFill>
                  <w14:solidFill>
                    <w14:schemeClr w14:val="tx1"/>
                  </w14:solidFill>
                </w14:textFill>
              </w:rPr>
              <w:t>/a</w:t>
            </w:r>
          </w:p>
        </w:tc>
        <w:tc>
          <w:tcPr>
            <w:tcW w:w="1712" w:type="dxa"/>
            <w:vAlign w:val="center"/>
          </w:tcPr>
          <w:p w14:paraId="16E42177">
            <w:pPr>
              <w:widowControl/>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备注</w:t>
            </w:r>
          </w:p>
        </w:tc>
      </w:tr>
      <w:tr w14:paraId="106013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9" w:hRule="atLeast"/>
          <w:jc w:val="center"/>
        </w:trPr>
        <w:tc>
          <w:tcPr>
            <w:tcW w:w="527" w:type="dxa"/>
            <w:vAlign w:val="center"/>
          </w:tcPr>
          <w:p w14:paraId="78D8F118">
            <w:pPr>
              <w:widowControl/>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w:t>
            </w:r>
          </w:p>
        </w:tc>
        <w:tc>
          <w:tcPr>
            <w:tcW w:w="1947" w:type="dxa"/>
            <w:gridSpan w:val="2"/>
            <w:vAlign w:val="center"/>
          </w:tcPr>
          <w:p w14:paraId="70B89260">
            <w:pPr>
              <w:widowControl/>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生活用水</w:t>
            </w:r>
          </w:p>
        </w:tc>
        <w:tc>
          <w:tcPr>
            <w:tcW w:w="1350" w:type="dxa"/>
            <w:vAlign w:val="center"/>
          </w:tcPr>
          <w:p w14:paraId="384D9CD3">
            <w:pPr>
              <w:widowControl/>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60L/人·d</w:t>
            </w:r>
          </w:p>
        </w:tc>
        <w:tc>
          <w:tcPr>
            <w:tcW w:w="1138" w:type="dxa"/>
            <w:vAlign w:val="center"/>
          </w:tcPr>
          <w:p w14:paraId="7D5C963D">
            <w:pPr>
              <w:widowControl/>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30人</w:t>
            </w:r>
          </w:p>
        </w:tc>
        <w:tc>
          <w:tcPr>
            <w:tcW w:w="1291" w:type="dxa"/>
            <w:vAlign w:val="center"/>
          </w:tcPr>
          <w:p w14:paraId="53E29171">
            <w:pPr>
              <w:widowControl/>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1.8</w:t>
            </w:r>
          </w:p>
        </w:tc>
        <w:tc>
          <w:tcPr>
            <w:tcW w:w="1057" w:type="dxa"/>
            <w:vAlign w:val="center"/>
          </w:tcPr>
          <w:p w14:paraId="6477A6AC">
            <w:pPr>
              <w:widowControl/>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657</w:t>
            </w:r>
          </w:p>
        </w:tc>
        <w:tc>
          <w:tcPr>
            <w:tcW w:w="1712" w:type="dxa"/>
            <w:vAlign w:val="center"/>
          </w:tcPr>
          <w:p w14:paraId="382C938E">
            <w:pPr>
              <w:widowControl/>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排水至化粪池</w:t>
            </w:r>
          </w:p>
        </w:tc>
      </w:tr>
      <w:tr w14:paraId="312D66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9" w:hRule="atLeast"/>
          <w:jc w:val="center"/>
        </w:trPr>
        <w:tc>
          <w:tcPr>
            <w:tcW w:w="527" w:type="dxa"/>
            <w:vMerge w:val="restart"/>
            <w:vAlign w:val="center"/>
          </w:tcPr>
          <w:p w14:paraId="78F5A20A">
            <w:pPr>
              <w:widowControl/>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w:t>
            </w:r>
          </w:p>
        </w:tc>
        <w:tc>
          <w:tcPr>
            <w:tcW w:w="660" w:type="dxa"/>
            <w:vMerge w:val="restart"/>
            <w:vAlign w:val="center"/>
          </w:tcPr>
          <w:p w14:paraId="4C4B9B5B">
            <w:pPr>
              <w:widowControl/>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牛饮用水</w:t>
            </w:r>
          </w:p>
        </w:tc>
        <w:tc>
          <w:tcPr>
            <w:tcW w:w="1287" w:type="dxa"/>
            <w:vAlign w:val="center"/>
          </w:tcPr>
          <w:p w14:paraId="26B11894">
            <w:pPr>
              <w:widowControl/>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泌乳牛</w:t>
            </w:r>
          </w:p>
        </w:tc>
        <w:tc>
          <w:tcPr>
            <w:tcW w:w="1350" w:type="dxa"/>
            <w:vAlign w:val="center"/>
          </w:tcPr>
          <w:p w14:paraId="7E793C16">
            <w:pPr>
              <w:widowControl/>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80L/头·d</w:t>
            </w:r>
          </w:p>
        </w:tc>
        <w:tc>
          <w:tcPr>
            <w:tcW w:w="1138" w:type="dxa"/>
            <w:vAlign w:val="center"/>
          </w:tcPr>
          <w:p w14:paraId="31F65223">
            <w:pPr>
              <w:widowControl/>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400头</w:t>
            </w:r>
          </w:p>
        </w:tc>
        <w:tc>
          <w:tcPr>
            <w:tcW w:w="1291" w:type="dxa"/>
            <w:vAlign w:val="center"/>
          </w:tcPr>
          <w:p w14:paraId="487905D9">
            <w:pPr>
              <w:widowControl/>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32</w:t>
            </w:r>
          </w:p>
        </w:tc>
        <w:tc>
          <w:tcPr>
            <w:tcW w:w="1057" w:type="dxa"/>
            <w:vAlign w:val="bottom"/>
          </w:tcPr>
          <w:p w14:paraId="499FFFB5">
            <w:pPr>
              <w:widowControl/>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11680</w:t>
            </w:r>
          </w:p>
        </w:tc>
        <w:tc>
          <w:tcPr>
            <w:tcW w:w="1712" w:type="dxa"/>
            <w:vMerge w:val="restart"/>
            <w:vAlign w:val="center"/>
          </w:tcPr>
          <w:p w14:paraId="16140C05">
            <w:pPr>
              <w:widowControl/>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排水以牛奶、粪便、尿液形式</w:t>
            </w:r>
          </w:p>
        </w:tc>
      </w:tr>
      <w:tr w14:paraId="20825D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9" w:hRule="atLeast"/>
          <w:jc w:val="center"/>
        </w:trPr>
        <w:tc>
          <w:tcPr>
            <w:tcW w:w="527" w:type="dxa"/>
            <w:vMerge w:val="continue"/>
            <w:vAlign w:val="center"/>
          </w:tcPr>
          <w:p w14:paraId="58146573">
            <w:pPr>
              <w:widowControl/>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660" w:type="dxa"/>
            <w:vMerge w:val="continue"/>
            <w:vAlign w:val="center"/>
          </w:tcPr>
          <w:p w14:paraId="6D58403C">
            <w:pPr>
              <w:widowControl/>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287" w:type="dxa"/>
            <w:vAlign w:val="center"/>
          </w:tcPr>
          <w:p w14:paraId="463813F2">
            <w:pPr>
              <w:widowControl/>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干奶牛</w:t>
            </w:r>
          </w:p>
        </w:tc>
        <w:tc>
          <w:tcPr>
            <w:tcW w:w="1350" w:type="dxa"/>
            <w:vAlign w:val="center"/>
          </w:tcPr>
          <w:p w14:paraId="0F7CD2E9">
            <w:pPr>
              <w:widowControl/>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50L/头·d</w:t>
            </w:r>
          </w:p>
        </w:tc>
        <w:tc>
          <w:tcPr>
            <w:tcW w:w="1138" w:type="dxa"/>
            <w:vAlign w:val="center"/>
          </w:tcPr>
          <w:p w14:paraId="7A8C45B6">
            <w:pPr>
              <w:widowControl/>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100头</w:t>
            </w:r>
          </w:p>
        </w:tc>
        <w:tc>
          <w:tcPr>
            <w:tcW w:w="1291" w:type="dxa"/>
            <w:vAlign w:val="center"/>
          </w:tcPr>
          <w:p w14:paraId="5A091BF8">
            <w:pPr>
              <w:widowControl/>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5</w:t>
            </w:r>
          </w:p>
        </w:tc>
        <w:tc>
          <w:tcPr>
            <w:tcW w:w="1057" w:type="dxa"/>
            <w:vAlign w:val="bottom"/>
          </w:tcPr>
          <w:p w14:paraId="2F61ADE7">
            <w:pPr>
              <w:widowControl/>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1825</w:t>
            </w:r>
          </w:p>
        </w:tc>
        <w:tc>
          <w:tcPr>
            <w:tcW w:w="1712" w:type="dxa"/>
            <w:vMerge w:val="continue"/>
            <w:vAlign w:val="center"/>
          </w:tcPr>
          <w:p w14:paraId="0A83CDDE">
            <w:pPr>
              <w:widowControl/>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r>
      <w:tr w14:paraId="4A7F77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9" w:hRule="atLeast"/>
          <w:jc w:val="center"/>
        </w:trPr>
        <w:tc>
          <w:tcPr>
            <w:tcW w:w="527" w:type="dxa"/>
            <w:vMerge w:val="continue"/>
            <w:vAlign w:val="center"/>
          </w:tcPr>
          <w:p w14:paraId="540DD474">
            <w:pPr>
              <w:widowControl/>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660" w:type="dxa"/>
            <w:vMerge w:val="continue"/>
            <w:vAlign w:val="center"/>
          </w:tcPr>
          <w:p w14:paraId="0663295F">
            <w:pPr>
              <w:widowControl/>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287" w:type="dxa"/>
            <w:vAlign w:val="center"/>
          </w:tcPr>
          <w:p w14:paraId="13DC34F7">
            <w:pPr>
              <w:widowControl/>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青年牛</w:t>
            </w:r>
          </w:p>
        </w:tc>
        <w:tc>
          <w:tcPr>
            <w:tcW w:w="1350" w:type="dxa"/>
            <w:vAlign w:val="center"/>
          </w:tcPr>
          <w:p w14:paraId="2AE37512">
            <w:pPr>
              <w:widowControl/>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30L/头·d</w:t>
            </w:r>
          </w:p>
        </w:tc>
        <w:tc>
          <w:tcPr>
            <w:tcW w:w="1138" w:type="dxa"/>
            <w:vAlign w:val="center"/>
          </w:tcPr>
          <w:p w14:paraId="4E0E7A6A">
            <w:pPr>
              <w:widowControl/>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50头</w:t>
            </w:r>
          </w:p>
        </w:tc>
        <w:tc>
          <w:tcPr>
            <w:tcW w:w="1291" w:type="dxa"/>
            <w:vAlign w:val="center"/>
          </w:tcPr>
          <w:p w14:paraId="3C553EAF">
            <w:pPr>
              <w:widowControl/>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1.5</w:t>
            </w:r>
          </w:p>
        </w:tc>
        <w:tc>
          <w:tcPr>
            <w:tcW w:w="1057" w:type="dxa"/>
            <w:vAlign w:val="bottom"/>
          </w:tcPr>
          <w:p w14:paraId="5A384341">
            <w:pPr>
              <w:widowControl/>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547.5</w:t>
            </w:r>
          </w:p>
        </w:tc>
        <w:tc>
          <w:tcPr>
            <w:tcW w:w="1712" w:type="dxa"/>
            <w:vMerge w:val="continue"/>
            <w:vAlign w:val="center"/>
          </w:tcPr>
          <w:p w14:paraId="6C1DB121">
            <w:pPr>
              <w:widowControl/>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r>
      <w:tr w14:paraId="130683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9" w:hRule="atLeast"/>
          <w:jc w:val="center"/>
        </w:trPr>
        <w:tc>
          <w:tcPr>
            <w:tcW w:w="527" w:type="dxa"/>
            <w:vMerge w:val="continue"/>
            <w:vAlign w:val="center"/>
          </w:tcPr>
          <w:p w14:paraId="6C25585C">
            <w:pPr>
              <w:widowControl/>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660" w:type="dxa"/>
            <w:vMerge w:val="continue"/>
            <w:vAlign w:val="center"/>
          </w:tcPr>
          <w:p w14:paraId="53FFFFB6">
            <w:pPr>
              <w:widowControl/>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287" w:type="dxa"/>
            <w:vAlign w:val="center"/>
          </w:tcPr>
          <w:p w14:paraId="4E88173B">
            <w:pPr>
              <w:widowControl/>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育成牛</w:t>
            </w:r>
          </w:p>
        </w:tc>
        <w:tc>
          <w:tcPr>
            <w:tcW w:w="1350" w:type="dxa"/>
            <w:vAlign w:val="center"/>
          </w:tcPr>
          <w:p w14:paraId="523D51D6">
            <w:pPr>
              <w:widowControl/>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20L/头·d</w:t>
            </w:r>
          </w:p>
        </w:tc>
        <w:tc>
          <w:tcPr>
            <w:tcW w:w="1138" w:type="dxa"/>
            <w:vAlign w:val="center"/>
          </w:tcPr>
          <w:p w14:paraId="2B170C47">
            <w:pPr>
              <w:widowControl/>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50头</w:t>
            </w:r>
          </w:p>
        </w:tc>
        <w:tc>
          <w:tcPr>
            <w:tcW w:w="1291" w:type="dxa"/>
            <w:vAlign w:val="center"/>
          </w:tcPr>
          <w:p w14:paraId="374D318E">
            <w:pPr>
              <w:widowControl/>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1.5</w:t>
            </w:r>
          </w:p>
        </w:tc>
        <w:tc>
          <w:tcPr>
            <w:tcW w:w="1057" w:type="dxa"/>
            <w:vAlign w:val="bottom"/>
          </w:tcPr>
          <w:p w14:paraId="0BB476B6">
            <w:pPr>
              <w:widowControl/>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547.5</w:t>
            </w:r>
          </w:p>
        </w:tc>
        <w:tc>
          <w:tcPr>
            <w:tcW w:w="1712" w:type="dxa"/>
            <w:vMerge w:val="continue"/>
            <w:vAlign w:val="center"/>
          </w:tcPr>
          <w:p w14:paraId="3DDD3B2A">
            <w:pPr>
              <w:widowControl/>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r>
      <w:tr w14:paraId="08B4E8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527" w:type="dxa"/>
            <w:vMerge w:val="continue"/>
            <w:vAlign w:val="center"/>
          </w:tcPr>
          <w:p w14:paraId="4D7A9BEB">
            <w:pPr>
              <w:widowControl/>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660" w:type="dxa"/>
            <w:vMerge w:val="continue"/>
            <w:vAlign w:val="center"/>
          </w:tcPr>
          <w:p w14:paraId="4FD30E4C">
            <w:pPr>
              <w:widowControl/>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287" w:type="dxa"/>
            <w:vAlign w:val="center"/>
          </w:tcPr>
          <w:p w14:paraId="319F9319">
            <w:pPr>
              <w:widowControl/>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犊牛</w:t>
            </w:r>
          </w:p>
        </w:tc>
        <w:tc>
          <w:tcPr>
            <w:tcW w:w="1350" w:type="dxa"/>
            <w:vAlign w:val="center"/>
          </w:tcPr>
          <w:p w14:paraId="521D8D28">
            <w:pPr>
              <w:widowControl/>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5L/头·d</w:t>
            </w:r>
          </w:p>
        </w:tc>
        <w:tc>
          <w:tcPr>
            <w:tcW w:w="1138" w:type="dxa"/>
            <w:vAlign w:val="center"/>
          </w:tcPr>
          <w:p w14:paraId="07876B5A">
            <w:pPr>
              <w:widowControl/>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100头</w:t>
            </w:r>
          </w:p>
        </w:tc>
        <w:tc>
          <w:tcPr>
            <w:tcW w:w="1291" w:type="dxa"/>
            <w:vAlign w:val="center"/>
          </w:tcPr>
          <w:p w14:paraId="5346E7CE">
            <w:pPr>
              <w:widowControl/>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0.5</w:t>
            </w:r>
          </w:p>
        </w:tc>
        <w:tc>
          <w:tcPr>
            <w:tcW w:w="1057" w:type="dxa"/>
            <w:vAlign w:val="bottom"/>
          </w:tcPr>
          <w:p w14:paraId="5629A543">
            <w:pPr>
              <w:widowControl/>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182.5</w:t>
            </w:r>
          </w:p>
        </w:tc>
        <w:tc>
          <w:tcPr>
            <w:tcW w:w="1712" w:type="dxa"/>
            <w:vMerge w:val="continue"/>
            <w:vAlign w:val="center"/>
          </w:tcPr>
          <w:p w14:paraId="7F5C7C86">
            <w:pPr>
              <w:widowControl/>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r>
      <w:tr w14:paraId="30FA98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9" w:hRule="atLeast"/>
          <w:jc w:val="center"/>
        </w:trPr>
        <w:tc>
          <w:tcPr>
            <w:tcW w:w="527" w:type="dxa"/>
            <w:vMerge w:val="continue"/>
            <w:vAlign w:val="center"/>
          </w:tcPr>
          <w:p w14:paraId="4E0F64AF">
            <w:pPr>
              <w:widowControl/>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660" w:type="dxa"/>
            <w:vMerge w:val="continue"/>
            <w:vAlign w:val="center"/>
          </w:tcPr>
          <w:p w14:paraId="052496CB">
            <w:pPr>
              <w:widowControl/>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287" w:type="dxa"/>
            <w:vAlign w:val="center"/>
          </w:tcPr>
          <w:p w14:paraId="414BCFAD">
            <w:pPr>
              <w:widowControl/>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合计</w:t>
            </w:r>
          </w:p>
        </w:tc>
        <w:tc>
          <w:tcPr>
            <w:tcW w:w="1350" w:type="dxa"/>
            <w:vAlign w:val="center"/>
          </w:tcPr>
          <w:p w14:paraId="6628C29A">
            <w:pPr>
              <w:widowControl/>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p>
        </w:tc>
        <w:tc>
          <w:tcPr>
            <w:tcW w:w="1138" w:type="dxa"/>
            <w:vAlign w:val="center"/>
          </w:tcPr>
          <w:p w14:paraId="23B0242B">
            <w:pPr>
              <w:widowControl/>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p>
        </w:tc>
        <w:tc>
          <w:tcPr>
            <w:tcW w:w="1291" w:type="dxa"/>
            <w:vAlign w:val="center"/>
          </w:tcPr>
          <w:p w14:paraId="767AC485">
            <w:pPr>
              <w:widowControl/>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40.5</w:t>
            </w:r>
          </w:p>
        </w:tc>
        <w:tc>
          <w:tcPr>
            <w:tcW w:w="1057" w:type="dxa"/>
            <w:vAlign w:val="center"/>
          </w:tcPr>
          <w:p w14:paraId="3056554C">
            <w:pPr>
              <w:widowControl/>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14782.5</w:t>
            </w:r>
          </w:p>
        </w:tc>
        <w:tc>
          <w:tcPr>
            <w:tcW w:w="1712" w:type="dxa"/>
            <w:vMerge w:val="continue"/>
            <w:vAlign w:val="center"/>
          </w:tcPr>
          <w:p w14:paraId="5FBBF63C">
            <w:pPr>
              <w:widowControl/>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r>
      <w:tr w14:paraId="25B182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4" w:hRule="atLeast"/>
          <w:jc w:val="center"/>
        </w:trPr>
        <w:tc>
          <w:tcPr>
            <w:tcW w:w="527" w:type="dxa"/>
            <w:vAlign w:val="center"/>
          </w:tcPr>
          <w:p w14:paraId="0448CE3B">
            <w:pPr>
              <w:widowControl/>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3</w:t>
            </w:r>
          </w:p>
        </w:tc>
        <w:tc>
          <w:tcPr>
            <w:tcW w:w="1947" w:type="dxa"/>
            <w:gridSpan w:val="2"/>
            <w:vAlign w:val="center"/>
          </w:tcPr>
          <w:p w14:paraId="4919DB5B">
            <w:pPr>
              <w:widowControl/>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bookmarkStart w:id="109" w:name="_Hlk166987011"/>
            <w:r>
              <w:rPr>
                <w:rFonts w:hint="default" w:ascii="Times New Roman" w:hAnsi="Times New Roman" w:eastAsia="宋体" w:cs="Times New Roman"/>
                <w:color w:val="000000" w:themeColor="text1"/>
                <w:sz w:val="21"/>
                <w:szCs w:val="21"/>
                <w14:textFill>
                  <w14:solidFill>
                    <w14:schemeClr w14:val="tx1"/>
                  </w14:solidFill>
                </w14:textFill>
              </w:rPr>
              <w:t>挤奶厅设备清洗水</w:t>
            </w:r>
            <w:bookmarkEnd w:id="109"/>
          </w:p>
        </w:tc>
        <w:tc>
          <w:tcPr>
            <w:tcW w:w="1350" w:type="dxa"/>
            <w:vAlign w:val="center"/>
          </w:tcPr>
          <w:p w14:paraId="5C27E279">
            <w:pPr>
              <w:widowControl/>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1.16</w:t>
            </w:r>
            <w:r>
              <w:rPr>
                <w:rFonts w:hint="default" w:ascii="Times New Roman" w:hAnsi="Times New Roman" w:eastAsia="宋体" w:cs="Times New Roman"/>
                <w:color w:val="000000" w:themeColor="text1"/>
                <w:sz w:val="21"/>
                <w:szCs w:val="21"/>
                <w14:textFill>
                  <w14:solidFill>
                    <w14:schemeClr w14:val="tx1"/>
                  </w14:solidFill>
                </w14:textFill>
              </w:rPr>
              <w:t>m</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3</w:t>
            </w:r>
            <w:r>
              <w:rPr>
                <w:rFonts w:hint="default" w:ascii="Times New Roman" w:hAnsi="Times New Roman" w:eastAsia="宋体" w:cs="Times New Roman"/>
                <w:color w:val="000000" w:themeColor="text1"/>
                <w:sz w:val="21"/>
                <w:szCs w:val="21"/>
                <w14:textFill>
                  <w14:solidFill>
                    <w14:schemeClr w14:val="tx1"/>
                  </w14:solidFill>
                </w14:textFill>
              </w:rPr>
              <w:t>·3次</w:t>
            </w:r>
          </w:p>
        </w:tc>
        <w:tc>
          <w:tcPr>
            <w:tcW w:w="1138" w:type="dxa"/>
            <w:vAlign w:val="center"/>
          </w:tcPr>
          <w:p w14:paraId="62A63071">
            <w:pPr>
              <w:widowControl/>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p>
        </w:tc>
        <w:tc>
          <w:tcPr>
            <w:tcW w:w="1291" w:type="dxa"/>
            <w:vAlign w:val="center"/>
          </w:tcPr>
          <w:p w14:paraId="06499454">
            <w:pPr>
              <w:widowControl/>
              <w:spacing w:line="240" w:lineRule="auto"/>
              <w:ind w:firstLine="0" w:firstLineChars="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3.5</w:t>
            </w:r>
          </w:p>
        </w:tc>
        <w:tc>
          <w:tcPr>
            <w:tcW w:w="1057" w:type="dxa"/>
            <w:vAlign w:val="center"/>
          </w:tcPr>
          <w:p w14:paraId="1D272140">
            <w:pPr>
              <w:widowControl/>
              <w:spacing w:line="240" w:lineRule="auto"/>
              <w:ind w:firstLine="0" w:firstLineChars="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1277.5</w:t>
            </w:r>
          </w:p>
        </w:tc>
        <w:tc>
          <w:tcPr>
            <w:tcW w:w="1712" w:type="dxa"/>
            <w:vAlign w:val="center"/>
          </w:tcPr>
          <w:p w14:paraId="366F8254">
            <w:pPr>
              <w:widowControl/>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回用至地面清洗</w:t>
            </w:r>
          </w:p>
        </w:tc>
      </w:tr>
      <w:tr w14:paraId="5DB05D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527" w:type="dxa"/>
            <w:vAlign w:val="center"/>
          </w:tcPr>
          <w:p w14:paraId="152111FF">
            <w:pPr>
              <w:widowControl/>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4</w:t>
            </w:r>
          </w:p>
        </w:tc>
        <w:tc>
          <w:tcPr>
            <w:tcW w:w="1947" w:type="dxa"/>
            <w:gridSpan w:val="2"/>
            <w:vAlign w:val="center"/>
          </w:tcPr>
          <w:p w14:paraId="688E4243">
            <w:pPr>
              <w:widowControl/>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挤奶厅地面冲洗水</w:t>
            </w:r>
          </w:p>
        </w:tc>
        <w:tc>
          <w:tcPr>
            <w:tcW w:w="1350" w:type="dxa"/>
            <w:vAlign w:val="center"/>
          </w:tcPr>
          <w:p w14:paraId="2067E131">
            <w:pPr>
              <w:widowControl/>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3L/m</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2</w:t>
            </w:r>
            <w:r>
              <w:rPr>
                <w:rFonts w:hint="default" w:ascii="Times New Roman" w:hAnsi="Times New Roman" w:eastAsia="宋体" w:cs="Times New Roman"/>
                <w:color w:val="000000" w:themeColor="text1"/>
                <w:sz w:val="21"/>
                <w:szCs w:val="21"/>
                <w14:textFill>
                  <w14:solidFill>
                    <w14:schemeClr w14:val="tx1"/>
                  </w14:solidFill>
                </w14:textFill>
              </w:rPr>
              <w:t>·3次</w:t>
            </w:r>
          </w:p>
        </w:tc>
        <w:tc>
          <w:tcPr>
            <w:tcW w:w="1138" w:type="dxa"/>
            <w:vAlign w:val="center"/>
          </w:tcPr>
          <w:p w14:paraId="50D91144">
            <w:pPr>
              <w:widowControl/>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500m</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2</w:t>
            </w:r>
          </w:p>
        </w:tc>
        <w:tc>
          <w:tcPr>
            <w:tcW w:w="1291" w:type="dxa"/>
            <w:vAlign w:val="center"/>
          </w:tcPr>
          <w:p w14:paraId="4783B565">
            <w:pPr>
              <w:widowControl/>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1.5（利用设备清洗水冲洗地面1.5）</w:t>
            </w:r>
          </w:p>
        </w:tc>
        <w:tc>
          <w:tcPr>
            <w:tcW w:w="1057" w:type="dxa"/>
            <w:vAlign w:val="center"/>
          </w:tcPr>
          <w:p w14:paraId="57EB6710">
            <w:pPr>
              <w:widowControl/>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547.5</w:t>
            </w:r>
          </w:p>
        </w:tc>
        <w:tc>
          <w:tcPr>
            <w:tcW w:w="1712" w:type="dxa"/>
            <w:vAlign w:val="center"/>
          </w:tcPr>
          <w:p w14:paraId="48EAB4C6">
            <w:pPr>
              <w:widowControl/>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p>
        </w:tc>
      </w:tr>
      <w:tr w14:paraId="3AAD74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9" w:hRule="atLeast"/>
          <w:jc w:val="center"/>
        </w:trPr>
        <w:tc>
          <w:tcPr>
            <w:tcW w:w="527" w:type="dxa"/>
            <w:vAlign w:val="center"/>
          </w:tcPr>
          <w:p w14:paraId="480C84F7">
            <w:pPr>
              <w:widowControl/>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5</w:t>
            </w:r>
          </w:p>
        </w:tc>
        <w:tc>
          <w:tcPr>
            <w:tcW w:w="1947" w:type="dxa"/>
            <w:gridSpan w:val="2"/>
            <w:vAlign w:val="center"/>
          </w:tcPr>
          <w:p w14:paraId="6791EBF5">
            <w:pPr>
              <w:widowControl/>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饲料搅拌用水</w:t>
            </w:r>
          </w:p>
        </w:tc>
        <w:tc>
          <w:tcPr>
            <w:tcW w:w="1350" w:type="dxa"/>
            <w:vAlign w:val="center"/>
          </w:tcPr>
          <w:p w14:paraId="5A558365">
            <w:pPr>
              <w:widowControl/>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p>
        </w:tc>
        <w:tc>
          <w:tcPr>
            <w:tcW w:w="1138" w:type="dxa"/>
            <w:vAlign w:val="center"/>
          </w:tcPr>
          <w:p w14:paraId="417CF207">
            <w:pPr>
              <w:widowControl/>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p>
        </w:tc>
        <w:tc>
          <w:tcPr>
            <w:tcW w:w="1291" w:type="dxa"/>
            <w:vAlign w:val="center"/>
          </w:tcPr>
          <w:p w14:paraId="30A9BAAB">
            <w:pPr>
              <w:widowControl/>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w:t>
            </w:r>
          </w:p>
        </w:tc>
        <w:tc>
          <w:tcPr>
            <w:tcW w:w="1057" w:type="dxa"/>
            <w:vAlign w:val="center"/>
          </w:tcPr>
          <w:p w14:paraId="13C9F1B7">
            <w:pPr>
              <w:widowControl/>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365</w:t>
            </w:r>
          </w:p>
        </w:tc>
        <w:tc>
          <w:tcPr>
            <w:tcW w:w="1712" w:type="dxa"/>
            <w:vAlign w:val="center"/>
          </w:tcPr>
          <w:p w14:paraId="51113714">
            <w:pPr>
              <w:widowControl/>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p>
        </w:tc>
      </w:tr>
      <w:tr w14:paraId="37A19B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9" w:hRule="atLeast"/>
          <w:jc w:val="center"/>
        </w:trPr>
        <w:tc>
          <w:tcPr>
            <w:tcW w:w="527" w:type="dxa"/>
            <w:vAlign w:val="center"/>
          </w:tcPr>
          <w:p w14:paraId="798CCDF3">
            <w:pPr>
              <w:widowControl/>
              <w:spacing w:line="240" w:lineRule="auto"/>
              <w:ind w:firstLine="0" w:firstLineChars="0"/>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6</w:t>
            </w:r>
          </w:p>
        </w:tc>
        <w:tc>
          <w:tcPr>
            <w:tcW w:w="1947" w:type="dxa"/>
            <w:gridSpan w:val="2"/>
            <w:vAlign w:val="center"/>
          </w:tcPr>
          <w:p w14:paraId="7CF187B1">
            <w:pPr>
              <w:widowControl/>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绿化用水</w:t>
            </w:r>
          </w:p>
        </w:tc>
        <w:tc>
          <w:tcPr>
            <w:tcW w:w="1350" w:type="dxa"/>
            <w:vAlign w:val="center"/>
          </w:tcPr>
          <w:p w14:paraId="19B0B070">
            <w:pPr>
              <w:widowControl/>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1.0L/（m</w:t>
            </w:r>
            <w:r>
              <w:rPr>
                <w:rFonts w:hint="default" w:ascii="Times New Roman" w:hAnsi="Times New Roman" w:eastAsia="宋体" w:cs="Times New Roman"/>
                <w:bCs/>
                <w:color w:val="000000" w:themeColor="text1"/>
                <w:sz w:val="21"/>
                <w:szCs w:val="21"/>
                <w:vertAlign w:val="superscript"/>
                <w14:textFill>
                  <w14:solidFill>
                    <w14:schemeClr w14:val="tx1"/>
                  </w14:solidFill>
                </w14:textFill>
              </w:rPr>
              <w:t>2</w:t>
            </w:r>
            <w:r>
              <w:rPr>
                <w:rFonts w:hint="default" w:ascii="Times New Roman" w:hAnsi="Times New Roman" w:eastAsia="宋体" w:cs="Times New Roman"/>
                <w:bCs/>
                <w:color w:val="000000" w:themeColor="text1"/>
                <w:sz w:val="21"/>
                <w:szCs w:val="21"/>
                <w14:textFill>
                  <w14:solidFill>
                    <w14:schemeClr w14:val="tx1"/>
                  </w14:solidFill>
                </w14:textFill>
              </w:rPr>
              <w:t>·d）</w:t>
            </w:r>
          </w:p>
        </w:tc>
        <w:tc>
          <w:tcPr>
            <w:tcW w:w="1138" w:type="dxa"/>
            <w:vAlign w:val="center"/>
          </w:tcPr>
          <w:p w14:paraId="1B6A921C">
            <w:pPr>
              <w:widowControl/>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2000</w:t>
            </w:r>
          </w:p>
        </w:tc>
        <w:tc>
          <w:tcPr>
            <w:tcW w:w="1291" w:type="dxa"/>
            <w:vAlign w:val="center"/>
          </w:tcPr>
          <w:p w14:paraId="3D7478F1">
            <w:pPr>
              <w:widowControl/>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w:t>
            </w:r>
          </w:p>
        </w:tc>
        <w:tc>
          <w:tcPr>
            <w:tcW w:w="1057" w:type="dxa"/>
            <w:vAlign w:val="center"/>
          </w:tcPr>
          <w:p w14:paraId="5436A3B8">
            <w:pPr>
              <w:widowControl/>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370</w:t>
            </w:r>
          </w:p>
        </w:tc>
        <w:tc>
          <w:tcPr>
            <w:tcW w:w="1712" w:type="dxa"/>
            <w:vAlign w:val="center"/>
          </w:tcPr>
          <w:p w14:paraId="20C3ADAA">
            <w:pPr>
              <w:widowControl/>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春、夏季</w:t>
            </w:r>
          </w:p>
        </w:tc>
      </w:tr>
      <w:tr w14:paraId="7E0C35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 w:hRule="atLeast"/>
          <w:jc w:val="center"/>
        </w:trPr>
        <w:tc>
          <w:tcPr>
            <w:tcW w:w="527" w:type="dxa"/>
            <w:vAlign w:val="center"/>
          </w:tcPr>
          <w:p w14:paraId="659B259C">
            <w:pPr>
              <w:widowControl/>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947" w:type="dxa"/>
            <w:gridSpan w:val="2"/>
            <w:vAlign w:val="center"/>
          </w:tcPr>
          <w:p w14:paraId="6F5FFDD3">
            <w:pPr>
              <w:widowControl/>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合计</w:t>
            </w:r>
          </w:p>
        </w:tc>
        <w:tc>
          <w:tcPr>
            <w:tcW w:w="1350" w:type="dxa"/>
            <w:vAlign w:val="center"/>
          </w:tcPr>
          <w:p w14:paraId="32D31933">
            <w:pPr>
              <w:widowControl/>
              <w:spacing w:line="240" w:lineRule="auto"/>
              <w:ind w:firstLine="420"/>
              <w:jc w:val="left"/>
              <w:rPr>
                <w:rFonts w:hint="default" w:ascii="Times New Roman" w:hAnsi="Times New Roman" w:eastAsia="宋体" w:cs="Times New Roman"/>
                <w:color w:val="000000" w:themeColor="text1"/>
                <w:sz w:val="21"/>
                <w:szCs w:val="22"/>
                <w14:textFill>
                  <w14:solidFill>
                    <w14:schemeClr w14:val="tx1"/>
                  </w14:solidFill>
                </w14:textFill>
              </w:rPr>
            </w:pPr>
            <w:r>
              <w:rPr>
                <w:rFonts w:hint="default" w:ascii="Times New Roman" w:hAnsi="Times New Roman" w:eastAsia="宋体" w:cs="Times New Roman"/>
                <w:color w:val="000000" w:themeColor="text1"/>
                <w:sz w:val="21"/>
                <w:szCs w:val="22"/>
                <w14:textFill>
                  <w14:solidFill>
                    <w14:schemeClr w14:val="tx1"/>
                  </w14:solidFill>
                </w14:textFill>
              </w:rPr>
              <w:t>/</w:t>
            </w:r>
          </w:p>
        </w:tc>
        <w:tc>
          <w:tcPr>
            <w:tcW w:w="1138" w:type="dxa"/>
            <w:vAlign w:val="center"/>
          </w:tcPr>
          <w:p w14:paraId="4E581DB5">
            <w:pPr>
              <w:widowControl/>
              <w:spacing w:line="240" w:lineRule="auto"/>
              <w:ind w:firstLine="420"/>
              <w:jc w:val="left"/>
              <w:rPr>
                <w:rFonts w:hint="default" w:ascii="Times New Roman" w:hAnsi="Times New Roman" w:eastAsia="宋体" w:cs="Times New Roman"/>
                <w:color w:val="000000" w:themeColor="text1"/>
                <w:sz w:val="21"/>
                <w:szCs w:val="22"/>
                <w14:textFill>
                  <w14:solidFill>
                    <w14:schemeClr w14:val="tx1"/>
                  </w14:solidFill>
                </w14:textFill>
              </w:rPr>
            </w:pPr>
            <w:r>
              <w:rPr>
                <w:rFonts w:hint="default" w:ascii="Times New Roman" w:hAnsi="Times New Roman" w:eastAsia="宋体" w:cs="Times New Roman"/>
                <w:color w:val="000000" w:themeColor="text1"/>
                <w:sz w:val="21"/>
                <w:szCs w:val="22"/>
                <w14:textFill>
                  <w14:solidFill>
                    <w14:schemeClr w14:val="tx1"/>
                  </w14:solidFill>
                </w14:textFill>
              </w:rPr>
              <w:t>/</w:t>
            </w:r>
          </w:p>
        </w:tc>
        <w:tc>
          <w:tcPr>
            <w:tcW w:w="1291" w:type="dxa"/>
            <w:vAlign w:val="center"/>
          </w:tcPr>
          <w:p w14:paraId="734BF552">
            <w:pPr>
              <w:widowControl/>
              <w:spacing w:line="240" w:lineRule="auto"/>
              <w:ind w:firstLine="0" w:firstLineChars="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48.8</w:t>
            </w:r>
          </w:p>
        </w:tc>
        <w:tc>
          <w:tcPr>
            <w:tcW w:w="1057" w:type="dxa"/>
            <w:vAlign w:val="center"/>
          </w:tcPr>
          <w:p w14:paraId="5BD6A680">
            <w:pPr>
              <w:widowControl/>
              <w:spacing w:line="240" w:lineRule="auto"/>
              <w:ind w:firstLine="0" w:firstLineChars="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17812</w:t>
            </w:r>
          </w:p>
        </w:tc>
        <w:tc>
          <w:tcPr>
            <w:tcW w:w="1712" w:type="dxa"/>
            <w:vAlign w:val="center"/>
          </w:tcPr>
          <w:p w14:paraId="405A699C">
            <w:pPr>
              <w:widowControl/>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p>
        </w:tc>
      </w:tr>
    </w:tbl>
    <w:p w14:paraId="4E20FDF3">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3）排水</w:t>
      </w:r>
    </w:p>
    <w:p w14:paraId="070A0676">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牛舍采取干清粪工艺，牛粪尿由刮板推入集粪沟后，利用集粪池上清液、挤奶厅设备冲洗废水、挤奶厅地面清洗废水将其冲入集粪池。牛粪尿及废水经收集后，经无堵泵泵入固液分离器，实现固液分离</w:t>
      </w:r>
      <w:r>
        <w:rPr>
          <w:rFonts w:hint="eastAsia" w:cs="Times New Roman"/>
          <w:color w:val="000000" w:themeColor="text1"/>
          <w:lang w:eastAsia="zh-CN"/>
          <w14:textFill>
            <w14:solidFill>
              <w14:schemeClr w14:val="tx1"/>
            </w14:solidFill>
          </w14:textFill>
        </w:rPr>
        <w:t>，</w:t>
      </w:r>
      <w:r>
        <w:rPr>
          <w:rFonts w:hint="eastAsia" w:cs="Times New Roman"/>
          <w:color w:val="000000" w:themeColor="text1"/>
          <w:lang w:val="en-US" w:eastAsia="zh-CN"/>
          <w14:textFill>
            <w14:solidFill>
              <w14:schemeClr w14:val="tx1"/>
            </w14:solidFill>
          </w14:textFill>
        </w:rPr>
        <w:t>牛粪中</w:t>
      </w:r>
      <w:r>
        <w:rPr>
          <w:rFonts w:hint="eastAsia" w:cs="Times New Roman"/>
          <w:color w:val="000000" w:themeColor="text1"/>
          <w:lang w:eastAsia="zh-CN"/>
          <w14:textFill>
            <w14:solidFill>
              <w14:schemeClr w14:val="tx1"/>
            </w14:solidFill>
          </w14:textFill>
        </w:rPr>
        <w:t>含水率80%</w:t>
      </w:r>
      <w:r>
        <w:rPr>
          <w:rFonts w:hint="default" w:ascii="Times New Roman" w:hAnsi="Times New Roman" w:eastAsia="宋体" w:cs="Times New Roman"/>
          <w:color w:val="000000" w:themeColor="text1"/>
          <w14:textFill>
            <w14:solidFill>
              <w14:schemeClr w14:val="tx1"/>
            </w14:solidFill>
          </w14:textFill>
        </w:rPr>
        <w:t>；液体（</w:t>
      </w:r>
      <w:r>
        <w:rPr>
          <w:rFonts w:hint="eastAsia" w:cs="Times New Roman"/>
          <w:color w:val="000000" w:themeColor="text1"/>
          <w:lang w:val="en-US" w:eastAsia="zh-CN"/>
          <w14:textFill>
            <w14:solidFill>
              <w14:schemeClr w14:val="tx1"/>
            </w14:solidFill>
          </w14:textFill>
        </w:rPr>
        <w:t>8</w:t>
      </w:r>
      <w:r>
        <w:rPr>
          <w:rFonts w:hint="default" w:ascii="Times New Roman" w:hAnsi="Times New Roman" w:eastAsia="宋体" w:cs="Times New Roman"/>
          <w:color w:val="000000" w:themeColor="text1"/>
          <w14:textFill>
            <w14:solidFill>
              <w14:schemeClr w14:val="tx1"/>
            </w14:solidFill>
          </w14:textFill>
        </w:rPr>
        <w:t>0%）排入氧化塘</w:t>
      </w:r>
      <w:r>
        <w:rPr>
          <w:rFonts w:hint="eastAsia" w:cs="Times New Roman"/>
          <w:color w:val="000000" w:themeColor="text1"/>
          <w:lang w:eastAsia="zh-CN"/>
          <w14:textFill>
            <w14:solidFill>
              <w14:schemeClr w14:val="tx1"/>
            </w14:solidFill>
          </w14:textFill>
        </w:rPr>
        <w:t>，</w:t>
      </w:r>
      <w:r>
        <w:rPr>
          <w:rFonts w:hint="eastAsia" w:cs="Times New Roman"/>
          <w:color w:val="000000" w:themeColor="text1"/>
          <w:lang w:val="en-US" w:eastAsia="zh-CN"/>
          <w14:textFill>
            <w14:solidFill>
              <w14:schemeClr w14:val="tx1"/>
            </w14:solidFill>
          </w14:textFill>
        </w:rPr>
        <w:t>固体（20%）车间内堆存发酵后，还田处理</w:t>
      </w:r>
      <w:r>
        <w:rPr>
          <w:rFonts w:hint="default" w:ascii="Times New Roman" w:hAnsi="Times New Roman" w:eastAsia="宋体" w:cs="Times New Roman"/>
          <w:color w:val="000000" w:themeColor="text1"/>
          <w14:textFill>
            <w14:solidFill>
              <w14:schemeClr w14:val="tx1"/>
            </w14:solidFill>
          </w14:textFill>
        </w:rPr>
        <w:t>。</w:t>
      </w:r>
    </w:p>
    <w:p w14:paraId="3934B697">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由工程分析可知，项目废水主要为牛尿、挤奶厅设备冲洗废水、挤奶厅地面冲洗废水、职工生活污水。</w:t>
      </w:r>
    </w:p>
    <w:p w14:paraId="22ED33B9">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项目废水排放情况如下：</w:t>
      </w:r>
    </w:p>
    <w:p w14:paraId="7312275D">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①牛尿：本项目牛尿粪量产生量见表3.1-8。</w:t>
      </w:r>
    </w:p>
    <w:p w14:paraId="4E4CD079">
      <w:pPr>
        <w:keepNext w:val="0"/>
        <w:keepLines w:val="0"/>
        <w:pageBreakBefore w:val="0"/>
        <w:widowControl w:val="0"/>
        <w:kinsoku/>
        <w:wordWrap/>
        <w:overflowPunct/>
        <w:topLinePunct w:val="0"/>
        <w:autoSpaceDE/>
        <w:autoSpaceDN/>
        <w:bidi w:val="0"/>
        <w:adjustRightInd/>
        <w:snapToGrid/>
        <w:spacing w:line="360" w:lineRule="auto"/>
        <w:ind w:firstLine="482"/>
        <w:jc w:val="center"/>
        <w:textAlignment w:val="auto"/>
        <w:rPr>
          <w:rFonts w:hint="default" w:ascii="Times New Roman" w:hAnsi="Times New Roman" w:eastAsia="宋体" w:cs="Times New Roman"/>
          <w:b/>
          <w:color w:val="000000" w:themeColor="text1"/>
          <w:szCs w:val="28"/>
          <w14:textFill>
            <w14:solidFill>
              <w14:schemeClr w14:val="tx1"/>
            </w14:solidFill>
          </w14:textFill>
        </w:rPr>
      </w:pPr>
      <w:r>
        <w:rPr>
          <w:rFonts w:hint="default" w:ascii="Times New Roman" w:hAnsi="Times New Roman" w:eastAsia="宋体" w:cs="Times New Roman"/>
          <w:b/>
          <w:color w:val="000000" w:themeColor="text1"/>
          <w:szCs w:val="28"/>
          <w14:textFill>
            <w14:solidFill>
              <w14:schemeClr w14:val="tx1"/>
            </w14:solidFill>
          </w14:textFill>
        </w:rPr>
        <w:t>表3.1-8全厂全群日产粪尿量计算表</w:t>
      </w:r>
    </w:p>
    <w:tbl>
      <w:tblPr>
        <w:tblStyle w:val="29"/>
        <w:tblW w:w="856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01"/>
        <w:gridCol w:w="1299"/>
        <w:gridCol w:w="1617"/>
        <w:gridCol w:w="1617"/>
        <w:gridCol w:w="1065"/>
        <w:gridCol w:w="1063"/>
      </w:tblGrid>
      <w:tr w14:paraId="442F7D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901" w:type="dxa"/>
            <w:vAlign w:val="center"/>
          </w:tcPr>
          <w:p w14:paraId="24BD1B64">
            <w:pPr>
              <w:widowControl/>
              <w:spacing w:line="240" w:lineRule="auto"/>
              <w:ind w:firstLine="0" w:firstLineChars="0"/>
              <w:jc w:val="center"/>
              <w:rPr>
                <w:rFonts w:hint="default" w:ascii="Times New Roman" w:hAnsi="Times New Roman" w:eastAsia="宋体" w:cs="Times New Roman"/>
                <w:bCs/>
                <w:color w:val="000000" w:themeColor="text1"/>
                <w:kern w:val="0"/>
                <w:sz w:val="21"/>
                <w:szCs w:val="21"/>
                <w14:textFill>
                  <w14:solidFill>
                    <w14:schemeClr w14:val="tx1"/>
                  </w14:solidFill>
                </w14:textFill>
              </w:rPr>
            </w:pPr>
            <w:r>
              <w:rPr>
                <w:rFonts w:hint="default" w:ascii="Times New Roman" w:hAnsi="Times New Roman" w:eastAsia="宋体" w:cs="Times New Roman"/>
                <w:bCs/>
                <w:color w:val="000000" w:themeColor="text1"/>
                <w:kern w:val="0"/>
                <w:sz w:val="21"/>
                <w:szCs w:val="21"/>
                <w14:textFill>
                  <w14:solidFill>
                    <w14:schemeClr w14:val="tx1"/>
                  </w14:solidFill>
                </w14:textFill>
              </w:rPr>
              <w:t>泌乳牛</w:t>
            </w:r>
          </w:p>
        </w:tc>
        <w:tc>
          <w:tcPr>
            <w:tcW w:w="1299" w:type="dxa"/>
            <w:vAlign w:val="center"/>
          </w:tcPr>
          <w:p w14:paraId="5ECE30B1">
            <w:pPr>
              <w:widowControl/>
              <w:spacing w:line="240" w:lineRule="auto"/>
              <w:ind w:firstLine="0" w:firstLineChars="0"/>
              <w:jc w:val="center"/>
              <w:rPr>
                <w:rFonts w:hint="default" w:ascii="Times New Roman" w:hAnsi="Times New Roman" w:eastAsia="宋体" w:cs="Times New Roman"/>
                <w:bCs/>
                <w:color w:val="000000" w:themeColor="text1"/>
                <w:kern w:val="0"/>
                <w:sz w:val="21"/>
                <w:szCs w:val="21"/>
                <w14:textFill>
                  <w14:solidFill>
                    <w14:schemeClr w14:val="tx1"/>
                  </w14:solidFill>
                </w14:textFill>
              </w:rPr>
            </w:pPr>
            <w:r>
              <w:rPr>
                <w:rFonts w:hint="default" w:ascii="Times New Roman" w:hAnsi="Times New Roman" w:eastAsia="宋体" w:cs="Times New Roman"/>
                <w:bCs/>
                <w:color w:val="000000" w:themeColor="text1"/>
                <w:kern w:val="0"/>
                <w:sz w:val="21"/>
                <w:szCs w:val="21"/>
                <w14:textFill>
                  <w14:solidFill>
                    <w14:schemeClr w14:val="tx1"/>
                  </w14:solidFill>
                </w14:textFill>
              </w:rPr>
              <w:t>400头</w:t>
            </w:r>
          </w:p>
        </w:tc>
        <w:tc>
          <w:tcPr>
            <w:tcW w:w="5362" w:type="dxa"/>
            <w:gridSpan w:val="4"/>
            <w:vAlign w:val="center"/>
          </w:tcPr>
          <w:p w14:paraId="3F0ED2CD">
            <w:pPr>
              <w:widowControl/>
              <w:spacing w:line="240" w:lineRule="auto"/>
              <w:ind w:firstLine="0" w:firstLineChars="0"/>
              <w:jc w:val="center"/>
              <w:rPr>
                <w:rFonts w:hint="default" w:ascii="Times New Roman" w:hAnsi="Times New Roman" w:eastAsia="宋体" w:cs="Times New Roman"/>
                <w:bCs/>
                <w:color w:val="000000" w:themeColor="text1"/>
                <w:kern w:val="0"/>
                <w:sz w:val="21"/>
                <w:szCs w:val="21"/>
                <w14:textFill>
                  <w14:solidFill>
                    <w14:schemeClr w14:val="tx1"/>
                  </w14:solidFill>
                </w14:textFill>
              </w:rPr>
            </w:pPr>
            <w:r>
              <w:rPr>
                <w:rFonts w:hint="default" w:ascii="Times New Roman" w:hAnsi="Times New Roman" w:eastAsia="宋体" w:cs="Times New Roman"/>
                <w:bCs/>
                <w:color w:val="000000" w:themeColor="text1"/>
                <w:kern w:val="0"/>
                <w:sz w:val="21"/>
                <w:szCs w:val="21"/>
                <w14:textFill>
                  <w14:solidFill>
                    <w14:schemeClr w14:val="tx1"/>
                  </w14:solidFill>
                </w14:textFill>
              </w:rPr>
              <w:t>粪尿参数</w:t>
            </w:r>
          </w:p>
        </w:tc>
      </w:tr>
      <w:tr w14:paraId="5F335D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901" w:type="dxa"/>
            <w:vAlign w:val="center"/>
          </w:tcPr>
          <w:p w14:paraId="4C9F84A7">
            <w:pPr>
              <w:widowControl/>
              <w:spacing w:line="240" w:lineRule="auto"/>
              <w:ind w:firstLine="0" w:firstLineChars="0"/>
              <w:jc w:val="center"/>
              <w:rPr>
                <w:rFonts w:hint="default" w:ascii="Times New Roman" w:hAnsi="Times New Roman" w:eastAsia="宋体" w:cs="Times New Roman"/>
                <w:bCs/>
                <w:color w:val="000000" w:themeColor="text1"/>
                <w:kern w:val="0"/>
                <w:sz w:val="21"/>
                <w:szCs w:val="21"/>
                <w14:textFill>
                  <w14:solidFill>
                    <w14:schemeClr w14:val="tx1"/>
                  </w14:solidFill>
                </w14:textFill>
              </w:rPr>
            </w:pPr>
            <w:r>
              <w:rPr>
                <w:rFonts w:hint="default" w:ascii="Times New Roman" w:hAnsi="Times New Roman" w:eastAsia="宋体" w:cs="Times New Roman"/>
                <w:bCs/>
                <w:color w:val="000000" w:themeColor="text1"/>
                <w:kern w:val="0"/>
                <w:sz w:val="21"/>
                <w:szCs w:val="21"/>
                <w14:textFill>
                  <w14:solidFill>
                    <w14:schemeClr w14:val="tx1"/>
                  </w14:solidFill>
                </w14:textFill>
              </w:rPr>
              <w:t>厂区结构</w:t>
            </w:r>
          </w:p>
        </w:tc>
        <w:tc>
          <w:tcPr>
            <w:tcW w:w="1299" w:type="dxa"/>
            <w:vAlign w:val="center"/>
          </w:tcPr>
          <w:p w14:paraId="5AAE107A">
            <w:pPr>
              <w:widowControl/>
              <w:spacing w:line="240" w:lineRule="auto"/>
              <w:ind w:firstLine="0" w:firstLineChars="0"/>
              <w:jc w:val="center"/>
              <w:rPr>
                <w:rFonts w:hint="default" w:ascii="Times New Roman" w:hAnsi="Times New Roman" w:eastAsia="宋体" w:cs="Times New Roman"/>
                <w:bCs/>
                <w:color w:val="000000" w:themeColor="text1"/>
                <w:kern w:val="0"/>
                <w:sz w:val="21"/>
                <w:szCs w:val="21"/>
                <w14:textFill>
                  <w14:solidFill>
                    <w14:schemeClr w14:val="tx1"/>
                  </w14:solidFill>
                </w14:textFill>
              </w:rPr>
            </w:pPr>
            <w:r>
              <w:rPr>
                <w:rFonts w:hint="default" w:ascii="Times New Roman" w:hAnsi="Times New Roman" w:eastAsia="宋体" w:cs="Times New Roman"/>
                <w:bCs/>
                <w:color w:val="000000" w:themeColor="text1"/>
                <w:kern w:val="0"/>
                <w:sz w:val="21"/>
                <w:szCs w:val="21"/>
                <w14:textFill>
                  <w14:solidFill>
                    <w14:schemeClr w14:val="tx1"/>
                  </w14:solidFill>
                </w14:textFill>
              </w:rPr>
              <w:t>存栏数</w:t>
            </w:r>
          </w:p>
        </w:tc>
        <w:tc>
          <w:tcPr>
            <w:tcW w:w="1617" w:type="dxa"/>
            <w:vAlign w:val="center"/>
          </w:tcPr>
          <w:p w14:paraId="7E6271B2">
            <w:pPr>
              <w:widowControl/>
              <w:spacing w:line="240" w:lineRule="auto"/>
              <w:ind w:firstLine="0" w:firstLineChars="0"/>
              <w:jc w:val="center"/>
              <w:rPr>
                <w:rFonts w:hint="default" w:ascii="Times New Roman" w:hAnsi="Times New Roman" w:eastAsia="宋体" w:cs="Times New Roman"/>
                <w:bCs/>
                <w:color w:val="000000" w:themeColor="text1"/>
                <w:kern w:val="0"/>
                <w:sz w:val="21"/>
                <w:szCs w:val="21"/>
                <w14:textFill>
                  <w14:solidFill>
                    <w14:schemeClr w14:val="tx1"/>
                  </w14:solidFill>
                </w14:textFill>
              </w:rPr>
            </w:pPr>
            <w:r>
              <w:rPr>
                <w:rFonts w:hint="default" w:ascii="Times New Roman" w:hAnsi="Times New Roman" w:eastAsia="宋体" w:cs="Times New Roman"/>
                <w:bCs/>
                <w:color w:val="000000" w:themeColor="text1"/>
                <w:kern w:val="0"/>
                <w:sz w:val="21"/>
                <w:szCs w:val="21"/>
                <w14:textFill>
                  <w14:solidFill>
                    <w14:schemeClr w14:val="tx1"/>
                  </w14:solidFill>
                </w14:textFill>
              </w:rPr>
              <w:t>粪量kg/d.头</w:t>
            </w:r>
          </w:p>
        </w:tc>
        <w:tc>
          <w:tcPr>
            <w:tcW w:w="1617" w:type="dxa"/>
            <w:vAlign w:val="center"/>
          </w:tcPr>
          <w:p w14:paraId="03602B65">
            <w:pPr>
              <w:widowControl/>
              <w:spacing w:line="240" w:lineRule="auto"/>
              <w:ind w:firstLine="0" w:firstLineChars="0"/>
              <w:jc w:val="center"/>
              <w:rPr>
                <w:rFonts w:hint="default" w:ascii="Times New Roman" w:hAnsi="Times New Roman" w:eastAsia="宋体" w:cs="Times New Roman"/>
                <w:bCs/>
                <w:color w:val="000000" w:themeColor="text1"/>
                <w:kern w:val="0"/>
                <w:sz w:val="21"/>
                <w:szCs w:val="21"/>
                <w14:textFill>
                  <w14:solidFill>
                    <w14:schemeClr w14:val="tx1"/>
                  </w14:solidFill>
                </w14:textFill>
              </w:rPr>
            </w:pPr>
            <w:r>
              <w:rPr>
                <w:rFonts w:hint="default" w:ascii="Times New Roman" w:hAnsi="Times New Roman" w:eastAsia="宋体" w:cs="Times New Roman"/>
                <w:bCs/>
                <w:color w:val="000000" w:themeColor="text1"/>
                <w:kern w:val="0"/>
                <w:sz w:val="21"/>
                <w:szCs w:val="21"/>
                <w14:textFill>
                  <w14:solidFill>
                    <w14:schemeClr w14:val="tx1"/>
                  </w14:solidFill>
                </w14:textFill>
              </w:rPr>
              <w:t>尿量kg/d.头</w:t>
            </w:r>
          </w:p>
        </w:tc>
        <w:tc>
          <w:tcPr>
            <w:tcW w:w="1065" w:type="dxa"/>
            <w:vAlign w:val="center"/>
          </w:tcPr>
          <w:p w14:paraId="40196967">
            <w:pPr>
              <w:widowControl/>
              <w:spacing w:line="240" w:lineRule="auto"/>
              <w:ind w:firstLine="0" w:firstLineChars="0"/>
              <w:jc w:val="center"/>
              <w:rPr>
                <w:rFonts w:hint="default" w:ascii="Times New Roman" w:hAnsi="Times New Roman" w:eastAsia="宋体" w:cs="Times New Roman"/>
                <w:bCs/>
                <w:color w:val="000000" w:themeColor="text1"/>
                <w:kern w:val="0"/>
                <w:sz w:val="21"/>
                <w:szCs w:val="21"/>
                <w14:textFill>
                  <w14:solidFill>
                    <w14:schemeClr w14:val="tx1"/>
                  </w14:solidFill>
                </w14:textFill>
              </w:rPr>
            </w:pPr>
            <w:r>
              <w:rPr>
                <w:rFonts w:hint="default" w:ascii="Times New Roman" w:hAnsi="Times New Roman" w:eastAsia="宋体" w:cs="Times New Roman"/>
                <w:bCs/>
                <w:color w:val="000000" w:themeColor="text1"/>
                <w:kern w:val="0"/>
                <w:sz w:val="21"/>
                <w:szCs w:val="21"/>
                <w14:textFill>
                  <w14:solidFill>
                    <w14:schemeClr w14:val="tx1"/>
                  </w14:solidFill>
                </w14:textFill>
              </w:rPr>
              <w:t>粪量t/d</w:t>
            </w:r>
          </w:p>
        </w:tc>
        <w:tc>
          <w:tcPr>
            <w:tcW w:w="1063" w:type="dxa"/>
            <w:vAlign w:val="center"/>
          </w:tcPr>
          <w:p w14:paraId="7BE78B65">
            <w:pPr>
              <w:widowControl/>
              <w:spacing w:line="240" w:lineRule="auto"/>
              <w:ind w:firstLine="0" w:firstLineChars="0"/>
              <w:jc w:val="center"/>
              <w:rPr>
                <w:rFonts w:hint="default" w:ascii="Times New Roman" w:hAnsi="Times New Roman" w:eastAsia="宋体" w:cs="Times New Roman"/>
                <w:bCs/>
                <w:color w:val="000000" w:themeColor="text1"/>
                <w:kern w:val="0"/>
                <w:sz w:val="21"/>
                <w:szCs w:val="21"/>
                <w14:textFill>
                  <w14:solidFill>
                    <w14:schemeClr w14:val="tx1"/>
                  </w14:solidFill>
                </w14:textFill>
              </w:rPr>
            </w:pPr>
            <w:r>
              <w:rPr>
                <w:rFonts w:hint="default" w:ascii="Times New Roman" w:hAnsi="Times New Roman" w:eastAsia="宋体" w:cs="Times New Roman"/>
                <w:bCs/>
                <w:color w:val="000000" w:themeColor="text1"/>
                <w:kern w:val="0"/>
                <w:sz w:val="21"/>
                <w:szCs w:val="21"/>
                <w14:textFill>
                  <w14:solidFill>
                    <w14:schemeClr w14:val="tx1"/>
                  </w14:solidFill>
                </w14:textFill>
              </w:rPr>
              <w:t>尿量t/d</w:t>
            </w:r>
          </w:p>
        </w:tc>
      </w:tr>
      <w:tr w14:paraId="74645D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901" w:type="dxa"/>
            <w:vAlign w:val="center"/>
          </w:tcPr>
          <w:p w14:paraId="308DA148">
            <w:pPr>
              <w:widowControl/>
              <w:spacing w:line="240" w:lineRule="auto"/>
              <w:ind w:firstLine="0" w:firstLineChars="0"/>
              <w:jc w:val="center"/>
              <w:rPr>
                <w:rFonts w:hint="default" w:ascii="Times New Roman" w:hAnsi="Times New Roman" w:eastAsia="宋体" w:cs="Times New Roman"/>
                <w:bCs/>
                <w:color w:val="000000" w:themeColor="text1"/>
                <w:kern w:val="0"/>
                <w:sz w:val="21"/>
                <w:szCs w:val="21"/>
                <w14:textFill>
                  <w14:solidFill>
                    <w14:schemeClr w14:val="tx1"/>
                  </w14:solidFill>
                </w14:textFill>
              </w:rPr>
            </w:pPr>
            <w:r>
              <w:rPr>
                <w:rFonts w:hint="default" w:ascii="Times New Roman" w:hAnsi="Times New Roman" w:eastAsia="宋体" w:cs="Times New Roman"/>
                <w:bCs/>
                <w:color w:val="000000" w:themeColor="text1"/>
                <w:kern w:val="0"/>
                <w:sz w:val="21"/>
                <w:szCs w:val="21"/>
                <w14:textFill>
                  <w14:solidFill>
                    <w14:schemeClr w14:val="tx1"/>
                  </w14:solidFill>
                </w14:textFill>
              </w:rPr>
              <w:t>泌乳牛</w:t>
            </w:r>
          </w:p>
        </w:tc>
        <w:tc>
          <w:tcPr>
            <w:tcW w:w="1299" w:type="dxa"/>
            <w:vAlign w:val="center"/>
          </w:tcPr>
          <w:p w14:paraId="24F27364">
            <w:pPr>
              <w:widowControl/>
              <w:spacing w:line="240" w:lineRule="auto"/>
              <w:ind w:firstLine="0" w:firstLineChars="0"/>
              <w:jc w:val="center"/>
              <w:rPr>
                <w:rFonts w:hint="default" w:ascii="Times New Roman" w:hAnsi="Times New Roman" w:eastAsia="宋体" w:cs="Times New Roman"/>
                <w:bCs/>
                <w:color w:val="000000" w:themeColor="text1"/>
                <w:kern w:val="0"/>
                <w:sz w:val="21"/>
                <w:szCs w:val="21"/>
                <w14:textFill>
                  <w14:solidFill>
                    <w14:schemeClr w14:val="tx1"/>
                  </w14:solidFill>
                </w14:textFill>
              </w:rPr>
            </w:pPr>
            <w:r>
              <w:rPr>
                <w:rFonts w:hint="default" w:ascii="Times New Roman" w:hAnsi="Times New Roman" w:eastAsia="宋体" w:cs="Times New Roman"/>
                <w:bCs/>
                <w:color w:val="000000" w:themeColor="text1"/>
                <w:kern w:val="0"/>
                <w:sz w:val="21"/>
                <w:szCs w:val="21"/>
                <w14:textFill>
                  <w14:solidFill>
                    <w14:schemeClr w14:val="tx1"/>
                  </w14:solidFill>
                </w14:textFill>
              </w:rPr>
              <w:t>400头</w:t>
            </w:r>
          </w:p>
        </w:tc>
        <w:tc>
          <w:tcPr>
            <w:tcW w:w="1617" w:type="dxa"/>
            <w:vAlign w:val="center"/>
          </w:tcPr>
          <w:p w14:paraId="5DCF3489">
            <w:pPr>
              <w:widowControl/>
              <w:spacing w:line="240" w:lineRule="auto"/>
              <w:ind w:firstLine="0" w:firstLineChars="0"/>
              <w:jc w:val="center"/>
              <w:rPr>
                <w:rFonts w:hint="default" w:ascii="Times New Roman" w:hAnsi="Times New Roman" w:eastAsia="宋体" w:cs="Times New Roman"/>
                <w:bCs/>
                <w:color w:val="000000" w:themeColor="text1"/>
                <w:kern w:val="0"/>
                <w:sz w:val="21"/>
                <w:szCs w:val="21"/>
                <w14:textFill>
                  <w14:solidFill>
                    <w14:schemeClr w14:val="tx1"/>
                  </w14:solidFill>
                </w14:textFill>
              </w:rPr>
            </w:pPr>
            <w:r>
              <w:rPr>
                <w:rFonts w:hint="default" w:ascii="Times New Roman" w:hAnsi="Times New Roman" w:eastAsia="宋体" w:cs="Times New Roman"/>
                <w:bCs/>
                <w:color w:val="000000" w:themeColor="text1"/>
                <w:kern w:val="0"/>
                <w:sz w:val="21"/>
                <w:szCs w:val="21"/>
                <w14:textFill>
                  <w14:solidFill>
                    <w14:schemeClr w14:val="tx1"/>
                  </w14:solidFill>
                </w14:textFill>
              </w:rPr>
              <w:t>30</w:t>
            </w:r>
          </w:p>
        </w:tc>
        <w:tc>
          <w:tcPr>
            <w:tcW w:w="1617" w:type="dxa"/>
            <w:vAlign w:val="center"/>
          </w:tcPr>
          <w:p w14:paraId="7E1D76D3">
            <w:pPr>
              <w:widowControl/>
              <w:spacing w:line="240" w:lineRule="auto"/>
              <w:ind w:firstLine="0" w:firstLineChars="0"/>
              <w:jc w:val="center"/>
              <w:rPr>
                <w:rFonts w:hint="default" w:ascii="Times New Roman" w:hAnsi="Times New Roman" w:eastAsia="宋体" w:cs="Times New Roman"/>
                <w:bCs/>
                <w:color w:val="000000" w:themeColor="text1"/>
                <w:kern w:val="0"/>
                <w:sz w:val="21"/>
                <w:szCs w:val="21"/>
                <w14:textFill>
                  <w14:solidFill>
                    <w14:schemeClr w14:val="tx1"/>
                  </w14:solidFill>
                </w14:textFill>
              </w:rPr>
            </w:pPr>
            <w:r>
              <w:rPr>
                <w:rFonts w:hint="default" w:ascii="Times New Roman" w:hAnsi="Times New Roman" w:eastAsia="宋体" w:cs="Times New Roman"/>
                <w:bCs/>
                <w:color w:val="000000" w:themeColor="text1"/>
                <w:kern w:val="0"/>
                <w:sz w:val="21"/>
                <w:szCs w:val="21"/>
                <w14:textFill>
                  <w14:solidFill>
                    <w14:schemeClr w14:val="tx1"/>
                  </w14:solidFill>
                </w14:textFill>
              </w:rPr>
              <w:t>40</w:t>
            </w:r>
          </w:p>
        </w:tc>
        <w:tc>
          <w:tcPr>
            <w:tcW w:w="1065" w:type="dxa"/>
            <w:vAlign w:val="center"/>
          </w:tcPr>
          <w:p w14:paraId="208A0BB4">
            <w:pPr>
              <w:widowControl/>
              <w:spacing w:line="240" w:lineRule="auto"/>
              <w:ind w:firstLine="0" w:firstLineChars="0"/>
              <w:jc w:val="center"/>
              <w:rPr>
                <w:rFonts w:hint="default" w:ascii="Times New Roman" w:hAnsi="Times New Roman" w:eastAsia="宋体" w:cs="Times New Roman"/>
                <w:bCs/>
                <w:color w:val="000000" w:themeColor="text1"/>
                <w:kern w:val="0"/>
                <w:sz w:val="21"/>
                <w:szCs w:val="21"/>
                <w14:textFill>
                  <w14:solidFill>
                    <w14:schemeClr w14:val="tx1"/>
                  </w14:solidFill>
                </w14:textFill>
              </w:rPr>
            </w:pPr>
            <w:r>
              <w:rPr>
                <w:rFonts w:hint="default" w:ascii="Times New Roman" w:hAnsi="Times New Roman" w:eastAsia="宋体" w:cs="Times New Roman"/>
                <w:bCs/>
                <w:color w:val="000000" w:themeColor="text1"/>
                <w:kern w:val="0"/>
                <w:sz w:val="21"/>
                <w:szCs w:val="21"/>
                <w14:textFill>
                  <w14:solidFill>
                    <w14:schemeClr w14:val="tx1"/>
                  </w14:solidFill>
                </w14:textFill>
              </w:rPr>
              <w:t>12</w:t>
            </w:r>
          </w:p>
        </w:tc>
        <w:tc>
          <w:tcPr>
            <w:tcW w:w="1063" w:type="dxa"/>
            <w:vAlign w:val="center"/>
          </w:tcPr>
          <w:p w14:paraId="55612690">
            <w:pPr>
              <w:widowControl/>
              <w:spacing w:line="240" w:lineRule="auto"/>
              <w:ind w:firstLine="0" w:firstLineChars="0"/>
              <w:jc w:val="center"/>
              <w:rPr>
                <w:rFonts w:hint="default" w:ascii="Times New Roman" w:hAnsi="Times New Roman" w:eastAsia="宋体" w:cs="Times New Roman"/>
                <w:bCs/>
                <w:color w:val="000000" w:themeColor="text1"/>
                <w:kern w:val="0"/>
                <w:sz w:val="21"/>
                <w:szCs w:val="21"/>
                <w14:textFill>
                  <w14:solidFill>
                    <w14:schemeClr w14:val="tx1"/>
                  </w14:solidFill>
                </w14:textFill>
              </w:rPr>
            </w:pPr>
            <w:r>
              <w:rPr>
                <w:rFonts w:hint="default" w:ascii="Times New Roman" w:hAnsi="Times New Roman" w:eastAsia="宋体" w:cs="Times New Roman"/>
                <w:bCs/>
                <w:color w:val="000000" w:themeColor="text1"/>
                <w:kern w:val="0"/>
                <w:sz w:val="21"/>
                <w:szCs w:val="21"/>
                <w14:textFill>
                  <w14:solidFill>
                    <w14:schemeClr w14:val="tx1"/>
                  </w14:solidFill>
                </w14:textFill>
              </w:rPr>
              <w:t>16</w:t>
            </w:r>
          </w:p>
        </w:tc>
      </w:tr>
      <w:tr w14:paraId="2F3F35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901" w:type="dxa"/>
            <w:vAlign w:val="center"/>
          </w:tcPr>
          <w:p w14:paraId="6CF9A784">
            <w:pPr>
              <w:widowControl/>
              <w:spacing w:line="240" w:lineRule="auto"/>
              <w:ind w:firstLine="0" w:firstLineChars="0"/>
              <w:jc w:val="center"/>
              <w:rPr>
                <w:rFonts w:hint="default" w:ascii="Times New Roman" w:hAnsi="Times New Roman" w:eastAsia="宋体" w:cs="Times New Roman"/>
                <w:bCs/>
                <w:color w:val="000000" w:themeColor="text1"/>
                <w:kern w:val="0"/>
                <w:sz w:val="21"/>
                <w:szCs w:val="21"/>
                <w14:textFill>
                  <w14:solidFill>
                    <w14:schemeClr w14:val="tx1"/>
                  </w14:solidFill>
                </w14:textFill>
              </w:rPr>
            </w:pPr>
            <w:r>
              <w:rPr>
                <w:rFonts w:hint="default" w:ascii="Times New Roman" w:hAnsi="Times New Roman" w:eastAsia="宋体" w:cs="Times New Roman"/>
                <w:bCs/>
                <w:color w:val="000000" w:themeColor="text1"/>
                <w:kern w:val="0"/>
                <w:sz w:val="21"/>
                <w:szCs w:val="21"/>
                <w14:textFill>
                  <w14:solidFill>
                    <w14:schemeClr w14:val="tx1"/>
                  </w14:solidFill>
                </w14:textFill>
              </w:rPr>
              <w:t>合计</w:t>
            </w:r>
          </w:p>
        </w:tc>
        <w:tc>
          <w:tcPr>
            <w:tcW w:w="1299" w:type="dxa"/>
            <w:vAlign w:val="center"/>
          </w:tcPr>
          <w:p w14:paraId="7D0184D5">
            <w:pPr>
              <w:widowControl/>
              <w:spacing w:line="240" w:lineRule="auto"/>
              <w:ind w:firstLine="0" w:firstLineChars="0"/>
              <w:jc w:val="center"/>
              <w:rPr>
                <w:rFonts w:hint="default" w:ascii="Times New Roman" w:hAnsi="Times New Roman" w:eastAsia="宋体" w:cs="Times New Roman"/>
                <w:bCs/>
                <w:color w:val="000000" w:themeColor="text1"/>
                <w:kern w:val="0"/>
                <w:sz w:val="21"/>
                <w:szCs w:val="21"/>
                <w14:textFill>
                  <w14:solidFill>
                    <w14:schemeClr w14:val="tx1"/>
                  </w14:solidFill>
                </w14:textFill>
              </w:rPr>
            </w:pPr>
            <w:r>
              <w:rPr>
                <w:rFonts w:hint="default" w:ascii="Times New Roman" w:hAnsi="Times New Roman" w:eastAsia="宋体" w:cs="Times New Roman"/>
                <w:bCs/>
                <w:color w:val="000000" w:themeColor="text1"/>
                <w:kern w:val="0"/>
                <w:sz w:val="21"/>
                <w:szCs w:val="21"/>
                <w14:textFill>
                  <w14:solidFill>
                    <w14:schemeClr w14:val="tx1"/>
                  </w14:solidFill>
                </w14:textFill>
              </w:rPr>
              <w:t>400头</w:t>
            </w:r>
          </w:p>
        </w:tc>
        <w:tc>
          <w:tcPr>
            <w:tcW w:w="1617" w:type="dxa"/>
            <w:vAlign w:val="center"/>
          </w:tcPr>
          <w:p w14:paraId="6DE9D501">
            <w:pPr>
              <w:widowControl/>
              <w:spacing w:line="240" w:lineRule="auto"/>
              <w:ind w:firstLine="0" w:firstLineChars="0"/>
              <w:jc w:val="center"/>
              <w:rPr>
                <w:rFonts w:hint="default" w:ascii="Times New Roman" w:hAnsi="Times New Roman" w:eastAsia="宋体" w:cs="Times New Roman"/>
                <w:bCs/>
                <w:color w:val="000000" w:themeColor="text1"/>
                <w:kern w:val="0"/>
                <w:sz w:val="21"/>
                <w:szCs w:val="21"/>
                <w14:textFill>
                  <w14:solidFill>
                    <w14:schemeClr w14:val="tx1"/>
                  </w14:solidFill>
                </w14:textFill>
              </w:rPr>
            </w:pPr>
            <w:r>
              <w:rPr>
                <w:rFonts w:hint="default" w:ascii="Times New Roman" w:hAnsi="Times New Roman" w:eastAsia="宋体" w:cs="Times New Roman"/>
                <w:bCs/>
                <w:color w:val="000000" w:themeColor="text1"/>
                <w:kern w:val="0"/>
                <w:sz w:val="21"/>
                <w:szCs w:val="21"/>
                <w14:textFill>
                  <w14:solidFill>
                    <w14:schemeClr w14:val="tx1"/>
                  </w14:solidFill>
                </w14:textFill>
              </w:rPr>
              <w:t>-</w:t>
            </w:r>
          </w:p>
        </w:tc>
        <w:tc>
          <w:tcPr>
            <w:tcW w:w="1617" w:type="dxa"/>
            <w:vAlign w:val="center"/>
          </w:tcPr>
          <w:p w14:paraId="6C42B3EC">
            <w:pPr>
              <w:widowControl/>
              <w:spacing w:line="240" w:lineRule="auto"/>
              <w:ind w:firstLine="0" w:firstLineChars="0"/>
              <w:jc w:val="center"/>
              <w:rPr>
                <w:rFonts w:hint="default" w:ascii="Times New Roman" w:hAnsi="Times New Roman" w:eastAsia="宋体" w:cs="Times New Roman"/>
                <w:bCs/>
                <w:color w:val="000000" w:themeColor="text1"/>
                <w:kern w:val="0"/>
                <w:sz w:val="21"/>
                <w:szCs w:val="21"/>
                <w14:textFill>
                  <w14:solidFill>
                    <w14:schemeClr w14:val="tx1"/>
                  </w14:solidFill>
                </w14:textFill>
              </w:rPr>
            </w:pPr>
            <w:r>
              <w:rPr>
                <w:rFonts w:hint="default" w:ascii="Times New Roman" w:hAnsi="Times New Roman" w:eastAsia="宋体" w:cs="Times New Roman"/>
                <w:bCs/>
                <w:color w:val="000000" w:themeColor="text1"/>
                <w:kern w:val="0"/>
                <w:sz w:val="21"/>
                <w:szCs w:val="21"/>
                <w14:textFill>
                  <w14:solidFill>
                    <w14:schemeClr w14:val="tx1"/>
                  </w14:solidFill>
                </w14:textFill>
              </w:rPr>
              <w:t>-</w:t>
            </w:r>
          </w:p>
        </w:tc>
        <w:tc>
          <w:tcPr>
            <w:tcW w:w="1065" w:type="dxa"/>
            <w:vAlign w:val="center"/>
          </w:tcPr>
          <w:p w14:paraId="2E6CB517">
            <w:pPr>
              <w:widowControl/>
              <w:spacing w:line="240" w:lineRule="auto"/>
              <w:ind w:firstLine="0" w:firstLineChars="0"/>
              <w:jc w:val="center"/>
              <w:rPr>
                <w:rFonts w:hint="default" w:ascii="Times New Roman" w:hAnsi="Times New Roman" w:eastAsia="宋体" w:cs="Times New Roman"/>
                <w:bCs/>
                <w:color w:val="000000" w:themeColor="text1"/>
                <w:kern w:val="0"/>
                <w:sz w:val="21"/>
                <w:szCs w:val="21"/>
                <w14:textFill>
                  <w14:solidFill>
                    <w14:schemeClr w14:val="tx1"/>
                  </w14:solidFill>
                </w14:textFill>
              </w:rPr>
            </w:pPr>
            <w:r>
              <w:rPr>
                <w:rFonts w:hint="default" w:ascii="Times New Roman" w:hAnsi="Times New Roman" w:eastAsia="宋体" w:cs="Times New Roman"/>
                <w:bCs/>
                <w:color w:val="000000" w:themeColor="text1"/>
                <w:kern w:val="0"/>
                <w:sz w:val="21"/>
                <w:szCs w:val="21"/>
                <w14:textFill>
                  <w14:solidFill>
                    <w14:schemeClr w14:val="tx1"/>
                  </w14:solidFill>
                </w14:textFill>
              </w:rPr>
              <w:t>12</w:t>
            </w:r>
          </w:p>
        </w:tc>
        <w:tc>
          <w:tcPr>
            <w:tcW w:w="1063" w:type="dxa"/>
            <w:vAlign w:val="center"/>
          </w:tcPr>
          <w:p w14:paraId="3F61A87F">
            <w:pPr>
              <w:widowControl/>
              <w:spacing w:line="240" w:lineRule="auto"/>
              <w:ind w:firstLine="0" w:firstLineChars="0"/>
              <w:jc w:val="center"/>
              <w:rPr>
                <w:rFonts w:hint="default" w:ascii="Times New Roman" w:hAnsi="Times New Roman" w:eastAsia="宋体" w:cs="Times New Roman"/>
                <w:bCs/>
                <w:color w:val="000000" w:themeColor="text1"/>
                <w:kern w:val="0"/>
                <w:sz w:val="21"/>
                <w:szCs w:val="21"/>
                <w14:textFill>
                  <w14:solidFill>
                    <w14:schemeClr w14:val="tx1"/>
                  </w14:solidFill>
                </w14:textFill>
              </w:rPr>
            </w:pPr>
            <w:r>
              <w:rPr>
                <w:rFonts w:hint="default" w:ascii="Times New Roman" w:hAnsi="Times New Roman" w:eastAsia="宋体" w:cs="Times New Roman"/>
                <w:bCs/>
                <w:color w:val="000000" w:themeColor="text1"/>
                <w:kern w:val="0"/>
                <w:sz w:val="21"/>
                <w:szCs w:val="21"/>
                <w14:textFill>
                  <w14:solidFill>
                    <w14:schemeClr w14:val="tx1"/>
                  </w14:solidFill>
                </w14:textFill>
              </w:rPr>
              <w:t>16</w:t>
            </w:r>
          </w:p>
        </w:tc>
      </w:tr>
      <w:tr w14:paraId="6B1B8B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6434" w:type="dxa"/>
            <w:gridSpan w:val="4"/>
            <w:vAlign w:val="center"/>
          </w:tcPr>
          <w:p w14:paraId="2DAB77A0">
            <w:pPr>
              <w:widowControl/>
              <w:spacing w:line="240" w:lineRule="auto"/>
              <w:ind w:firstLine="0" w:firstLineChars="0"/>
              <w:jc w:val="center"/>
              <w:rPr>
                <w:rFonts w:hint="default" w:ascii="Times New Roman" w:hAnsi="Times New Roman" w:eastAsia="宋体" w:cs="Times New Roman"/>
                <w:bCs/>
                <w:color w:val="000000" w:themeColor="text1"/>
                <w:kern w:val="0"/>
                <w:sz w:val="21"/>
                <w:szCs w:val="21"/>
                <w14:textFill>
                  <w14:solidFill>
                    <w14:schemeClr w14:val="tx1"/>
                  </w14:solidFill>
                </w14:textFill>
              </w:rPr>
            </w:pPr>
            <w:r>
              <w:rPr>
                <w:rFonts w:hint="default" w:ascii="Times New Roman" w:hAnsi="Times New Roman" w:eastAsia="宋体" w:cs="Times New Roman"/>
                <w:bCs/>
                <w:color w:val="000000" w:themeColor="text1"/>
                <w:kern w:val="0"/>
                <w:sz w:val="21"/>
                <w:szCs w:val="21"/>
                <w14:textFill>
                  <w14:solidFill>
                    <w14:schemeClr w14:val="tx1"/>
                  </w14:solidFill>
                </w14:textFill>
              </w:rPr>
              <w:t>泌乳牛牛群粪尿量合计</w:t>
            </w:r>
          </w:p>
        </w:tc>
        <w:tc>
          <w:tcPr>
            <w:tcW w:w="2128" w:type="dxa"/>
            <w:gridSpan w:val="2"/>
            <w:vAlign w:val="center"/>
          </w:tcPr>
          <w:p w14:paraId="17EFEC51">
            <w:pPr>
              <w:widowControl/>
              <w:spacing w:line="240" w:lineRule="auto"/>
              <w:ind w:firstLine="0" w:firstLineChars="0"/>
              <w:jc w:val="center"/>
              <w:rPr>
                <w:rFonts w:hint="default" w:ascii="Times New Roman" w:hAnsi="Times New Roman" w:eastAsia="宋体" w:cs="Times New Roman"/>
                <w:bCs/>
                <w:color w:val="000000" w:themeColor="text1"/>
                <w:kern w:val="0"/>
                <w:sz w:val="21"/>
                <w:szCs w:val="21"/>
                <w14:textFill>
                  <w14:solidFill>
                    <w14:schemeClr w14:val="tx1"/>
                  </w14:solidFill>
                </w14:textFill>
              </w:rPr>
            </w:pPr>
            <w:r>
              <w:rPr>
                <w:rFonts w:hint="default" w:ascii="Times New Roman" w:hAnsi="Times New Roman" w:eastAsia="宋体" w:cs="Times New Roman"/>
                <w:bCs/>
                <w:color w:val="000000" w:themeColor="text1"/>
                <w:kern w:val="0"/>
                <w:sz w:val="21"/>
                <w:szCs w:val="21"/>
                <w14:textFill>
                  <w14:solidFill>
                    <w14:schemeClr w14:val="tx1"/>
                  </w14:solidFill>
                </w14:textFill>
              </w:rPr>
              <w:t>28</w:t>
            </w:r>
          </w:p>
        </w:tc>
      </w:tr>
      <w:tr w14:paraId="3B3391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8562" w:type="dxa"/>
            <w:gridSpan w:val="6"/>
            <w:vAlign w:val="center"/>
          </w:tcPr>
          <w:p w14:paraId="6C5BEAC5">
            <w:pPr>
              <w:widowControl/>
              <w:spacing w:line="240" w:lineRule="auto"/>
              <w:ind w:firstLine="0" w:firstLineChars="0"/>
              <w:jc w:val="center"/>
              <w:rPr>
                <w:rFonts w:hint="default" w:ascii="Times New Roman" w:hAnsi="Times New Roman" w:eastAsia="宋体" w:cs="Times New Roman"/>
                <w:bCs/>
                <w:color w:val="000000" w:themeColor="text1"/>
                <w:kern w:val="0"/>
                <w:sz w:val="21"/>
                <w:szCs w:val="21"/>
                <w14:textFill>
                  <w14:solidFill>
                    <w14:schemeClr w14:val="tx1"/>
                  </w14:solidFill>
                </w14:textFill>
              </w:rPr>
            </w:pPr>
            <w:r>
              <w:rPr>
                <w:rFonts w:hint="default" w:ascii="Times New Roman" w:hAnsi="Times New Roman" w:eastAsia="宋体" w:cs="Times New Roman"/>
                <w:bCs/>
                <w:color w:val="000000" w:themeColor="text1"/>
                <w:kern w:val="0"/>
                <w:sz w:val="21"/>
                <w:szCs w:val="21"/>
                <w14:textFill>
                  <w14:solidFill>
                    <w14:schemeClr w14:val="tx1"/>
                  </w14:solidFill>
                </w14:textFill>
              </w:rPr>
              <w:t>年度数据t/a</w:t>
            </w:r>
          </w:p>
        </w:tc>
      </w:tr>
      <w:tr w14:paraId="7A9B27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901" w:type="dxa"/>
            <w:vAlign w:val="center"/>
          </w:tcPr>
          <w:p w14:paraId="3D5982A7">
            <w:pPr>
              <w:widowControl/>
              <w:spacing w:line="240" w:lineRule="auto"/>
              <w:ind w:firstLine="0" w:firstLineChars="0"/>
              <w:jc w:val="center"/>
              <w:rPr>
                <w:rFonts w:hint="default" w:ascii="Times New Roman" w:hAnsi="Times New Roman" w:eastAsia="宋体" w:cs="Times New Roman"/>
                <w:bCs/>
                <w:color w:val="000000" w:themeColor="text1"/>
                <w:kern w:val="0"/>
                <w:sz w:val="21"/>
                <w:szCs w:val="21"/>
                <w14:textFill>
                  <w14:solidFill>
                    <w14:schemeClr w14:val="tx1"/>
                  </w14:solidFill>
                </w14:textFill>
              </w:rPr>
            </w:pPr>
            <w:r>
              <w:rPr>
                <w:rFonts w:hint="default" w:ascii="Times New Roman" w:hAnsi="Times New Roman" w:eastAsia="宋体" w:cs="Times New Roman"/>
                <w:bCs/>
                <w:color w:val="000000" w:themeColor="text1"/>
                <w:kern w:val="0"/>
                <w:sz w:val="21"/>
                <w:szCs w:val="21"/>
                <w14:textFill>
                  <w14:solidFill>
                    <w14:schemeClr w14:val="tx1"/>
                  </w14:solidFill>
                </w14:textFill>
              </w:rPr>
              <w:t>其他牛</w:t>
            </w:r>
          </w:p>
        </w:tc>
        <w:tc>
          <w:tcPr>
            <w:tcW w:w="1299" w:type="dxa"/>
            <w:vAlign w:val="center"/>
          </w:tcPr>
          <w:p w14:paraId="36692F69">
            <w:pPr>
              <w:widowControl/>
              <w:spacing w:line="240" w:lineRule="auto"/>
              <w:ind w:firstLine="0" w:firstLineChars="0"/>
              <w:jc w:val="center"/>
              <w:rPr>
                <w:rFonts w:hint="default" w:ascii="Times New Roman" w:hAnsi="Times New Roman" w:eastAsia="宋体" w:cs="Times New Roman"/>
                <w:bCs/>
                <w:color w:val="000000" w:themeColor="text1"/>
                <w:kern w:val="0"/>
                <w:sz w:val="21"/>
                <w:szCs w:val="21"/>
                <w14:textFill>
                  <w14:solidFill>
                    <w14:schemeClr w14:val="tx1"/>
                  </w14:solidFill>
                </w14:textFill>
              </w:rPr>
            </w:pPr>
            <w:r>
              <w:rPr>
                <w:rFonts w:hint="default" w:ascii="Times New Roman" w:hAnsi="Times New Roman" w:eastAsia="宋体" w:cs="Times New Roman"/>
                <w:bCs/>
                <w:color w:val="000000" w:themeColor="text1"/>
                <w:kern w:val="0"/>
                <w:sz w:val="21"/>
                <w:szCs w:val="21"/>
                <w14:textFill>
                  <w14:solidFill>
                    <w14:schemeClr w14:val="tx1"/>
                  </w14:solidFill>
                </w14:textFill>
              </w:rPr>
              <w:t>300头</w:t>
            </w:r>
          </w:p>
        </w:tc>
        <w:tc>
          <w:tcPr>
            <w:tcW w:w="5362" w:type="dxa"/>
            <w:gridSpan w:val="4"/>
            <w:vAlign w:val="center"/>
          </w:tcPr>
          <w:p w14:paraId="6F8B2F69">
            <w:pPr>
              <w:widowControl/>
              <w:spacing w:line="240" w:lineRule="auto"/>
              <w:ind w:firstLine="0" w:firstLineChars="0"/>
              <w:jc w:val="center"/>
              <w:rPr>
                <w:rFonts w:hint="default" w:ascii="Times New Roman" w:hAnsi="Times New Roman" w:eastAsia="宋体" w:cs="Times New Roman"/>
                <w:bCs/>
                <w:color w:val="000000" w:themeColor="text1"/>
                <w:kern w:val="0"/>
                <w:sz w:val="21"/>
                <w:szCs w:val="21"/>
                <w14:textFill>
                  <w14:solidFill>
                    <w14:schemeClr w14:val="tx1"/>
                  </w14:solidFill>
                </w14:textFill>
              </w:rPr>
            </w:pPr>
            <w:r>
              <w:rPr>
                <w:rFonts w:hint="default" w:ascii="Times New Roman" w:hAnsi="Times New Roman" w:eastAsia="宋体" w:cs="Times New Roman"/>
                <w:bCs/>
                <w:color w:val="000000" w:themeColor="text1"/>
                <w:kern w:val="0"/>
                <w:sz w:val="21"/>
                <w:szCs w:val="21"/>
                <w14:textFill>
                  <w14:solidFill>
                    <w14:schemeClr w14:val="tx1"/>
                  </w14:solidFill>
                </w14:textFill>
              </w:rPr>
              <w:t>粪尿参数</w:t>
            </w:r>
          </w:p>
        </w:tc>
      </w:tr>
      <w:tr w14:paraId="6BFF4A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901" w:type="dxa"/>
            <w:vAlign w:val="center"/>
          </w:tcPr>
          <w:p w14:paraId="7ED4602F">
            <w:pPr>
              <w:widowControl/>
              <w:spacing w:line="240" w:lineRule="auto"/>
              <w:ind w:firstLine="0" w:firstLineChars="0"/>
              <w:jc w:val="center"/>
              <w:rPr>
                <w:rFonts w:hint="default" w:ascii="Times New Roman" w:hAnsi="Times New Roman" w:eastAsia="宋体" w:cs="Times New Roman"/>
                <w:bCs/>
                <w:color w:val="000000" w:themeColor="text1"/>
                <w:kern w:val="0"/>
                <w:sz w:val="21"/>
                <w:szCs w:val="21"/>
                <w14:textFill>
                  <w14:solidFill>
                    <w14:schemeClr w14:val="tx1"/>
                  </w14:solidFill>
                </w14:textFill>
              </w:rPr>
            </w:pPr>
            <w:r>
              <w:rPr>
                <w:rFonts w:hint="default" w:ascii="Times New Roman" w:hAnsi="Times New Roman" w:eastAsia="宋体" w:cs="Times New Roman"/>
                <w:bCs/>
                <w:color w:val="000000" w:themeColor="text1"/>
                <w:kern w:val="0"/>
                <w:sz w:val="21"/>
                <w:szCs w:val="21"/>
                <w14:textFill>
                  <w14:solidFill>
                    <w14:schemeClr w14:val="tx1"/>
                  </w14:solidFill>
                </w14:textFill>
              </w:rPr>
              <w:t>厂区结构</w:t>
            </w:r>
          </w:p>
        </w:tc>
        <w:tc>
          <w:tcPr>
            <w:tcW w:w="1299" w:type="dxa"/>
            <w:vAlign w:val="center"/>
          </w:tcPr>
          <w:p w14:paraId="12504767">
            <w:pPr>
              <w:widowControl/>
              <w:spacing w:line="240" w:lineRule="auto"/>
              <w:ind w:firstLine="0" w:firstLineChars="0"/>
              <w:jc w:val="center"/>
              <w:rPr>
                <w:rFonts w:hint="default" w:ascii="Times New Roman" w:hAnsi="Times New Roman" w:eastAsia="宋体" w:cs="Times New Roman"/>
                <w:bCs/>
                <w:color w:val="000000" w:themeColor="text1"/>
                <w:kern w:val="0"/>
                <w:sz w:val="21"/>
                <w:szCs w:val="21"/>
                <w14:textFill>
                  <w14:solidFill>
                    <w14:schemeClr w14:val="tx1"/>
                  </w14:solidFill>
                </w14:textFill>
              </w:rPr>
            </w:pPr>
            <w:r>
              <w:rPr>
                <w:rFonts w:hint="default" w:ascii="Times New Roman" w:hAnsi="Times New Roman" w:eastAsia="宋体" w:cs="Times New Roman"/>
                <w:bCs/>
                <w:color w:val="000000" w:themeColor="text1"/>
                <w:kern w:val="0"/>
                <w:sz w:val="21"/>
                <w:szCs w:val="21"/>
                <w14:textFill>
                  <w14:solidFill>
                    <w14:schemeClr w14:val="tx1"/>
                  </w14:solidFill>
                </w14:textFill>
              </w:rPr>
              <w:t>存栏数</w:t>
            </w:r>
          </w:p>
        </w:tc>
        <w:tc>
          <w:tcPr>
            <w:tcW w:w="1617" w:type="dxa"/>
            <w:vAlign w:val="center"/>
          </w:tcPr>
          <w:p w14:paraId="13DBC744">
            <w:pPr>
              <w:widowControl/>
              <w:spacing w:line="240" w:lineRule="auto"/>
              <w:ind w:firstLine="0" w:firstLineChars="0"/>
              <w:jc w:val="center"/>
              <w:rPr>
                <w:rFonts w:hint="default" w:ascii="Times New Roman" w:hAnsi="Times New Roman" w:eastAsia="宋体" w:cs="Times New Roman"/>
                <w:bCs/>
                <w:color w:val="000000" w:themeColor="text1"/>
                <w:kern w:val="0"/>
                <w:sz w:val="21"/>
                <w:szCs w:val="21"/>
                <w14:textFill>
                  <w14:solidFill>
                    <w14:schemeClr w14:val="tx1"/>
                  </w14:solidFill>
                </w14:textFill>
              </w:rPr>
            </w:pPr>
            <w:r>
              <w:rPr>
                <w:rFonts w:hint="default" w:ascii="Times New Roman" w:hAnsi="Times New Roman" w:eastAsia="宋体" w:cs="Times New Roman"/>
                <w:bCs/>
                <w:color w:val="000000" w:themeColor="text1"/>
                <w:kern w:val="0"/>
                <w:sz w:val="21"/>
                <w:szCs w:val="21"/>
                <w14:textFill>
                  <w14:solidFill>
                    <w14:schemeClr w14:val="tx1"/>
                  </w14:solidFill>
                </w14:textFill>
              </w:rPr>
              <w:t>粪量kg/d.头</w:t>
            </w:r>
          </w:p>
        </w:tc>
        <w:tc>
          <w:tcPr>
            <w:tcW w:w="1617" w:type="dxa"/>
            <w:vAlign w:val="center"/>
          </w:tcPr>
          <w:p w14:paraId="5DB9DCFC">
            <w:pPr>
              <w:widowControl/>
              <w:spacing w:line="240" w:lineRule="auto"/>
              <w:ind w:firstLine="0" w:firstLineChars="0"/>
              <w:jc w:val="center"/>
              <w:rPr>
                <w:rFonts w:hint="default" w:ascii="Times New Roman" w:hAnsi="Times New Roman" w:eastAsia="宋体" w:cs="Times New Roman"/>
                <w:bCs/>
                <w:color w:val="000000" w:themeColor="text1"/>
                <w:kern w:val="0"/>
                <w:sz w:val="21"/>
                <w:szCs w:val="21"/>
                <w14:textFill>
                  <w14:solidFill>
                    <w14:schemeClr w14:val="tx1"/>
                  </w14:solidFill>
                </w14:textFill>
              </w:rPr>
            </w:pPr>
            <w:r>
              <w:rPr>
                <w:rFonts w:hint="default" w:ascii="Times New Roman" w:hAnsi="Times New Roman" w:eastAsia="宋体" w:cs="Times New Roman"/>
                <w:bCs/>
                <w:color w:val="000000" w:themeColor="text1"/>
                <w:kern w:val="0"/>
                <w:sz w:val="21"/>
                <w:szCs w:val="21"/>
                <w14:textFill>
                  <w14:solidFill>
                    <w14:schemeClr w14:val="tx1"/>
                  </w14:solidFill>
                </w14:textFill>
              </w:rPr>
              <w:t>尿量kg/d.头</w:t>
            </w:r>
          </w:p>
        </w:tc>
        <w:tc>
          <w:tcPr>
            <w:tcW w:w="1065" w:type="dxa"/>
            <w:vAlign w:val="center"/>
          </w:tcPr>
          <w:p w14:paraId="3A1A2EB0">
            <w:pPr>
              <w:widowControl/>
              <w:spacing w:line="240" w:lineRule="auto"/>
              <w:ind w:firstLine="0" w:firstLineChars="0"/>
              <w:jc w:val="center"/>
              <w:rPr>
                <w:rFonts w:hint="default" w:ascii="Times New Roman" w:hAnsi="Times New Roman" w:eastAsia="宋体" w:cs="Times New Roman"/>
                <w:bCs/>
                <w:color w:val="000000" w:themeColor="text1"/>
                <w:kern w:val="0"/>
                <w:sz w:val="21"/>
                <w:szCs w:val="21"/>
                <w14:textFill>
                  <w14:solidFill>
                    <w14:schemeClr w14:val="tx1"/>
                  </w14:solidFill>
                </w14:textFill>
              </w:rPr>
            </w:pPr>
            <w:r>
              <w:rPr>
                <w:rFonts w:hint="default" w:ascii="Times New Roman" w:hAnsi="Times New Roman" w:eastAsia="宋体" w:cs="Times New Roman"/>
                <w:bCs/>
                <w:color w:val="000000" w:themeColor="text1"/>
                <w:kern w:val="0"/>
                <w:sz w:val="21"/>
                <w:szCs w:val="21"/>
                <w14:textFill>
                  <w14:solidFill>
                    <w14:schemeClr w14:val="tx1"/>
                  </w14:solidFill>
                </w14:textFill>
              </w:rPr>
              <w:t>粪量t/d</w:t>
            </w:r>
          </w:p>
        </w:tc>
        <w:tc>
          <w:tcPr>
            <w:tcW w:w="1063" w:type="dxa"/>
            <w:vAlign w:val="center"/>
          </w:tcPr>
          <w:p w14:paraId="5FA80774">
            <w:pPr>
              <w:widowControl/>
              <w:spacing w:line="240" w:lineRule="auto"/>
              <w:ind w:firstLine="0" w:firstLineChars="0"/>
              <w:jc w:val="center"/>
              <w:rPr>
                <w:rFonts w:hint="default" w:ascii="Times New Roman" w:hAnsi="Times New Roman" w:eastAsia="宋体" w:cs="Times New Roman"/>
                <w:bCs/>
                <w:color w:val="000000" w:themeColor="text1"/>
                <w:kern w:val="0"/>
                <w:sz w:val="21"/>
                <w:szCs w:val="21"/>
                <w14:textFill>
                  <w14:solidFill>
                    <w14:schemeClr w14:val="tx1"/>
                  </w14:solidFill>
                </w14:textFill>
              </w:rPr>
            </w:pPr>
            <w:r>
              <w:rPr>
                <w:rFonts w:hint="default" w:ascii="Times New Roman" w:hAnsi="Times New Roman" w:eastAsia="宋体" w:cs="Times New Roman"/>
                <w:bCs/>
                <w:color w:val="000000" w:themeColor="text1"/>
                <w:kern w:val="0"/>
                <w:sz w:val="21"/>
                <w:szCs w:val="21"/>
                <w14:textFill>
                  <w14:solidFill>
                    <w14:schemeClr w14:val="tx1"/>
                  </w14:solidFill>
                </w14:textFill>
              </w:rPr>
              <w:t>尿量t/d</w:t>
            </w:r>
          </w:p>
        </w:tc>
      </w:tr>
      <w:tr w14:paraId="7990CE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901" w:type="dxa"/>
            <w:vAlign w:val="center"/>
          </w:tcPr>
          <w:p w14:paraId="0DA6F240">
            <w:pPr>
              <w:widowControl/>
              <w:spacing w:line="240" w:lineRule="auto"/>
              <w:ind w:firstLine="0" w:firstLineChars="0"/>
              <w:jc w:val="center"/>
              <w:rPr>
                <w:rFonts w:hint="default" w:ascii="Times New Roman" w:hAnsi="Times New Roman" w:eastAsia="宋体" w:cs="Times New Roman"/>
                <w:bCs/>
                <w:color w:val="000000" w:themeColor="text1"/>
                <w:kern w:val="0"/>
                <w:sz w:val="21"/>
                <w:szCs w:val="21"/>
                <w14:textFill>
                  <w14:solidFill>
                    <w14:schemeClr w14:val="tx1"/>
                  </w14:solidFill>
                </w14:textFill>
              </w:rPr>
            </w:pPr>
            <w:r>
              <w:rPr>
                <w:rFonts w:hint="default" w:ascii="Times New Roman" w:hAnsi="Times New Roman" w:eastAsia="宋体" w:cs="Times New Roman"/>
                <w:bCs/>
                <w:color w:val="000000" w:themeColor="text1"/>
                <w:kern w:val="0"/>
                <w:sz w:val="21"/>
                <w:szCs w:val="21"/>
                <w14:textFill>
                  <w14:solidFill>
                    <w14:schemeClr w14:val="tx1"/>
                  </w14:solidFill>
                </w14:textFill>
              </w:rPr>
              <w:t>干奶牛</w:t>
            </w:r>
          </w:p>
        </w:tc>
        <w:tc>
          <w:tcPr>
            <w:tcW w:w="1299" w:type="dxa"/>
            <w:vAlign w:val="center"/>
          </w:tcPr>
          <w:p w14:paraId="51723C05">
            <w:pPr>
              <w:widowControl/>
              <w:spacing w:line="240" w:lineRule="auto"/>
              <w:ind w:firstLine="0" w:firstLineChars="0"/>
              <w:jc w:val="center"/>
              <w:rPr>
                <w:rFonts w:hint="default" w:ascii="Times New Roman" w:hAnsi="Times New Roman" w:eastAsia="宋体" w:cs="Times New Roman"/>
                <w:bCs/>
                <w:color w:val="000000" w:themeColor="text1"/>
                <w:kern w:val="0"/>
                <w:sz w:val="21"/>
                <w:szCs w:val="21"/>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100头</w:t>
            </w:r>
          </w:p>
        </w:tc>
        <w:tc>
          <w:tcPr>
            <w:tcW w:w="1617" w:type="dxa"/>
            <w:vAlign w:val="center"/>
          </w:tcPr>
          <w:p w14:paraId="22902CA1">
            <w:pPr>
              <w:widowControl/>
              <w:spacing w:line="240" w:lineRule="auto"/>
              <w:ind w:firstLine="0" w:firstLineChars="0"/>
              <w:jc w:val="center"/>
              <w:rPr>
                <w:rFonts w:hint="default" w:ascii="Times New Roman" w:hAnsi="Times New Roman" w:eastAsia="宋体" w:cs="Times New Roman"/>
                <w:bCs/>
                <w:color w:val="000000" w:themeColor="text1"/>
                <w:kern w:val="0"/>
                <w:sz w:val="21"/>
                <w:szCs w:val="21"/>
                <w14:textFill>
                  <w14:solidFill>
                    <w14:schemeClr w14:val="tx1"/>
                  </w14:solidFill>
                </w14:textFill>
              </w:rPr>
            </w:pPr>
            <w:r>
              <w:rPr>
                <w:rFonts w:hint="default" w:ascii="Times New Roman" w:hAnsi="Times New Roman" w:eastAsia="宋体" w:cs="Times New Roman"/>
                <w:bCs/>
                <w:color w:val="000000" w:themeColor="text1"/>
                <w:kern w:val="0"/>
                <w:sz w:val="21"/>
                <w:szCs w:val="21"/>
                <w14:textFill>
                  <w14:solidFill>
                    <w14:schemeClr w14:val="tx1"/>
                  </w14:solidFill>
                </w14:textFill>
              </w:rPr>
              <w:t>25</w:t>
            </w:r>
          </w:p>
        </w:tc>
        <w:tc>
          <w:tcPr>
            <w:tcW w:w="1617" w:type="dxa"/>
            <w:vAlign w:val="center"/>
          </w:tcPr>
          <w:p w14:paraId="6C16F72A">
            <w:pPr>
              <w:widowControl/>
              <w:spacing w:line="240" w:lineRule="auto"/>
              <w:ind w:firstLine="0" w:firstLineChars="0"/>
              <w:jc w:val="center"/>
              <w:rPr>
                <w:rFonts w:hint="default" w:ascii="Times New Roman" w:hAnsi="Times New Roman" w:eastAsia="宋体" w:cs="Times New Roman"/>
                <w:bCs/>
                <w:color w:val="000000" w:themeColor="text1"/>
                <w:kern w:val="0"/>
                <w:sz w:val="21"/>
                <w:szCs w:val="21"/>
                <w14:textFill>
                  <w14:solidFill>
                    <w14:schemeClr w14:val="tx1"/>
                  </w14:solidFill>
                </w14:textFill>
              </w:rPr>
            </w:pPr>
            <w:r>
              <w:rPr>
                <w:rFonts w:hint="default" w:ascii="Times New Roman" w:hAnsi="Times New Roman" w:eastAsia="宋体" w:cs="Times New Roman"/>
                <w:bCs/>
                <w:color w:val="000000" w:themeColor="text1"/>
                <w:kern w:val="0"/>
                <w:sz w:val="21"/>
                <w:szCs w:val="21"/>
                <w14:textFill>
                  <w14:solidFill>
                    <w14:schemeClr w14:val="tx1"/>
                  </w14:solidFill>
                </w14:textFill>
              </w:rPr>
              <w:t>15</w:t>
            </w:r>
          </w:p>
        </w:tc>
        <w:tc>
          <w:tcPr>
            <w:tcW w:w="1065" w:type="dxa"/>
            <w:vAlign w:val="center"/>
          </w:tcPr>
          <w:p w14:paraId="604FBEAC">
            <w:pPr>
              <w:widowControl/>
              <w:spacing w:line="240" w:lineRule="auto"/>
              <w:ind w:firstLine="0" w:firstLineChars="0"/>
              <w:jc w:val="center"/>
              <w:rPr>
                <w:rFonts w:hint="default" w:ascii="Times New Roman" w:hAnsi="Times New Roman" w:eastAsia="宋体" w:cs="Times New Roman"/>
                <w:bCs/>
                <w:color w:val="000000" w:themeColor="text1"/>
                <w:kern w:val="0"/>
                <w:sz w:val="21"/>
                <w:szCs w:val="21"/>
                <w14:textFill>
                  <w14:solidFill>
                    <w14:schemeClr w14:val="tx1"/>
                  </w14:solidFill>
                </w14:textFill>
              </w:rPr>
            </w:pPr>
            <w:r>
              <w:rPr>
                <w:rFonts w:hint="default" w:ascii="Times New Roman" w:hAnsi="Times New Roman" w:eastAsia="宋体" w:cs="Times New Roman"/>
                <w:bCs/>
                <w:color w:val="000000" w:themeColor="text1"/>
                <w:kern w:val="0"/>
                <w:sz w:val="21"/>
                <w:szCs w:val="21"/>
                <w14:textFill>
                  <w14:solidFill>
                    <w14:schemeClr w14:val="tx1"/>
                  </w14:solidFill>
                </w14:textFill>
              </w:rPr>
              <w:t>2.5</w:t>
            </w:r>
          </w:p>
        </w:tc>
        <w:tc>
          <w:tcPr>
            <w:tcW w:w="1063" w:type="dxa"/>
            <w:vAlign w:val="bottom"/>
          </w:tcPr>
          <w:p w14:paraId="4C93B450">
            <w:pPr>
              <w:widowControl/>
              <w:spacing w:line="240" w:lineRule="auto"/>
              <w:ind w:firstLine="0" w:firstLineChars="0"/>
              <w:jc w:val="center"/>
              <w:rPr>
                <w:rFonts w:hint="default" w:ascii="Times New Roman" w:hAnsi="Times New Roman" w:eastAsia="宋体" w:cs="Times New Roman"/>
                <w:bCs/>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1.5</w:t>
            </w:r>
          </w:p>
        </w:tc>
      </w:tr>
      <w:tr w14:paraId="758D82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901" w:type="dxa"/>
            <w:vAlign w:val="center"/>
          </w:tcPr>
          <w:p w14:paraId="498E0D19">
            <w:pPr>
              <w:widowControl/>
              <w:spacing w:line="240" w:lineRule="auto"/>
              <w:ind w:firstLine="0" w:firstLineChars="0"/>
              <w:jc w:val="center"/>
              <w:rPr>
                <w:rFonts w:hint="default" w:ascii="Times New Roman" w:hAnsi="Times New Roman" w:eastAsia="宋体" w:cs="Times New Roman"/>
                <w:bCs/>
                <w:color w:val="000000" w:themeColor="text1"/>
                <w:kern w:val="0"/>
                <w:sz w:val="21"/>
                <w:szCs w:val="21"/>
                <w14:textFill>
                  <w14:solidFill>
                    <w14:schemeClr w14:val="tx1"/>
                  </w14:solidFill>
                </w14:textFill>
              </w:rPr>
            </w:pPr>
            <w:r>
              <w:rPr>
                <w:rFonts w:hint="default" w:ascii="Times New Roman" w:hAnsi="Times New Roman" w:eastAsia="宋体" w:cs="Times New Roman"/>
                <w:bCs/>
                <w:color w:val="000000" w:themeColor="text1"/>
                <w:kern w:val="0"/>
                <w:sz w:val="21"/>
                <w:szCs w:val="21"/>
                <w14:textFill>
                  <w14:solidFill>
                    <w14:schemeClr w14:val="tx1"/>
                  </w14:solidFill>
                </w14:textFill>
              </w:rPr>
              <w:t>青年牛</w:t>
            </w:r>
          </w:p>
        </w:tc>
        <w:tc>
          <w:tcPr>
            <w:tcW w:w="1299" w:type="dxa"/>
            <w:vAlign w:val="center"/>
          </w:tcPr>
          <w:p w14:paraId="7CCBB705">
            <w:pPr>
              <w:widowControl/>
              <w:spacing w:line="240" w:lineRule="auto"/>
              <w:ind w:firstLine="0" w:firstLineChars="0"/>
              <w:jc w:val="center"/>
              <w:rPr>
                <w:rFonts w:hint="default" w:ascii="Times New Roman" w:hAnsi="Times New Roman" w:eastAsia="宋体" w:cs="Times New Roman"/>
                <w:bCs/>
                <w:color w:val="000000" w:themeColor="text1"/>
                <w:kern w:val="0"/>
                <w:sz w:val="21"/>
                <w:szCs w:val="21"/>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50头</w:t>
            </w:r>
          </w:p>
        </w:tc>
        <w:tc>
          <w:tcPr>
            <w:tcW w:w="1617" w:type="dxa"/>
            <w:vAlign w:val="center"/>
          </w:tcPr>
          <w:p w14:paraId="03156997">
            <w:pPr>
              <w:widowControl/>
              <w:spacing w:line="240" w:lineRule="auto"/>
              <w:ind w:firstLine="0" w:firstLineChars="0"/>
              <w:jc w:val="center"/>
              <w:rPr>
                <w:rFonts w:hint="default" w:ascii="Times New Roman" w:hAnsi="Times New Roman" w:eastAsia="宋体" w:cs="Times New Roman"/>
                <w:bCs/>
                <w:color w:val="000000" w:themeColor="text1"/>
                <w:kern w:val="0"/>
                <w:sz w:val="21"/>
                <w:szCs w:val="21"/>
                <w14:textFill>
                  <w14:solidFill>
                    <w14:schemeClr w14:val="tx1"/>
                  </w14:solidFill>
                </w14:textFill>
              </w:rPr>
            </w:pPr>
            <w:r>
              <w:rPr>
                <w:rFonts w:hint="default" w:ascii="Times New Roman" w:hAnsi="Times New Roman" w:eastAsia="宋体" w:cs="Times New Roman"/>
                <w:bCs/>
                <w:color w:val="000000" w:themeColor="text1"/>
                <w:kern w:val="0"/>
                <w:sz w:val="21"/>
                <w:szCs w:val="21"/>
                <w14:textFill>
                  <w14:solidFill>
                    <w14:schemeClr w14:val="tx1"/>
                  </w14:solidFill>
                </w14:textFill>
              </w:rPr>
              <w:t>18</w:t>
            </w:r>
          </w:p>
        </w:tc>
        <w:tc>
          <w:tcPr>
            <w:tcW w:w="1617" w:type="dxa"/>
            <w:vAlign w:val="center"/>
          </w:tcPr>
          <w:p w14:paraId="632FEBB6">
            <w:pPr>
              <w:widowControl/>
              <w:spacing w:line="240" w:lineRule="auto"/>
              <w:ind w:firstLine="0" w:firstLineChars="0"/>
              <w:jc w:val="center"/>
              <w:rPr>
                <w:rFonts w:hint="default" w:ascii="Times New Roman" w:hAnsi="Times New Roman" w:eastAsia="宋体" w:cs="Times New Roman"/>
                <w:bCs/>
                <w:color w:val="000000" w:themeColor="text1"/>
                <w:kern w:val="0"/>
                <w:sz w:val="21"/>
                <w:szCs w:val="21"/>
                <w14:textFill>
                  <w14:solidFill>
                    <w14:schemeClr w14:val="tx1"/>
                  </w14:solidFill>
                </w14:textFill>
              </w:rPr>
            </w:pPr>
            <w:r>
              <w:rPr>
                <w:rFonts w:hint="default" w:ascii="Times New Roman" w:hAnsi="Times New Roman" w:eastAsia="宋体" w:cs="Times New Roman"/>
                <w:bCs/>
                <w:color w:val="000000" w:themeColor="text1"/>
                <w:kern w:val="0"/>
                <w:sz w:val="21"/>
                <w:szCs w:val="21"/>
                <w14:textFill>
                  <w14:solidFill>
                    <w14:schemeClr w14:val="tx1"/>
                  </w14:solidFill>
                </w14:textFill>
              </w:rPr>
              <w:t>10</w:t>
            </w:r>
          </w:p>
        </w:tc>
        <w:tc>
          <w:tcPr>
            <w:tcW w:w="1065" w:type="dxa"/>
            <w:vAlign w:val="center"/>
          </w:tcPr>
          <w:p w14:paraId="1261B889">
            <w:pPr>
              <w:widowControl/>
              <w:spacing w:line="240" w:lineRule="auto"/>
              <w:ind w:firstLine="0" w:firstLineChars="0"/>
              <w:jc w:val="center"/>
              <w:rPr>
                <w:rFonts w:hint="default" w:ascii="Times New Roman" w:hAnsi="Times New Roman" w:eastAsia="宋体" w:cs="Times New Roman"/>
                <w:bCs/>
                <w:color w:val="000000" w:themeColor="text1"/>
                <w:kern w:val="0"/>
                <w:sz w:val="21"/>
                <w:szCs w:val="21"/>
                <w14:textFill>
                  <w14:solidFill>
                    <w14:schemeClr w14:val="tx1"/>
                  </w14:solidFill>
                </w14:textFill>
              </w:rPr>
            </w:pPr>
            <w:r>
              <w:rPr>
                <w:rFonts w:hint="default" w:ascii="Times New Roman" w:hAnsi="Times New Roman" w:eastAsia="宋体" w:cs="Times New Roman"/>
                <w:bCs/>
                <w:color w:val="000000" w:themeColor="text1"/>
                <w:kern w:val="0"/>
                <w:sz w:val="21"/>
                <w:szCs w:val="21"/>
                <w14:textFill>
                  <w14:solidFill>
                    <w14:schemeClr w14:val="tx1"/>
                  </w14:solidFill>
                </w14:textFill>
              </w:rPr>
              <w:t>0.9</w:t>
            </w:r>
          </w:p>
        </w:tc>
        <w:tc>
          <w:tcPr>
            <w:tcW w:w="1063" w:type="dxa"/>
            <w:vAlign w:val="bottom"/>
          </w:tcPr>
          <w:p w14:paraId="489E2061">
            <w:pPr>
              <w:widowControl/>
              <w:spacing w:line="240" w:lineRule="auto"/>
              <w:ind w:firstLine="0" w:firstLineChars="0"/>
              <w:jc w:val="center"/>
              <w:rPr>
                <w:rFonts w:hint="default" w:ascii="Times New Roman" w:hAnsi="Times New Roman" w:eastAsia="宋体" w:cs="Times New Roman"/>
                <w:bCs/>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0.5</w:t>
            </w:r>
          </w:p>
        </w:tc>
      </w:tr>
      <w:tr w14:paraId="085803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901" w:type="dxa"/>
            <w:vAlign w:val="center"/>
          </w:tcPr>
          <w:p w14:paraId="3D5B149C">
            <w:pPr>
              <w:widowControl/>
              <w:spacing w:line="240" w:lineRule="auto"/>
              <w:ind w:firstLine="0" w:firstLineChars="0"/>
              <w:jc w:val="center"/>
              <w:rPr>
                <w:rFonts w:hint="default" w:ascii="Times New Roman" w:hAnsi="Times New Roman" w:eastAsia="宋体" w:cs="Times New Roman"/>
                <w:bCs/>
                <w:color w:val="000000" w:themeColor="text1"/>
                <w:kern w:val="0"/>
                <w:sz w:val="21"/>
                <w:szCs w:val="21"/>
                <w14:textFill>
                  <w14:solidFill>
                    <w14:schemeClr w14:val="tx1"/>
                  </w14:solidFill>
                </w14:textFill>
              </w:rPr>
            </w:pPr>
            <w:r>
              <w:rPr>
                <w:rFonts w:hint="default" w:ascii="Times New Roman" w:hAnsi="Times New Roman" w:eastAsia="宋体" w:cs="Times New Roman"/>
                <w:bCs/>
                <w:color w:val="000000" w:themeColor="text1"/>
                <w:kern w:val="0"/>
                <w:sz w:val="21"/>
                <w:szCs w:val="21"/>
                <w14:textFill>
                  <w14:solidFill>
                    <w14:schemeClr w14:val="tx1"/>
                  </w14:solidFill>
                </w14:textFill>
              </w:rPr>
              <w:t>育成牛</w:t>
            </w:r>
          </w:p>
        </w:tc>
        <w:tc>
          <w:tcPr>
            <w:tcW w:w="1299" w:type="dxa"/>
            <w:vAlign w:val="center"/>
          </w:tcPr>
          <w:p w14:paraId="61BF4FFF">
            <w:pPr>
              <w:widowControl/>
              <w:spacing w:line="240" w:lineRule="auto"/>
              <w:ind w:firstLine="0" w:firstLineChars="0"/>
              <w:jc w:val="center"/>
              <w:rPr>
                <w:rFonts w:hint="default" w:ascii="Times New Roman" w:hAnsi="Times New Roman" w:eastAsia="宋体" w:cs="Times New Roman"/>
                <w:bCs/>
                <w:color w:val="000000" w:themeColor="text1"/>
                <w:kern w:val="0"/>
                <w:sz w:val="21"/>
                <w:szCs w:val="21"/>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50头</w:t>
            </w:r>
          </w:p>
        </w:tc>
        <w:tc>
          <w:tcPr>
            <w:tcW w:w="1617" w:type="dxa"/>
            <w:vAlign w:val="center"/>
          </w:tcPr>
          <w:p w14:paraId="369236CB">
            <w:pPr>
              <w:widowControl/>
              <w:spacing w:line="240" w:lineRule="auto"/>
              <w:ind w:firstLine="0" w:firstLineChars="0"/>
              <w:jc w:val="center"/>
              <w:rPr>
                <w:rFonts w:hint="default" w:ascii="Times New Roman" w:hAnsi="Times New Roman" w:eastAsia="宋体" w:cs="Times New Roman"/>
                <w:bCs/>
                <w:color w:val="000000" w:themeColor="text1"/>
                <w:kern w:val="0"/>
                <w:sz w:val="21"/>
                <w:szCs w:val="21"/>
                <w14:textFill>
                  <w14:solidFill>
                    <w14:schemeClr w14:val="tx1"/>
                  </w14:solidFill>
                </w14:textFill>
              </w:rPr>
            </w:pPr>
            <w:r>
              <w:rPr>
                <w:rFonts w:hint="default" w:ascii="Times New Roman" w:hAnsi="Times New Roman" w:eastAsia="宋体" w:cs="Times New Roman"/>
                <w:bCs/>
                <w:color w:val="000000" w:themeColor="text1"/>
                <w:kern w:val="0"/>
                <w:sz w:val="21"/>
                <w:szCs w:val="21"/>
                <w14:textFill>
                  <w14:solidFill>
                    <w14:schemeClr w14:val="tx1"/>
                  </w14:solidFill>
                </w14:textFill>
              </w:rPr>
              <w:t>15</w:t>
            </w:r>
          </w:p>
        </w:tc>
        <w:tc>
          <w:tcPr>
            <w:tcW w:w="1617" w:type="dxa"/>
            <w:vAlign w:val="center"/>
          </w:tcPr>
          <w:p w14:paraId="2156F8F2">
            <w:pPr>
              <w:widowControl/>
              <w:spacing w:line="240" w:lineRule="auto"/>
              <w:ind w:firstLine="0" w:firstLineChars="0"/>
              <w:jc w:val="center"/>
              <w:rPr>
                <w:rFonts w:hint="default" w:ascii="Times New Roman" w:hAnsi="Times New Roman" w:eastAsia="宋体" w:cs="Times New Roman"/>
                <w:bCs/>
                <w:color w:val="000000" w:themeColor="text1"/>
                <w:kern w:val="0"/>
                <w:sz w:val="21"/>
                <w:szCs w:val="21"/>
                <w14:textFill>
                  <w14:solidFill>
                    <w14:schemeClr w14:val="tx1"/>
                  </w14:solidFill>
                </w14:textFill>
              </w:rPr>
            </w:pPr>
            <w:r>
              <w:rPr>
                <w:rFonts w:hint="default" w:ascii="Times New Roman" w:hAnsi="Times New Roman" w:eastAsia="宋体" w:cs="Times New Roman"/>
                <w:bCs/>
                <w:color w:val="000000" w:themeColor="text1"/>
                <w:kern w:val="0"/>
                <w:sz w:val="21"/>
                <w:szCs w:val="21"/>
                <w14:textFill>
                  <w14:solidFill>
                    <w14:schemeClr w14:val="tx1"/>
                  </w14:solidFill>
                </w14:textFill>
              </w:rPr>
              <w:t>6</w:t>
            </w:r>
          </w:p>
        </w:tc>
        <w:tc>
          <w:tcPr>
            <w:tcW w:w="1065" w:type="dxa"/>
            <w:vAlign w:val="center"/>
          </w:tcPr>
          <w:p w14:paraId="5AC47962">
            <w:pPr>
              <w:widowControl/>
              <w:spacing w:line="240" w:lineRule="auto"/>
              <w:ind w:firstLine="0" w:firstLineChars="0"/>
              <w:jc w:val="center"/>
              <w:rPr>
                <w:rFonts w:hint="default" w:ascii="Times New Roman" w:hAnsi="Times New Roman" w:eastAsia="宋体" w:cs="Times New Roman"/>
                <w:bCs/>
                <w:color w:val="000000" w:themeColor="text1"/>
                <w:kern w:val="0"/>
                <w:sz w:val="21"/>
                <w:szCs w:val="21"/>
                <w14:textFill>
                  <w14:solidFill>
                    <w14:schemeClr w14:val="tx1"/>
                  </w14:solidFill>
                </w14:textFill>
              </w:rPr>
            </w:pPr>
            <w:r>
              <w:rPr>
                <w:rFonts w:hint="default" w:ascii="Times New Roman" w:hAnsi="Times New Roman" w:eastAsia="宋体" w:cs="Times New Roman"/>
                <w:bCs/>
                <w:color w:val="000000" w:themeColor="text1"/>
                <w:kern w:val="0"/>
                <w:sz w:val="21"/>
                <w:szCs w:val="21"/>
                <w14:textFill>
                  <w14:solidFill>
                    <w14:schemeClr w14:val="tx1"/>
                  </w14:solidFill>
                </w14:textFill>
              </w:rPr>
              <w:t>0.75</w:t>
            </w:r>
          </w:p>
        </w:tc>
        <w:tc>
          <w:tcPr>
            <w:tcW w:w="1063" w:type="dxa"/>
            <w:vAlign w:val="bottom"/>
          </w:tcPr>
          <w:p w14:paraId="1BB877CB">
            <w:pPr>
              <w:widowControl/>
              <w:spacing w:line="240" w:lineRule="auto"/>
              <w:ind w:firstLine="0" w:firstLineChars="0"/>
              <w:jc w:val="center"/>
              <w:rPr>
                <w:rFonts w:hint="default" w:ascii="Times New Roman" w:hAnsi="Times New Roman" w:eastAsia="宋体" w:cs="Times New Roman"/>
                <w:bCs/>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0.3</w:t>
            </w:r>
          </w:p>
        </w:tc>
      </w:tr>
      <w:tr w14:paraId="75A588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901" w:type="dxa"/>
            <w:vAlign w:val="center"/>
          </w:tcPr>
          <w:p w14:paraId="663D1479">
            <w:pPr>
              <w:widowControl/>
              <w:spacing w:line="240" w:lineRule="auto"/>
              <w:ind w:firstLine="0" w:firstLineChars="0"/>
              <w:jc w:val="center"/>
              <w:rPr>
                <w:rFonts w:hint="default" w:ascii="Times New Roman" w:hAnsi="Times New Roman" w:eastAsia="宋体" w:cs="Times New Roman"/>
                <w:bCs/>
                <w:color w:val="000000" w:themeColor="text1"/>
                <w:kern w:val="0"/>
                <w:sz w:val="21"/>
                <w:szCs w:val="21"/>
                <w14:textFill>
                  <w14:solidFill>
                    <w14:schemeClr w14:val="tx1"/>
                  </w14:solidFill>
                </w14:textFill>
              </w:rPr>
            </w:pPr>
            <w:r>
              <w:rPr>
                <w:rFonts w:hint="default" w:ascii="Times New Roman" w:hAnsi="Times New Roman" w:eastAsia="宋体" w:cs="Times New Roman"/>
                <w:bCs/>
                <w:color w:val="000000" w:themeColor="text1"/>
                <w:kern w:val="0"/>
                <w:sz w:val="21"/>
                <w:szCs w:val="21"/>
                <w14:textFill>
                  <w14:solidFill>
                    <w14:schemeClr w14:val="tx1"/>
                  </w14:solidFill>
                </w14:textFill>
              </w:rPr>
              <w:t>犊牛</w:t>
            </w:r>
          </w:p>
        </w:tc>
        <w:tc>
          <w:tcPr>
            <w:tcW w:w="1299" w:type="dxa"/>
            <w:vAlign w:val="center"/>
          </w:tcPr>
          <w:p w14:paraId="7B93CDAF">
            <w:pPr>
              <w:widowControl/>
              <w:spacing w:line="240" w:lineRule="auto"/>
              <w:ind w:firstLine="0" w:firstLineChars="0"/>
              <w:jc w:val="center"/>
              <w:rPr>
                <w:rFonts w:hint="default" w:ascii="Times New Roman" w:hAnsi="Times New Roman" w:eastAsia="宋体" w:cs="Times New Roman"/>
                <w:bCs/>
                <w:color w:val="000000" w:themeColor="text1"/>
                <w:kern w:val="0"/>
                <w:sz w:val="21"/>
                <w:szCs w:val="21"/>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100头</w:t>
            </w:r>
          </w:p>
        </w:tc>
        <w:tc>
          <w:tcPr>
            <w:tcW w:w="1617" w:type="dxa"/>
            <w:vAlign w:val="center"/>
          </w:tcPr>
          <w:p w14:paraId="2EABEA58">
            <w:pPr>
              <w:widowControl/>
              <w:spacing w:line="240" w:lineRule="auto"/>
              <w:ind w:firstLine="0" w:firstLineChars="0"/>
              <w:jc w:val="center"/>
              <w:rPr>
                <w:rFonts w:hint="default" w:ascii="Times New Roman" w:hAnsi="Times New Roman" w:eastAsia="宋体" w:cs="Times New Roman"/>
                <w:bCs/>
                <w:color w:val="000000" w:themeColor="text1"/>
                <w:kern w:val="0"/>
                <w:sz w:val="21"/>
                <w:szCs w:val="21"/>
                <w14:textFill>
                  <w14:solidFill>
                    <w14:schemeClr w14:val="tx1"/>
                  </w14:solidFill>
                </w14:textFill>
              </w:rPr>
            </w:pPr>
            <w:r>
              <w:rPr>
                <w:rFonts w:hint="default" w:ascii="Times New Roman" w:hAnsi="Times New Roman" w:eastAsia="宋体" w:cs="Times New Roman"/>
                <w:bCs/>
                <w:color w:val="000000" w:themeColor="text1"/>
                <w:kern w:val="0"/>
                <w:sz w:val="21"/>
                <w:szCs w:val="21"/>
                <w14:textFill>
                  <w14:solidFill>
                    <w14:schemeClr w14:val="tx1"/>
                  </w14:solidFill>
                </w14:textFill>
              </w:rPr>
              <w:t>7</w:t>
            </w:r>
          </w:p>
        </w:tc>
        <w:tc>
          <w:tcPr>
            <w:tcW w:w="1617" w:type="dxa"/>
            <w:vAlign w:val="center"/>
          </w:tcPr>
          <w:p w14:paraId="11F0671C">
            <w:pPr>
              <w:widowControl/>
              <w:spacing w:line="240" w:lineRule="auto"/>
              <w:ind w:firstLine="0" w:firstLineChars="0"/>
              <w:jc w:val="center"/>
              <w:rPr>
                <w:rFonts w:hint="default" w:ascii="Times New Roman" w:hAnsi="Times New Roman" w:eastAsia="宋体" w:cs="Times New Roman"/>
                <w:bCs/>
                <w:color w:val="000000" w:themeColor="text1"/>
                <w:kern w:val="0"/>
                <w:sz w:val="21"/>
                <w:szCs w:val="21"/>
                <w14:textFill>
                  <w14:solidFill>
                    <w14:schemeClr w14:val="tx1"/>
                  </w14:solidFill>
                </w14:textFill>
              </w:rPr>
            </w:pPr>
            <w:r>
              <w:rPr>
                <w:rFonts w:hint="default" w:ascii="Times New Roman" w:hAnsi="Times New Roman" w:eastAsia="宋体" w:cs="Times New Roman"/>
                <w:bCs/>
                <w:color w:val="000000" w:themeColor="text1"/>
                <w:kern w:val="0"/>
                <w:sz w:val="21"/>
                <w:szCs w:val="21"/>
                <w14:textFill>
                  <w14:solidFill>
                    <w14:schemeClr w14:val="tx1"/>
                  </w14:solidFill>
                </w14:textFill>
              </w:rPr>
              <w:t>5</w:t>
            </w:r>
          </w:p>
        </w:tc>
        <w:tc>
          <w:tcPr>
            <w:tcW w:w="1065" w:type="dxa"/>
            <w:vAlign w:val="center"/>
          </w:tcPr>
          <w:p w14:paraId="2538994B">
            <w:pPr>
              <w:widowControl/>
              <w:spacing w:line="240" w:lineRule="auto"/>
              <w:ind w:firstLine="0" w:firstLineChars="0"/>
              <w:jc w:val="center"/>
              <w:rPr>
                <w:rFonts w:hint="default" w:ascii="Times New Roman" w:hAnsi="Times New Roman" w:eastAsia="宋体" w:cs="Times New Roman"/>
                <w:bCs/>
                <w:color w:val="000000" w:themeColor="text1"/>
                <w:kern w:val="0"/>
                <w:sz w:val="21"/>
                <w:szCs w:val="21"/>
                <w14:textFill>
                  <w14:solidFill>
                    <w14:schemeClr w14:val="tx1"/>
                  </w14:solidFill>
                </w14:textFill>
              </w:rPr>
            </w:pPr>
            <w:r>
              <w:rPr>
                <w:rFonts w:hint="default" w:ascii="Times New Roman" w:hAnsi="Times New Roman" w:eastAsia="宋体" w:cs="Times New Roman"/>
                <w:bCs/>
                <w:color w:val="000000" w:themeColor="text1"/>
                <w:kern w:val="0"/>
                <w:sz w:val="21"/>
                <w:szCs w:val="21"/>
                <w14:textFill>
                  <w14:solidFill>
                    <w14:schemeClr w14:val="tx1"/>
                  </w14:solidFill>
                </w14:textFill>
              </w:rPr>
              <w:t>0.7</w:t>
            </w:r>
          </w:p>
        </w:tc>
        <w:tc>
          <w:tcPr>
            <w:tcW w:w="1063" w:type="dxa"/>
            <w:vAlign w:val="bottom"/>
          </w:tcPr>
          <w:p w14:paraId="5ECCF3F9">
            <w:pPr>
              <w:widowControl/>
              <w:spacing w:line="240" w:lineRule="auto"/>
              <w:ind w:firstLine="0" w:firstLineChars="0"/>
              <w:jc w:val="center"/>
              <w:rPr>
                <w:rFonts w:hint="default" w:ascii="Times New Roman" w:hAnsi="Times New Roman" w:eastAsia="宋体" w:cs="Times New Roman"/>
                <w:bCs/>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0.5</w:t>
            </w:r>
          </w:p>
        </w:tc>
      </w:tr>
      <w:tr w14:paraId="503BCB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901" w:type="dxa"/>
            <w:vAlign w:val="center"/>
          </w:tcPr>
          <w:p w14:paraId="12C071EC">
            <w:pPr>
              <w:widowControl/>
              <w:spacing w:line="240" w:lineRule="auto"/>
              <w:ind w:firstLine="0" w:firstLineChars="0"/>
              <w:jc w:val="center"/>
              <w:rPr>
                <w:rFonts w:hint="default" w:ascii="Times New Roman" w:hAnsi="Times New Roman" w:eastAsia="宋体" w:cs="Times New Roman"/>
                <w:bCs/>
                <w:color w:val="000000" w:themeColor="text1"/>
                <w:kern w:val="0"/>
                <w:sz w:val="21"/>
                <w:szCs w:val="21"/>
                <w14:textFill>
                  <w14:solidFill>
                    <w14:schemeClr w14:val="tx1"/>
                  </w14:solidFill>
                </w14:textFill>
              </w:rPr>
            </w:pPr>
            <w:r>
              <w:rPr>
                <w:rFonts w:hint="default" w:ascii="Times New Roman" w:hAnsi="Times New Roman" w:eastAsia="宋体" w:cs="Times New Roman"/>
                <w:bCs/>
                <w:color w:val="000000" w:themeColor="text1"/>
                <w:kern w:val="0"/>
                <w:sz w:val="21"/>
                <w:szCs w:val="21"/>
                <w14:textFill>
                  <w14:solidFill>
                    <w14:schemeClr w14:val="tx1"/>
                  </w14:solidFill>
                </w14:textFill>
              </w:rPr>
              <w:t>合计</w:t>
            </w:r>
          </w:p>
        </w:tc>
        <w:tc>
          <w:tcPr>
            <w:tcW w:w="1299" w:type="dxa"/>
            <w:vAlign w:val="center"/>
          </w:tcPr>
          <w:p w14:paraId="171EE650">
            <w:pPr>
              <w:widowControl/>
              <w:spacing w:line="240" w:lineRule="auto"/>
              <w:ind w:firstLine="0" w:firstLineChars="0"/>
              <w:jc w:val="center"/>
              <w:rPr>
                <w:rFonts w:hint="default" w:ascii="Times New Roman" w:hAnsi="Times New Roman" w:eastAsia="宋体" w:cs="Times New Roman"/>
                <w:bCs/>
                <w:color w:val="000000" w:themeColor="text1"/>
                <w:kern w:val="0"/>
                <w:sz w:val="21"/>
                <w:szCs w:val="21"/>
                <w14:textFill>
                  <w14:solidFill>
                    <w14:schemeClr w14:val="tx1"/>
                  </w14:solidFill>
                </w14:textFill>
              </w:rPr>
            </w:pPr>
            <w:r>
              <w:rPr>
                <w:rFonts w:hint="default" w:ascii="Times New Roman" w:hAnsi="Times New Roman" w:eastAsia="宋体" w:cs="Times New Roman"/>
                <w:bCs/>
                <w:color w:val="000000" w:themeColor="text1"/>
                <w:kern w:val="0"/>
                <w:sz w:val="21"/>
                <w:szCs w:val="21"/>
                <w14:textFill>
                  <w14:solidFill>
                    <w14:schemeClr w14:val="tx1"/>
                  </w14:solidFill>
                </w14:textFill>
              </w:rPr>
              <w:t>300头</w:t>
            </w:r>
          </w:p>
        </w:tc>
        <w:tc>
          <w:tcPr>
            <w:tcW w:w="1617" w:type="dxa"/>
            <w:vAlign w:val="center"/>
          </w:tcPr>
          <w:p w14:paraId="6525166A">
            <w:pPr>
              <w:widowControl/>
              <w:spacing w:line="240" w:lineRule="auto"/>
              <w:ind w:firstLine="0" w:firstLineChars="0"/>
              <w:jc w:val="center"/>
              <w:rPr>
                <w:rFonts w:hint="default" w:ascii="Times New Roman" w:hAnsi="Times New Roman" w:eastAsia="宋体" w:cs="Times New Roman"/>
                <w:bCs/>
                <w:color w:val="000000" w:themeColor="text1"/>
                <w:kern w:val="0"/>
                <w:sz w:val="21"/>
                <w:szCs w:val="21"/>
                <w14:textFill>
                  <w14:solidFill>
                    <w14:schemeClr w14:val="tx1"/>
                  </w14:solidFill>
                </w14:textFill>
              </w:rPr>
            </w:pPr>
            <w:r>
              <w:rPr>
                <w:rFonts w:hint="default" w:ascii="Times New Roman" w:hAnsi="Times New Roman" w:eastAsia="宋体" w:cs="Times New Roman"/>
                <w:bCs/>
                <w:color w:val="000000" w:themeColor="text1"/>
                <w:kern w:val="0"/>
                <w:sz w:val="21"/>
                <w:szCs w:val="21"/>
                <w14:textFill>
                  <w14:solidFill>
                    <w14:schemeClr w14:val="tx1"/>
                  </w14:solidFill>
                </w14:textFill>
              </w:rPr>
              <w:t>-</w:t>
            </w:r>
          </w:p>
        </w:tc>
        <w:tc>
          <w:tcPr>
            <w:tcW w:w="1617" w:type="dxa"/>
            <w:vAlign w:val="center"/>
          </w:tcPr>
          <w:p w14:paraId="6022002D">
            <w:pPr>
              <w:widowControl/>
              <w:spacing w:line="240" w:lineRule="auto"/>
              <w:ind w:firstLine="0" w:firstLineChars="0"/>
              <w:jc w:val="center"/>
              <w:rPr>
                <w:rFonts w:hint="default" w:ascii="Times New Roman" w:hAnsi="Times New Roman" w:eastAsia="宋体" w:cs="Times New Roman"/>
                <w:bCs/>
                <w:color w:val="000000" w:themeColor="text1"/>
                <w:kern w:val="0"/>
                <w:sz w:val="21"/>
                <w:szCs w:val="21"/>
                <w14:textFill>
                  <w14:solidFill>
                    <w14:schemeClr w14:val="tx1"/>
                  </w14:solidFill>
                </w14:textFill>
              </w:rPr>
            </w:pPr>
            <w:r>
              <w:rPr>
                <w:rFonts w:hint="default" w:ascii="Times New Roman" w:hAnsi="Times New Roman" w:eastAsia="宋体" w:cs="Times New Roman"/>
                <w:bCs/>
                <w:color w:val="000000" w:themeColor="text1"/>
                <w:kern w:val="0"/>
                <w:sz w:val="21"/>
                <w:szCs w:val="21"/>
                <w14:textFill>
                  <w14:solidFill>
                    <w14:schemeClr w14:val="tx1"/>
                  </w14:solidFill>
                </w14:textFill>
              </w:rPr>
              <w:t>-</w:t>
            </w:r>
          </w:p>
        </w:tc>
        <w:tc>
          <w:tcPr>
            <w:tcW w:w="1065" w:type="dxa"/>
            <w:vAlign w:val="center"/>
          </w:tcPr>
          <w:p w14:paraId="0590F143">
            <w:pPr>
              <w:widowControl/>
              <w:spacing w:line="240" w:lineRule="auto"/>
              <w:ind w:firstLine="0" w:firstLineChars="0"/>
              <w:jc w:val="center"/>
              <w:rPr>
                <w:rFonts w:hint="default" w:ascii="Times New Roman" w:hAnsi="Times New Roman" w:eastAsia="宋体" w:cs="Times New Roman"/>
                <w:bCs/>
                <w:color w:val="000000" w:themeColor="text1"/>
                <w:kern w:val="0"/>
                <w:sz w:val="21"/>
                <w:szCs w:val="21"/>
                <w14:textFill>
                  <w14:solidFill>
                    <w14:schemeClr w14:val="tx1"/>
                  </w14:solidFill>
                </w14:textFill>
              </w:rPr>
            </w:pPr>
            <w:r>
              <w:rPr>
                <w:rFonts w:hint="default" w:ascii="Times New Roman" w:hAnsi="Times New Roman" w:eastAsia="宋体" w:cs="Times New Roman"/>
                <w:bCs/>
                <w:color w:val="000000" w:themeColor="text1"/>
                <w:kern w:val="0"/>
                <w:sz w:val="21"/>
                <w:szCs w:val="21"/>
                <w14:textFill>
                  <w14:solidFill>
                    <w14:schemeClr w14:val="tx1"/>
                  </w14:solidFill>
                </w14:textFill>
              </w:rPr>
              <w:t>4.85</w:t>
            </w:r>
          </w:p>
        </w:tc>
        <w:tc>
          <w:tcPr>
            <w:tcW w:w="1063" w:type="dxa"/>
            <w:vAlign w:val="center"/>
          </w:tcPr>
          <w:p w14:paraId="7298571B">
            <w:pPr>
              <w:widowControl/>
              <w:spacing w:line="240" w:lineRule="auto"/>
              <w:ind w:firstLine="0" w:firstLineChars="0"/>
              <w:jc w:val="center"/>
              <w:rPr>
                <w:rFonts w:hint="default" w:ascii="Times New Roman" w:hAnsi="Times New Roman" w:eastAsia="宋体" w:cs="Times New Roman"/>
                <w:bCs/>
                <w:color w:val="000000" w:themeColor="text1"/>
                <w:kern w:val="0"/>
                <w:sz w:val="21"/>
                <w:szCs w:val="21"/>
                <w14:textFill>
                  <w14:solidFill>
                    <w14:schemeClr w14:val="tx1"/>
                  </w14:solidFill>
                </w14:textFill>
              </w:rPr>
            </w:pPr>
            <w:r>
              <w:rPr>
                <w:rFonts w:hint="default" w:ascii="Times New Roman" w:hAnsi="Times New Roman" w:eastAsia="宋体" w:cs="Times New Roman"/>
                <w:bCs/>
                <w:color w:val="000000" w:themeColor="text1"/>
                <w:kern w:val="0"/>
                <w:sz w:val="21"/>
                <w:szCs w:val="21"/>
                <w14:textFill>
                  <w14:solidFill>
                    <w14:schemeClr w14:val="tx1"/>
                  </w14:solidFill>
                </w14:textFill>
              </w:rPr>
              <w:t>2.8</w:t>
            </w:r>
          </w:p>
        </w:tc>
      </w:tr>
      <w:tr w14:paraId="0A3093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6434" w:type="dxa"/>
            <w:gridSpan w:val="4"/>
            <w:vAlign w:val="center"/>
          </w:tcPr>
          <w:p w14:paraId="61BE07F2">
            <w:pPr>
              <w:widowControl/>
              <w:spacing w:line="240" w:lineRule="auto"/>
              <w:ind w:firstLine="0" w:firstLineChars="0"/>
              <w:jc w:val="center"/>
              <w:rPr>
                <w:rFonts w:hint="default" w:ascii="Times New Roman" w:hAnsi="Times New Roman" w:eastAsia="宋体" w:cs="Times New Roman"/>
                <w:bCs/>
                <w:color w:val="000000" w:themeColor="text1"/>
                <w:kern w:val="0"/>
                <w:sz w:val="21"/>
                <w:szCs w:val="21"/>
                <w14:textFill>
                  <w14:solidFill>
                    <w14:schemeClr w14:val="tx1"/>
                  </w14:solidFill>
                </w14:textFill>
              </w:rPr>
            </w:pPr>
            <w:r>
              <w:rPr>
                <w:rFonts w:hint="default" w:ascii="Times New Roman" w:hAnsi="Times New Roman" w:eastAsia="宋体" w:cs="Times New Roman"/>
                <w:bCs/>
                <w:color w:val="000000" w:themeColor="text1"/>
                <w:kern w:val="0"/>
                <w:sz w:val="21"/>
                <w:szCs w:val="21"/>
                <w14:textFill>
                  <w14:solidFill>
                    <w14:schemeClr w14:val="tx1"/>
                  </w14:solidFill>
                </w14:textFill>
              </w:rPr>
              <w:t>其他牛牛群粪尿量合计</w:t>
            </w:r>
          </w:p>
        </w:tc>
        <w:tc>
          <w:tcPr>
            <w:tcW w:w="2128" w:type="dxa"/>
            <w:gridSpan w:val="2"/>
            <w:vAlign w:val="center"/>
          </w:tcPr>
          <w:p w14:paraId="6B17726D">
            <w:pPr>
              <w:widowControl/>
              <w:spacing w:line="240" w:lineRule="auto"/>
              <w:ind w:firstLine="0" w:firstLineChars="0"/>
              <w:jc w:val="center"/>
              <w:rPr>
                <w:rFonts w:hint="default" w:ascii="Times New Roman" w:hAnsi="Times New Roman" w:eastAsia="宋体" w:cs="Times New Roman"/>
                <w:bCs/>
                <w:color w:val="000000" w:themeColor="text1"/>
                <w:kern w:val="0"/>
                <w:sz w:val="21"/>
                <w:szCs w:val="21"/>
                <w14:textFill>
                  <w14:solidFill>
                    <w14:schemeClr w14:val="tx1"/>
                  </w14:solidFill>
                </w14:textFill>
              </w:rPr>
            </w:pPr>
            <w:r>
              <w:rPr>
                <w:rFonts w:hint="default" w:ascii="Times New Roman" w:hAnsi="Times New Roman" w:eastAsia="宋体" w:cs="Times New Roman"/>
                <w:bCs/>
                <w:color w:val="000000" w:themeColor="text1"/>
                <w:kern w:val="0"/>
                <w:sz w:val="21"/>
                <w:szCs w:val="21"/>
                <w14:textFill>
                  <w14:solidFill>
                    <w14:schemeClr w14:val="tx1"/>
                  </w14:solidFill>
                </w14:textFill>
              </w:rPr>
              <w:t>7.65</w:t>
            </w:r>
          </w:p>
        </w:tc>
      </w:tr>
    </w:tbl>
    <w:p w14:paraId="77952154">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②挤奶设备清洗废水：挤奶设备的酸洗和碱洗的酸液和碱液是经过专业厂家配置的复合有机酸和碱液，是进行交替进行酸碱清洗，清洗完后酸碱清洗废水的pH值在7至8.5略偏碱性，全部回用于地面冲洗；</w:t>
      </w:r>
    </w:p>
    <w:p w14:paraId="6D9EEB02">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③挤奶厅地面冲洗废水：排水量按用水量80%计算，则挤奶地面冲洗废水排放量1.2m</w:t>
      </w:r>
      <w:r>
        <w:rPr>
          <w:rFonts w:hint="default" w:ascii="Times New Roman" w:hAnsi="Times New Roman" w:eastAsia="宋体" w:cs="Times New Roman"/>
          <w:color w:val="000000" w:themeColor="text1"/>
          <w:vertAlign w:val="superscript"/>
          <w14:textFill>
            <w14:solidFill>
              <w14:schemeClr w14:val="tx1"/>
            </w14:solidFill>
          </w14:textFill>
        </w:rPr>
        <w:t>3</w:t>
      </w:r>
      <w:r>
        <w:rPr>
          <w:rFonts w:hint="default" w:ascii="Times New Roman" w:hAnsi="Times New Roman" w:eastAsia="宋体" w:cs="Times New Roman"/>
          <w:color w:val="000000" w:themeColor="text1"/>
          <w14:textFill>
            <w14:solidFill>
              <w14:schemeClr w14:val="tx1"/>
            </w14:solidFill>
          </w14:textFill>
        </w:rPr>
        <w:t>/d，即438m</w:t>
      </w:r>
      <w:r>
        <w:rPr>
          <w:rFonts w:hint="default" w:ascii="Times New Roman" w:hAnsi="Times New Roman" w:eastAsia="宋体" w:cs="Times New Roman"/>
          <w:color w:val="000000" w:themeColor="text1"/>
          <w:vertAlign w:val="superscript"/>
          <w14:textFill>
            <w14:solidFill>
              <w14:schemeClr w14:val="tx1"/>
            </w14:solidFill>
          </w14:textFill>
        </w:rPr>
        <w:t>3</w:t>
      </w:r>
      <w:r>
        <w:rPr>
          <w:rFonts w:hint="default" w:ascii="Times New Roman" w:hAnsi="Times New Roman" w:eastAsia="宋体" w:cs="Times New Roman"/>
          <w:color w:val="000000" w:themeColor="text1"/>
          <w14:textFill>
            <w14:solidFill>
              <w14:schemeClr w14:val="tx1"/>
            </w14:solidFill>
          </w14:textFill>
        </w:rPr>
        <w:t>/a；</w:t>
      </w:r>
    </w:p>
    <w:p w14:paraId="21F75B5D">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④生活污水：本项目生活废水排水量按用水量80%计算，则生活污水排放量为1.44m</w:t>
      </w:r>
      <w:r>
        <w:rPr>
          <w:rFonts w:hint="default" w:ascii="Times New Roman" w:hAnsi="Times New Roman" w:eastAsia="宋体" w:cs="Times New Roman"/>
          <w:color w:val="000000" w:themeColor="text1"/>
          <w:vertAlign w:val="superscript"/>
          <w14:textFill>
            <w14:solidFill>
              <w14:schemeClr w14:val="tx1"/>
            </w14:solidFill>
          </w14:textFill>
        </w:rPr>
        <w:t>3</w:t>
      </w:r>
      <w:r>
        <w:rPr>
          <w:rFonts w:hint="default" w:ascii="Times New Roman" w:hAnsi="Times New Roman" w:eastAsia="宋体" w:cs="Times New Roman"/>
          <w:color w:val="000000" w:themeColor="text1"/>
          <w14:textFill>
            <w14:solidFill>
              <w14:schemeClr w14:val="tx1"/>
            </w14:solidFill>
          </w14:textFill>
        </w:rPr>
        <w:t>/d，即525.6m</w:t>
      </w:r>
      <w:r>
        <w:rPr>
          <w:rFonts w:hint="default" w:ascii="Times New Roman" w:hAnsi="Times New Roman" w:eastAsia="宋体" w:cs="Times New Roman"/>
          <w:color w:val="000000" w:themeColor="text1"/>
          <w:vertAlign w:val="superscript"/>
          <w14:textFill>
            <w14:solidFill>
              <w14:schemeClr w14:val="tx1"/>
            </w14:solidFill>
          </w14:textFill>
        </w:rPr>
        <w:t>3</w:t>
      </w:r>
      <w:r>
        <w:rPr>
          <w:rFonts w:hint="default" w:ascii="Times New Roman" w:hAnsi="Times New Roman" w:eastAsia="宋体" w:cs="Times New Roman"/>
          <w:color w:val="000000" w:themeColor="text1"/>
          <w14:textFill>
            <w14:solidFill>
              <w14:schemeClr w14:val="tx1"/>
            </w14:solidFill>
          </w14:textFill>
        </w:rPr>
        <w:t>/a</w:t>
      </w:r>
      <w:r>
        <w:rPr>
          <w:rFonts w:hint="default" w:ascii="Times New Roman" w:hAnsi="Times New Roman" w:eastAsia="宋体" w:cs="Times New Roman"/>
          <w:color w:val="000000" w:themeColor="text1"/>
          <w:szCs w:val="28"/>
          <w14:textFill>
            <w14:solidFill>
              <w14:schemeClr w14:val="tx1"/>
            </w14:solidFill>
          </w14:textFill>
        </w:rPr>
        <w:t>。</w:t>
      </w:r>
    </w:p>
    <w:p w14:paraId="7BC5D62D">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用排水情况见表3.1-9，项目水平衡图见下图。</w:t>
      </w:r>
    </w:p>
    <w:p w14:paraId="5897BF13">
      <w:pPr>
        <w:pStyle w:val="54"/>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b/>
          <w:bCs/>
          <w:color w:val="000000" w:themeColor="text1"/>
          <w:sz w:val="24"/>
          <w:szCs w:val="32"/>
          <w14:textFill>
            <w14:solidFill>
              <w14:schemeClr w14:val="tx1"/>
            </w14:solidFill>
          </w14:textFill>
        </w:rPr>
      </w:pPr>
      <w:r>
        <w:rPr>
          <w:rFonts w:hint="default" w:ascii="Times New Roman" w:hAnsi="Times New Roman" w:eastAsia="宋体" w:cs="Times New Roman"/>
          <w:b/>
          <w:bCs/>
          <w:color w:val="000000" w:themeColor="text1"/>
          <w:sz w:val="24"/>
          <w:szCs w:val="32"/>
          <w14:textFill>
            <w14:solidFill>
              <w14:schemeClr w14:val="tx1"/>
            </w14:solidFill>
          </w14:textFill>
        </w:rPr>
        <w:t>表3.1-9项目用、排水情况统计表</w:t>
      </w:r>
    </w:p>
    <w:tbl>
      <w:tblPr>
        <w:tblStyle w:val="29"/>
        <w:tblW w:w="894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5"/>
        <w:gridCol w:w="705"/>
        <w:gridCol w:w="892"/>
        <w:gridCol w:w="983"/>
        <w:gridCol w:w="855"/>
        <w:gridCol w:w="967"/>
        <w:gridCol w:w="1065"/>
        <w:gridCol w:w="2784"/>
      </w:tblGrid>
      <w:tr w14:paraId="0DC8D4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95" w:type="dxa"/>
            <w:tcBorders>
              <w:tl2br w:val="nil"/>
              <w:tr2bl w:val="nil"/>
            </w:tcBorders>
            <w:vAlign w:val="center"/>
          </w:tcPr>
          <w:p w14:paraId="20D72CE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000000" w:themeColor="text1"/>
                <w:kern w:val="0"/>
                <w:sz w:val="21"/>
                <w:szCs w:val="21"/>
                <w14:textFill>
                  <w14:solidFill>
                    <w14:schemeClr w14:val="tx1"/>
                  </w14:solidFill>
                </w14:textFill>
              </w:rPr>
            </w:pPr>
            <w:r>
              <w:rPr>
                <w:rFonts w:hint="default" w:ascii="Times New Roman" w:hAnsi="Times New Roman" w:eastAsia="宋体" w:cs="Times New Roman"/>
                <w:bCs/>
                <w:color w:val="000000" w:themeColor="text1"/>
                <w:kern w:val="0"/>
                <w:sz w:val="21"/>
                <w:szCs w:val="21"/>
                <w14:textFill>
                  <w14:solidFill>
                    <w14:schemeClr w14:val="tx1"/>
                  </w14:solidFill>
                </w14:textFill>
              </w:rPr>
              <w:t>序号</w:t>
            </w:r>
          </w:p>
        </w:tc>
        <w:tc>
          <w:tcPr>
            <w:tcW w:w="1597" w:type="dxa"/>
            <w:gridSpan w:val="2"/>
            <w:tcBorders>
              <w:tl2br w:val="nil"/>
              <w:tr2bl w:val="nil"/>
            </w:tcBorders>
            <w:vAlign w:val="center"/>
          </w:tcPr>
          <w:p w14:paraId="38045A1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000000" w:themeColor="text1"/>
                <w:kern w:val="0"/>
                <w:sz w:val="21"/>
                <w:szCs w:val="21"/>
                <w14:textFill>
                  <w14:solidFill>
                    <w14:schemeClr w14:val="tx1"/>
                  </w14:solidFill>
                </w14:textFill>
              </w:rPr>
            </w:pPr>
            <w:r>
              <w:rPr>
                <w:rFonts w:hint="default" w:ascii="Times New Roman" w:hAnsi="Times New Roman" w:eastAsia="宋体" w:cs="Times New Roman"/>
                <w:bCs/>
                <w:color w:val="000000" w:themeColor="text1"/>
                <w:kern w:val="0"/>
                <w:sz w:val="21"/>
                <w:szCs w:val="21"/>
                <w14:textFill>
                  <w14:solidFill>
                    <w14:schemeClr w14:val="tx1"/>
                  </w14:solidFill>
                </w14:textFill>
              </w:rPr>
              <w:t>名称</w:t>
            </w:r>
          </w:p>
        </w:tc>
        <w:tc>
          <w:tcPr>
            <w:tcW w:w="983" w:type="dxa"/>
            <w:tcBorders>
              <w:tl2br w:val="nil"/>
              <w:tr2bl w:val="nil"/>
            </w:tcBorders>
            <w:vAlign w:val="center"/>
          </w:tcPr>
          <w:p w14:paraId="3CC2CEB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000000" w:themeColor="text1"/>
                <w:kern w:val="0"/>
                <w:sz w:val="21"/>
                <w:szCs w:val="21"/>
                <w14:textFill>
                  <w14:solidFill>
                    <w14:schemeClr w14:val="tx1"/>
                  </w14:solidFill>
                </w14:textFill>
              </w:rPr>
            </w:pPr>
            <w:r>
              <w:rPr>
                <w:rFonts w:hint="default" w:ascii="Times New Roman" w:hAnsi="Times New Roman" w:eastAsia="宋体" w:cs="Times New Roman"/>
                <w:bCs/>
                <w:color w:val="000000" w:themeColor="text1"/>
                <w:kern w:val="0"/>
                <w:sz w:val="21"/>
                <w:szCs w:val="21"/>
                <w14:textFill>
                  <w14:solidFill>
                    <w14:schemeClr w14:val="tx1"/>
                  </w14:solidFill>
                </w14:textFill>
              </w:rPr>
              <w:t>新鲜水</w:t>
            </w:r>
            <w:r>
              <w:rPr>
                <w:rFonts w:hint="default" w:ascii="Times New Roman" w:hAnsi="Times New Roman" w:eastAsia="宋体" w:cs="Times New Roman"/>
                <w:color w:val="000000" w:themeColor="text1"/>
                <w14:textFill>
                  <w14:solidFill>
                    <w14:schemeClr w14:val="tx1"/>
                  </w14:solidFill>
                </w14:textFill>
              </w:rPr>
              <w:t>m</w:t>
            </w:r>
            <w:r>
              <w:rPr>
                <w:rFonts w:hint="default" w:ascii="Times New Roman" w:hAnsi="Times New Roman" w:eastAsia="宋体" w:cs="Times New Roman"/>
                <w:color w:val="000000" w:themeColor="text1"/>
                <w:vertAlign w:val="superscript"/>
                <w14:textFill>
                  <w14:solidFill>
                    <w14:schemeClr w14:val="tx1"/>
                  </w14:solidFill>
                </w14:textFill>
              </w:rPr>
              <w:t>3</w:t>
            </w:r>
            <w:r>
              <w:rPr>
                <w:rFonts w:hint="default" w:ascii="Times New Roman" w:hAnsi="Times New Roman" w:eastAsia="宋体" w:cs="Times New Roman"/>
                <w:color w:val="000000" w:themeColor="text1"/>
                <w14:textFill>
                  <w14:solidFill>
                    <w14:schemeClr w14:val="tx1"/>
                  </w14:solidFill>
                </w14:textFill>
              </w:rPr>
              <w:t>/d</w:t>
            </w:r>
          </w:p>
        </w:tc>
        <w:tc>
          <w:tcPr>
            <w:tcW w:w="855" w:type="dxa"/>
            <w:tcBorders>
              <w:tl2br w:val="nil"/>
              <w:tr2bl w:val="nil"/>
            </w:tcBorders>
            <w:vAlign w:val="center"/>
          </w:tcPr>
          <w:p w14:paraId="5435454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000000" w:themeColor="text1"/>
                <w:kern w:val="0"/>
                <w:sz w:val="21"/>
                <w:szCs w:val="21"/>
                <w14:textFill>
                  <w14:solidFill>
                    <w14:schemeClr w14:val="tx1"/>
                  </w14:solidFill>
                </w14:textFill>
              </w:rPr>
            </w:pPr>
            <w:r>
              <w:rPr>
                <w:rFonts w:hint="default" w:ascii="Times New Roman" w:hAnsi="Times New Roman" w:eastAsia="宋体" w:cs="Times New Roman"/>
                <w:bCs/>
                <w:color w:val="000000" w:themeColor="text1"/>
                <w:kern w:val="0"/>
                <w:sz w:val="21"/>
                <w:szCs w:val="21"/>
                <w14:textFill>
                  <w14:solidFill>
                    <w14:schemeClr w14:val="tx1"/>
                  </w14:solidFill>
                </w14:textFill>
              </w:rPr>
              <w:t>循环水</w:t>
            </w:r>
            <w:r>
              <w:rPr>
                <w:rFonts w:hint="default" w:ascii="Times New Roman" w:hAnsi="Times New Roman" w:eastAsia="宋体" w:cs="Times New Roman"/>
                <w:color w:val="000000" w:themeColor="text1"/>
                <w14:textFill>
                  <w14:solidFill>
                    <w14:schemeClr w14:val="tx1"/>
                  </w14:solidFill>
                </w14:textFill>
              </w:rPr>
              <w:t>m</w:t>
            </w:r>
            <w:r>
              <w:rPr>
                <w:rFonts w:hint="default" w:ascii="Times New Roman" w:hAnsi="Times New Roman" w:eastAsia="宋体" w:cs="Times New Roman"/>
                <w:color w:val="000000" w:themeColor="text1"/>
                <w:vertAlign w:val="superscript"/>
                <w14:textFill>
                  <w14:solidFill>
                    <w14:schemeClr w14:val="tx1"/>
                  </w14:solidFill>
                </w14:textFill>
              </w:rPr>
              <w:t>3</w:t>
            </w:r>
            <w:r>
              <w:rPr>
                <w:rFonts w:hint="default" w:ascii="Times New Roman" w:hAnsi="Times New Roman" w:eastAsia="宋体" w:cs="Times New Roman"/>
                <w:color w:val="000000" w:themeColor="text1"/>
                <w14:textFill>
                  <w14:solidFill>
                    <w14:schemeClr w14:val="tx1"/>
                  </w14:solidFill>
                </w14:textFill>
              </w:rPr>
              <w:t>/d</w:t>
            </w:r>
          </w:p>
        </w:tc>
        <w:tc>
          <w:tcPr>
            <w:tcW w:w="967" w:type="dxa"/>
            <w:tcBorders>
              <w:tl2br w:val="nil"/>
              <w:tr2bl w:val="nil"/>
            </w:tcBorders>
            <w:vAlign w:val="center"/>
          </w:tcPr>
          <w:p w14:paraId="6D9F4DA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000000" w:themeColor="text1"/>
                <w:kern w:val="0"/>
                <w:sz w:val="21"/>
                <w:szCs w:val="21"/>
                <w14:textFill>
                  <w14:solidFill>
                    <w14:schemeClr w14:val="tx1"/>
                  </w14:solidFill>
                </w14:textFill>
              </w:rPr>
            </w:pPr>
            <w:r>
              <w:rPr>
                <w:rFonts w:hint="default" w:ascii="Times New Roman" w:hAnsi="Times New Roman" w:eastAsia="宋体" w:cs="Times New Roman"/>
                <w:bCs/>
                <w:color w:val="000000" w:themeColor="text1"/>
                <w:kern w:val="0"/>
                <w:sz w:val="21"/>
                <w:szCs w:val="21"/>
                <w14:textFill>
                  <w14:solidFill>
                    <w14:schemeClr w14:val="tx1"/>
                  </w14:solidFill>
                </w14:textFill>
              </w:rPr>
              <w:t>损耗</w:t>
            </w:r>
            <w:r>
              <w:rPr>
                <w:rFonts w:hint="default" w:ascii="Times New Roman" w:hAnsi="Times New Roman" w:eastAsia="宋体" w:cs="Times New Roman"/>
                <w:color w:val="000000" w:themeColor="text1"/>
                <w14:textFill>
                  <w14:solidFill>
                    <w14:schemeClr w14:val="tx1"/>
                  </w14:solidFill>
                </w14:textFill>
              </w:rPr>
              <w:t>m</w:t>
            </w:r>
            <w:r>
              <w:rPr>
                <w:rFonts w:hint="default" w:ascii="Times New Roman" w:hAnsi="Times New Roman" w:eastAsia="宋体" w:cs="Times New Roman"/>
                <w:color w:val="000000" w:themeColor="text1"/>
                <w:vertAlign w:val="superscript"/>
                <w14:textFill>
                  <w14:solidFill>
                    <w14:schemeClr w14:val="tx1"/>
                  </w14:solidFill>
                </w14:textFill>
              </w:rPr>
              <w:t>3</w:t>
            </w:r>
            <w:r>
              <w:rPr>
                <w:rFonts w:hint="default" w:ascii="Times New Roman" w:hAnsi="Times New Roman" w:eastAsia="宋体" w:cs="Times New Roman"/>
                <w:color w:val="000000" w:themeColor="text1"/>
                <w14:textFill>
                  <w14:solidFill>
                    <w14:schemeClr w14:val="tx1"/>
                  </w14:solidFill>
                </w14:textFill>
              </w:rPr>
              <w:t>/d</w:t>
            </w:r>
          </w:p>
        </w:tc>
        <w:tc>
          <w:tcPr>
            <w:tcW w:w="1065" w:type="dxa"/>
            <w:tcBorders>
              <w:tl2br w:val="nil"/>
              <w:tr2bl w:val="nil"/>
            </w:tcBorders>
            <w:vAlign w:val="center"/>
          </w:tcPr>
          <w:p w14:paraId="40D4534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000000" w:themeColor="text1"/>
                <w:kern w:val="0"/>
                <w:sz w:val="21"/>
                <w:szCs w:val="21"/>
                <w14:textFill>
                  <w14:solidFill>
                    <w14:schemeClr w14:val="tx1"/>
                  </w14:solidFill>
                </w14:textFill>
              </w:rPr>
            </w:pPr>
            <w:r>
              <w:rPr>
                <w:rFonts w:hint="default" w:ascii="Times New Roman" w:hAnsi="Times New Roman" w:eastAsia="宋体" w:cs="Times New Roman"/>
                <w:bCs/>
                <w:color w:val="000000" w:themeColor="text1"/>
                <w:kern w:val="0"/>
                <w:sz w:val="21"/>
                <w:szCs w:val="21"/>
                <w14:textFill>
                  <w14:solidFill>
                    <w14:schemeClr w14:val="tx1"/>
                  </w14:solidFill>
                </w14:textFill>
              </w:rPr>
              <w:t>排水量</w:t>
            </w:r>
            <w:r>
              <w:rPr>
                <w:rFonts w:hint="default" w:ascii="Times New Roman" w:hAnsi="Times New Roman" w:eastAsia="宋体" w:cs="Times New Roman"/>
                <w:color w:val="000000" w:themeColor="text1"/>
                <w14:textFill>
                  <w14:solidFill>
                    <w14:schemeClr w14:val="tx1"/>
                  </w14:solidFill>
                </w14:textFill>
              </w:rPr>
              <w:t>m</w:t>
            </w:r>
            <w:r>
              <w:rPr>
                <w:rFonts w:hint="default" w:ascii="Times New Roman" w:hAnsi="Times New Roman" w:eastAsia="宋体" w:cs="Times New Roman"/>
                <w:color w:val="000000" w:themeColor="text1"/>
                <w:vertAlign w:val="superscript"/>
                <w14:textFill>
                  <w14:solidFill>
                    <w14:schemeClr w14:val="tx1"/>
                  </w14:solidFill>
                </w14:textFill>
              </w:rPr>
              <w:t>3</w:t>
            </w:r>
            <w:r>
              <w:rPr>
                <w:rFonts w:hint="default" w:ascii="Times New Roman" w:hAnsi="Times New Roman" w:eastAsia="宋体" w:cs="Times New Roman"/>
                <w:color w:val="000000" w:themeColor="text1"/>
                <w14:textFill>
                  <w14:solidFill>
                    <w14:schemeClr w14:val="tx1"/>
                  </w14:solidFill>
                </w14:textFill>
              </w:rPr>
              <w:t>/d</w:t>
            </w:r>
          </w:p>
        </w:tc>
        <w:tc>
          <w:tcPr>
            <w:tcW w:w="2784" w:type="dxa"/>
            <w:tcBorders>
              <w:tl2br w:val="nil"/>
              <w:tr2bl w:val="nil"/>
            </w:tcBorders>
            <w:vAlign w:val="center"/>
          </w:tcPr>
          <w:p w14:paraId="59A4A52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000000" w:themeColor="text1"/>
                <w:kern w:val="0"/>
                <w:sz w:val="21"/>
                <w:szCs w:val="21"/>
                <w14:textFill>
                  <w14:solidFill>
                    <w14:schemeClr w14:val="tx1"/>
                  </w14:solidFill>
                </w14:textFill>
              </w:rPr>
            </w:pPr>
            <w:r>
              <w:rPr>
                <w:rFonts w:hint="default" w:ascii="Times New Roman" w:hAnsi="Times New Roman" w:eastAsia="宋体" w:cs="Times New Roman"/>
                <w:bCs/>
                <w:color w:val="000000" w:themeColor="text1"/>
                <w:kern w:val="0"/>
                <w:sz w:val="21"/>
                <w:szCs w:val="21"/>
                <w14:textFill>
                  <w14:solidFill>
                    <w14:schemeClr w14:val="tx1"/>
                  </w14:solidFill>
                </w14:textFill>
              </w:rPr>
              <w:t>备注</w:t>
            </w:r>
          </w:p>
        </w:tc>
      </w:tr>
      <w:tr w14:paraId="6FC279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95" w:type="dxa"/>
            <w:tcBorders>
              <w:tl2br w:val="nil"/>
              <w:tr2bl w:val="nil"/>
            </w:tcBorders>
            <w:vAlign w:val="center"/>
          </w:tcPr>
          <w:p w14:paraId="331EB59E">
            <w:pPr>
              <w:pStyle w:val="55"/>
              <w:keepNext w:val="0"/>
              <w:keepLines w:val="0"/>
              <w:pageBreakBefore w:val="0"/>
              <w:widowControl/>
              <w:kinsoku/>
              <w:wordWrap/>
              <w:overflowPunct/>
              <w:topLinePunct w:val="0"/>
              <w:autoSpaceDE/>
              <w:autoSpaceDN/>
              <w:bidi w:val="0"/>
              <w:adjustRightInd/>
              <w:snapToGrid/>
              <w:ind w:firstLine="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1</w:t>
            </w:r>
          </w:p>
        </w:tc>
        <w:tc>
          <w:tcPr>
            <w:tcW w:w="1597" w:type="dxa"/>
            <w:gridSpan w:val="2"/>
            <w:tcBorders>
              <w:tl2br w:val="nil"/>
              <w:tr2bl w:val="nil"/>
            </w:tcBorders>
            <w:vAlign w:val="center"/>
          </w:tcPr>
          <w:p w14:paraId="73C4F03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000000" w:themeColor="text1"/>
                <w:kern w:val="0"/>
                <w:sz w:val="21"/>
                <w:szCs w:val="21"/>
                <w14:textFill>
                  <w14:solidFill>
                    <w14:schemeClr w14:val="tx1"/>
                  </w14:solidFill>
                </w14:textFill>
              </w:rPr>
            </w:pPr>
            <w:r>
              <w:rPr>
                <w:rFonts w:hint="default" w:ascii="Times New Roman" w:hAnsi="Times New Roman" w:eastAsia="宋体" w:cs="Times New Roman"/>
                <w:bCs/>
                <w:color w:val="000000" w:themeColor="text1"/>
                <w:kern w:val="0"/>
                <w:sz w:val="21"/>
                <w:szCs w:val="21"/>
                <w14:textFill>
                  <w14:solidFill>
                    <w14:schemeClr w14:val="tx1"/>
                  </w14:solidFill>
                </w14:textFill>
              </w:rPr>
              <w:t>生活用水</w:t>
            </w:r>
          </w:p>
        </w:tc>
        <w:tc>
          <w:tcPr>
            <w:tcW w:w="983" w:type="dxa"/>
            <w:tcBorders>
              <w:tl2br w:val="nil"/>
              <w:tr2bl w:val="nil"/>
            </w:tcBorders>
            <w:vAlign w:val="center"/>
          </w:tcPr>
          <w:p w14:paraId="6220DF0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000000" w:themeColor="text1"/>
                <w:kern w:val="0"/>
                <w:sz w:val="21"/>
                <w:szCs w:val="21"/>
                <w14:textFill>
                  <w14:solidFill>
                    <w14:schemeClr w14:val="tx1"/>
                  </w14:solidFill>
                </w14:textFill>
              </w:rPr>
            </w:pPr>
            <w:r>
              <w:rPr>
                <w:rFonts w:hint="default" w:ascii="Times New Roman" w:hAnsi="Times New Roman" w:eastAsia="宋体" w:cs="Times New Roman"/>
                <w:bCs/>
                <w:color w:val="000000" w:themeColor="text1"/>
                <w:kern w:val="0"/>
                <w:sz w:val="21"/>
                <w:szCs w:val="21"/>
                <w14:textFill>
                  <w14:solidFill>
                    <w14:schemeClr w14:val="tx1"/>
                  </w14:solidFill>
                </w14:textFill>
              </w:rPr>
              <w:t>1.8</w:t>
            </w:r>
          </w:p>
        </w:tc>
        <w:tc>
          <w:tcPr>
            <w:tcW w:w="855" w:type="dxa"/>
            <w:tcBorders>
              <w:tl2br w:val="nil"/>
              <w:tr2bl w:val="nil"/>
            </w:tcBorders>
            <w:vAlign w:val="center"/>
          </w:tcPr>
          <w:p w14:paraId="1AEE0BF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000000" w:themeColor="text1"/>
                <w:kern w:val="0"/>
                <w:sz w:val="21"/>
                <w:szCs w:val="21"/>
                <w14:textFill>
                  <w14:solidFill>
                    <w14:schemeClr w14:val="tx1"/>
                  </w14:solidFill>
                </w14:textFill>
              </w:rPr>
            </w:pPr>
            <w:r>
              <w:rPr>
                <w:rFonts w:hint="default" w:ascii="Times New Roman" w:hAnsi="Times New Roman" w:eastAsia="宋体" w:cs="Times New Roman"/>
                <w:bCs/>
                <w:color w:val="000000" w:themeColor="text1"/>
                <w:kern w:val="0"/>
                <w:sz w:val="21"/>
                <w:szCs w:val="21"/>
                <w14:textFill>
                  <w14:solidFill>
                    <w14:schemeClr w14:val="tx1"/>
                  </w14:solidFill>
                </w14:textFill>
              </w:rPr>
              <w:t>0</w:t>
            </w:r>
          </w:p>
        </w:tc>
        <w:tc>
          <w:tcPr>
            <w:tcW w:w="967" w:type="dxa"/>
            <w:tcBorders>
              <w:tl2br w:val="nil"/>
              <w:tr2bl w:val="nil"/>
            </w:tcBorders>
            <w:vAlign w:val="center"/>
          </w:tcPr>
          <w:p w14:paraId="00743D1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000000" w:themeColor="text1"/>
                <w:kern w:val="0"/>
                <w:sz w:val="21"/>
                <w:szCs w:val="21"/>
                <w14:textFill>
                  <w14:solidFill>
                    <w14:schemeClr w14:val="tx1"/>
                  </w14:solidFill>
                </w14:textFill>
              </w:rPr>
            </w:pPr>
            <w:r>
              <w:rPr>
                <w:rFonts w:hint="default" w:ascii="Times New Roman" w:hAnsi="Times New Roman" w:eastAsia="宋体" w:cs="Times New Roman"/>
                <w:bCs/>
                <w:color w:val="000000" w:themeColor="text1"/>
                <w:kern w:val="0"/>
                <w:sz w:val="21"/>
                <w:szCs w:val="21"/>
                <w14:textFill>
                  <w14:solidFill>
                    <w14:schemeClr w14:val="tx1"/>
                  </w14:solidFill>
                </w14:textFill>
              </w:rPr>
              <w:t>0.36</w:t>
            </w:r>
          </w:p>
        </w:tc>
        <w:tc>
          <w:tcPr>
            <w:tcW w:w="1065" w:type="dxa"/>
            <w:tcBorders>
              <w:tl2br w:val="nil"/>
              <w:tr2bl w:val="nil"/>
            </w:tcBorders>
            <w:vAlign w:val="center"/>
          </w:tcPr>
          <w:p w14:paraId="51018A0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000000" w:themeColor="text1"/>
                <w:kern w:val="0"/>
                <w:sz w:val="21"/>
                <w:szCs w:val="21"/>
                <w14:textFill>
                  <w14:solidFill>
                    <w14:schemeClr w14:val="tx1"/>
                  </w14:solidFill>
                </w14:textFill>
              </w:rPr>
            </w:pPr>
            <w:r>
              <w:rPr>
                <w:rFonts w:hint="default" w:ascii="Times New Roman" w:hAnsi="Times New Roman" w:eastAsia="宋体" w:cs="Times New Roman"/>
                <w:bCs/>
                <w:color w:val="000000" w:themeColor="text1"/>
                <w:kern w:val="0"/>
                <w:sz w:val="21"/>
                <w:szCs w:val="21"/>
                <w14:textFill>
                  <w14:solidFill>
                    <w14:schemeClr w14:val="tx1"/>
                  </w14:solidFill>
                </w14:textFill>
              </w:rPr>
              <w:t>1.44</w:t>
            </w:r>
          </w:p>
        </w:tc>
        <w:tc>
          <w:tcPr>
            <w:tcW w:w="2784" w:type="dxa"/>
            <w:tcBorders>
              <w:tl2br w:val="nil"/>
              <w:tr2bl w:val="nil"/>
            </w:tcBorders>
            <w:vAlign w:val="center"/>
          </w:tcPr>
          <w:p w14:paraId="056E17C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000000" w:themeColor="text1"/>
                <w:kern w:val="0"/>
                <w:sz w:val="21"/>
                <w:szCs w:val="21"/>
                <w14:textFill>
                  <w14:solidFill>
                    <w14:schemeClr w14:val="tx1"/>
                  </w14:solidFill>
                </w14:textFill>
              </w:rPr>
            </w:pPr>
            <w:r>
              <w:rPr>
                <w:rFonts w:hint="default" w:ascii="Times New Roman" w:hAnsi="Times New Roman" w:eastAsia="宋体" w:cs="Times New Roman"/>
                <w:bCs/>
                <w:color w:val="000000" w:themeColor="text1"/>
                <w:kern w:val="0"/>
                <w:sz w:val="21"/>
                <w:szCs w:val="21"/>
                <w14:textFill>
                  <w14:solidFill>
                    <w14:schemeClr w14:val="tx1"/>
                  </w14:solidFill>
                </w14:textFill>
              </w:rPr>
              <w:t>化粪池，定期清掏</w:t>
            </w:r>
          </w:p>
        </w:tc>
      </w:tr>
      <w:tr w14:paraId="26FD13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95" w:type="dxa"/>
            <w:vMerge w:val="restart"/>
            <w:tcBorders>
              <w:tl2br w:val="nil"/>
              <w:tr2bl w:val="nil"/>
            </w:tcBorders>
            <w:vAlign w:val="center"/>
          </w:tcPr>
          <w:p w14:paraId="0E412FE9">
            <w:pPr>
              <w:pStyle w:val="55"/>
              <w:keepNext w:val="0"/>
              <w:keepLines w:val="0"/>
              <w:pageBreakBefore w:val="0"/>
              <w:widowControl/>
              <w:kinsoku/>
              <w:wordWrap/>
              <w:overflowPunct/>
              <w:topLinePunct w:val="0"/>
              <w:autoSpaceDE/>
              <w:autoSpaceDN/>
              <w:bidi w:val="0"/>
              <w:adjustRightInd/>
              <w:snapToGrid/>
              <w:ind w:firstLine="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2</w:t>
            </w:r>
          </w:p>
        </w:tc>
        <w:tc>
          <w:tcPr>
            <w:tcW w:w="705" w:type="dxa"/>
            <w:vMerge w:val="restart"/>
            <w:tcBorders>
              <w:tl2br w:val="nil"/>
              <w:tr2bl w:val="nil"/>
            </w:tcBorders>
            <w:vAlign w:val="center"/>
          </w:tcPr>
          <w:p w14:paraId="3399803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000000" w:themeColor="text1"/>
                <w:kern w:val="0"/>
                <w:sz w:val="21"/>
                <w:szCs w:val="21"/>
                <w14:textFill>
                  <w14:solidFill>
                    <w14:schemeClr w14:val="tx1"/>
                  </w14:solidFill>
                </w14:textFill>
              </w:rPr>
            </w:pPr>
            <w:r>
              <w:rPr>
                <w:rFonts w:hint="default" w:ascii="Times New Roman" w:hAnsi="Times New Roman" w:eastAsia="宋体" w:cs="Times New Roman"/>
                <w:bCs/>
                <w:color w:val="000000" w:themeColor="text1"/>
                <w:kern w:val="0"/>
                <w:sz w:val="21"/>
                <w:szCs w:val="21"/>
                <w14:textFill>
                  <w14:solidFill>
                    <w14:schemeClr w14:val="tx1"/>
                  </w14:solidFill>
                </w14:textFill>
              </w:rPr>
              <w:t>牛饮用水</w:t>
            </w:r>
          </w:p>
        </w:tc>
        <w:tc>
          <w:tcPr>
            <w:tcW w:w="892" w:type="dxa"/>
            <w:tcBorders>
              <w:tl2br w:val="nil"/>
              <w:tr2bl w:val="nil"/>
            </w:tcBorders>
            <w:vAlign w:val="center"/>
          </w:tcPr>
          <w:p w14:paraId="78477E8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000000" w:themeColor="text1"/>
                <w:kern w:val="0"/>
                <w:sz w:val="21"/>
                <w:szCs w:val="21"/>
                <w:lang w:val="en-US" w:eastAsia="zh-CN"/>
                <w14:textFill>
                  <w14:solidFill>
                    <w14:schemeClr w14:val="tx1"/>
                  </w14:solidFill>
                </w14:textFill>
              </w:rPr>
            </w:pPr>
            <w:r>
              <w:rPr>
                <w:rFonts w:hint="eastAsia" w:cs="Times New Roman"/>
                <w:bCs/>
                <w:color w:val="000000" w:themeColor="text1"/>
                <w:kern w:val="0"/>
                <w:sz w:val="21"/>
                <w:szCs w:val="21"/>
                <w:lang w:val="en-US" w:eastAsia="zh-CN"/>
                <w14:textFill>
                  <w14:solidFill>
                    <w14:schemeClr w14:val="tx1"/>
                  </w14:solidFill>
                </w14:textFill>
              </w:rPr>
              <w:t>泌乳牛</w:t>
            </w:r>
          </w:p>
        </w:tc>
        <w:tc>
          <w:tcPr>
            <w:tcW w:w="983" w:type="dxa"/>
            <w:tcBorders>
              <w:tl2br w:val="nil"/>
              <w:tr2bl w:val="nil"/>
            </w:tcBorders>
            <w:vAlign w:val="center"/>
          </w:tcPr>
          <w:p w14:paraId="0661370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000000" w:themeColor="text1"/>
                <w:kern w:val="0"/>
                <w:sz w:val="21"/>
                <w:szCs w:val="21"/>
                <w:lang w:val="en-US" w:eastAsia="zh-CN"/>
                <w14:textFill>
                  <w14:solidFill>
                    <w14:schemeClr w14:val="tx1"/>
                  </w14:solidFill>
                </w14:textFill>
              </w:rPr>
            </w:pPr>
            <w:r>
              <w:rPr>
                <w:rFonts w:hint="eastAsia" w:cs="Times New Roman"/>
                <w:bCs/>
                <w:color w:val="000000" w:themeColor="text1"/>
                <w:kern w:val="0"/>
                <w:sz w:val="21"/>
                <w:szCs w:val="21"/>
                <w:lang w:val="en-US" w:eastAsia="zh-CN"/>
                <w14:textFill>
                  <w14:solidFill>
                    <w14:schemeClr w14:val="tx1"/>
                  </w14:solidFill>
                </w14:textFill>
              </w:rPr>
              <w:t>32</w:t>
            </w:r>
          </w:p>
        </w:tc>
        <w:tc>
          <w:tcPr>
            <w:tcW w:w="855" w:type="dxa"/>
            <w:tcBorders>
              <w:tl2br w:val="nil"/>
              <w:tr2bl w:val="nil"/>
            </w:tcBorders>
            <w:vAlign w:val="center"/>
          </w:tcPr>
          <w:p w14:paraId="00EB4D6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000000" w:themeColor="text1"/>
                <w:kern w:val="0"/>
                <w:sz w:val="21"/>
                <w:szCs w:val="21"/>
                <w:lang w:val="en-US" w:eastAsia="zh-CN"/>
                <w14:textFill>
                  <w14:solidFill>
                    <w14:schemeClr w14:val="tx1"/>
                  </w14:solidFill>
                </w14:textFill>
              </w:rPr>
            </w:pPr>
            <w:r>
              <w:rPr>
                <w:rFonts w:hint="eastAsia" w:cs="Times New Roman"/>
                <w:bCs/>
                <w:color w:val="000000" w:themeColor="text1"/>
                <w:kern w:val="0"/>
                <w:sz w:val="21"/>
                <w:szCs w:val="21"/>
                <w:lang w:val="en-US" w:eastAsia="zh-CN"/>
                <w14:textFill>
                  <w14:solidFill>
                    <w14:schemeClr w14:val="tx1"/>
                  </w14:solidFill>
                </w14:textFill>
              </w:rPr>
              <w:t>0</w:t>
            </w:r>
          </w:p>
        </w:tc>
        <w:tc>
          <w:tcPr>
            <w:tcW w:w="967" w:type="dxa"/>
            <w:tcBorders>
              <w:tl2br w:val="nil"/>
              <w:tr2bl w:val="nil"/>
            </w:tcBorders>
            <w:vAlign w:val="center"/>
          </w:tcPr>
          <w:p w14:paraId="283C9A7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bCs/>
                <w:color w:val="000000" w:themeColor="text1"/>
                <w:kern w:val="0"/>
                <w:sz w:val="21"/>
                <w:szCs w:val="21"/>
                <w:lang w:val="en-US" w:eastAsia="zh-CN"/>
                <w14:textFill>
                  <w14:solidFill>
                    <w14:schemeClr w14:val="tx1"/>
                  </w14:solidFill>
                </w14:textFill>
              </w:rPr>
            </w:pPr>
            <w:r>
              <w:rPr>
                <w:rFonts w:hint="eastAsia" w:cs="Times New Roman"/>
                <w:bCs/>
                <w:color w:val="000000" w:themeColor="text1"/>
                <w:kern w:val="0"/>
                <w:sz w:val="21"/>
                <w:szCs w:val="21"/>
                <w:lang w:val="en-US" w:eastAsia="zh-CN"/>
                <w14:textFill>
                  <w14:solidFill>
                    <w14:schemeClr w14:val="tx1"/>
                  </w14:solidFill>
                </w14:textFill>
              </w:rPr>
              <w:t>4</w:t>
            </w:r>
          </w:p>
        </w:tc>
        <w:tc>
          <w:tcPr>
            <w:tcW w:w="1065" w:type="dxa"/>
            <w:tcBorders>
              <w:tl2br w:val="nil"/>
              <w:tr2bl w:val="nil"/>
            </w:tcBorders>
            <w:vAlign w:val="center"/>
          </w:tcPr>
          <w:p w14:paraId="029415D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000000" w:themeColor="text1"/>
                <w:kern w:val="0"/>
                <w:sz w:val="21"/>
                <w:szCs w:val="21"/>
                <w:lang w:val="en-US" w:eastAsia="zh-CN"/>
                <w14:textFill>
                  <w14:solidFill>
                    <w14:schemeClr w14:val="tx1"/>
                  </w14:solidFill>
                </w14:textFill>
              </w:rPr>
            </w:pPr>
            <w:r>
              <w:rPr>
                <w:rFonts w:hint="eastAsia" w:cs="Times New Roman"/>
                <w:bCs/>
                <w:color w:val="000000" w:themeColor="text1"/>
                <w:kern w:val="0"/>
                <w:sz w:val="21"/>
                <w:szCs w:val="21"/>
                <w:lang w:val="en-US" w:eastAsia="zh-CN"/>
                <w14:textFill>
                  <w14:solidFill>
                    <w14:schemeClr w14:val="tx1"/>
                  </w14:solidFill>
                </w14:textFill>
              </w:rPr>
              <w:t>28</w:t>
            </w:r>
          </w:p>
        </w:tc>
        <w:tc>
          <w:tcPr>
            <w:tcW w:w="2784" w:type="dxa"/>
            <w:vMerge w:val="restart"/>
            <w:tcBorders>
              <w:tl2br w:val="nil"/>
              <w:tr2bl w:val="nil"/>
            </w:tcBorders>
            <w:vAlign w:val="center"/>
          </w:tcPr>
          <w:p w14:paraId="0BEA044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000000" w:themeColor="text1"/>
                <w:kern w:val="0"/>
                <w:sz w:val="21"/>
                <w:szCs w:val="21"/>
                <w14:textFill>
                  <w14:solidFill>
                    <w14:schemeClr w14:val="tx1"/>
                  </w14:solidFill>
                </w14:textFill>
              </w:rPr>
            </w:pPr>
            <w:r>
              <w:rPr>
                <w:rFonts w:hint="default" w:ascii="Times New Roman" w:hAnsi="Times New Roman" w:eastAsia="宋体" w:cs="Times New Roman"/>
                <w:bCs/>
                <w:color w:val="000000" w:themeColor="text1"/>
                <w:kern w:val="0"/>
                <w:sz w:val="21"/>
                <w:szCs w:val="21"/>
                <w14:textFill>
                  <w14:solidFill>
                    <w14:schemeClr w14:val="tx1"/>
                  </w14:solidFill>
                </w14:textFill>
              </w:rPr>
              <w:t>用水量为奶牛饮水量（新鲜水），排水量为牛尿及牛粪，其余均为体能消耗及产奶</w:t>
            </w:r>
          </w:p>
        </w:tc>
      </w:tr>
      <w:tr w14:paraId="401352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95" w:type="dxa"/>
            <w:vMerge w:val="continue"/>
            <w:tcBorders>
              <w:tl2br w:val="nil"/>
              <w:tr2bl w:val="nil"/>
            </w:tcBorders>
            <w:vAlign w:val="center"/>
          </w:tcPr>
          <w:p w14:paraId="08EFC27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pPr>
          </w:p>
        </w:tc>
        <w:tc>
          <w:tcPr>
            <w:tcW w:w="705" w:type="dxa"/>
            <w:vMerge w:val="continue"/>
            <w:tcBorders>
              <w:tl2br w:val="nil"/>
              <w:tr2bl w:val="nil"/>
            </w:tcBorders>
            <w:vAlign w:val="center"/>
          </w:tcPr>
          <w:p w14:paraId="7C53715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pPr>
          </w:p>
        </w:tc>
        <w:tc>
          <w:tcPr>
            <w:tcW w:w="892" w:type="dxa"/>
            <w:tcBorders>
              <w:tl2br w:val="nil"/>
              <w:tr2bl w:val="nil"/>
            </w:tcBorders>
            <w:vAlign w:val="center"/>
          </w:tcPr>
          <w:p w14:paraId="78EBFA3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000000" w:themeColor="text1"/>
                <w:kern w:val="0"/>
                <w:sz w:val="21"/>
                <w:szCs w:val="21"/>
                <w:lang w:val="en-US" w:eastAsia="zh-CN"/>
                <w14:textFill>
                  <w14:solidFill>
                    <w14:schemeClr w14:val="tx1"/>
                  </w14:solidFill>
                </w14:textFill>
              </w:rPr>
            </w:pPr>
            <w:r>
              <w:rPr>
                <w:rFonts w:hint="eastAsia" w:cs="Times New Roman"/>
                <w:bCs/>
                <w:color w:val="000000" w:themeColor="text1"/>
                <w:kern w:val="0"/>
                <w:sz w:val="21"/>
                <w:szCs w:val="21"/>
                <w:lang w:val="en-US" w:eastAsia="zh-CN"/>
                <w14:textFill>
                  <w14:solidFill>
                    <w14:schemeClr w14:val="tx1"/>
                  </w14:solidFill>
                </w14:textFill>
              </w:rPr>
              <w:t>其他牛</w:t>
            </w:r>
          </w:p>
        </w:tc>
        <w:tc>
          <w:tcPr>
            <w:tcW w:w="983" w:type="dxa"/>
            <w:tcBorders>
              <w:tl2br w:val="nil"/>
              <w:tr2bl w:val="nil"/>
            </w:tcBorders>
            <w:vAlign w:val="center"/>
          </w:tcPr>
          <w:p w14:paraId="54684C7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000000" w:themeColor="text1"/>
                <w:kern w:val="0"/>
                <w:sz w:val="21"/>
                <w:szCs w:val="21"/>
                <w:lang w:val="en-US" w:eastAsia="zh-CN"/>
                <w14:textFill>
                  <w14:solidFill>
                    <w14:schemeClr w14:val="tx1"/>
                  </w14:solidFill>
                </w14:textFill>
              </w:rPr>
            </w:pPr>
            <w:r>
              <w:rPr>
                <w:rFonts w:hint="eastAsia" w:cs="Times New Roman"/>
                <w:bCs/>
                <w:color w:val="000000" w:themeColor="text1"/>
                <w:kern w:val="0"/>
                <w:sz w:val="21"/>
                <w:szCs w:val="21"/>
                <w:lang w:val="en-US" w:eastAsia="zh-CN"/>
                <w14:textFill>
                  <w14:solidFill>
                    <w14:schemeClr w14:val="tx1"/>
                  </w14:solidFill>
                </w14:textFill>
              </w:rPr>
              <w:t>8.5</w:t>
            </w:r>
          </w:p>
        </w:tc>
        <w:tc>
          <w:tcPr>
            <w:tcW w:w="855" w:type="dxa"/>
            <w:tcBorders>
              <w:tl2br w:val="nil"/>
              <w:tr2bl w:val="nil"/>
            </w:tcBorders>
            <w:vAlign w:val="center"/>
          </w:tcPr>
          <w:p w14:paraId="59076CE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bCs/>
                <w:color w:val="000000" w:themeColor="text1"/>
                <w:kern w:val="0"/>
                <w:sz w:val="21"/>
                <w:szCs w:val="21"/>
                <w:lang w:val="en-US" w:eastAsia="zh-CN"/>
                <w14:textFill>
                  <w14:solidFill>
                    <w14:schemeClr w14:val="tx1"/>
                  </w14:solidFill>
                </w14:textFill>
              </w:rPr>
            </w:pPr>
            <w:r>
              <w:rPr>
                <w:rFonts w:hint="eastAsia" w:cs="Times New Roman"/>
                <w:bCs/>
                <w:color w:val="000000" w:themeColor="text1"/>
                <w:kern w:val="0"/>
                <w:sz w:val="21"/>
                <w:szCs w:val="21"/>
                <w:lang w:val="en-US" w:eastAsia="zh-CN"/>
                <w14:textFill>
                  <w14:solidFill>
                    <w14:schemeClr w14:val="tx1"/>
                  </w14:solidFill>
                </w14:textFill>
              </w:rPr>
              <w:t>0</w:t>
            </w:r>
          </w:p>
        </w:tc>
        <w:tc>
          <w:tcPr>
            <w:tcW w:w="967" w:type="dxa"/>
            <w:tcBorders>
              <w:tl2br w:val="nil"/>
              <w:tr2bl w:val="nil"/>
            </w:tcBorders>
            <w:vAlign w:val="center"/>
          </w:tcPr>
          <w:p w14:paraId="256EFFB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000000" w:themeColor="text1"/>
                <w:kern w:val="0"/>
                <w:sz w:val="21"/>
                <w:szCs w:val="21"/>
                <w:lang w:val="en-US" w:eastAsia="zh-CN"/>
                <w14:textFill>
                  <w14:solidFill>
                    <w14:schemeClr w14:val="tx1"/>
                  </w14:solidFill>
                </w14:textFill>
              </w:rPr>
            </w:pPr>
            <w:r>
              <w:rPr>
                <w:rFonts w:hint="eastAsia" w:cs="Times New Roman"/>
                <w:bCs/>
                <w:color w:val="000000" w:themeColor="text1"/>
                <w:kern w:val="0"/>
                <w:sz w:val="21"/>
                <w:szCs w:val="21"/>
                <w:lang w:val="en-US" w:eastAsia="zh-CN"/>
                <w14:textFill>
                  <w14:solidFill>
                    <w14:schemeClr w14:val="tx1"/>
                  </w14:solidFill>
                </w14:textFill>
              </w:rPr>
              <w:t>0.8</w:t>
            </w:r>
          </w:p>
        </w:tc>
        <w:tc>
          <w:tcPr>
            <w:tcW w:w="1065" w:type="dxa"/>
            <w:tcBorders>
              <w:tl2br w:val="nil"/>
              <w:tr2bl w:val="nil"/>
            </w:tcBorders>
            <w:vAlign w:val="center"/>
          </w:tcPr>
          <w:p w14:paraId="001D23B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000000" w:themeColor="text1"/>
                <w:kern w:val="0"/>
                <w:sz w:val="21"/>
                <w:szCs w:val="21"/>
                <w:lang w:val="en-US" w:eastAsia="zh-CN"/>
                <w14:textFill>
                  <w14:solidFill>
                    <w14:schemeClr w14:val="tx1"/>
                  </w14:solidFill>
                </w14:textFill>
              </w:rPr>
            </w:pPr>
            <w:r>
              <w:rPr>
                <w:rFonts w:hint="eastAsia" w:cs="Times New Roman"/>
                <w:bCs/>
                <w:color w:val="000000" w:themeColor="text1"/>
                <w:kern w:val="0"/>
                <w:sz w:val="21"/>
                <w:szCs w:val="21"/>
                <w:lang w:val="en-US" w:eastAsia="zh-CN"/>
                <w14:textFill>
                  <w14:solidFill>
                    <w14:schemeClr w14:val="tx1"/>
                  </w14:solidFill>
                </w14:textFill>
              </w:rPr>
              <w:t>7.7</w:t>
            </w:r>
          </w:p>
        </w:tc>
        <w:tc>
          <w:tcPr>
            <w:tcW w:w="2784" w:type="dxa"/>
            <w:vMerge w:val="continue"/>
            <w:tcBorders>
              <w:tl2br w:val="nil"/>
              <w:tr2bl w:val="nil"/>
            </w:tcBorders>
            <w:vAlign w:val="center"/>
          </w:tcPr>
          <w:p w14:paraId="385C222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000000" w:themeColor="text1"/>
                <w:kern w:val="0"/>
                <w:sz w:val="21"/>
                <w:szCs w:val="21"/>
                <w14:textFill>
                  <w14:solidFill>
                    <w14:schemeClr w14:val="tx1"/>
                  </w14:solidFill>
                </w14:textFill>
              </w:rPr>
            </w:pPr>
          </w:p>
        </w:tc>
      </w:tr>
      <w:tr w14:paraId="637D42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95" w:type="dxa"/>
            <w:tcBorders>
              <w:tl2br w:val="nil"/>
              <w:tr2bl w:val="nil"/>
            </w:tcBorders>
            <w:vAlign w:val="center"/>
          </w:tcPr>
          <w:p w14:paraId="7959BA89">
            <w:pPr>
              <w:pStyle w:val="55"/>
              <w:keepNext w:val="0"/>
              <w:keepLines w:val="0"/>
              <w:pageBreakBefore w:val="0"/>
              <w:widowControl/>
              <w:kinsoku/>
              <w:wordWrap/>
              <w:overflowPunct/>
              <w:topLinePunct w:val="0"/>
              <w:autoSpaceDE/>
              <w:autoSpaceDN/>
              <w:bidi w:val="0"/>
              <w:adjustRightInd/>
              <w:snapToGrid/>
              <w:ind w:firstLine="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3</w:t>
            </w:r>
          </w:p>
        </w:tc>
        <w:tc>
          <w:tcPr>
            <w:tcW w:w="1597" w:type="dxa"/>
            <w:gridSpan w:val="2"/>
            <w:tcBorders>
              <w:tl2br w:val="nil"/>
              <w:tr2bl w:val="nil"/>
            </w:tcBorders>
            <w:vAlign w:val="center"/>
          </w:tcPr>
          <w:p w14:paraId="42DEBD2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000000" w:themeColor="text1"/>
                <w:kern w:val="0"/>
                <w:sz w:val="21"/>
                <w:szCs w:val="21"/>
                <w14:textFill>
                  <w14:solidFill>
                    <w14:schemeClr w14:val="tx1"/>
                  </w14:solidFill>
                </w14:textFill>
              </w:rPr>
            </w:pPr>
            <w:r>
              <w:rPr>
                <w:rFonts w:hint="default" w:ascii="Times New Roman" w:hAnsi="Times New Roman" w:eastAsia="宋体" w:cs="Times New Roman"/>
                <w:bCs/>
                <w:color w:val="000000" w:themeColor="text1"/>
                <w:kern w:val="0"/>
                <w:sz w:val="21"/>
                <w:szCs w:val="21"/>
                <w14:textFill>
                  <w14:solidFill>
                    <w14:schemeClr w14:val="tx1"/>
                  </w14:solidFill>
                </w14:textFill>
              </w:rPr>
              <w:t>挤奶厅设备清洗废水</w:t>
            </w:r>
          </w:p>
        </w:tc>
        <w:tc>
          <w:tcPr>
            <w:tcW w:w="983" w:type="dxa"/>
            <w:tcBorders>
              <w:tl2br w:val="nil"/>
              <w:tr2bl w:val="nil"/>
            </w:tcBorders>
            <w:vAlign w:val="center"/>
          </w:tcPr>
          <w:p w14:paraId="7E9D768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000000" w:themeColor="text1"/>
                <w:kern w:val="0"/>
                <w:sz w:val="21"/>
                <w:szCs w:val="21"/>
                <w:lang w:val="en-US" w:eastAsia="zh-CN"/>
                <w14:textFill>
                  <w14:solidFill>
                    <w14:schemeClr w14:val="tx1"/>
                  </w14:solidFill>
                </w14:textFill>
              </w:rPr>
            </w:pPr>
            <w:r>
              <w:rPr>
                <w:rFonts w:hint="eastAsia" w:cs="Times New Roman"/>
                <w:bCs/>
                <w:color w:val="000000" w:themeColor="text1"/>
                <w:kern w:val="0"/>
                <w:sz w:val="21"/>
                <w:szCs w:val="21"/>
                <w:lang w:val="en-US" w:eastAsia="zh-CN"/>
                <w14:textFill>
                  <w14:solidFill>
                    <w14:schemeClr w14:val="tx1"/>
                  </w14:solidFill>
                </w14:textFill>
              </w:rPr>
              <w:t>3.5</w:t>
            </w:r>
          </w:p>
        </w:tc>
        <w:tc>
          <w:tcPr>
            <w:tcW w:w="855" w:type="dxa"/>
            <w:tcBorders>
              <w:tl2br w:val="nil"/>
              <w:tr2bl w:val="nil"/>
            </w:tcBorders>
            <w:vAlign w:val="center"/>
          </w:tcPr>
          <w:p w14:paraId="31C3A2F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000000" w:themeColor="text1"/>
                <w:kern w:val="0"/>
                <w:sz w:val="21"/>
                <w:szCs w:val="21"/>
                <w14:textFill>
                  <w14:solidFill>
                    <w14:schemeClr w14:val="tx1"/>
                  </w14:solidFill>
                </w14:textFill>
              </w:rPr>
            </w:pPr>
            <w:r>
              <w:rPr>
                <w:rFonts w:hint="default" w:ascii="Times New Roman" w:hAnsi="Times New Roman" w:eastAsia="宋体" w:cs="Times New Roman"/>
                <w:bCs/>
                <w:color w:val="000000" w:themeColor="text1"/>
                <w:kern w:val="0"/>
                <w:sz w:val="21"/>
                <w:szCs w:val="21"/>
                <w14:textFill>
                  <w14:solidFill>
                    <w14:schemeClr w14:val="tx1"/>
                  </w14:solidFill>
                </w14:textFill>
              </w:rPr>
              <w:t>1.5</w:t>
            </w:r>
          </w:p>
        </w:tc>
        <w:tc>
          <w:tcPr>
            <w:tcW w:w="967" w:type="dxa"/>
            <w:tcBorders>
              <w:tl2br w:val="nil"/>
              <w:tr2bl w:val="nil"/>
            </w:tcBorders>
            <w:vAlign w:val="center"/>
          </w:tcPr>
          <w:p w14:paraId="1A5ECE7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bCs/>
                <w:color w:val="000000" w:themeColor="text1"/>
                <w:kern w:val="0"/>
                <w:sz w:val="21"/>
                <w:szCs w:val="21"/>
                <w:lang w:eastAsia="zh-CN"/>
                <w14:textFill>
                  <w14:solidFill>
                    <w14:schemeClr w14:val="tx1"/>
                  </w14:solidFill>
                </w14:textFill>
              </w:rPr>
            </w:pPr>
            <w:r>
              <w:rPr>
                <w:rFonts w:hint="eastAsia" w:cs="Times New Roman"/>
                <w:bCs/>
                <w:color w:val="000000" w:themeColor="text1"/>
                <w:kern w:val="0"/>
                <w:sz w:val="21"/>
                <w:szCs w:val="21"/>
                <w:lang w:val="en-US" w:eastAsia="zh-CN"/>
                <w14:textFill>
                  <w14:solidFill>
                    <w14:schemeClr w14:val="tx1"/>
                  </w14:solidFill>
                </w14:textFill>
              </w:rPr>
              <w:t>2</w:t>
            </w:r>
          </w:p>
        </w:tc>
        <w:tc>
          <w:tcPr>
            <w:tcW w:w="1065" w:type="dxa"/>
            <w:tcBorders>
              <w:tl2br w:val="nil"/>
              <w:tr2bl w:val="nil"/>
            </w:tcBorders>
            <w:vAlign w:val="center"/>
          </w:tcPr>
          <w:p w14:paraId="4B38BAA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000000" w:themeColor="text1"/>
                <w:kern w:val="0"/>
                <w:sz w:val="21"/>
                <w:szCs w:val="21"/>
                <w:lang w:val="en-US" w:eastAsia="zh-CN"/>
                <w14:textFill>
                  <w14:solidFill>
                    <w14:schemeClr w14:val="tx1"/>
                  </w14:solidFill>
                </w14:textFill>
              </w:rPr>
            </w:pPr>
            <w:r>
              <w:rPr>
                <w:rFonts w:hint="eastAsia" w:cs="Times New Roman"/>
                <w:bCs/>
                <w:color w:val="000000" w:themeColor="text1"/>
                <w:kern w:val="0"/>
                <w:sz w:val="21"/>
                <w:szCs w:val="21"/>
                <w:lang w:val="en-US" w:eastAsia="zh-CN"/>
                <w14:textFill>
                  <w14:solidFill>
                    <w14:schemeClr w14:val="tx1"/>
                  </w14:solidFill>
                </w14:textFill>
              </w:rPr>
              <w:t>/</w:t>
            </w:r>
          </w:p>
        </w:tc>
        <w:tc>
          <w:tcPr>
            <w:tcW w:w="2784" w:type="dxa"/>
            <w:tcBorders>
              <w:tl2br w:val="nil"/>
              <w:tr2bl w:val="nil"/>
            </w:tcBorders>
            <w:vAlign w:val="center"/>
          </w:tcPr>
          <w:p w14:paraId="75521EE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000000" w:themeColor="text1"/>
                <w:kern w:val="0"/>
                <w:sz w:val="21"/>
                <w:szCs w:val="21"/>
                <w14:textFill>
                  <w14:solidFill>
                    <w14:schemeClr w14:val="tx1"/>
                  </w14:solidFill>
                </w14:textFill>
              </w:rPr>
            </w:pPr>
            <w:r>
              <w:rPr>
                <w:rFonts w:hint="default" w:ascii="Times New Roman" w:hAnsi="Times New Roman" w:eastAsia="宋体" w:cs="Times New Roman"/>
                <w:bCs/>
                <w:color w:val="000000" w:themeColor="text1"/>
                <w:kern w:val="0"/>
                <w:sz w:val="21"/>
                <w:szCs w:val="21"/>
                <w14:textFill>
                  <w14:solidFill>
                    <w14:schemeClr w14:val="tx1"/>
                  </w14:solidFill>
                </w14:textFill>
              </w:rPr>
              <w:t>用于挤奶厅地面冲洗（1.5）</w:t>
            </w:r>
          </w:p>
        </w:tc>
      </w:tr>
      <w:tr w14:paraId="10A82F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95" w:type="dxa"/>
            <w:tcBorders>
              <w:tl2br w:val="nil"/>
              <w:tr2bl w:val="nil"/>
            </w:tcBorders>
            <w:vAlign w:val="center"/>
          </w:tcPr>
          <w:p w14:paraId="0834F332">
            <w:pPr>
              <w:pStyle w:val="55"/>
              <w:keepNext w:val="0"/>
              <w:keepLines w:val="0"/>
              <w:pageBreakBefore w:val="0"/>
              <w:widowControl/>
              <w:kinsoku/>
              <w:wordWrap/>
              <w:overflowPunct/>
              <w:topLinePunct w:val="0"/>
              <w:autoSpaceDE/>
              <w:autoSpaceDN/>
              <w:bidi w:val="0"/>
              <w:adjustRightInd/>
              <w:snapToGrid/>
              <w:ind w:firstLine="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4</w:t>
            </w:r>
          </w:p>
        </w:tc>
        <w:tc>
          <w:tcPr>
            <w:tcW w:w="1597" w:type="dxa"/>
            <w:gridSpan w:val="2"/>
            <w:tcBorders>
              <w:tl2br w:val="nil"/>
              <w:tr2bl w:val="nil"/>
            </w:tcBorders>
            <w:vAlign w:val="center"/>
          </w:tcPr>
          <w:p w14:paraId="04CBAE2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000000" w:themeColor="text1"/>
                <w:kern w:val="0"/>
                <w:sz w:val="21"/>
                <w:szCs w:val="21"/>
                <w14:textFill>
                  <w14:solidFill>
                    <w14:schemeClr w14:val="tx1"/>
                  </w14:solidFill>
                </w14:textFill>
              </w:rPr>
            </w:pPr>
            <w:r>
              <w:rPr>
                <w:rFonts w:hint="default" w:ascii="Times New Roman" w:hAnsi="Times New Roman" w:eastAsia="宋体" w:cs="Times New Roman"/>
                <w:bCs/>
                <w:color w:val="000000" w:themeColor="text1"/>
                <w:kern w:val="0"/>
                <w:sz w:val="21"/>
                <w:szCs w:val="21"/>
                <w14:textFill>
                  <w14:solidFill>
                    <w14:schemeClr w14:val="tx1"/>
                  </w14:solidFill>
                </w14:textFill>
              </w:rPr>
              <w:t>挤奶厅地面冲洗废水</w:t>
            </w:r>
          </w:p>
        </w:tc>
        <w:tc>
          <w:tcPr>
            <w:tcW w:w="983" w:type="dxa"/>
            <w:tcBorders>
              <w:tl2br w:val="nil"/>
              <w:tr2bl w:val="nil"/>
            </w:tcBorders>
            <w:vAlign w:val="center"/>
          </w:tcPr>
          <w:p w14:paraId="6BEA206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000000" w:themeColor="text1"/>
                <w:kern w:val="0"/>
                <w:sz w:val="21"/>
                <w:szCs w:val="21"/>
                <w14:textFill>
                  <w14:solidFill>
                    <w14:schemeClr w14:val="tx1"/>
                  </w14:solidFill>
                </w14:textFill>
              </w:rPr>
            </w:pPr>
            <w:r>
              <w:rPr>
                <w:rFonts w:hint="default" w:ascii="Times New Roman" w:hAnsi="Times New Roman" w:eastAsia="宋体" w:cs="Times New Roman"/>
                <w:bCs/>
                <w:color w:val="000000" w:themeColor="text1"/>
                <w:kern w:val="0"/>
                <w:sz w:val="21"/>
                <w:szCs w:val="21"/>
                <w14:textFill>
                  <w14:solidFill>
                    <w14:schemeClr w14:val="tx1"/>
                  </w14:solidFill>
                </w14:textFill>
              </w:rPr>
              <w:t>1.5</w:t>
            </w:r>
          </w:p>
        </w:tc>
        <w:tc>
          <w:tcPr>
            <w:tcW w:w="855" w:type="dxa"/>
            <w:tcBorders>
              <w:tl2br w:val="nil"/>
              <w:tr2bl w:val="nil"/>
            </w:tcBorders>
            <w:vAlign w:val="center"/>
          </w:tcPr>
          <w:p w14:paraId="69BC5EF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000000" w:themeColor="text1"/>
                <w:kern w:val="0"/>
                <w:sz w:val="21"/>
                <w:szCs w:val="21"/>
                <w14:textFill>
                  <w14:solidFill>
                    <w14:schemeClr w14:val="tx1"/>
                  </w14:solidFill>
                </w14:textFill>
              </w:rPr>
            </w:pPr>
            <w:r>
              <w:rPr>
                <w:rFonts w:hint="default" w:ascii="Times New Roman" w:hAnsi="Times New Roman" w:eastAsia="宋体" w:cs="Times New Roman"/>
                <w:bCs/>
                <w:color w:val="000000" w:themeColor="text1"/>
                <w:kern w:val="0"/>
                <w:sz w:val="21"/>
                <w:szCs w:val="21"/>
                <w14:textFill>
                  <w14:solidFill>
                    <w14:schemeClr w14:val="tx1"/>
                  </w14:solidFill>
                </w14:textFill>
              </w:rPr>
              <w:t>0</w:t>
            </w:r>
          </w:p>
        </w:tc>
        <w:tc>
          <w:tcPr>
            <w:tcW w:w="967" w:type="dxa"/>
            <w:tcBorders>
              <w:tl2br w:val="nil"/>
              <w:tr2bl w:val="nil"/>
            </w:tcBorders>
            <w:vAlign w:val="center"/>
          </w:tcPr>
          <w:p w14:paraId="6FB3282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000000" w:themeColor="text1"/>
                <w:kern w:val="0"/>
                <w:sz w:val="21"/>
                <w:szCs w:val="21"/>
                <w14:textFill>
                  <w14:solidFill>
                    <w14:schemeClr w14:val="tx1"/>
                  </w14:solidFill>
                </w14:textFill>
              </w:rPr>
            </w:pPr>
            <w:r>
              <w:rPr>
                <w:rFonts w:hint="default" w:ascii="Times New Roman" w:hAnsi="Times New Roman" w:eastAsia="宋体" w:cs="Times New Roman"/>
                <w:bCs/>
                <w:color w:val="000000" w:themeColor="text1"/>
                <w:kern w:val="0"/>
                <w:sz w:val="21"/>
                <w:szCs w:val="21"/>
                <w14:textFill>
                  <w14:solidFill>
                    <w14:schemeClr w14:val="tx1"/>
                  </w14:solidFill>
                </w14:textFill>
              </w:rPr>
              <w:t>0.3</w:t>
            </w:r>
          </w:p>
        </w:tc>
        <w:tc>
          <w:tcPr>
            <w:tcW w:w="1065" w:type="dxa"/>
            <w:tcBorders>
              <w:tl2br w:val="nil"/>
              <w:tr2bl w:val="nil"/>
            </w:tcBorders>
            <w:vAlign w:val="center"/>
          </w:tcPr>
          <w:p w14:paraId="04C5DC9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000000" w:themeColor="text1"/>
                <w:kern w:val="0"/>
                <w:sz w:val="21"/>
                <w:szCs w:val="21"/>
                <w14:textFill>
                  <w14:solidFill>
                    <w14:schemeClr w14:val="tx1"/>
                  </w14:solidFill>
                </w14:textFill>
              </w:rPr>
            </w:pPr>
            <w:r>
              <w:rPr>
                <w:rFonts w:hint="default" w:ascii="Times New Roman" w:hAnsi="Times New Roman" w:eastAsia="宋体" w:cs="Times New Roman"/>
                <w:bCs/>
                <w:color w:val="000000" w:themeColor="text1"/>
                <w:kern w:val="0"/>
                <w:sz w:val="21"/>
                <w:szCs w:val="21"/>
                <w14:textFill>
                  <w14:solidFill>
                    <w14:schemeClr w14:val="tx1"/>
                  </w14:solidFill>
                </w14:textFill>
              </w:rPr>
              <w:t>1.2</w:t>
            </w:r>
          </w:p>
        </w:tc>
        <w:tc>
          <w:tcPr>
            <w:tcW w:w="2784" w:type="dxa"/>
            <w:tcBorders>
              <w:tl2br w:val="nil"/>
              <w:tr2bl w:val="nil"/>
            </w:tcBorders>
            <w:vAlign w:val="center"/>
          </w:tcPr>
          <w:p w14:paraId="74DB5E8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000000" w:themeColor="text1"/>
                <w:kern w:val="0"/>
                <w:sz w:val="21"/>
                <w:szCs w:val="21"/>
                <w:lang w:val="en-US" w:eastAsia="zh-CN"/>
                <w14:textFill>
                  <w14:solidFill>
                    <w14:schemeClr w14:val="tx1"/>
                  </w14:solidFill>
                </w14:textFill>
              </w:rPr>
            </w:pPr>
            <w:r>
              <w:rPr>
                <w:rFonts w:hint="eastAsia" w:cs="Times New Roman"/>
                <w:bCs/>
                <w:color w:val="000000" w:themeColor="text1"/>
                <w:kern w:val="0"/>
                <w:sz w:val="21"/>
                <w:szCs w:val="21"/>
                <w:lang w:val="en-US" w:eastAsia="zh-CN"/>
                <w14:textFill>
                  <w14:solidFill>
                    <w14:schemeClr w14:val="tx1"/>
                  </w14:solidFill>
                </w14:textFill>
              </w:rPr>
              <w:t>排入固液分离车间</w:t>
            </w:r>
          </w:p>
        </w:tc>
      </w:tr>
      <w:tr w14:paraId="0D9EE5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95" w:type="dxa"/>
            <w:tcBorders>
              <w:tl2br w:val="nil"/>
              <w:tr2bl w:val="nil"/>
            </w:tcBorders>
            <w:vAlign w:val="center"/>
          </w:tcPr>
          <w:p w14:paraId="51DC84F7">
            <w:pPr>
              <w:pStyle w:val="55"/>
              <w:keepNext w:val="0"/>
              <w:keepLines w:val="0"/>
              <w:pageBreakBefore w:val="0"/>
              <w:widowControl/>
              <w:kinsoku/>
              <w:wordWrap/>
              <w:overflowPunct/>
              <w:topLinePunct w:val="0"/>
              <w:autoSpaceDE/>
              <w:autoSpaceDN/>
              <w:bidi w:val="0"/>
              <w:adjustRightInd/>
              <w:snapToGrid/>
              <w:ind w:firstLine="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6</w:t>
            </w:r>
          </w:p>
        </w:tc>
        <w:tc>
          <w:tcPr>
            <w:tcW w:w="1597" w:type="dxa"/>
            <w:gridSpan w:val="2"/>
            <w:tcBorders>
              <w:tl2br w:val="nil"/>
              <w:tr2bl w:val="nil"/>
            </w:tcBorders>
            <w:vAlign w:val="center"/>
          </w:tcPr>
          <w:p w14:paraId="2500FFD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000000" w:themeColor="text1"/>
                <w:kern w:val="0"/>
                <w:sz w:val="21"/>
                <w:szCs w:val="21"/>
                <w14:textFill>
                  <w14:solidFill>
                    <w14:schemeClr w14:val="tx1"/>
                  </w14:solidFill>
                </w14:textFill>
              </w:rPr>
            </w:pPr>
            <w:r>
              <w:rPr>
                <w:rFonts w:hint="default" w:ascii="Times New Roman" w:hAnsi="Times New Roman" w:eastAsia="宋体" w:cs="Times New Roman"/>
                <w:bCs/>
                <w:color w:val="000000" w:themeColor="text1"/>
                <w:kern w:val="0"/>
                <w:sz w:val="21"/>
                <w:szCs w:val="21"/>
                <w14:textFill>
                  <w14:solidFill>
                    <w14:schemeClr w14:val="tx1"/>
                  </w14:solidFill>
                </w14:textFill>
              </w:rPr>
              <w:t>饲料搅拌用水</w:t>
            </w:r>
          </w:p>
        </w:tc>
        <w:tc>
          <w:tcPr>
            <w:tcW w:w="983" w:type="dxa"/>
            <w:tcBorders>
              <w:tl2br w:val="nil"/>
              <w:tr2bl w:val="nil"/>
            </w:tcBorders>
            <w:vAlign w:val="center"/>
          </w:tcPr>
          <w:p w14:paraId="7E9B255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000000" w:themeColor="text1"/>
                <w:kern w:val="0"/>
                <w:sz w:val="21"/>
                <w:szCs w:val="21"/>
                <w14:textFill>
                  <w14:solidFill>
                    <w14:schemeClr w14:val="tx1"/>
                  </w14:solidFill>
                </w14:textFill>
              </w:rPr>
            </w:pPr>
            <w:r>
              <w:rPr>
                <w:rFonts w:hint="default" w:ascii="Times New Roman" w:hAnsi="Times New Roman" w:eastAsia="宋体" w:cs="Times New Roman"/>
                <w:bCs/>
                <w:color w:val="000000" w:themeColor="text1"/>
                <w:kern w:val="0"/>
                <w:sz w:val="21"/>
                <w:szCs w:val="21"/>
                <w14:textFill>
                  <w14:solidFill>
                    <w14:schemeClr w14:val="tx1"/>
                  </w14:solidFill>
                </w14:textFill>
              </w:rPr>
              <w:t>1</w:t>
            </w:r>
          </w:p>
        </w:tc>
        <w:tc>
          <w:tcPr>
            <w:tcW w:w="855" w:type="dxa"/>
            <w:tcBorders>
              <w:tl2br w:val="nil"/>
              <w:tr2bl w:val="nil"/>
            </w:tcBorders>
            <w:vAlign w:val="center"/>
          </w:tcPr>
          <w:p w14:paraId="5BF71BB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000000" w:themeColor="text1"/>
                <w:kern w:val="0"/>
                <w:sz w:val="21"/>
                <w:szCs w:val="21"/>
                <w14:textFill>
                  <w14:solidFill>
                    <w14:schemeClr w14:val="tx1"/>
                  </w14:solidFill>
                </w14:textFill>
              </w:rPr>
            </w:pPr>
            <w:r>
              <w:rPr>
                <w:rFonts w:hint="default" w:ascii="Times New Roman" w:hAnsi="Times New Roman" w:eastAsia="宋体" w:cs="Times New Roman"/>
                <w:bCs/>
                <w:color w:val="000000" w:themeColor="text1"/>
                <w:kern w:val="0"/>
                <w:sz w:val="21"/>
                <w:szCs w:val="21"/>
                <w14:textFill>
                  <w14:solidFill>
                    <w14:schemeClr w14:val="tx1"/>
                  </w14:solidFill>
                </w14:textFill>
              </w:rPr>
              <w:t>0</w:t>
            </w:r>
          </w:p>
        </w:tc>
        <w:tc>
          <w:tcPr>
            <w:tcW w:w="967" w:type="dxa"/>
            <w:tcBorders>
              <w:tl2br w:val="nil"/>
              <w:tr2bl w:val="nil"/>
            </w:tcBorders>
            <w:vAlign w:val="center"/>
          </w:tcPr>
          <w:p w14:paraId="4F14569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000000" w:themeColor="text1"/>
                <w:kern w:val="0"/>
                <w:sz w:val="21"/>
                <w:szCs w:val="21"/>
                <w14:textFill>
                  <w14:solidFill>
                    <w14:schemeClr w14:val="tx1"/>
                  </w14:solidFill>
                </w14:textFill>
              </w:rPr>
            </w:pPr>
            <w:r>
              <w:rPr>
                <w:rFonts w:hint="default" w:ascii="Times New Roman" w:hAnsi="Times New Roman" w:eastAsia="宋体" w:cs="Times New Roman"/>
                <w:bCs/>
                <w:color w:val="000000" w:themeColor="text1"/>
                <w:kern w:val="0"/>
                <w:sz w:val="21"/>
                <w:szCs w:val="21"/>
                <w14:textFill>
                  <w14:solidFill>
                    <w14:schemeClr w14:val="tx1"/>
                  </w14:solidFill>
                </w14:textFill>
              </w:rPr>
              <w:t>1</w:t>
            </w:r>
          </w:p>
        </w:tc>
        <w:tc>
          <w:tcPr>
            <w:tcW w:w="1065" w:type="dxa"/>
            <w:tcBorders>
              <w:tl2br w:val="nil"/>
              <w:tr2bl w:val="nil"/>
            </w:tcBorders>
            <w:vAlign w:val="center"/>
          </w:tcPr>
          <w:p w14:paraId="4912BF0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000000" w:themeColor="text1"/>
                <w:kern w:val="0"/>
                <w:sz w:val="21"/>
                <w:szCs w:val="21"/>
                <w14:textFill>
                  <w14:solidFill>
                    <w14:schemeClr w14:val="tx1"/>
                  </w14:solidFill>
                </w14:textFill>
              </w:rPr>
            </w:pPr>
            <w:r>
              <w:rPr>
                <w:rFonts w:hint="default" w:ascii="Times New Roman" w:hAnsi="Times New Roman" w:eastAsia="宋体" w:cs="Times New Roman"/>
                <w:bCs/>
                <w:color w:val="000000" w:themeColor="text1"/>
                <w:kern w:val="0"/>
                <w:sz w:val="21"/>
                <w:szCs w:val="21"/>
                <w14:textFill>
                  <w14:solidFill>
                    <w14:schemeClr w14:val="tx1"/>
                  </w14:solidFill>
                </w14:textFill>
              </w:rPr>
              <w:t>0</w:t>
            </w:r>
          </w:p>
        </w:tc>
        <w:tc>
          <w:tcPr>
            <w:tcW w:w="2784" w:type="dxa"/>
            <w:tcBorders>
              <w:tl2br w:val="nil"/>
              <w:tr2bl w:val="nil"/>
            </w:tcBorders>
            <w:vAlign w:val="center"/>
          </w:tcPr>
          <w:p w14:paraId="1A263D9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000000" w:themeColor="text1"/>
                <w:kern w:val="0"/>
                <w:sz w:val="21"/>
                <w:szCs w:val="21"/>
                <w14:textFill>
                  <w14:solidFill>
                    <w14:schemeClr w14:val="tx1"/>
                  </w14:solidFill>
                </w14:textFill>
              </w:rPr>
            </w:pPr>
            <w:r>
              <w:rPr>
                <w:rFonts w:hint="default" w:ascii="Times New Roman" w:hAnsi="Times New Roman" w:eastAsia="宋体" w:cs="Times New Roman"/>
                <w:bCs/>
                <w:color w:val="000000" w:themeColor="text1"/>
                <w:kern w:val="0"/>
                <w:sz w:val="21"/>
                <w:szCs w:val="21"/>
                <w14:textFill>
                  <w14:solidFill>
                    <w14:schemeClr w14:val="tx1"/>
                  </w14:solidFill>
                </w14:textFill>
              </w:rPr>
              <w:t>饲料带走</w:t>
            </w:r>
          </w:p>
        </w:tc>
      </w:tr>
      <w:tr w14:paraId="005BE8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95" w:type="dxa"/>
            <w:tcBorders>
              <w:tl2br w:val="nil"/>
              <w:tr2bl w:val="nil"/>
            </w:tcBorders>
            <w:vAlign w:val="center"/>
          </w:tcPr>
          <w:p w14:paraId="14EDBD76">
            <w:pPr>
              <w:pStyle w:val="55"/>
              <w:keepNext w:val="0"/>
              <w:keepLines w:val="0"/>
              <w:pageBreakBefore w:val="0"/>
              <w:widowControl/>
              <w:kinsoku/>
              <w:wordWrap/>
              <w:overflowPunct/>
              <w:topLinePunct w:val="0"/>
              <w:autoSpaceDE/>
              <w:autoSpaceDN/>
              <w:bidi w:val="0"/>
              <w:adjustRightInd/>
              <w:snapToGrid/>
              <w:ind w:firstLine="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7</w:t>
            </w:r>
          </w:p>
        </w:tc>
        <w:tc>
          <w:tcPr>
            <w:tcW w:w="1597" w:type="dxa"/>
            <w:gridSpan w:val="2"/>
            <w:tcBorders>
              <w:tl2br w:val="nil"/>
              <w:tr2bl w:val="nil"/>
            </w:tcBorders>
            <w:vAlign w:val="center"/>
          </w:tcPr>
          <w:p w14:paraId="0983C9A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000000" w:themeColor="text1"/>
                <w:kern w:val="0"/>
                <w:sz w:val="21"/>
                <w:szCs w:val="21"/>
                <w14:textFill>
                  <w14:solidFill>
                    <w14:schemeClr w14:val="tx1"/>
                  </w14:solidFill>
                </w14:textFill>
              </w:rPr>
            </w:pPr>
            <w:r>
              <w:rPr>
                <w:rFonts w:hint="default" w:ascii="Times New Roman" w:hAnsi="Times New Roman" w:eastAsia="宋体" w:cs="Times New Roman"/>
                <w:bCs/>
                <w:color w:val="000000" w:themeColor="text1"/>
                <w:kern w:val="0"/>
                <w:sz w:val="21"/>
                <w:szCs w:val="21"/>
                <w14:textFill>
                  <w14:solidFill>
                    <w14:schemeClr w14:val="tx1"/>
                  </w14:solidFill>
                </w14:textFill>
              </w:rPr>
              <w:t>绿化用水</w:t>
            </w:r>
          </w:p>
        </w:tc>
        <w:tc>
          <w:tcPr>
            <w:tcW w:w="983" w:type="dxa"/>
            <w:tcBorders>
              <w:tl2br w:val="nil"/>
              <w:tr2bl w:val="nil"/>
            </w:tcBorders>
            <w:vAlign w:val="center"/>
          </w:tcPr>
          <w:p w14:paraId="3002DFD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000000" w:themeColor="text1"/>
                <w:kern w:val="0"/>
                <w:sz w:val="21"/>
                <w:szCs w:val="21"/>
                <w14:textFill>
                  <w14:solidFill>
                    <w14:schemeClr w14:val="tx1"/>
                  </w14:solidFill>
                </w14:textFill>
              </w:rPr>
            </w:pPr>
            <w:r>
              <w:rPr>
                <w:rFonts w:hint="default" w:ascii="Times New Roman" w:hAnsi="Times New Roman" w:eastAsia="宋体" w:cs="Times New Roman"/>
                <w:bCs/>
                <w:color w:val="000000" w:themeColor="text1"/>
                <w:kern w:val="0"/>
                <w:sz w:val="21"/>
                <w:szCs w:val="21"/>
                <w14:textFill>
                  <w14:solidFill>
                    <w14:schemeClr w14:val="tx1"/>
                  </w14:solidFill>
                </w14:textFill>
              </w:rPr>
              <w:t>2</w:t>
            </w:r>
          </w:p>
        </w:tc>
        <w:tc>
          <w:tcPr>
            <w:tcW w:w="855" w:type="dxa"/>
            <w:tcBorders>
              <w:tl2br w:val="nil"/>
              <w:tr2bl w:val="nil"/>
            </w:tcBorders>
            <w:vAlign w:val="center"/>
          </w:tcPr>
          <w:p w14:paraId="1563F30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000000" w:themeColor="text1"/>
                <w:kern w:val="0"/>
                <w:sz w:val="21"/>
                <w:szCs w:val="21"/>
                <w14:textFill>
                  <w14:solidFill>
                    <w14:schemeClr w14:val="tx1"/>
                  </w14:solidFill>
                </w14:textFill>
              </w:rPr>
            </w:pPr>
            <w:r>
              <w:rPr>
                <w:rFonts w:hint="default" w:ascii="Times New Roman" w:hAnsi="Times New Roman" w:eastAsia="宋体" w:cs="Times New Roman"/>
                <w:bCs/>
                <w:color w:val="000000" w:themeColor="text1"/>
                <w:kern w:val="0"/>
                <w:sz w:val="21"/>
                <w:szCs w:val="21"/>
                <w14:textFill>
                  <w14:solidFill>
                    <w14:schemeClr w14:val="tx1"/>
                  </w14:solidFill>
                </w14:textFill>
              </w:rPr>
              <w:t>0</w:t>
            </w:r>
          </w:p>
        </w:tc>
        <w:tc>
          <w:tcPr>
            <w:tcW w:w="967" w:type="dxa"/>
            <w:tcBorders>
              <w:tl2br w:val="nil"/>
              <w:tr2bl w:val="nil"/>
            </w:tcBorders>
            <w:vAlign w:val="center"/>
          </w:tcPr>
          <w:p w14:paraId="7C2103E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000000" w:themeColor="text1"/>
                <w:kern w:val="0"/>
                <w:sz w:val="21"/>
                <w:szCs w:val="21"/>
                <w14:textFill>
                  <w14:solidFill>
                    <w14:schemeClr w14:val="tx1"/>
                  </w14:solidFill>
                </w14:textFill>
              </w:rPr>
            </w:pPr>
            <w:r>
              <w:rPr>
                <w:rFonts w:hint="default" w:ascii="Times New Roman" w:hAnsi="Times New Roman" w:eastAsia="宋体" w:cs="Times New Roman"/>
                <w:bCs/>
                <w:color w:val="000000" w:themeColor="text1"/>
                <w:kern w:val="0"/>
                <w:sz w:val="21"/>
                <w:szCs w:val="21"/>
                <w14:textFill>
                  <w14:solidFill>
                    <w14:schemeClr w14:val="tx1"/>
                  </w14:solidFill>
                </w14:textFill>
              </w:rPr>
              <w:t>2</w:t>
            </w:r>
          </w:p>
        </w:tc>
        <w:tc>
          <w:tcPr>
            <w:tcW w:w="1065" w:type="dxa"/>
            <w:tcBorders>
              <w:tl2br w:val="nil"/>
              <w:tr2bl w:val="nil"/>
            </w:tcBorders>
            <w:vAlign w:val="center"/>
          </w:tcPr>
          <w:p w14:paraId="23FABD8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000000" w:themeColor="text1"/>
                <w:kern w:val="0"/>
                <w:sz w:val="21"/>
                <w:szCs w:val="21"/>
                <w14:textFill>
                  <w14:solidFill>
                    <w14:schemeClr w14:val="tx1"/>
                  </w14:solidFill>
                </w14:textFill>
              </w:rPr>
            </w:pPr>
            <w:r>
              <w:rPr>
                <w:rFonts w:hint="default" w:ascii="Times New Roman" w:hAnsi="Times New Roman" w:eastAsia="宋体" w:cs="Times New Roman"/>
                <w:bCs/>
                <w:color w:val="000000" w:themeColor="text1"/>
                <w:kern w:val="0"/>
                <w:sz w:val="21"/>
                <w:szCs w:val="21"/>
                <w14:textFill>
                  <w14:solidFill>
                    <w14:schemeClr w14:val="tx1"/>
                  </w14:solidFill>
                </w14:textFill>
              </w:rPr>
              <w:t>0</w:t>
            </w:r>
          </w:p>
        </w:tc>
        <w:tc>
          <w:tcPr>
            <w:tcW w:w="2784" w:type="dxa"/>
            <w:tcBorders>
              <w:tl2br w:val="nil"/>
              <w:tr2bl w:val="nil"/>
            </w:tcBorders>
            <w:vAlign w:val="center"/>
          </w:tcPr>
          <w:p w14:paraId="7FD5AE8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000000" w:themeColor="text1"/>
                <w:kern w:val="0"/>
                <w:sz w:val="21"/>
                <w:szCs w:val="21"/>
                <w14:textFill>
                  <w14:solidFill>
                    <w14:schemeClr w14:val="tx1"/>
                  </w14:solidFill>
                </w14:textFill>
              </w:rPr>
            </w:pPr>
            <w:r>
              <w:rPr>
                <w:rFonts w:hint="default" w:ascii="Times New Roman" w:hAnsi="Times New Roman" w:eastAsia="宋体" w:cs="Times New Roman"/>
                <w:bCs/>
                <w:color w:val="000000" w:themeColor="text1"/>
                <w:kern w:val="0"/>
                <w:sz w:val="21"/>
                <w:szCs w:val="21"/>
                <w14:textFill>
                  <w14:solidFill>
                    <w14:schemeClr w14:val="tx1"/>
                  </w14:solidFill>
                </w14:textFill>
              </w:rPr>
              <w:t>绿化</w:t>
            </w:r>
          </w:p>
        </w:tc>
      </w:tr>
      <w:tr w14:paraId="00ECB9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95" w:type="dxa"/>
            <w:tcBorders>
              <w:tl2br w:val="nil"/>
              <w:tr2bl w:val="nil"/>
            </w:tcBorders>
            <w:vAlign w:val="center"/>
          </w:tcPr>
          <w:p w14:paraId="60593D03">
            <w:pPr>
              <w:pStyle w:val="55"/>
              <w:keepNext w:val="0"/>
              <w:keepLines w:val="0"/>
              <w:pageBreakBefore w:val="0"/>
              <w:widowControl/>
              <w:kinsoku/>
              <w:wordWrap/>
              <w:overflowPunct/>
              <w:topLinePunct w:val="0"/>
              <w:autoSpaceDE/>
              <w:autoSpaceDN/>
              <w:bidi w:val="0"/>
              <w:adjustRightInd/>
              <w:snapToGrid/>
              <w:ind w:firstLine="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8</w:t>
            </w:r>
          </w:p>
        </w:tc>
        <w:tc>
          <w:tcPr>
            <w:tcW w:w="1597" w:type="dxa"/>
            <w:gridSpan w:val="2"/>
            <w:tcBorders>
              <w:tl2br w:val="nil"/>
              <w:tr2bl w:val="nil"/>
            </w:tcBorders>
            <w:vAlign w:val="center"/>
          </w:tcPr>
          <w:p w14:paraId="0F363E1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000000" w:themeColor="text1"/>
                <w:kern w:val="0"/>
                <w:sz w:val="21"/>
                <w:szCs w:val="21"/>
                <w14:textFill>
                  <w14:solidFill>
                    <w14:schemeClr w14:val="tx1"/>
                  </w14:solidFill>
                </w14:textFill>
              </w:rPr>
            </w:pPr>
            <w:r>
              <w:rPr>
                <w:rFonts w:hint="default" w:ascii="Times New Roman" w:hAnsi="Times New Roman" w:eastAsia="宋体" w:cs="Times New Roman"/>
                <w:bCs/>
                <w:color w:val="000000" w:themeColor="text1"/>
                <w:kern w:val="0"/>
                <w:sz w:val="21"/>
                <w:szCs w:val="21"/>
                <w14:textFill>
                  <w14:solidFill>
                    <w14:schemeClr w14:val="tx1"/>
                  </w14:solidFill>
                </w14:textFill>
              </w:rPr>
              <w:t>合计</w:t>
            </w:r>
          </w:p>
        </w:tc>
        <w:tc>
          <w:tcPr>
            <w:tcW w:w="983" w:type="dxa"/>
            <w:tcBorders>
              <w:tl2br w:val="nil"/>
              <w:tr2bl w:val="nil"/>
            </w:tcBorders>
            <w:vAlign w:val="center"/>
          </w:tcPr>
          <w:p w14:paraId="4D4F99D0">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cs="Times New Roman" w:eastAsiaTheme="majorEastAsia"/>
                <w:bCs/>
                <w:color w:val="000000" w:themeColor="text1"/>
                <w:kern w:val="0"/>
                <w:sz w:val="21"/>
                <w:szCs w:val="21"/>
                <w:lang w:val="en-US"/>
                <w14:textFill>
                  <w14:solidFill>
                    <w14:schemeClr w14:val="tx1"/>
                  </w14:solidFill>
                </w14:textFill>
              </w:rPr>
            </w:pPr>
            <w:r>
              <w:rPr>
                <w:rFonts w:hint="eastAsia" w:ascii="Times New Roman" w:hAnsi="Times New Roman" w:cs="Times New Roman" w:eastAsiaTheme="majorEastAsia"/>
                <w:i w:val="0"/>
                <w:iCs w:val="0"/>
                <w:color w:val="000000"/>
                <w:kern w:val="0"/>
                <w:sz w:val="21"/>
                <w:szCs w:val="21"/>
                <w:u w:val="none"/>
                <w:lang w:val="en-US" w:eastAsia="zh-CN" w:bidi="ar"/>
              </w:rPr>
              <w:t>48.8</w:t>
            </w:r>
          </w:p>
        </w:tc>
        <w:tc>
          <w:tcPr>
            <w:tcW w:w="855" w:type="dxa"/>
            <w:tcBorders>
              <w:tl2br w:val="nil"/>
              <w:tr2bl w:val="nil"/>
            </w:tcBorders>
            <w:vAlign w:val="center"/>
          </w:tcPr>
          <w:p w14:paraId="7900E580">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cs="Times New Roman" w:eastAsiaTheme="majorEastAsia"/>
                <w:bCs/>
                <w:color w:val="000000" w:themeColor="text1"/>
                <w:kern w:val="0"/>
                <w:sz w:val="21"/>
                <w:szCs w:val="21"/>
                <w14:textFill>
                  <w14:solidFill>
                    <w14:schemeClr w14:val="tx1"/>
                  </w14:solidFill>
                </w14:textFill>
              </w:rPr>
            </w:pPr>
            <w:r>
              <w:rPr>
                <w:rFonts w:hint="default" w:ascii="Times New Roman" w:hAnsi="Times New Roman" w:cs="Times New Roman" w:eastAsiaTheme="majorEastAsia"/>
                <w:i w:val="0"/>
                <w:iCs w:val="0"/>
                <w:color w:val="000000"/>
                <w:kern w:val="0"/>
                <w:sz w:val="21"/>
                <w:szCs w:val="21"/>
                <w:u w:val="none"/>
                <w:lang w:val="en-US" w:eastAsia="zh-CN" w:bidi="ar"/>
              </w:rPr>
              <w:t>1.5</w:t>
            </w:r>
          </w:p>
        </w:tc>
        <w:tc>
          <w:tcPr>
            <w:tcW w:w="967" w:type="dxa"/>
            <w:tcBorders>
              <w:tl2br w:val="nil"/>
              <w:tr2bl w:val="nil"/>
            </w:tcBorders>
            <w:vAlign w:val="center"/>
          </w:tcPr>
          <w:p w14:paraId="4EF35B90">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cs="Times New Roman" w:eastAsiaTheme="majorEastAsia"/>
                <w:bCs/>
                <w:color w:val="000000" w:themeColor="text1"/>
                <w:kern w:val="0"/>
                <w:sz w:val="21"/>
                <w:szCs w:val="21"/>
                <w14:textFill>
                  <w14:solidFill>
                    <w14:schemeClr w14:val="tx1"/>
                  </w14:solidFill>
                </w14:textFill>
              </w:rPr>
            </w:pPr>
            <w:r>
              <w:rPr>
                <w:rFonts w:hint="default" w:ascii="Times New Roman" w:hAnsi="Times New Roman" w:cs="Times New Roman" w:eastAsiaTheme="majorEastAsia"/>
                <w:i w:val="0"/>
                <w:iCs w:val="0"/>
                <w:color w:val="000000"/>
                <w:kern w:val="0"/>
                <w:sz w:val="21"/>
                <w:szCs w:val="21"/>
                <w:u w:val="none"/>
                <w:lang w:val="en-US" w:eastAsia="zh-CN" w:bidi="ar"/>
              </w:rPr>
              <w:t>10.46</w:t>
            </w:r>
          </w:p>
        </w:tc>
        <w:tc>
          <w:tcPr>
            <w:tcW w:w="1065" w:type="dxa"/>
            <w:tcBorders>
              <w:tl2br w:val="nil"/>
              <w:tr2bl w:val="nil"/>
            </w:tcBorders>
            <w:vAlign w:val="center"/>
          </w:tcPr>
          <w:p w14:paraId="6BC65217">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cs="Times New Roman" w:eastAsiaTheme="majorEastAsia"/>
                <w:bCs/>
                <w:color w:val="000000" w:themeColor="text1"/>
                <w:kern w:val="0"/>
                <w:sz w:val="21"/>
                <w:szCs w:val="21"/>
                <w14:textFill>
                  <w14:solidFill>
                    <w14:schemeClr w14:val="tx1"/>
                  </w14:solidFill>
                </w14:textFill>
              </w:rPr>
            </w:pPr>
            <w:r>
              <w:rPr>
                <w:rFonts w:hint="default" w:ascii="Times New Roman" w:hAnsi="Times New Roman" w:cs="Times New Roman" w:eastAsiaTheme="majorEastAsia"/>
                <w:i w:val="0"/>
                <w:iCs w:val="0"/>
                <w:color w:val="000000"/>
                <w:kern w:val="0"/>
                <w:sz w:val="21"/>
                <w:szCs w:val="21"/>
                <w:u w:val="none"/>
                <w:lang w:val="en-US" w:eastAsia="zh-CN" w:bidi="ar"/>
              </w:rPr>
              <w:t>38.34</w:t>
            </w:r>
          </w:p>
        </w:tc>
        <w:tc>
          <w:tcPr>
            <w:tcW w:w="2784" w:type="dxa"/>
            <w:tcBorders>
              <w:tl2br w:val="nil"/>
              <w:tr2bl w:val="nil"/>
            </w:tcBorders>
            <w:vAlign w:val="center"/>
          </w:tcPr>
          <w:p w14:paraId="7E093FD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ajorEastAsia"/>
                <w:bCs/>
                <w:color w:val="000000" w:themeColor="text1"/>
                <w:kern w:val="0"/>
                <w:sz w:val="21"/>
                <w:szCs w:val="21"/>
                <w:lang w:eastAsia="zh-CN"/>
                <w14:textFill>
                  <w14:solidFill>
                    <w14:schemeClr w14:val="tx1"/>
                  </w14:solidFill>
                </w14:textFill>
              </w:rPr>
            </w:pPr>
            <w:r>
              <w:rPr>
                <w:rFonts w:hint="default" w:ascii="Times New Roman" w:hAnsi="Times New Roman" w:cs="Times New Roman" w:eastAsiaTheme="majorEastAsia"/>
                <w:bCs/>
                <w:color w:val="000000" w:themeColor="text1"/>
                <w:kern w:val="0"/>
                <w:sz w:val="21"/>
                <w:szCs w:val="21"/>
                <w:lang w:val="en-US" w:eastAsia="zh-CN"/>
                <w14:textFill>
                  <w14:solidFill>
                    <w14:schemeClr w14:val="tx1"/>
                  </w14:solidFill>
                </w14:textFill>
              </w:rPr>
              <w:t>/</w:t>
            </w:r>
          </w:p>
        </w:tc>
      </w:tr>
    </w:tbl>
    <w:p w14:paraId="59F9F4A1">
      <w:pPr>
        <w:pStyle w:val="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drawing>
          <wp:inline distT="0" distB="0" distL="114300" distR="114300">
            <wp:extent cx="5271135" cy="4155440"/>
            <wp:effectExtent l="0" t="0" r="5715" b="16510"/>
            <wp:docPr id="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36"/>
                    <a:stretch>
                      <a:fillRect/>
                    </a:stretch>
                  </pic:blipFill>
                  <pic:spPr>
                    <a:xfrm>
                      <a:off x="0" y="0"/>
                      <a:ext cx="5271135" cy="4155440"/>
                    </a:xfrm>
                    <a:prstGeom prst="rect">
                      <a:avLst/>
                    </a:prstGeom>
                    <a:noFill/>
                    <a:ln>
                      <a:noFill/>
                    </a:ln>
                  </pic:spPr>
                </pic:pic>
              </a:graphicData>
            </a:graphic>
          </wp:inline>
        </w:drawing>
      </w:r>
    </w:p>
    <w:p w14:paraId="788DE16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rPr>
      </w:pPr>
      <w:r>
        <w:rPr>
          <w:rFonts w:hint="default" w:ascii="Times New Roman" w:hAnsi="Times New Roman" w:eastAsia="宋体" w:cs="Times New Roman"/>
          <w:b/>
          <w:bCs/>
          <w:color w:val="0000FF"/>
        </w:rPr>
        <w:t>图3.1-1项目水平衡图（单位：m</w:t>
      </w:r>
      <w:r>
        <w:rPr>
          <w:rFonts w:hint="default" w:ascii="Times New Roman" w:hAnsi="Times New Roman" w:eastAsia="宋体" w:cs="Times New Roman"/>
          <w:b/>
          <w:bCs/>
          <w:color w:val="0000FF"/>
          <w:vertAlign w:val="superscript"/>
        </w:rPr>
        <w:t>3</w:t>
      </w:r>
      <w:r>
        <w:rPr>
          <w:rFonts w:hint="default" w:ascii="Times New Roman" w:hAnsi="Times New Roman" w:eastAsia="宋体" w:cs="Times New Roman"/>
          <w:b/>
          <w:bCs/>
          <w:color w:val="0000FF"/>
        </w:rPr>
        <w:t>/d）</w:t>
      </w:r>
    </w:p>
    <w:p w14:paraId="455973A6">
      <w:pPr>
        <w:pStyle w:val="11"/>
        <w:adjustRightInd w:val="0"/>
        <w:snapToGrid w:val="0"/>
        <w:ind w:firstLine="458"/>
        <w:rPr>
          <w:rFonts w:hint="default" w:ascii="Times New Roman" w:hAnsi="Times New Roman" w:eastAsia="宋体" w:cs="Times New Roman"/>
          <w:b/>
          <w:color w:val="000000" w:themeColor="text1"/>
          <w:spacing w:val="-6"/>
          <w:lang w:eastAsia="zh-CN"/>
          <w14:textFill>
            <w14:solidFill>
              <w14:schemeClr w14:val="tx1"/>
            </w14:solidFill>
          </w14:textFill>
        </w:rPr>
      </w:pPr>
      <w:r>
        <w:rPr>
          <w:rFonts w:hint="default" w:ascii="Times New Roman" w:hAnsi="Times New Roman" w:eastAsia="宋体" w:cs="Times New Roman"/>
          <w:b/>
          <w:color w:val="000000" w:themeColor="text1"/>
          <w:spacing w:val="-6"/>
          <w:lang w:eastAsia="zh-CN"/>
          <w14:textFill>
            <w14:solidFill>
              <w14:schemeClr w14:val="tx1"/>
            </w14:solidFill>
          </w14:textFill>
        </w:rPr>
        <w:t>（3）供电</w:t>
      </w:r>
    </w:p>
    <w:p w14:paraId="4DD16F92">
      <w:pPr>
        <w:pStyle w:val="11"/>
        <w:adjustRightInd w:val="0"/>
        <w:snapToGrid w:val="0"/>
        <w:ind w:firstLine="456"/>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eastAsia="宋体" w:cs="Times New Roman"/>
          <w:color w:val="000000" w:themeColor="text1"/>
          <w:spacing w:val="-6"/>
          <w:lang w:eastAsia="zh-CN"/>
          <w14:textFill>
            <w14:solidFill>
              <w14:schemeClr w14:val="tx1"/>
            </w14:solidFill>
          </w14:textFill>
        </w:rPr>
        <w:t>本项目用电由附近电路接入，经变配电室配送至各用电部位，可满</w:t>
      </w:r>
      <w:r>
        <w:rPr>
          <w:rFonts w:hint="default" w:ascii="Times New Roman" w:hAnsi="Times New Roman" w:eastAsia="宋体" w:cs="Times New Roman"/>
          <w:color w:val="000000" w:themeColor="text1"/>
          <w:lang w:eastAsia="zh-CN"/>
          <w14:textFill>
            <w14:solidFill>
              <w14:schemeClr w14:val="tx1"/>
            </w14:solidFill>
          </w14:textFill>
        </w:rPr>
        <w:t>足项目用电需要。</w:t>
      </w:r>
    </w:p>
    <w:p w14:paraId="14025F53">
      <w:pPr>
        <w:pStyle w:val="11"/>
        <w:adjustRightInd w:val="0"/>
        <w:snapToGrid w:val="0"/>
        <w:ind w:firstLine="458"/>
        <w:rPr>
          <w:rFonts w:hint="default" w:ascii="Times New Roman" w:hAnsi="Times New Roman" w:eastAsia="宋体" w:cs="Times New Roman"/>
          <w:b/>
          <w:color w:val="000000" w:themeColor="text1"/>
          <w:spacing w:val="-6"/>
          <w:lang w:eastAsia="zh-CN"/>
          <w14:textFill>
            <w14:solidFill>
              <w14:schemeClr w14:val="tx1"/>
            </w14:solidFill>
          </w14:textFill>
        </w:rPr>
      </w:pPr>
      <w:r>
        <w:rPr>
          <w:rFonts w:hint="default" w:ascii="Times New Roman" w:hAnsi="Times New Roman" w:eastAsia="宋体" w:cs="Times New Roman"/>
          <w:b/>
          <w:color w:val="000000" w:themeColor="text1"/>
          <w:spacing w:val="-6"/>
          <w:lang w:eastAsia="zh-CN"/>
          <w14:textFill>
            <w14:solidFill>
              <w14:schemeClr w14:val="tx1"/>
            </w14:solidFill>
          </w14:textFill>
        </w:rPr>
        <w:t>（4）供暖</w:t>
      </w:r>
    </w:p>
    <w:p w14:paraId="7F5D012E">
      <w:pPr>
        <w:pStyle w:val="11"/>
        <w:adjustRightInd w:val="0"/>
        <w:snapToGrid w:val="0"/>
        <w:ind w:firstLine="456"/>
        <w:rPr>
          <w:rFonts w:hint="default" w:ascii="Times New Roman" w:hAnsi="Times New Roman" w:eastAsia="宋体" w:cs="Times New Roman"/>
          <w:color w:val="000000" w:themeColor="text1"/>
          <w:spacing w:val="-6"/>
          <w:lang w:eastAsia="zh-CN"/>
          <w14:textFill>
            <w14:solidFill>
              <w14:schemeClr w14:val="tx1"/>
            </w14:solidFill>
          </w14:textFill>
        </w:rPr>
      </w:pPr>
      <w:r>
        <w:rPr>
          <w:rFonts w:hint="default" w:ascii="Times New Roman" w:hAnsi="Times New Roman" w:eastAsia="宋体" w:cs="Times New Roman"/>
          <w:color w:val="000000" w:themeColor="text1"/>
          <w:spacing w:val="-6"/>
          <w:lang w:eastAsia="zh-CN"/>
          <w14:textFill>
            <w14:solidFill>
              <w14:schemeClr w14:val="tx1"/>
            </w14:solidFill>
          </w14:textFill>
        </w:rPr>
        <w:t>本项目热源由场区内的新建电锅炉供给，可满足全场区最大用汽量。</w:t>
      </w:r>
    </w:p>
    <w:p w14:paraId="7704B131">
      <w:pPr>
        <w:pStyle w:val="11"/>
        <w:adjustRightInd w:val="0"/>
        <w:snapToGrid w:val="0"/>
        <w:ind w:firstLine="458"/>
        <w:rPr>
          <w:rFonts w:hint="default" w:ascii="Times New Roman" w:hAnsi="Times New Roman" w:eastAsia="宋体" w:cs="Times New Roman"/>
          <w:b/>
          <w:color w:val="000000" w:themeColor="text1"/>
          <w:spacing w:val="-6"/>
          <w:lang w:eastAsia="zh-CN"/>
          <w14:textFill>
            <w14:solidFill>
              <w14:schemeClr w14:val="tx1"/>
            </w14:solidFill>
          </w14:textFill>
        </w:rPr>
      </w:pPr>
      <w:r>
        <w:rPr>
          <w:rFonts w:hint="default" w:ascii="Times New Roman" w:hAnsi="Times New Roman" w:eastAsia="宋体" w:cs="Times New Roman"/>
          <w:b/>
          <w:color w:val="000000" w:themeColor="text1"/>
          <w:spacing w:val="-6"/>
          <w:lang w:eastAsia="zh-CN"/>
          <w14:textFill>
            <w14:solidFill>
              <w14:schemeClr w14:val="tx1"/>
            </w14:solidFill>
          </w14:textFill>
        </w:rPr>
        <w:t>（5）通风</w:t>
      </w:r>
    </w:p>
    <w:p w14:paraId="028917F0">
      <w:pPr>
        <w:pStyle w:val="11"/>
        <w:adjustRightInd w:val="0"/>
        <w:snapToGrid w:val="0"/>
        <w:ind w:firstLine="456"/>
        <w:rPr>
          <w:rFonts w:hint="default" w:ascii="Times New Roman" w:hAnsi="Times New Roman" w:eastAsia="宋体" w:cs="Times New Roman"/>
          <w:color w:val="000000" w:themeColor="text1"/>
          <w:spacing w:val="-6"/>
          <w:lang w:eastAsia="zh-CN"/>
          <w14:textFill>
            <w14:solidFill>
              <w14:schemeClr w14:val="tx1"/>
            </w14:solidFill>
          </w14:textFill>
        </w:rPr>
      </w:pPr>
      <w:r>
        <w:rPr>
          <w:rFonts w:hint="default" w:ascii="Times New Roman" w:hAnsi="Times New Roman" w:eastAsia="宋体" w:cs="Times New Roman"/>
          <w:color w:val="000000" w:themeColor="text1"/>
          <w:spacing w:val="-6"/>
          <w:lang w:eastAsia="zh-CN"/>
          <w14:textFill>
            <w14:solidFill>
              <w14:schemeClr w14:val="tx1"/>
            </w14:solidFill>
          </w14:textFill>
        </w:rPr>
        <w:t>本项目各建筑物采用自然通风和机械通风相结合的通风方式，其中机械通风主要是在牛舍内安装通风装置。</w:t>
      </w:r>
    </w:p>
    <w:p w14:paraId="1D1EDBFF">
      <w:pPr>
        <w:ind w:firstLine="0" w:firstLineChars="0"/>
        <w:outlineLvl w:val="1"/>
        <w:rPr>
          <w:rFonts w:hint="default" w:ascii="Times New Roman" w:hAnsi="Times New Roman" w:eastAsia="宋体" w:cs="Times New Roman"/>
          <w:b/>
          <w:bCs/>
          <w:color w:val="000000" w:themeColor="text1"/>
          <w:sz w:val="28"/>
          <w:szCs w:val="28"/>
          <w14:textFill>
            <w14:solidFill>
              <w14:schemeClr w14:val="tx1"/>
            </w14:solidFill>
          </w14:textFill>
        </w:rPr>
      </w:pPr>
      <w:bookmarkStart w:id="110" w:name="_Toc3922"/>
      <w:r>
        <w:rPr>
          <w:rFonts w:hint="default" w:ascii="Times New Roman" w:hAnsi="Times New Roman" w:eastAsia="宋体" w:cs="Times New Roman"/>
          <w:b/>
          <w:bCs/>
          <w:color w:val="000000" w:themeColor="text1"/>
          <w:sz w:val="28"/>
          <w:szCs w:val="28"/>
          <w14:textFill>
            <w14:solidFill>
              <w14:schemeClr w14:val="tx1"/>
            </w14:solidFill>
          </w14:textFill>
        </w:rPr>
        <w:t>3.2工程分析</w:t>
      </w:r>
      <w:bookmarkEnd w:id="110"/>
    </w:p>
    <w:p w14:paraId="580AAE09">
      <w:pPr>
        <w:pStyle w:val="11"/>
        <w:adjustRightInd w:val="0"/>
        <w:snapToGrid w:val="0"/>
        <w:ind w:firstLine="482"/>
        <w:outlineLvl w:val="2"/>
        <w:rPr>
          <w:rFonts w:hint="default" w:ascii="Times New Roman" w:hAnsi="Times New Roman" w:eastAsia="宋体" w:cs="Times New Roman"/>
          <w:b/>
          <w:color w:val="000000" w:themeColor="text1"/>
          <w:lang w:eastAsia="zh-CN"/>
          <w14:textFill>
            <w14:solidFill>
              <w14:schemeClr w14:val="tx1"/>
            </w14:solidFill>
          </w14:textFill>
        </w:rPr>
      </w:pPr>
      <w:bookmarkStart w:id="111" w:name="_Toc22575"/>
      <w:r>
        <w:rPr>
          <w:rFonts w:hint="default" w:ascii="Times New Roman" w:hAnsi="Times New Roman" w:eastAsia="宋体" w:cs="Times New Roman"/>
          <w:b/>
          <w:color w:val="000000" w:themeColor="text1"/>
          <w:lang w:eastAsia="zh-CN"/>
          <w14:textFill>
            <w14:solidFill>
              <w14:schemeClr w14:val="tx1"/>
            </w14:solidFill>
          </w14:textFill>
        </w:rPr>
        <w:t>3.2.1工艺流程及产污环节分析</w:t>
      </w:r>
      <w:bookmarkEnd w:id="111"/>
    </w:p>
    <w:p w14:paraId="0584636D">
      <w:pPr>
        <w:pStyle w:val="11"/>
        <w:adjustRightInd w:val="0"/>
        <w:snapToGrid w:val="0"/>
        <w:ind w:firstLine="456"/>
        <w:rPr>
          <w:rFonts w:hint="default" w:ascii="Times New Roman" w:hAnsi="Times New Roman" w:eastAsia="宋体" w:cs="Times New Roman"/>
          <w:color w:val="000000" w:themeColor="text1"/>
          <w:spacing w:val="-6"/>
          <w:lang w:eastAsia="zh-CN"/>
          <w14:textFill>
            <w14:solidFill>
              <w14:schemeClr w14:val="tx1"/>
            </w14:solidFill>
          </w14:textFill>
        </w:rPr>
      </w:pPr>
      <w:r>
        <w:rPr>
          <w:rFonts w:hint="default" w:ascii="Times New Roman" w:hAnsi="Times New Roman" w:eastAsia="宋体" w:cs="Times New Roman"/>
          <w:color w:val="000000" w:themeColor="text1"/>
          <w:spacing w:val="-6"/>
          <w:lang w:eastAsia="zh-CN"/>
          <w14:textFill>
            <w14:solidFill>
              <w14:schemeClr w14:val="tx1"/>
            </w14:solidFill>
          </w14:textFill>
        </w:rPr>
        <w:t>本项目主要进行奶牛饲养、繁殖及牛奶生产，不进行放牧作业，主要产污节点包括饲料加工、奶牛饲养、牛奶生产和排泄物处理过程，采用《内蒙古自治区畜禽养殖主要污染物减排项目建设技术指南（试行）》中推荐模式：⑤干清粪+防雨防渗+粪便堆放+污水厌氧及好氧处理+消纳土地的方式处理养殖废物。</w:t>
      </w:r>
    </w:p>
    <w:p w14:paraId="7513D763">
      <w:pPr>
        <w:pStyle w:val="11"/>
        <w:adjustRightInd w:val="0"/>
        <w:snapToGrid w:val="0"/>
        <w:ind w:firstLine="456"/>
        <w:rPr>
          <w:rFonts w:hint="default" w:ascii="Times New Roman" w:hAnsi="Times New Roman" w:eastAsia="宋体" w:cs="Times New Roman"/>
          <w:color w:val="000000" w:themeColor="text1"/>
          <w:spacing w:val="-6"/>
          <w:lang w:eastAsia="zh-CN"/>
          <w14:textFill>
            <w14:solidFill>
              <w14:schemeClr w14:val="tx1"/>
            </w14:solidFill>
          </w14:textFill>
        </w:rPr>
      </w:pPr>
      <w:r>
        <w:rPr>
          <w:rFonts w:hint="default" w:ascii="Times New Roman" w:hAnsi="Times New Roman" w:eastAsia="宋体" w:cs="Times New Roman"/>
          <w:color w:val="000000" w:themeColor="text1"/>
          <w:spacing w:val="-6"/>
          <w:lang w:eastAsia="zh-CN"/>
          <w14:textFill>
            <w14:solidFill>
              <w14:schemeClr w14:val="tx1"/>
            </w14:solidFill>
          </w14:textFill>
        </w:rPr>
        <w:t>本项目工艺流程及主要产物环节见图3.2-1。</w:t>
      </w:r>
    </w:p>
    <w:p w14:paraId="245F20F5">
      <w:pPr>
        <w:pStyle w:val="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pacing w:val="-6"/>
          <w14:textFill>
            <w14:solidFill>
              <w14:schemeClr w14:val="tx1"/>
            </w14:solidFill>
          </w14:textFill>
        </w:rPr>
      </w:pPr>
      <w:r>
        <w:rPr>
          <w:rFonts w:hint="default" w:ascii="Times New Roman" w:hAnsi="Times New Roman" w:eastAsia="宋体" w:cs="Times New Roman"/>
          <w:color w:val="000000" w:themeColor="text1"/>
          <w:lang w:eastAsia="zh-CN"/>
          <w14:textFill>
            <w14:solidFill>
              <w14:schemeClr w14:val="tx1"/>
            </w14:solidFill>
          </w14:textFill>
        </w:rPr>
        <w:drawing>
          <wp:inline distT="0" distB="0" distL="0" distR="0">
            <wp:extent cx="4686300" cy="4603115"/>
            <wp:effectExtent l="0" t="0" r="0" b="698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37"/>
                    <a:stretch>
                      <a:fillRect/>
                    </a:stretch>
                  </pic:blipFill>
                  <pic:spPr>
                    <a:xfrm>
                      <a:off x="0" y="0"/>
                      <a:ext cx="4686300" cy="4603115"/>
                    </a:xfrm>
                    <a:prstGeom prst="rect">
                      <a:avLst/>
                    </a:prstGeom>
                  </pic:spPr>
                </pic:pic>
              </a:graphicData>
            </a:graphic>
          </wp:inline>
        </w:drawing>
      </w:r>
    </w:p>
    <w:p w14:paraId="7EF3284C">
      <w:pPr>
        <w:pStyle w:val="11"/>
        <w:keepNext w:val="0"/>
        <w:keepLines w:val="0"/>
        <w:pageBreakBefore w:val="0"/>
        <w:widowControl w:val="0"/>
        <w:kinsoku/>
        <w:wordWrap/>
        <w:overflowPunct/>
        <w:topLinePunct w:val="0"/>
        <w:autoSpaceDE/>
        <w:autoSpaceDN/>
        <w:bidi w:val="0"/>
        <w:adjustRightInd w:val="0"/>
        <w:snapToGrid w:val="0"/>
        <w:spacing w:line="240" w:lineRule="auto"/>
        <w:ind w:firstLine="456"/>
        <w:jc w:val="center"/>
        <w:textAlignment w:val="auto"/>
        <w:rPr>
          <w:rFonts w:hint="default" w:ascii="Times New Roman" w:hAnsi="Times New Roman" w:eastAsia="宋体" w:cs="Times New Roman"/>
          <w:b/>
          <w:bCs/>
          <w:color w:val="000000" w:themeColor="text1"/>
          <w:spacing w:val="-6"/>
          <w:lang w:eastAsia="zh-CN"/>
          <w14:textFill>
            <w14:solidFill>
              <w14:schemeClr w14:val="tx1"/>
            </w14:solidFill>
          </w14:textFill>
        </w:rPr>
      </w:pPr>
      <w:r>
        <w:rPr>
          <w:rFonts w:hint="default" w:ascii="Times New Roman" w:hAnsi="Times New Roman" w:eastAsia="宋体" w:cs="Times New Roman"/>
          <w:b/>
          <w:bCs/>
          <w:color w:val="000000" w:themeColor="text1"/>
          <w:spacing w:val="-6"/>
          <w:lang w:eastAsia="zh-CN"/>
          <w14:textFill>
            <w14:solidFill>
              <w14:schemeClr w14:val="tx1"/>
            </w14:solidFill>
          </w14:textFill>
        </w:rPr>
        <w:t>图3.</w:t>
      </w:r>
      <w:r>
        <w:rPr>
          <w:rFonts w:hint="eastAsia" w:ascii="Times New Roman" w:hAnsi="Times New Roman" w:cs="Times New Roman"/>
          <w:b/>
          <w:bCs/>
          <w:color w:val="000000" w:themeColor="text1"/>
          <w:spacing w:val="-6"/>
          <w:lang w:val="en-US" w:eastAsia="zh-CN"/>
          <w14:textFill>
            <w14:solidFill>
              <w14:schemeClr w14:val="tx1"/>
            </w14:solidFill>
          </w14:textFill>
        </w:rPr>
        <w:t>2</w:t>
      </w:r>
      <w:r>
        <w:rPr>
          <w:rFonts w:hint="default" w:ascii="Times New Roman" w:hAnsi="Times New Roman" w:eastAsia="宋体" w:cs="Times New Roman"/>
          <w:b/>
          <w:bCs/>
          <w:color w:val="000000" w:themeColor="text1"/>
          <w:spacing w:val="-6"/>
          <w:lang w:eastAsia="zh-CN"/>
          <w14:textFill>
            <w14:solidFill>
              <w14:schemeClr w14:val="tx1"/>
            </w14:solidFill>
          </w14:textFill>
        </w:rPr>
        <w:t>-1工艺流程及产污环节示意图</w:t>
      </w:r>
    </w:p>
    <w:p w14:paraId="38EA3A2F">
      <w:pPr>
        <w:pStyle w:val="11"/>
        <w:adjustRightInd w:val="0"/>
        <w:snapToGrid w:val="0"/>
        <w:ind w:firstLine="482"/>
        <w:outlineLvl w:val="2"/>
        <w:rPr>
          <w:rFonts w:hint="default" w:ascii="Times New Roman" w:hAnsi="Times New Roman" w:eastAsia="宋体" w:cs="Times New Roman"/>
          <w:b/>
          <w:color w:val="000000" w:themeColor="text1"/>
          <w:lang w:eastAsia="zh-CN"/>
          <w14:textFill>
            <w14:solidFill>
              <w14:schemeClr w14:val="tx1"/>
            </w14:solidFill>
          </w14:textFill>
        </w:rPr>
      </w:pPr>
      <w:bookmarkStart w:id="112" w:name="_Toc9093"/>
      <w:r>
        <w:rPr>
          <w:rFonts w:hint="default" w:ascii="Times New Roman" w:hAnsi="Times New Roman" w:eastAsia="宋体" w:cs="Times New Roman"/>
          <w:b/>
          <w:color w:val="000000" w:themeColor="text1"/>
          <w:lang w:eastAsia="zh-CN"/>
          <w14:textFill>
            <w14:solidFill>
              <w14:schemeClr w14:val="tx1"/>
            </w14:solidFill>
          </w14:textFill>
        </w:rPr>
        <w:t>3.2.2青贮饲料制作、饲料拌合工艺流程</w:t>
      </w:r>
      <w:bookmarkEnd w:id="112"/>
    </w:p>
    <w:p w14:paraId="5748D2A7">
      <w:pPr>
        <w:pStyle w:val="11"/>
        <w:adjustRightInd w:val="0"/>
        <w:snapToGrid w:val="0"/>
        <w:ind w:firstLine="456"/>
        <w:rPr>
          <w:rFonts w:hint="default" w:ascii="Times New Roman" w:hAnsi="Times New Roman" w:eastAsia="宋体" w:cs="Times New Roman"/>
          <w:color w:val="000000" w:themeColor="text1"/>
          <w:spacing w:val="-6"/>
          <w:lang w:eastAsia="zh-CN"/>
          <w14:textFill>
            <w14:solidFill>
              <w14:schemeClr w14:val="tx1"/>
            </w14:solidFill>
          </w14:textFill>
        </w:rPr>
      </w:pPr>
      <w:r>
        <w:rPr>
          <w:rFonts w:hint="default" w:ascii="Times New Roman" w:hAnsi="Times New Roman" w:eastAsia="宋体" w:cs="Times New Roman"/>
          <w:color w:val="000000" w:themeColor="text1"/>
          <w:spacing w:val="-6"/>
          <w:lang w:eastAsia="zh-CN"/>
          <w14:textFill>
            <w14:solidFill>
              <w14:schemeClr w14:val="tx1"/>
            </w14:solidFill>
          </w14:textFill>
        </w:rPr>
        <w:t>项目的青贮原料为玉米秸秆，青储供应商根据青储玉米的成熟程度，在乳熟后期至蜡熟前期进行及时收割，入窖时原料水分应控制在70%，且破碎成2~3cm的长度。</w:t>
      </w:r>
    </w:p>
    <w:p w14:paraId="2E8068DB">
      <w:pPr>
        <w:pStyle w:val="11"/>
        <w:adjustRightInd w:val="0"/>
        <w:snapToGrid w:val="0"/>
        <w:ind w:firstLine="456"/>
        <w:rPr>
          <w:rFonts w:hint="default" w:ascii="Times New Roman" w:hAnsi="Times New Roman" w:eastAsia="宋体" w:cs="Times New Roman"/>
          <w:color w:val="000000" w:themeColor="text1"/>
          <w:spacing w:val="-6"/>
          <w:lang w:eastAsia="zh-CN"/>
          <w14:textFill>
            <w14:solidFill>
              <w14:schemeClr w14:val="tx1"/>
            </w14:solidFill>
          </w14:textFill>
        </w:rPr>
      </w:pPr>
      <w:r>
        <w:rPr>
          <w:rFonts w:hint="default" w:ascii="Times New Roman" w:hAnsi="Times New Roman" w:eastAsia="宋体" w:cs="Times New Roman"/>
          <w:color w:val="000000" w:themeColor="text1"/>
          <w:spacing w:val="-6"/>
          <w:lang w:eastAsia="zh-CN"/>
          <w14:textFill>
            <w14:solidFill>
              <w14:schemeClr w14:val="tx1"/>
            </w14:solidFill>
          </w14:textFill>
        </w:rPr>
        <w:t>（1）装填</w:t>
      </w:r>
    </w:p>
    <w:p w14:paraId="101214F2">
      <w:pPr>
        <w:pStyle w:val="11"/>
        <w:adjustRightInd w:val="0"/>
        <w:snapToGrid w:val="0"/>
        <w:ind w:firstLine="456"/>
        <w:rPr>
          <w:rFonts w:hint="default" w:ascii="Times New Roman" w:hAnsi="Times New Roman" w:eastAsia="宋体" w:cs="Times New Roman"/>
          <w:color w:val="000000" w:themeColor="text1"/>
          <w:spacing w:val="-6"/>
          <w:lang w:eastAsia="zh-CN"/>
          <w14:textFill>
            <w14:solidFill>
              <w14:schemeClr w14:val="tx1"/>
            </w14:solidFill>
          </w14:textFill>
        </w:rPr>
      </w:pPr>
      <w:r>
        <w:rPr>
          <w:rFonts w:hint="default" w:ascii="Times New Roman" w:hAnsi="Times New Roman" w:eastAsia="宋体" w:cs="Times New Roman"/>
          <w:color w:val="000000" w:themeColor="text1"/>
          <w:spacing w:val="-6"/>
          <w:lang w:eastAsia="zh-CN"/>
          <w14:textFill>
            <w14:solidFill>
              <w14:schemeClr w14:val="tx1"/>
            </w14:solidFill>
          </w14:textFill>
        </w:rPr>
        <w:t>青贮料到场后，先在窑底铺上30cm厚的垫草，然后将铡短的青贮原料迅速装入窑内。装时要边装料边用装载机或链轨推土机层层压实，尽量排除空气。</w:t>
      </w:r>
    </w:p>
    <w:p w14:paraId="7B726E9C">
      <w:pPr>
        <w:pStyle w:val="11"/>
        <w:adjustRightInd w:val="0"/>
        <w:snapToGrid w:val="0"/>
        <w:ind w:firstLine="456"/>
        <w:rPr>
          <w:rFonts w:hint="default" w:ascii="Times New Roman" w:hAnsi="Times New Roman" w:eastAsia="宋体" w:cs="Times New Roman"/>
          <w:color w:val="000000" w:themeColor="text1"/>
          <w:spacing w:val="-6"/>
          <w:lang w:eastAsia="zh-CN"/>
          <w14:textFill>
            <w14:solidFill>
              <w14:schemeClr w14:val="tx1"/>
            </w14:solidFill>
          </w14:textFill>
        </w:rPr>
      </w:pPr>
      <w:r>
        <w:rPr>
          <w:rFonts w:hint="default" w:ascii="Times New Roman" w:hAnsi="Times New Roman" w:eastAsia="宋体" w:cs="Times New Roman"/>
          <w:color w:val="000000" w:themeColor="text1"/>
          <w:spacing w:val="-6"/>
          <w:lang w:eastAsia="zh-CN"/>
          <w14:textFill>
            <w14:solidFill>
              <w14:schemeClr w14:val="tx1"/>
            </w14:solidFill>
          </w14:textFill>
        </w:rPr>
        <w:t>（2）封窑</w:t>
      </w:r>
    </w:p>
    <w:p w14:paraId="46DCBCF0">
      <w:pPr>
        <w:pStyle w:val="11"/>
        <w:adjustRightInd w:val="0"/>
        <w:snapToGrid w:val="0"/>
        <w:ind w:firstLine="456"/>
        <w:rPr>
          <w:rFonts w:hint="default" w:ascii="Times New Roman" w:hAnsi="Times New Roman" w:eastAsia="宋体" w:cs="Times New Roman"/>
          <w:color w:val="000000" w:themeColor="text1"/>
          <w:spacing w:val="-6"/>
          <w:lang w:eastAsia="zh-CN"/>
          <w14:textFill>
            <w14:solidFill>
              <w14:schemeClr w14:val="tx1"/>
            </w14:solidFill>
          </w14:textFill>
        </w:rPr>
      </w:pPr>
      <w:r>
        <w:rPr>
          <w:rFonts w:hint="default" w:ascii="Times New Roman" w:hAnsi="Times New Roman" w:eastAsia="宋体" w:cs="Times New Roman"/>
          <w:color w:val="000000" w:themeColor="text1"/>
          <w:spacing w:val="-6"/>
          <w:lang w:eastAsia="zh-CN"/>
          <w14:textFill>
            <w14:solidFill>
              <w14:schemeClr w14:val="tx1"/>
            </w14:solidFill>
          </w14:textFill>
        </w:rPr>
        <w:t>牧场为地面式青贮窖，地面为水泥抹面，方便青贮饲料的储用。当青贮饲料高出窑沿60cm时进行封窑，封窖采用防老化的双层塑料布，并在窖口薄膜上加一定量的土，以保证其密封性。</w:t>
      </w:r>
    </w:p>
    <w:p w14:paraId="262ACFC2">
      <w:pPr>
        <w:pStyle w:val="11"/>
        <w:adjustRightInd w:val="0"/>
        <w:snapToGrid w:val="0"/>
        <w:ind w:firstLine="456"/>
        <w:rPr>
          <w:rFonts w:hint="default" w:ascii="Times New Roman" w:hAnsi="Times New Roman" w:eastAsia="宋体" w:cs="Times New Roman"/>
          <w:color w:val="000000" w:themeColor="text1"/>
          <w:spacing w:val="-6"/>
          <w:lang w:eastAsia="zh-CN"/>
          <w14:textFill>
            <w14:solidFill>
              <w14:schemeClr w14:val="tx1"/>
            </w14:solidFill>
          </w14:textFill>
        </w:rPr>
      </w:pPr>
      <w:r>
        <w:rPr>
          <w:rFonts w:hint="default" w:ascii="Times New Roman" w:hAnsi="Times New Roman" w:eastAsia="宋体" w:cs="Times New Roman"/>
          <w:color w:val="000000" w:themeColor="text1"/>
          <w:spacing w:val="-6"/>
          <w:lang w:eastAsia="zh-CN"/>
          <w14:textFill>
            <w14:solidFill>
              <w14:schemeClr w14:val="tx1"/>
            </w14:solidFill>
          </w14:textFill>
        </w:rPr>
        <w:t>（3）青贮饲料取用</w:t>
      </w:r>
    </w:p>
    <w:p w14:paraId="1F274327">
      <w:pPr>
        <w:pStyle w:val="11"/>
        <w:adjustRightInd w:val="0"/>
        <w:snapToGrid w:val="0"/>
        <w:ind w:firstLine="456"/>
        <w:rPr>
          <w:rFonts w:hint="default" w:ascii="Times New Roman" w:hAnsi="Times New Roman" w:eastAsia="宋体" w:cs="Times New Roman"/>
          <w:color w:val="000000" w:themeColor="text1"/>
          <w:spacing w:val="-6"/>
          <w:lang w:eastAsia="zh-CN"/>
          <w14:textFill>
            <w14:solidFill>
              <w14:schemeClr w14:val="tx1"/>
            </w14:solidFill>
          </w14:textFill>
        </w:rPr>
      </w:pPr>
      <w:r>
        <w:rPr>
          <w:rFonts w:hint="default" w:ascii="Times New Roman" w:hAnsi="Times New Roman" w:eastAsia="宋体" w:cs="Times New Roman"/>
          <w:color w:val="000000" w:themeColor="text1"/>
          <w:spacing w:val="-6"/>
          <w:lang w:eastAsia="zh-CN"/>
          <w14:textFill>
            <w14:solidFill>
              <w14:schemeClr w14:val="tx1"/>
            </w14:solidFill>
          </w14:textFill>
        </w:rPr>
        <w:t>饲料青贮后30~50d便可开窑取喂。取料从窖口开始取用，并逐步向窖内推进，取料后随即盖严取料口。</w:t>
      </w:r>
    </w:p>
    <w:p w14:paraId="4111F680">
      <w:pPr>
        <w:pStyle w:val="11"/>
        <w:adjustRightInd w:val="0"/>
        <w:snapToGrid w:val="0"/>
        <w:ind w:firstLine="456"/>
        <w:rPr>
          <w:rFonts w:hint="default" w:ascii="Times New Roman" w:hAnsi="Times New Roman" w:eastAsia="宋体" w:cs="Times New Roman"/>
          <w:color w:val="000000" w:themeColor="text1"/>
          <w:spacing w:val="-6"/>
          <w:lang w:eastAsia="zh-CN"/>
          <w14:textFill>
            <w14:solidFill>
              <w14:schemeClr w14:val="tx1"/>
            </w14:solidFill>
          </w14:textFill>
        </w:rPr>
      </w:pPr>
      <w:r>
        <w:rPr>
          <w:rFonts w:hint="default" w:ascii="Times New Roman" w:hAnsi="Times New Roman" w:eastAsia="宋体" w:cs="Times New Roman"/>
          <w:color w:val="000000" w:themeColor="text1"/>
          <w:spacing w:val="-6"/>
          <w:lang w:eastAsia="zh-CN"/>
          <w14:textFill>
            <w14:solidFill>
              <w14:schemeClr w14:val="tx1"/>
            </w14:solidFill>
          </w14:textFill>
        </w:rPr>
        <w:t>（4）全混合日粮（TMR）搅拌工艺</w:t>
      </w:r>
    </w:p>
    <w:p w14:paraId="4DFF2B4C">
      <w:pPr>
        <w:pStyle w:val="11"/>
        <w:adjustRightInd w:val="0"/>
        <w:snapToGrid w:val="0"/>
        <w:ind w:firstLine="456"/>
        <w:rPr>
          <w:rFonts w:hint="default" w:ascii="Times New Roman" w:hAnsi="Times New Roman" w:eastAsia="宋体" w:cs="Times New Roman"/>
          <w:color w:val="000000" w:themeColor="text1"/>
          <w:spacing w:val="-6"/>
          <w:lang w:eastAsia="zh-CN"/>
          <w14:textFill>
            <w14:solidFill>
              <w14:schemeClr w14:val="tx1"/>
            </w14:solidFill>
          </w14:textFill>
        </w:rPr>
      </w:pPr>
      <w:r>
        <w:rPr>
          <w:rFonts w:hint="default" w:ascii="Times New Roman" w:hAnsi="Times New Roman" w:eastAsia="宋体" w:cs="Times New Roman"/>
          <w:color w:val="000000" w:themeColor="text1"/>
          <w:spacing w:val="-6"/>
          <w:lang w:eastAsia="zh-CN"/>
          <w14:textFill>
            <w14:solidFill>
              <w14:schemeClr w14:val="tx1"/>
            </w14:solidFill>
          </w14:textFill>
        </w:rPr>
        <w:t>全混合日粮（TMR）指根据奶牛营养需要，把青储饲料、草料、预混料等按合理的比例及要求，利用TMR搅拌机进行搅拌，使之成为混合均匀、营养平衡的日粮。日粮的配制需按照泌乳牛、干奶牛、青年牛的不同阶段进行配制，搅拌时间为5~8m。</w:t>
      </w:r>
    </w:p>
    <w:p w14:paraId="366B6F0E">
      <w:pPr>
        <w:pStyle w:val="11"/>
        <w:adjustRightInd w:val="0"/>
        <w:snapToGrid w:val="0"/>
        <w:ind w:firstLine="456"/>
        <w:rPr>
          <w:rFonts w:hint="default" w:ascii="Times New Roman" w:hAnsi="Times New Roman" w:eastAsia="宋体" w:cs="Times New Roman"/>
          <w:color w:val="000000" w:themeColor="text1"/>
          <w:spacing w:val="-6"/>
          <w:lang w:eastAsia="zh-CN"/>
          <w14:textFill>
            <w14:solidFill>
              <w14:schemeClr w14:val="tx1"/>
            </w14:solidFill>
          </w14:textFill>
        </w:rPr>
      </w:pPr>
      <w:r>
        <w:rPr>
          <w:rFonts w:hint="default" w:ascii="Times New Roman" w:hAnsi="Times New Roman" w:eastAsia="宋体" w:cs="Times New Roman"/>
          <w:color w:val="000000" w:themeColor="text1"/>
          <w:spacing w:val="-6"/>
          <w:lang w:eastAsia="zh-CN"/>
          <w14:textFill>
            <w14:solidFill>
              <w14:schemeClr w14:val="tx1"/>
            </w14:solidFill>
          </w14:textFill>
        </w:rPr>
        <w:t>该阶段的主要污染源为青储饲料、草料等饲料装卸、日粮饲料配制过程中产生的粉尘及噪声。</w:t>
      </w:r>
    </w:p>
    <w:p w14:paraId="0E3607D3">
      <w:pPr>
        <w:pStyle w:val="11"/>
        <w:adjustRightInd w:val="0"/>
        <w:snapToGrid w:val="0"/>
        <w:ind w:firstLine="482"/>
        <w:outlineLvl w:val="2"/>
        <w:rPr>
          <w:rFonts w:hint="default" w:ascii="Times New Roman" w:hAnsi="Times New Roman" w:eastAsia="宋体" w:cs="Times New Roman"/>
          <w:b/>
          <w:color w:val="000000" w:themeColor="text1"/>
          <w:lang w:eastAsia="zh-CN"/>
          <w14:textFill>
            <w14:solidFill>
              <w14:schemeClr w14:val="tx1"/>
            </w14:solidFill>
          </w14:textFill>
        </w:rPr>
      </w:pPr>
      <w:bookmarkStart w:id="113" w:name="_Toc15340"/>
      <w:r>
        <w:rPr>
          <w:rFonts w:hint="default" w:ascii="Times New Roman" w:hAnsi="Times New Roman" w:eastAsia="宋体" w:cs="Times New Roman"/>
          <w:b/>
          <w:color w:val="000000" w:themeColor="text1"/>
          <w:lang w:eastAsia="zh-CN"/>
          <w14:textFill>
            <w14:solidFill>
              <w14:schemeClr w14:val="tx1"/>
            </w14:solidFill>
          </w14:textFill>
        </w:rPr>
        <w:t>3.2.3奶牛饲养流程</w:t>
      </w:r>
      <w:bookmarkEnd w:id="113"/>
    </w:p>
    <w:p w14:paraId="2B0C4084">
      <w:pPr>
        <w:pStyle w:val="11"/>
        <w:adjustRightInd w:val="0"/>
        <w:snapToGrid w:val="0"/>
        <w:ind w:firstLine="456"/>
        <w:rPr>
          <w:rFonts w:hint="default" w:ascii="Times New Roman" w:hAnsi="Times New Roman" w:eastAsia="宋体" w:cs="Times New Roman"/>
          <w:color w:val="000000" w:themeColor="text1"/>
          <w:spacing w:val="-6"/>
          <w:lang w:eastAsia="zh-CN"/>
          <w14:textFill>
            <w14:solidFill>
              <w14:schemeClr w14:val="tx1"/>
            </w14:solidFill>
          </w14:textFill>
        </w:rPr>
      </w:pPr>
      <w:r>
        <w:rPr>
          <w:rFonts w:hint="default" w:ascii="Times New Roman" w:hAnsi="Times New Roman" w:eastAsia="宋体" w:cs="Times New Roman"/>
          <w:color w:val="000000" w:themeColor="text1"/>
          <w:spacing w:val="-6"/>
          <w:lang w:eastAsia="zh-CN"/>
          <w14:textFill>
            <w14:solidFill>
              <w14:schemeClr w14:val="tx1"/>
            </w14:solidFill>
          </w14:textFill>
        </w:rPr>
        <w:t>本项目采用目前国内现代化奶牛场通常采用的散栏式饲养方式饲养奶牛，工艺流程如下。</w:t>
      </w:r>
    </w:p>
    <w:p w14:paraId="40CCF0CD">
      <w:pPr>
        <w:pStyle w:val="11"/>
        <w:adjustRightInd w:val="0"/>
        <w:snapToGrid w:val="0"/>
        <w:ind w:firstLine="456"/>
        <w:rPr>
          <w:rFonts w:hint="default" w:ascii="Times New Roman" w:hAnsi="Times New Roman" w:eastAsia="宋体" w:cs="Times New Roman"/>
          <w:color w:val="000000" w:themeColor="text1"/>
          <w:spacing w:val="-6"/>
          <w:lang w:eastAsia="zh-CN"/>
          <w14:textFill>
            <w14:solidFill>
              <w14:schemeClr w14:val="tx1"/>
            </w14:solidFill>
          </w14:textFill>
        </w:rPr>
      </w:pPr>
      <w:r>
        <w:rPr>
          <w:rFonts w:hint="default" w:ascii="Times New Roman" w:hAnsi="Times New Roman" w:eastAsia="宋体" w:cs="Times New Roman"/>
          <w:color w:val="000000" w:themeColor="text1"/>
          <w:spacing w:val="-6"/>
          <w:lang w:eastAsia="zh-CN"/>
          <w14:textFill>
            <w14:solidFill>
              <w14:schemeClr w14:val="tx1"/>
            </w14:solidFill>
          </w14:textFill>
        </w:rPr>
        <w:t>青年牛在15月龄时开始采用人工配种的方式开始第一次配种，配种成功后的9个月，将生育第一胎，从而正式成为泌乳牛。泌乳牛在生产后的第3个月，再次进行人工配种，在第7个月时停止挤奶，成为干奶牛，并在生产前后21天成为围产牛，生育第二胎。随着奶牛的成长，继续该繁育过程，直到生育第5胎后，完成最后一个产牛周期，并被淘汰。</w:t>
      </w:r>
    </w:p>
    <w:p w14:paraId="1E915911">
      <w:pPr>
        <w:pStyle w:val="11"/>
        <w:adjustRightInd w:val="0"/>
        <w:snapToGrid w:val="0"/>
        <w:ind w:firstLine="456"/>
        <w:rPr>
          <w:rFonts w:hint="default" w:ascii="Times New Roman" w:hAnsi="Times New Roman" w:eastAsia="宋体" w:cs="Times New Roman"/>
          <w:color w:val="000000" w:themeColor="text1"/>
          <w:spacing w:val="-6"/>
          <w14:textFill>
            <w14:solidFill>
              <w14:schemeClr w14:val="tx1"/>
            </w14:solidFill>
          </w14:textFill>
        </w:rPr>
      </w:pPr>
      <w:r>
        <w:rPr>
          <w:rFonts w:hint="default" w:ascii="Times New Roman" w:hAnsi="Times New Roman" w:eastAsia="宋体" w:cs="Times New Roman"/>
          <w:color w:val="000000" w:themeColor="text1"/>
          <w:spacing w:val="-6"/>
          <w:lang w:eastAsia="zh-CN"/>
          <w14:textFill>
            <w14:solidFill>
              <w14:schemeClr w14:val="tx1"/>
            </w14:solidFill>
          </w14:textFill>
        </w:rPr>
        <w:t>采用全混合日粮（TMR）饲喂技术，TMR饲养技术在配套技术措施和性能优良的TMR机械的基础上能够保证奶牛每采食一口日粮都是精粗比例稳定、营养浓度一致的全价日粮。采用全价混合日粮饲养一般按泌乳阶段分群，如按泌乳早期、泌乳中期、泌乳后期和干乳期分群。在产后70天以内的牛群分为泌乳早期组，此期日粮精料较多；产后70—140天为泌乳中期组，按平均产量和平均体重配料；产后140天至干乳期为泌乳后期组；干乳期母牛另成一组。根据不同牛群的营养需要，用饲料搅拌喂料车将不同比例的干草、青贮饲料、精料以及矿物质、维生素等各种添加剂混合，机械自动投喂给牛群、自由采食，另外用电脑饲喂器给高产奶牛补喂精料，在牛舍和运动产设置自动饮水器，自由饮水。</w:t>
      </w:r>
      <w:r>
        <w:rPr>
          <w:rFonts w:hint="default" w:ascii="Times New Roman" w:hAnsi="Times New Roman" w:eastAsia="宋体" w:cs="Times New Roman"/>
          <w:color w:val="000000" w:themeColor="text1"/>
          <w:spacing w:val="-6"/>
          <w14:textFill>
            <w14:solidFill>
              <w14:schemeClr w14:val="tx1"/>
            </w14:solidFill>
          </w14:textFill>
        </w:rPr>
        <w:t>奶牛成长各阶段情况见图3.2</w:t>
      </w:r>
      <w:r>
        <w:rPr>
          <w:rFonts w:hint="eastAsia" w:ascii="Times New Roman" w:hAnsi="Times New Roman" w:cs="Times New Roman"/>
          <w:color w:val="000000" w:themeColor="text1"/>
          <w:spacing w:val="-6"/>
          <w:lang w:val="en-US" w:eastAsia="zh-CN"/>
          <w14:textFill>
            <w14:solidFill>
              <w14:schemeClr w14:val="tx1"/>
            </w14:solidFill>
          </w14:textFill>
        </w:rPr>
        <w:t>-2</w:t>
      </w:r>
      <w:r>
        <w:rPr>
          <w:rFonts w:hint="default" w:ascii="Times New Roman" w:hAnsi="Times New Roman" w:eastAsia="宋体" w:cs="Times New Roman"/>
          <w:color w:val="000000" w:themeColor="text1"/>
          <w:spacing w:val="-6"/>
          <w14:textFill>
            <w14:solidFill>
              <w14:schemeClr w14:val="tx1"/>
            </w14:solidFill>
          </w14:textFill>
        </w:rPr>
        <w:t>。</w:t>
      </w:r>
    </w:p>
    <w:p w14:paraId="0A84ABF6">
      <w:pPr>
        <w:pStyle w:val="11"/>
        <w:adjustRightInd w:val="0"/>
        <w:snapToGrid w:val="0"/>
        <w:ind w:firstLine="0" w:firstLineChars="0"/>
        <w:jc w:val="center"/>
        <w:rPr>
          <w:rFonts w:hint="default" w:ascii="Times New Roman" w:hAnsi="Times New Roman" w:eastAsia="宋体" w:cs="Times New Roman"/>
          <w:color w:val="000000" w:themeColor="text1"/>
          <w:spacing w:val="-6"/>
          <w14:textFill>
            <w14:solidFill>
              <w14:schemeClr w14:val="tx1"/>
            </w14:solidFill>
          </w14:textFill>
        </w:rPr>
      </w:pPr>
      <w:r>
        <w:rPr>
          <w:rFonts w:hint="default" w:ascii="Times New Roman" w:hAnsi="Times New Roman" w:eastAsia="宋体" w:cs="Times New Roman"/>
          <w:color w:val="000000" w:themeColor="text1"/>
          <w:lang w:eastAsia="zh-CN"/>
          <w14:textFill>
            <w14:solidFill>
              <w14:schemeClr w14:val="tx1"/>
            </w14:solidFill>
          </w14:textFill>
        </w:rPr>
        <w:drawing>
          <wp:inline distT="0" distB="0" distL="0" distR="0">
            <wp:extent cx="4771390" cy="2961640"/>
            <wp:effectExtent l="0" t="0" r="635" b="635"/>
            <wp:docPr id="288" name="图片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288"/>
                    <pic:cNvPicPr>
                      <a:picLocks noChangeAspect="1"/>
                    </pic:cNvPicPr>
                  </pic:nvPicPr>
                  <pic:blipFill>
                    <a:blip r:embed="rId38"/>
                    <a:stretch>
                      <a:fillRect/>
                    </a:stretch>
                  </pic:blipFill>
                  <pic:spPr>
                    <a:xfrm>
                      <a:off x="0" y="0"/>
                      <a:ext cx="4771390" cy="2961640"/>
                    </a:xfrm>
                    <a:prstGeom prst="rect">
                      <a:avLst/>
                    </a:prstGeom>
                  </pic:spPr>
                </pic:pic>
              </a:graphicData>
            </a:graphic>
          </wp:inline>
        </w:drawing>
      </w:r>
    </w:p>
    <w:p w14:paraId="7F42F3DE">
      <w:pPr>
        <w:pStyle w:val="11"/>
        <w:adjustRightInd w:val="0"/>
        <w:snapToGrid w:val="0"/>
        <w:ind w:firstLine="458"/>
        <w:jc w:val="center"/>
        <w:rPr>
          <w:rFonts w:hint="default" w:ascii="Times New Roman" w:hAnsi="Times New Roman" w:eastAsia="宋体" w:cs="Times New Roman"/>
          <w:b/>
          <w:color w:val="000000" w:themeColor="text1"/>
          <w:spacing w:val="-6"/>
          <w:lang w:eastAsia="zh-CN"/>
          <w14:textFill>
            <w14:solidFill>
              <w14:schemeClr w14:val="tx1"/>
            </w14:solidFill>
          </w14:textFill>
        </w:rPr>
      </w:pPr>
      <w:r>
        <w:rPr>
          <w:rFonts w:hint="default" w:ascii="Times New Roman" w:hAnsi="Times New Roman" w:eastAsia="宋体" w:cs="Times New Roman"/>
          <w:b/>
          <w:color w:val="000000" w:themeColor="text1"/>
          <w:spacing w:val="-6"/>
          <w:lang w:eastAsia="zh-CN"/>
          <w14:textFill>
            <w14:solidFill>
              <w14:schemeClr w14:val="tx1"/>
            </w14:solidFill>
          </w14:textFill>
        </w:rPr>
        <w:t>图3.2-</w:t>
      </w:r>
      <w:r>
        <w:rPr>
          <w:rFonts w:hint="eastAsia" w:ascii="Times New Roman" w:hAnsi="Times New Roman" w:cs="Times New Roman"/>
          <w:b/>
          <w:color w:val="000000" w:themeColor="text1"/>
          <w:spacing w:val="-6"/>
          <w:lang w:val="en-US" w:eastAsia="zh-CN"/>
          <w14:textFill>
            <w14:solidFill>
              <w14:schemeClr w14:val="tx1"/>
            </w14:solidFill>
          </w14:textFill>
        </w:rPr>
        <w:t>2</w:t>
      </w:r>
      <w:r>
        <w:rPr>
          <w:rFonts w:hint="default" w:ascii="Times New Roman" w:hAnsi="Times New Roman" w:eastAsia="宋体" w:cs="Times New Roman"/>
          <w:b/>
          <w:color w:val="000000" w:themeColor="text1"/>
          <w:spacing w:val="-6"/>
          <w:lang w:eastAsia="zh-CN"/>
          <w14:textFill>
            <w14:solidFill>
              <w14:schemeClr w14:val="tx1"/>
            </w14:solidFill>
          </w14:textFill>
        </w:rPr>
        <w:t>奶牛成长各阶段示意图</w:t>
      </w:r>
    </w:p>
    <w:p w14:paraId="2301EB9C">
      <w:pPr>
        <w:pStyle w:val="11"/>
        <w:adjustRightInd w:val="0"/>
        <w:snapToGrid w:val="0"/>
        <w:ind w:firstLine="482"/>
        <w:outlineLvl w:val="2"/>
        <w:rPr>
          <w:rFonts w:hint="default" w:ascii="Times New Roman" w:hAnsi="Times New Roman" w:eastAsia="宋体" w:cs="Times New Roman"/>
          <w:b/>
          <w:color w:val="000000" w:themeColor="text1"/>
          <w:lang w:eastAsia="zh-CN"/>
          <w14:textFill>
            <w14:solidFill>
              <w14:schemeClr w14:val="tx1"/>
            </w14:solidFill>
          </w14:textFill>
        </w:rPr>
      </w:pPr>
      <w:bookmarkStart w:id="114" w:name="_Toc32496"/>
      <w:r>
        <w:rPr>
          <w:rFonts w:hint="default" w:ascii="Times New Roman" w:hAnsi="Times New Roman" w:eastAsia="宋体" w:cs="Times New Roman"/>
          <w:b/>
          <w:color w:val="000000" w:themeColor="text1"/>
          <w:lang w:eastAsia="zh-CN"/>
          <w14:textFill>
            <w14:solidFill>
              <w14:schemeClr w14:val="tx1"/>
            </w14:solidFill>
          </w14:textFill>
        </w:rPr>
        <w:t>3.2.4挤奶工艺</w:t>
      </w:r>
      <w:bookmarkEnd w:id="114"/>
    </w:p>
    <w:p w14:paraId="22840D42">
      <w:pPr>
        <w:pStyle w:val="11"/>
        <w:adjustRightInd w:val="0"/>
        <w:snapToGrid w:val="0"/>
        <w:ind w:firstLine="456"/>
        <w:rPr>
          <w:rFonts w:hint="default" w:ascii="Times New Roman" w:hAnsi="Times New Roman" w:eastAsia="宋体" w:cs="Times New Roman"/>
          <w:color w:val="000000" w:themeColor="text1"/>
          <w:spacing w:val="-6"/>
          <w:lang w:eastAsia="zh-CN"/>
          <w14:textFill>
            <w14:solidFill>
              <w14:schemeClr w14:val="tx1"/>
            </w14:solidFill>
          </w14:textFill>
        </w:rPr>
      </w:pPr>
      <w:r>
        <w:rPr>
          <w:rFonts w:hint="default" w:ascii="Times New Roman" w:hAnsi="Times New Roman" w:eastAsia="宋体" w:cs="Times New Roman"/>
          <w:color w:val="000000" w:themeColor="text1"/>
          <w:spacing w:val="-6"/>
          <w:lang w:eastAsia="zh-CN"/>
          <w14:textFill>
            <w14:solidFill>
              <w14:schemeClr w14:val="tx1"/>
            </w14:solidFill>
          </w14:textFill>
        </w:rPr>
        <w:t>采用机械挤奶，挤奶设备采用并列式挤奶设备，奶牛通过专用的通道入挤奶厅挤奶，牛奶通过管道送到自动制冷罐冷却贮存，每天用奶罐车运输到乳品厂。每天挤奶3次，间隔均匀。</w:t>
      </w:r>
    </w:p>
    <w:p w14:paraId="519EECB3">
      <w:pPr>
        <w:pStyle w:val="11"/>
        <w:adjustRightInd w:val="0"/>
        <w:snapToGrid w:val="0"/>
        <w:ind w:firstLine="456"/>
        <w:rPr>
          <w:rFonts w:hint="default" w:ascii="Times New Roman" w:hAnsi="Times New Roman" w:eastAsia="宋体" w:cs="Times New Roman"/>
          <w:color w:val="000000" w:themeColor="text1"/>
          <w:spacing w:val="-6"/>
          <w:lang w:eastAsia="zh-CN"/>
          <w14:textFill>
            <w14:solidFill>
              <w14:schemeClr w14:val="tx1"/>
            </w14:solidFill>
          </w14:textFill>
        </w:rPr>
      </w:pPr>
      <w:r>
        <w:rPr>
          <w:rFonts w:hint="default" w:ascii="Times New Roman" w:hAnsi="Times New Roman" w:eastAsia="宋体" w:cs="Times New Roman"/>
          <w:color w:val="000000" w:themeColor="text1"/>
          <w:spacing w:val="-6"/>
          <w:lang w:eastAsia="zh-CN"/>
          <w14:textFill>
            <w14:solidFill>
              <w14:schemeClr w14:val="tx1"/>
            </w14:solidFill>
          </w14:textFill>
        </w:rPr>
        <w:t>为保证产品质量、防止奶牛个体病菌的交叉感染，需要对挤奶设备和挤奶厅地面进行冲洗。具体清洗程序如下：</w:t>
      </w:r>
    </w:p>
    <w:p w14:paraId="2A29FC98">
      <w:pPr>
        <w:pStyle w:val="11"/>
        <w:adjustRightInd w:val="0"/>
        <w:snapToGrid w:val="0"/>
        <w:ind w:firstLine="456"/>
        <w:rPr>
          <w:rFonts w:hint="default" w:ascii="Times New Roman" w:hAnsi="Times New Roman" w:eastAsia="宋体" w:cs="Times New Roman"/>
          <w:color w:val="000000" w:themeColor="text1"/>
          <w:spacing w:val="-6"/>
          <w:lang w:eastAsia="zh-CN"/>
          <w14:textFill>
            <w14:solidFill>
              <w14:schemeClr w14:val="tx1"/>
            </w14:solidFill>
          </w14:textFill>
        </w:rPr>
      </w:pPr>
      <w:r>
        <w:rPr>
          <w:rFonts w:hint="default" w:ascii="Times New Roman" w:hAnsi="Times New Roman" w:eastAsia="宋体" w:cs="Times New Roman"/>
          <w:color w:val="000000" w:themeColor="text1"/>
          <w:spacing w:val="-6"/>
          <w:lang w:eastAsia="zh-CN"/>
          <w14:textFill>
            <w14:solidFill>
              <w14:schemeClr w14:val="tx1"/>
            </w14:solidFill>
          </w14:textFill>
        </w:rPr>
        <w:t>（1）挤奶厅设备冲洗</w:t>
      </w:r>
    </w:p>
    <w:p w14:paraId="188AF607">
      <w:pPr>
        <w:pStyle w:val="11"/>
        <w:adjustRightInd w:val="0"/>
        <w:snapToGrid w:val="0"/>
        <w:ind w:firstLine="456"/>
        <w:rPr>
          <w:rFonts w:hint="default" w:ascii="Times New Roman" w:hAnsi="Times New Roman" w:eastAsia="宋体" w:cs="Times New Roman"/>
          <w:color w:val="000000" w:themeColor="text1"/>
          <w:spacing w:val="-6"/>
          <w:lang w:eastAsia="zh-CN"/>
          <w14:textFill>
            <w14:solidFill>
              <w14:schemeClr w14:val="tx1"/>
            </w14:solidFill>
          </w14:textFill>
        </w:rPr>
      </w:pPr>
      <w:r>
        <w:rPr>
          <w:rFonts w:hint="default" w:ascii="Times New Roman" w:hAnsi="Times New Roman" w:eastAsia="宋体" w:cs="Times New Roman"/>
          <w:color w:val="000000" w:themeColor="text1"/>
          <w:spacing w:val="-6"/>
          <w:lang w:eastAsia="zh-CN"/>
          <w14:textFill>
            <w14:solidFill>
              <w14:schemeClr w14:val="tx1"/>
            </w14:solidFill>
          </w14:textFill>
        </w:rPr>
        <w:t>①预冲洗</w:t>
      </w:r>
    </w:p>
    <w:p w14:paraId="7BC9F70F">
      <w:pPr>
        <w:pStyle w:val="11"/>
        <w:adjustRightInd w:val="0"/>
        <w:snapToGrid w:val="0"/>
        <w:ind w:firstLine="456"/>
        <w:rPr>
          <w:rFonts w:hint="default" w:ascii="Times New Roman" w:hAnsi="Times New Roman" w:eastAsia="宋体" w:cs="Times New Roman"/>
          <w:color w:val="000000" w:themeColor="text1"/>
          <w:spacing w:val="-6"/>
          <w:lang w:eastAsia="zh-CN"/>
          <w14:textFill>
            <w14:solidFill>
              <w14:schemeClr w14:val="tx1"/>
            </w14:solidFill>
          </w14:textFill>
        </w:rPr>
      </w:pPr>
      <w:r>
        <w:rPr>
          <w:rFonts w:hint="default" w:ascii="Times New Roman" w:hAnsi="Times New Roman" w:eastAsia="宋体" w:cs="Times New Roman"/>
          <w:color w:val="000000" w:themeColor="text1"/>
          <w:spacing w:val="-6"/>
          <w:lang w:eastAsia="zh-CN"/>
          <w14:textFill>
            <w14:solidFill>
              <w14:schemeClr w14:val="tx1"/>
            </w14:solidFill>
          </w14:textFill>
        </w:rPr>
        <w:t>挤奶完毕后，排空乳品设备，应马上用用温水（40℃-45℃）进行冲洗。</w:t>
      </w:r>
    </w:p>
    <w:p w14:paraId="48CDEAE7">
      <w:pPr>
        <w:pStyle w:val="11"/>
        <w:adjustRightInd w:val="0"/>
        <w:snapToGrid w:val="0"/>
        <w:ind w:firstLine="456"/>
        <w:rPr>
          <w:rFonts w:hint="default" w:ascii="Times New Roman" w:hAnsi="Times New Roman" w:eastAsia="宋体" w:cs="Times New Roman"/>
          <w:color w:val="000000" w:themeColor="text1"/>
          <w:spacing w:val="-6"/>
          <w:lang w:eastAsia="zh-CN"/>
          <w14:textFill>
            <w14:solidFill>
              <w14:schemeClr w14:val="tx1"/>
            </w14:solidFill>
          </w14:textFill>
        </w:rPr>
      </w:pPr>
      <w:r>
        <w:rPr>
          <w:rFonts w:hint="default" w:ascii="Times New Roman" w:hAnsi="Times New Roman" w:eastAsia="宋体" w:cs="Times New Roman"/>
          <w:color w:val="000000" w:themeColor="text1"/>
          <w:spacing w:val="-6"/>
          <w:lang w:eastAsia="zh-CN"/>
          <w14:textFill>
            <w14:solidFill>
              <w14:schemeClr w14:val="tx1"/>
            </w14:solidFill>
          </w14:textFill>
        </w:rPr>
        <w:t>②碱酸交替清洗</w:t>
      </w:r>
    </w:p>
    <w:p w14:paraId="7B0189C6">
      <w:pPr>
        <w:pStyle w:val="11"/>
        <w:adjustRightInd w:val="0"/>
        <w:snapToGrid w:val="0"/>
        <w:ind w:firstLine="456"/>
        <w:rPr>
          <w:rFonts w:hint="default" w:ascii="Times New Roman" w:hAnsi="Times New Roman" w:eastAsia="宋体" w:cs="Times New Roman"/>
          <w:color w:val="000000" w:themeColor="text1"/>
          <w:spacing w:val="-6"/>
          <w:lang w:eastAsia="zh-CN"/>
          <w14:textFill>
            <w14:solidFill>
              <w14:schemeClr w14:val="tx1"/>
            </w14:solidFill>
          </w14:textFill>
        </w:rPr>
      </w:pPr>
      <w:r>
        <w:rPr>
          <w:rFonts w:hint="default" w:ascii="Times New Roman" w:hAnsi="Times New Roman" w:eastAsia="宋体" w:cs="Times New Roman"/>
          <w:color w:val="000000" w:themeColor="text1"/>
          <w:spacing w:val="-6"/>
          <w:lang w:eastAsia="zh-CN"/>
          <w14:textFill>
            <w14:solidFill>
              <w14:schemeClr w14:val="tx1"/>
            </w14:solidFill>
          </w14:textFill>
        </w:rPr>
        <w:t>预冲洗后向热水中计量加入酸性清洗剂（清洗剂1mL/10L水），温度为60-85℃，酸性清洗剂主要成分为H</w:t>
      </w:r>
      <w:r>
        <w:rPr>
          <w:rFonts w:hint="default" w:ascii="Times New Roman" w:hAnsi="Times New Roman" w:eastAsia="宋体" w:cs="Times New Roman"/>
          <w:color w:val="000000" w:themeColor="text1"/>
          <w:spacing w:val="-6"/>
          <w:vertAlign w:val="subscript"/>
          <w:lang w:eastAsia="zh-CN"/>
          <w14:textFill>
            <w14:solidFill>
              <w14:schemeClr w14:val="tx1"/>
            </w14:solidFill>
          </w14:textFill>
        </w:rPr>
        <w:t>2</w:t>
      </w:r>
      <w:r>
        <w:rPr>
          <w:rFonts w:hint="default" w:ascii="Times New Roman" w:hAnsi="Times New Roman" w:eastAsia="宋体" w:cs="Times New Roman"/>
          <w:color w:val="000000" w:themeColor="text1"/>
          <w:spacing w:val="-6"/>
          <w:lang w:eastAsia="zh-CN"/>
          <w14:textFill>
            <w14:solidFill>
              <w14:schemeClr w14:val="tx1"/>
            </w14:solidFill>
          </w14:textFill>
        </w:rPr>
        <w:t>SO</w:t>
      </w:r>
      <w:r>
        <w:rPr>
          <w:rFonts w:hint="default" w:ascii="Times New Roman" w:hAnsi="Times New Roman" w:eastAsia="宋体" w:cs="Times New Roman"/>
          <w:color w:val="000000" w:themeColor="text1"/>
          <w:spacing w:val="-6"/>
          <w:vertAlign w:val="subscript"/>
          <w:lang w:eastAsia="zh-CN"/>
          <w14:textFill>
            <w14:solidFill>
              <w14:schemeClr w14:val="tx1"/>
            </w14:solidFill>
          </w14:textFill>
        </w:rPr>
        <w:t>4</w:t>
      </w:r>
      <w:r>
        <w:rPr>
          <w:rFonts w:hint="default" w:ascii="Times New Roman" w:hAnsi="Times New Roman" w:eastAsia="宋体" w:cs="Times New Roman"/>
          <w:color w:val="000000" w:themeColor="text1"/>
          <w:spacing w:val="-6"/>
          <w:lang w:eastAsia="zh-CN"/>
          <w14:textFill>
            <w14:solidFill>
              <w14:schemeClr w14:val="tx1"/>
            </w14:solidFill>
          </w14:textFill>
        </w:rPr>
        <w:t>（5%-15%）、H</w:t>
      </w:r>
      <w:r>
        <w:rPr>
          <w:rFonts w:hint="default" w:ascii="Times New Roman" w:hAnsi="Times New Roman" w:eastAsia="宋体" w:cs="Times New Roman"/>
          <w:color w:val="000000" w:themeColor="text1"/>
          <w:spacing w:val="-6"/>
          <w:vertAlign w:val="subscript"/>
          <w:lang w:eastAsia="zh-CN"/>
          <w14:textFill>
            <w14:solidFill>
              <w14:schemeClr w14:val="tx1"/>
            </w14:solidFill>
          </w14:textFill>
        </w:rPr>
        <w:t>3</w:t>
      </w:r>
      <w:r>
        <w:rPr>
          <w:rFonts w:hint="default" w:ascii="Times New Roman" w:hAnsi="Times New Roman" w:eastAsia="宋体" w:cs="Times New Roman"/>
          <w:color w:val="000000" w:themeColor="text1"/>
          <w:spacing w:val="-6"/>
          <w:lang w:eastAsia="zh-CN"/>
          <w14:textFill>
            <w14:solidFill>
              <w14:schemeClr w14:val="tx1"/>
            </w14:solidFill>
          </w14:textFill>
        </w:rPr>
        <w:t>PO</w:t>
      </w:r>
      <w:r>
        <w:rPr>
          <w:rFonts w:hint="default" w:ascii="Times New Roman" w:hAnsi="Times New Roman" w:eastAsia="宋体" w:cs="Times New Roman"/>
          <w:color w:val="000000" w:themeColor="text1"/>
          <w:spacing w:val="-6"/>
          <w:vertAlign w:val="subscript"/>
          <w:lang w:eastAsia="zh-CN"/>
          <w14:textFill>
            <w14:solidFill>
              <w14:schemeClr w14:val="tx1"/>
            </w14:solidFill>
          </w14:textFill>
        </w:rPr>
        <w:t>4</w:t>
      </w:r>
      <w:r>
        <w:rPr>
          <w:rFonts w:hint="default" w:ascii="Times New Roman" w:hAnsi="Times New Roman" w:eastAsia="宋体" w:cs="Times New Roman"/>
          <w:color w:val="000000" w:themeColor="text1"/>
          <w:spacing w:val="-6"/>
          <w:lang w:eastAsia="zh-CN"/>
          <w14:textFill>
            <w14:solidFill>
              <w14:schemeClr w14:val="tx1"/>
            </w14:solidFill>
          </w14:textFill>
        </w:rPr>
        <w:t>（10%-20%）。配比清洗液pH值1.5的酸循环清洗7-10分钟。碱性清洗剂与酸性清洗剂间隔使用，以碱性清洗剂为主，碱性清洗剂主要成分为NaOH（5%-15%）、NaOCl（10%-20%）。该部分温水使用鲜奶冷却系统热水罐中储存的热水，采用电热系统加热到所需温度。酸洗后继续进行碱洗，配比碱洗液pH值为11.5，循环清洗7-10分钟，酸洗温度与碱洗温度相同。在每次碱（酸）清洗后，再用温水冲洗5分钟。清洗完毕管道内不留有残水。</w:t>
      </w:r>
    </w:p>
    <w:p w14:paraId="0B2F79CA">
      <w:pPr>
        <w:pStyle w:val="11"/>
        <w:adjustRightInd w:val="0"/>
        <w:snapToGrid w:val="0"/>
        <w:ind w:firstLine="456"/>
        <w:rPr>
          <w:rFonts w:hint="default" w:ascii="Times New Roman" w:hAnsi="Times New Roman" w:eastAsia="宋体" w:cs="Times New Roman"/>
          <w:color w:val="000000" w:themeColor="text1"/>
          <w:spacing w:val="-6"/>
          <w:lang w:eastAsia="zh-CN"/>
          <w14:textFill>
            <w14:solidFill>
              <w14:schemeClr w14:val="tx1"/>
            </w14:solidFill>
          </w14:textFill>
        </w:rPr>
      </w:pPr>
      <w:r>
        <w:rPr>
          <w:rFonts w:hint="default" w:ascii="Times New Roman" w:hAnsi="Times New Roman" w:eastAsia="宋体" w:cs="Times New Roman"/>
          <w:color w:val="000000" w:themeColor="text1"/>
          <w:spacing w:val="-6"/>
          <w:lang w:eastAsia="zh-CN"/>
          <w14:textFill>
            <w14:solidFill>
              <w14:schemeClr w14:val="tx1"/>
            </w14:solidFill>
          </w14:textFill>
        </w:rPr>
        <w:t>③奶车、奶罐的清洗消毒</w:t>
      </w:r>
    </w:p>
    <w:p w14:paraId="0B741CAB">
      <w:pPr>
        <w:pStyle w:val="11"/>
        <w:adjustRightInd w:val="0"/>
        <w:snapToGrid w:val="0"/>
        <w:ind w:firstLine="456"/>
        <w:rPr>
          <w:rFonts w:hint="default" w:ascii="Times New Roman" w:hAnsi="Times New Roman" w:eastAsia="宋体" w:cs="Times New Roman"/>
          <w:color w:val="000000" w:themeColor="text1"/>
          <w:spacing w:val="-6"/>
          <w:lang w:eastAsia="zh-CN"/>
          <w14:textFill>
            <w14:solidFill>
              <w14:schemeClr w14:val="tx1"/>
            </w14:solidFill>
          </w14:textFill>
        </w:rPr>
      </w:pPr>
      <w:r>
        <w:rPr>
          <w:rFonts w:hint="default" w:ascii="Times New Roman" w:hAnsi="Times New Roman" w:eastAsia="宋体" w:cs="Times New Roman"/>
          <w:color w:val="000000" w:themeColor="text1"/>
          <w:spacing w:val="-6"/>
          <w:lang w:eastAsia="zh-CN"/>
          <w14:textFill>
            <w14:solidFill>
              <w14:schemeClr w14:val="tx1"/>
            </w14:solidFill>
          </w14:textFill>
        </w:rPr>
        <w:t>奶车、奶罐每次用完后应清洗和消毒，采用电加热水清洗，水温40℃-45℃；再用热碱水（温度60℃-85℃）循环清洗消毒；最后用清水冲洗干净。奶泵、奶管、阀门每用一次，用清水清洗一次。奶泵、奶管、阀门每周2次冲刷、清洗。</w:t>
      </w:r>
    </w:p>
    <w:p w14:paraId="283A16DB">
      <w:pPr>
        <w:pStyle w:val="11"/>
        <w:adjustRightInd w:val="0"/>
        <w:snapToGrid w:val="0"/>
        <w:ind w:firstLine="456"/>
        <w:rPr>
          <w:rFonts w:hint="default" w:ascii="Times New Roman" w:hAnsi="Times New Roman" w:eastAsia="宋体" w:cs="Times New Roman"/>
          <w:color w:val="000000" w:themeColor="text1"/>
          <w:spacing w:val="-6"/>
          <w:lang w:eastAsia="zh-CN"/>
          <w14:textFill>
            <w14:solidFill>
              <w14:schemeClr w14:val="tx1"/>
            </w14:solidFill>
          </w14:textFill>
        </w:rPr>
      </w:pPr>
      <w:r>
        <w:rPr>
          <w:rFonts w:hint="default" w:ascii="Times New Roman" w:hAnsi="Times New Roman" w:eastAsia="宋体" w:cs="Times New Roman"/>
          <w:color w:val="000000" w:themeColor="text1"/>
          <w:spacing w:val="-6"/>
          <w:lang w:eastAsia="zh-CN"/>
          <w14:textFill>
            <w14:solidFill>
              <w14:schemeClr w14:val="tx1"/>
            </w14:solidFill>
          </w14:textFill>
        </w:rPr>
        <w:t>（2）挤奶厅地面冲洗</w:t>
      </w:r>
    </w:p>
    <w:p w14:paraId="02E19DA6">
      <w:pPr>
        <w:pStyle w:val="11"/>
        <w:adjustRightInd w:val="0"/>
        <w:snapToGrid w:val="0"/>
        <w:ind w:firstLine="456"/>
        <w:rPr>
          <w:rFonts w:hint="default" w:ascii="Times New Roman" w:hAnsi="Times New Roman" w:eastAsia="宋体" w:cs="Times New Roman"/>
          <w:color w:val="000000" w:themeColor="text1"/>
          <w:spacing w:val="-6"/>
          <w:lang w:eastAsia="zh-CN"/>
          <w14:textFill>
            <w14:solidFill>
              <w14:schemeClr w14:val="tx1"/>
            </w14:solidFill>
          </w14:textFill>
        </w:rPr>
      </w:pPr>
      <w:r>
        <w:rPr>
          <w:rFonts w:hint="default" w:ascii="Times New Roman" w:hAnsi="Times New Roman" w:eastAsia="宋体" w:cs="Times New Roman"/>
          <w:color w:val="000000" w:themeColor="text1"/>
          <w:spacing w:val="-6"/>
          <w:lang w:eastAsia="zh-CN"/>
          <w14:textFill>
            <w14:solidFill>
              <w14:schemeClr w14:val="tx1"/>
            </w14:solidFill>
          </w14:textFill>
        </w:rPr>
        <w:t>先将清洗挤奶设备的酸碱废水进行中和，然后送到待挤厅进行第一次冲洗，将在此等待的奶牛产生的粪尿冲洗干净，然后用冲洗设备的温水、冷水对挤奶厅、待挤厅进行最后的冲洗，冲洗后的废水送到固液分离机进行分离后，将液体送到储存池进行好氧发酵处理，固体送到固液分离车间堆肥区进行堆肥处理。</w:t>
      </w:r>
    </w:p>
    <w:p w14:paraId="4E0988F8">
      <w:pPr>
        <w:pStyle w:val="11"/>
        <w:adjustRightInd w:val="0"/>
        <w:snapToGrid w:val="0"/>
        <w:ind w:firstLine="456"/>
        <w:rPr>
          <w:rFonts w:hint="default" w:ascii="Times New Roman" w:hAnsi="Times New Roman" w:eastAsia="宋体" w:cs="Times New Roman"/>
          <w:color w:val="000000" w:themeColor="text1"/>
          <w:spacing w:val="-6"/>
          <w:lang w:eastAsia="zh-CN"/>
          <w14:textFill>
            <w14:solidFill>
              <w14:schemeClr w14:val="tx1"/>
            </w14:solidFill>
          </w14:textFill>
        </w:rPr>
      </w:pPr>
      <w:r>
        <w:rPr>
          <w:rFonts w:hint="default" w:ascii="Times New Roman" w:hAnsi="Times New Roman" w:eastAsia="宋体" w:cs="Times New Roman"/>
          <w:color w:val="000000" w:themeColor="text1"/>
          <w:spacing w:val="-6"/>
          <w:lang w:eastAsia="zh-CN"/>
          <w14:textFill>
            <w14:solidFill>
              <w14:schemeClr w14:val="tx1"/>
            </w14:solidFill>
          </w14:textFill>
        </w:rPr>
        <w:t>收集到的鲜奶在冷却后装车。使用经过冷冻剂（二氟一氯甲烷，CHClF</w:t>
      </w:r>
      <w:r>
        <w:rPr>
          <w:rFonts w:hint="default" w:ascii="Times New Roman" w:hAnsi="Times New Roman" w:eastAsia="宋体" w:cs="Times New Roman"/>
          <w:color w:val="000000" w:themeColor="text1"/>
          <w:spacing w:val="-6"/>
          <w:vertAlign w:val="subscript"/>
          <w:lang w:eastAsia="zh-CN"/>
          <w14:textFill>
            <w14:solidFill>
              <w14:schemeClr w14:val="tx1"/>
            </w14:solidFill>
          </w14:textFill>
        </w:rPr>
        <w:t>2</w:t>
      </w:r>
      <w:r>
        <w:rPr>
          <w:rFonts w:hint="default" w:ascii="Times New Roman" w:hAnsi="Times New Roman" w:eastAsia="宋体" w:cs="Times New Roman"/>
          <w:color w:val="000000" w:themeColor="text1"/>
          <w:spacing w:val="-6"/>
          <w:lang w:eastAsia="zh-CN"/>
          <w14:textFill>
            <w14:solidFill>
              <w14:schemeClr w14:val="tx1"/>
            </w14:solidFill>
          </w14:textFill>
        </w:rPr>
        <w:t>，R22）冷却的丙二醇进行换热冷却，将鲜奶的温度降低到4℃，然后装入冷藏罐中，用泵将冷冻后的奶打入罐车中外售；冷却废水由于温度较高（30℃左右），用于牛群饮用水，不外排。</w:t>
      </w:r>
    </w:p>
    <w:p w14:paraId="38C76009">
      <w:pPr>
        <w:pStyle w:val="11"/>
        <w:adjustRightInd w:val="0"/>
        <w:snapToGrid w:val="0"/>
        <w:ind w:firstLine="456"/>
        <w:rPr>
          <w:rFonts w:hint="default" w:ascii="Times New Roman" w:hAnsi="Times New Roman" w:eastAsia="宋体" w:cs="Times New Roman"/>
          <w:color w:val="000000" w:themeColor="text1"/>
          <w:spacing w:val="-6"/>
          <w:lang w:eastAsia="zh-CN"/>
          <w14:textFill>
            <w14:solidFill>
              <w14:schemeClr w14:val="tx1"/>
            </w14:solidFill>
          </w14:textFill>
        </w:rPr>
      </w:pPr>
      <w:r>
        <w:rPr>
          <w:rFonts w:hint="default" w:ascii="Times New Roman" w:hAnsi="Times New Roman" w:eastAsia="宋体" w:cs="Times New Roman"/>
          <w:color w:val="000000" w:themeColor="text1"/>
          <w:spacing w:val="-6"/>
          <w:lang w:eastAsia="zh-CN"/>
          <w14:textFill>
            <w14:solidFill>
              <w14:schemeClr w14:val="tx1"/>
            </w14:solidFill>
          </w14:textFill>
        </w:rPr>
        <w:t>R22冷冻剂：R22在常温下为无色，近似无味的气体，不燃烧、不爆炸、无腐蚀，毒性比R12略大，但仍然是安全的</w:t>
      </w:r>
      <w:r>
        <w:rPr>
          <w:rFonts w:hint="default" w:ascii="Times New Roman" w:hAnsi="Times New Roman" w:eastAsia="宋体" w:cs="Times New Roman"/>
          <w:color w:val="000000" w:themeColor="text1"/>
          <w:spacing w:val="-6"/>
          <w:lang w:eastAsia="zh-CN"/>
          <w14:textFill>
            <w14:solidFill>
              <w14:schemeClr w14:val="tx1"/>
            </w14:solidFill>
          </w14:textFill>
        </w:rPr>
        <w:fldChar w:fldCharType="begin"/>
      </w:r>
      <w:r>
        <w:rPr>
          <w:rFonts w:hint="default" w:ascii="Times New Roman" w:hAnsi="Times New Roman" w:eastAsia="宋体" w:cs="Times New Roman"/>
          <w:color w:val="000000" w:themeColor="text1"/>
          <w:spacing w:val="-6"/>
          <w:lang w:eastAsia="zh-CN"/>
          <w14:textFill>
            <w14:solidFill>
              <w14:schemeClr w14:val="tx1"/>
            </w14:solidFill>
          </w14:textFill>
        </w:rPr>
        <w:instrText xml:space="preserve"> HYPERLINK "https://baike.so.com/doc/5511675-5747431.html" \t "https://baike.so.com/doc/_blank" </w:instrText>
      </w:r>
      <w:r>
        <w:rPr>
          <w:rFonts w:hint="default" w:ascii="Times New Roman" w:hAnsi="Times New Roman" w:eastAsia="宋体" w:cs="Times New Roman"/>
          <w:color w:val="000000" w:themeColor="text1"/>
          <w:spacing w:val="-6"/>
          <w:lang w:eastAsia="zh-CN"/>
          <w14:textFill>
            <w14:solidFill>
              <w14:schemeClr w14:val="tx1"/>
            </w14:solidFill>
          </w14:textFill>
        </w:rPr>
        <w:fldChar w:fldCharType="separate"/>
      </w:r>
      <w:r>
        <w:rPr>
          <w:rFonts w:hint="default" w:ascii="Times New Roman" w:hAnsi="Times New Roman" w:eastAsia="宋体" w:cs="Times New Roman"/>
          <w:color w:val="000000" w:themeColor="text1"/>
          <w:spacing w:val="-6"/>
          <w:lang w:eastAsia="zh-CN"/>
          <w14:textFill>
            <w14:solidFill>
              <w14:schemeClr w14:val="tx1"/>
            </w14:solidFill>
          </w14:textFill>
        </w:rPr>
        <w:t>制冷剂</w:t>
      </w:r>
      <w:r>
        <w:rPr>
          <w:rFonts w:hint="default" w:ascii="Times New Roman" w:hAnsi="Times New Roman" w:eastAsia="宋体" w:cs="Times New Roman"/>
          <w:color w:val="000000" w:themeColor="text1"/>
          <w:spacing w:val="-6"/>
          <w:lang w:eastAsia="zh-CN"/>
          <w14:textFill>
            <w14:solidFill>
              <w14:schemeClr w14:val="tx1"/>
            </w14:solidFill>
          </w14:textFill>
        </w:rPr>
        <w:fldChar w:fldCharType="end"/>
      </w:r>
      <w:r>
        <w:rPr>
          <w:rFonts w:hint="default" w:ascii="Times New Roman" w:hAnsi="Times New Roman" w:eastAsia="宋体" w:cs="Times New Roman"/>
          <w:color w:val="000000" w:themeColor="text1"/>
          <w:spacing w:val="-6"/>
          <w:lang w:eastAsia="zh-CN"/>
          <w14:textFill>
            <w14:solidFill>
              <w14:schemeClr w14:val="tx1"/>
            </w14:solidFill>
          </w14:textFill>
        </w:rPr>
        <w:t>，安全分类为A1；加压可液化为无色透明的液体。R22的化学稳定性和热稳定性均很高，特别是在没有水份存在的情况下，在200℃以下与一般金属不起反应。在水存在时，仅与碱缓慢起作用。但在高温下会发生裂解。R22是一种低温制冷剂，可得到-80℃的制冷温度。</w:t>
      </w:r>
    </w:p>
    <w:p w14:paraId="0ED6C0EF">
      <w:pPr>
        <w:pStyle w:val="11"/>
        <w:adjustRightInd w:val="0"/>
        <w:snapToGrid w:val="0"/>
        <w:ind w:firstLine="456"/>
        <w:rPr>
          <w:rFonts w:hint="default" w:ascii="Times New Roman" w:hAnsi="Times New Roman" w:eastAsia="宋体" w:cs="Times New Roman"/>
          <w:color w:val="000000" w:themeColor="text1"/>
          <w:spacing w:val="-6"/>
          <w:lang w:eastAsia="zh-CN"/>
          <w14:textFill>
            <w14:solidFill>
              <w14:schemeClr w14:val="tx1"/>
            </w14:solidFill>
          </w14:textFill>
        </w:rPr>
      </w:pPr>
      <w:r>
        <w:rPr>
          <w:rFonts w:hint="default" w:ascii="Times New Roman" w:hAnsi="Times New Roman" w:eastAsia="宋体" w:cs="Times New Roman"/>
          <w:color w:val="000000" w:themeColor="text1"/>
          <w:spacing w:val="-6"/>
          <w:lang w:eastAsia="zh-CN"/>
          <w14:textFill>
            <w14:solidFill>
              <w14:schemeClr w14:val="tx1"/>
            </w14:solidFill>
          </w14:textFill>
        </w:rPr>
        <w:t>挤奶厅冲洗废水通过管道送至挤奶厅旁的冲洗池，后回用于待挤厅地面冲洗，全部回用不外排。</w:t>
      </w:r>
    </w:p>
    <w:p w14:paraId="7F9E6F05">
      <w:pPr>
        <w:pStyle w:val="11"/>
        <w:adjustRightInd w:val="0"/>
        <w:snapToGrid w:val="0"/>
        <w:ind w:firstLine="482"/>
        <w:outlineLvl w:val="2"/>
        <w:rPr>
          <w:rFonts w:hint="default" w:ascii="Times New Roman" w:hAnsi="Times New Roman" w:eastAsia="宋体" w:cs="Times New Roman"/>
          <w:b/>
          <w:color w:val="000000" w:themeColor="text1"/>
          <w:lang w:eastAsia="zh-CN"/>
          <w14:textFill>
            <w14:solidFill>
              <w14:schemeClr w14:val="tx1"/>
            </w14:solidFill>
          </w14:textFill>
        </w:rPr>
      </w:pPr>
      <w:bookmarkStart w:id="115" w:name="_Toc24300"/>
      <w:r>
        <w:rPr>
          <w:rFonts w:hint="default" w:ascii="Times New Roman" w:hAnsi="Times New Roman" w:eastAsia="宋体" w:cs="Times New Roman"/>
          <w:b/>
          <w:color w:val="000000" w:themeColor="text1"/>
          <w:lang w:eastAsia="zh-CN"/>
          <w14:textFill>
            <w14:solidFill>
              <w14:schemeClr w14:val="tx1"/>
            </w14:solidFill>
          </w14:textFill>
        </w:rPr>
        <w:t>3.2.5粪便好氧堆肥工艺</w:t>
      </w:r>
      <w:bookmarkEnd w:id="115"/>
    </w:p>
    <w:p w14:paraId="38C363E5">
      <w:pPr>
        <w:pStyle w:val="11"/>
        <w:adjustRightInd w:val="0"/>
        <w:snapToGrid w:val="0"/>
        <w:ind w:firstLine="456"/>
        <w:rPr>
          <w:rFonts w:hint="default" w:ascii="Times New Roman" w:hAnsi="Times New Roman" w:eastAsia="宋体" w:cs="Times New Roman"/>
          <w:color w:val="000000" w:themeColor="text1"/>
          <w:spacing w:val="-6"/>
          <w:lang w:val="zh-CN" w:eastAsia="zh-CN"/>
          <w14:textFill>
            <w14:solidFill>
              <w14:schemeClr w14:val="tx1"/>
            </w14:solidFill>
          </w14:textFill>
        </w:rPr>
      </w:pPr>
      <w:r>
        <w:rPr>
          <w:rFonts w:hint="default" w:ascii="Times New Roman" w:hAnsi="Times New Roman" w:eastAsia="宋体" w:cs="Times New Roman"/>
          <w:color w:val="000000" w:themeColor="text1"/>
          <w:spacing w:val="-6"/>
          <w:lang w:val="zh-CN" w:eastAsia="zh-CN"/>
          <w14:textFill>
            <w14:solidFill>
              <w14:schemeClr w14:val="tx1"/>
            </w14:solidFill>
          </w14:textFill>
        </w:rPr>
        <w:t>牛粪堆肥采用《内蒙古自治区畜禽养殖主要污染物减排项目建设技术指南</w:t>
      </w:r>
      <w:r>
        <w:rPr>
          <w:rFonts w:hint="eastAsia" w:ascii="Times New Roman" w:hAnsi="Times New Roman" w:cs="Times New Roman"/>
          <w:color w:val="000000" w:themeColor="text1"/>
          <w:spacing w:val="-6"/>
          <w:lang w:val="zh-CN" w:eastAsia="zh-CN"/>
          <w14:textFill>
            <w14:solidFill>
              <w14:schemeClr w14:val="tx1"/>
            </w14:solidFill>
          </w14:textFill>
        </w:rPr>
        <w:t>（</w:t>
      </w:r>
      <w:r>
        <w:rPr>
          <w:rFonts w:hint="default" w:ascii="Times New Roman" w:hAnsi="Times New Roman" w:eastAsia="宋体" w:cs="Times New Roman"/>
          <w:color w:val="000000" w:themeColor="text1"/>
          <w:spacing w:val="-6"/>
          <w:lang w:val="zh-CN" w:eastAsia="zh-CN"/>
          <w14:textFill>
            <w14:solidFill>
              <w14:schemeClr w14:val="tx1"/>
            </w14:solidFill>
          </w14:textFill>
        </w:rPr>
        <w:t>试行</w:t>
      </w:r>
      <w:r>
        <w:rPr>
          <w:rFonts w:hint="eastAsia" w:ascii="Times New Roman" w:hAnsi="Times New Roman" w:cs="Times New Roman"/>
          <w:color w:val="000000" w:themeColor="text1"/>
          <w:spacing w:val="-6"/>
          <w:lang w:val="zh-CN" w:eastAsia="zh-CN"/>
          <w14:textFill>
            <w14:solidFill>
              <w14:schemeClr w14:val="tx1"/>
            </w14:solidFill>
          </w14:textFill>
        </w:rPr>
        <w:t>）</w:t>
      </w:r>
      <w:r>
        <w:rPr>
          <w:rFonts w:hint="default" w:ascii="Times New Roman" w:hAnsi="Times New Roman" w:eastAsia="宋体" w:cs="Times New Roman"/>
          <w:color w:val="000000" w:themeColor="text1"/>
          <w:spacing w:val="-6"/>
          <w:lang w:val="zh-CN" w:eastAsia="zh-CN"/>
          <w14:textFill>
            <w14:solidFill>
              <w14:schemeClr w14:val="tx1"/>
            </w14:solidFill>
          </w14:textFill>
        </w:rPr>
        <w:t>》和《畜禽养殖业污染治理工程技术规范》（HJ497-2009）中推荐的好氧堆肥工艺处理牛粪及固液分离渣等，处理流程为预处理、发酵等工段。</w:t>
      </w:r>
      <w:r>
        <w:rPr>
          <w:rFonts w:hint="default" w:ascii="Times New Roman" w:hAnsi="Times New Roman" w:eastAsia="宋体" w:cs="Times New Roman"/>
          <w:color w:val="0000FF"/>
          <w:spacing w:val="-6"/>
          <w:lang w:val="zh-CN" w:eastAsia="zh-CN"/>
        </w:rPr>
        <w:t>本项目堆粪场1座，面积</w:t>
      </w:r>
      <w:r>
        <w:rPr>
          <w:rFonts w:hint="eastAsia" w:ascii="Times New Roman" w:hAnsi="Times New Roman" w:cs="Times New Roman"/>
          <w:color w:val="0000FF"/>
          <w:spacing w:val="-6"/>
          <w:lang w:val="en-US" w:eastAsia="zh-CN"/>
        </w:rPr>
        <w:t>525</w:t>
      </w:r>
      <w:r>
        <w:rPr>
          <w:rFonts w:hint="default" w:ascii="Times New Roman" w:hAnsi="Times New Roman" w:eastAsia="宋体" w:cs="Times New Roman"/>
          <w:color w:val="0000FF"/>
          <w:spacing w:val="-6"/>
          <w:lang w:val="zh-CN" w:eastAsia="zh-CN"/>
        </w:rPr>
        <w:t>m</w:t>
      </w:r>
      <w:r>
        <w:rPr>
          <w:rFonts w:hint="default" w:ascii="Times New Roman" w:hAnsi="Times New Roman" w:eastAsia="宋体" w:cs="Times New Roman"/>
          <w:color w:val="0000FF"/>
          <w:spacing w:val="-6"/>
          <w:vertAlign w:val="superscript"/>
          <w:lang w:val="zh-CN" w:eastAsia="zh-CN"/>
        </w:rPr>
        <w:t>2</w:t>
      </w:r>
      <w:r>
        <w:rPr>
          <w:rFonts w:hint="default" w:ascii="Times New Roman" w:hAnsi="Times New Roman" w:eastAsia="宋体" w:cs="Times New Roman"/>
          <w:color w:val="0000FF"/>
          <w:spacing w:val="-6"/>
          <w:lang w:val="zh-CN" w:eastAsia="zh-CN"/>
        </w:rPr>
        <w:t>，</w:t>
      </w:r>
      <w:r>
        <w:rPr>
          <w:rFonts w:hint="eastAsia" w:ascii="Times New Roman" w:hAnsi="Times New Roman" w:cs="Times New Roman"/>
          <w:color w:val="0000FF"/>
          <w:spacing w:val="-6"/>
          <w:lang w:val="en-US" w:eastAsia="zh-CN"/>
        </w:rPr>
        <w:t>位于固液分离车间内，</w:t>
      </w:r>
      <w:r>
        <w:rPr>
          <w:rFonts w:hint="default" w:ascii="Times New Roman" w:hAnsi="Times New Roman" w:eastAsia="宋体" w:cs="Times New Roman"/>
          <w:color w:val="0000FF"/>
          <w:spacing w:val="-6"/>
          <w:lang w:val="zh-CN" w:eastAsia="zh-CN"/>
        </w:rPr>
        <w:t>粪便（干物质）发酵后全部还田。</w:t>
      </w:r>
    </w:p>
    <w:p w14:paraId="29C703CE">
      <w:pPr>
        <w:pStyle w:val="11"/>
        <w:adjustRightInd w:val="0"/>
        <w:snapToGrid w:val="0"/>
        <w:ind w:firstLine="456"/>
        <w:rPr>
          <w:rFonts w:hint="default" w:ascii="Times New Roman" w:hAnsi="Times New Roman" w:eastAsia="宋体" w:cs="Times New Roman"/>
          <w:color w:val="000000" w:themeColor="text1"/>
          <w:spacing w:val="-6"/>
          <w:lang w:val="zh-CN" w:eastAsia="zh-CN"/>
          <w14:textFill>
            <w14:solidFill>
              <w14:schemeClr w14:val="tx1"/>
            </w14:solidFill>
          </w14:textFill>
        </w:rPr>
      </w:pPr>
      <w:r>
        <w:rPr>
          <w:rFonts w:hint="default" w:ascii="Times New Roman" w:hAnsi="Times New Roman" w:eastAsia="宋体" w:cs="Times New Roman"/>
          <w:color w:val="000000" w:themeColor="text1"/>
          <w:spacing w:val="-6"/>
          <w:lang w:val="zh-CN" w:eastAsia="zh-CN"/>
          <w14:textFill>
            <w14:solidFill>
              <w14:schemeClr w14:val="tx1"/>
            </w14:solidFill>
          </w14:textFill>
        </w:rPr>
        <w:t>（1）调整C/N比、水分</w:t>
      </w:r>
    </w:p>
    <w:p w14:paraId="4386A5A8">
      <w:pPr>
        <w:pStyle w:val="11"/>
        <w:adjustRightInd w:val="0"/>
        <w:snapToGrid w:val="0"/>
        <w:ind w:firstLine="456"/>
        <w:rPr>
          <w:rFonts w:hint="default" w:ascii="Times New Roman" w:hAnsi="Times New Roman" w:eastAsia="宋体" w:cs="Times New Roman"/>
          <w:color w:val="000000" w:themeColor="text1"/>
          <w:spacing w:val="-6"/>
          <w:lang w:val="zh-CN" w:eastAsia="zh-CN"/>
          <w14:textFill>
            <w14:solidFill>
              <w14:schemeClr w14:val="tx1"/>
            </w14:solidFill>
          </w14:textFill>
        </w:rPr>
      </w:pPr>
      <w:r>
        <w:rPr>
          <w:rFonts w:hint="default" w:ascii="Times New Roman" w:hAnsi="Times New Roman" w:eastAsia="宋体" w:cs="Times New Roman"/>
          <w:color w:val="000000" w:themeColor="text1"/>
          <w:spacing w:val="-6"/>
          <w:lang w:val="zh-CN" w:eastAsia="zh-CN"/>
          <w14:textFill>
            <w14:solidFill>
              <w14:schemeClr w14:val="tx1"/>
            </w14:solidFill>
          </w14:textFill>
        </w:rPr>
        <w:t>牛粪C/N比为26：1左右，好氧堆肥的最佳C/N比为30。向牛粪中配比犊牛舍内清理出的垫草，不足时补入草料等，使堆肥原料的C/N比控制在30左右。牛粪中含水量较大，可采用青年牛舍清理出的垫土进行拌合，以保证堆肥材料的含水率在65%。</w:t>
      </w:r>
    </w:p>
    <w:p w14:paraId="473244D3">
      <w:pPr>
        <w:pStyle w:val="11"/>
        <w:adjustRightInd w:val="0"/>
        <w:snapToGrid w:val="0"/>
        <w:ind w:firstLine="456"/>
        <w:rPr>
          <w:rFonts w:hint="default" w:ascii="Times New Roman" w:hAnsi="Times New Roman" w:eastAsia="宋体" w:cs="Times New Roman"/>
          <w:color w:val="000000" w:themeColor="text1"/>
          <w:spacing w:val="-6"/>
          <w:lang w:val="zh-CN" w:eastAsia="zh-CN"/>
          <w14:textFill>
            <w14:solidFill>
              <w14:schemeClr w14:val="tx1"/>
            </w14:solidFill>
          </w14:textFill>
        </w:rPr>
      </w:pPr>
      <w:r>
        <w:rPr>
          <w:rFonts w:hint="default" w:ascii="Times New Roman" w:hAnsi="Times New Roman" w:eastAsia="宋体" w:cs="Times New Roman"/>
          <w:color w:val="000000" w:themeColor="text1"/>
          <w:spacing w:val="-6"/>
          <w:lang w:val="zh-CN" w:eastAsia="zh-CN"/>
          <w14:textFill>
            <w14:solidFill>
              <w14:schemeClr w14:val="tx1"/>
            </w14:solidFill>
          </w14:textFill>
        </w:rPr>
        <w:t>（2）通气状况</w:t>
      </w:r>
    </w:p>
    <w:p w14:paraId="7DB913FC">
      <w:pPr>
        <w:pStyle w:val="11"/>
        <w:adjustRightInd w:val="0"/>
        <w:snapToGrid w:val="0"/>
        <w:ind w:firstLine="456"/>
        <w:rPr>
          <w:rFonts w:hint="default" w:ascii="Times New Roman" w:hAnsi="Times New Roman" w:eastAsia="宋体" w:cs="Times New Roman"/>
          <w:color w:val="000000" w:themeColor="text1"/>
          <w:spacing w:val="-6"/>
          <w:lang w:val="zh-CN" w:eastAsia="zh-CN"/>
          <w14:textFill>
            <w14:solidFill>
              <w14:schemeClr w14:val="tx1"/>
            </w14:solidFill>
          </w14:textFill>
        </w:rPr>
      </w:pPr>
      <w:r>
        <w:rPr>
          <w:rFonts w:hint="default" w:ascii="Times New Roman" w:hAnsi="Times New Roman" w:eastAsia="宋体" w:cs="Times New Roman"/>
          <w:color w:val="000000" w:themeColor="text1"/>
          <w:spacing w:val="-6"/>
          <w:lang w:val="zh-CN" w:eastAsia="zh-CN"/>
          <w14:textFill>
            <w14:solidFill>
              <w14:schemeClr w14:val="tx1"/>
            </w14:solidFill>
          </w14:textFill>
        </w:rPr>
        <w:t>通过通风供氧，一是给微生物提供新陈代谢所需的氧气，二是带走部分水分，三是控制堆体温度，使好氧微生物在有氧状态下对有机质进行快速分解。</w:t>
      </w:r>
    </w:p>
    <w:p w14:paraId="1E4ADCC2">
      <w:pPr>
        <w:pStyle w:val="11"/>
        <w:adjustRightInd w:val="0"/>
        <w:snapToGrid w:val="0"/>
        <w:ind w:firstLine="456"/>
        <w:rPr>
          <w:rFonts w:hint="default" w:ascii="Times New Roman" w:hAnsi="Times New Roman" w:eastAsia="宋体" w:cs="Times New Roman"/>
          <w:color w:val="000000" w:themeColor="text1"/>
          <w:spacing w:val="-6"/>
          <w:lang w:val="zh-CN" w:eastAsia="zh-CN"/>
          <w14:textFill>
            <w14:solidFill>
              <w14:schemeClr w14:val="tx1"/>
            </w14:solidFill>
          </w14:textFill>
        </w:rPr>
      </w:pPr>
      <w:r>
        <w:rPr>
          <w:rFonts w:hint="default" w:ascii="Times New Roman" w:hAnsi="Times New Roman" w:eastAsia="宋体" w:cs="Times New Roman"/>
          <w:color w:val="000000" w:themeColor="text1"/>
          <w:spacing w:val="-6"/>
          <w:lang w:val="zh-CN" w:eastAsia="zh-CN"/>
          <w14:textFill>
            <w14:solidFill>
              <w14:schemeClr w14:val="tx1"/>
            </w14:solidFill>
          </w14:textFill>
        </w:rPr>
        <w:t>（3）好氧发酵</w:t>
      </w:r>
    </w:p>
    <w:p w14:paraId="698291DA">
      <w:pPr>
        <w:pStyle w:val="11"/>
        <w:adjustRightInd w:val="0"/>
        <w:snapToGrid w:val="0"/>
        <w:ind w:firstLine="456"/>
        <w:rPr>
          <w:rFonts w:hint="default" w:ascii="Times New Roman" w:hAnsi="Times New Roman" w:eastAsia="宋体" w:cs="Times New Roman"/>
          <w:color w:val="000000" w:themeColor="text1"/>
          <w:spacing w:val="-6"/>
          <w:lang w:val="zh-CN" w:eastAsia="zh-CN"/>
          <w14:textFill>
            <w14:solidFill>
              <w14:schemeClr w14:val="tx1"/>
            </w14:solidFill>
          </w14:textFill>
        </w:rPr>
      </w:pPr>
      <w:r>
        <w:rPr>
          <w:rFonts w:hint="default" w:ascii="Times New Roman" w:hAnsi="Times New Roman" w:eastAsia="宋体" w:cs="Times New Roman"/>
          <w:color w:val="000000" w:themeColor="text1"/>
          <w:spacing w:val="-6"/>
          <w:lang w:val="zh-CN" w:eastAsia="zh-CN"/>
          <w14:textFill>
            <w14:solidFill>
              <w14:schemeClr w14:val="tx1"/>
            </w14:solidFill>
          </w14:textFill>
        </w:rPr>
        <w:t>将调整好水分及C/N比的牛粪由铲车送入堆粪晾晒场进行条垛，同时加入一定量的外源微生物“起爆剂”及减少氨释放和保氮的复合菌剂，以加快发酵速度和减少氨气的释放，并定期进行翻抛，促使有机质的降解和腐殖质的形成，达到《畜禽粪便无害化处理技术规范》（NY/T1168-2006）中的相关要求后，用于项目配套的土地和周边农户的农田施用。使用起爆剂24小时内即起温，4天内可见菌丝，10~15天即可腐熟，不受季节限制；极冷天气状况下，15~20天完成堆肥腐熟。</w:t>
      </w:r>
    </w:p>
    <w:p w14:paraId="31087326">
      <w:pPr>
        <w:pStyle w:val="11"/>
        <w:numPr>
          <w:ilvl w:val="0"/>
          <w:numId w:val="0"/>
        </w:numPr>
        <w:adjustRightInd w:val="0"/>
        <w:snapToGrid w:val="0"/>
        <w:ind w:firstLine="456" w:firstLineChars="200"/>
        <w:rPr>
          <w:rFonts w:hint="eastAsia" w:ascii="Times New Roman" w:hAnsi="Times New Roman" w:cs="Times New Roman"/>
          <w:color w:val="FF0000"/>
          <w:spacing w:val="-6"/>
          <w:lang w:val="en-US" w:eastAsia="zh-CN"/>
        </w:rPr>
      </w:pPr>
      <w:r>
        <w:rPr>
          <w:rFonts w:hint="eastAsia" w:ascii="Times New Roman" w:hAnsi="Times New Roman" w:eastAsia="宋体" w:cs="Times New Roman"/>
          <w:color w:val="FF0000"/>
          <w:spacing w:val="-6"/>
          <w:kern w:val="2"/>
          <w:sz w:val="24"/>
          <w:szCs w:val="24"/>
          <w:lang w:val="en-US" w:eastAsia="zh-CN" w:bidi="ar-SA"/>
        </w:rPr>
        <w:t>（4）</w:t>
      </w:r>
      <w:r>
        <w:rPr>
          <w:rFonts w:hint="eastAsia" w:ascii="Times New Roman" w:hAnsi="Times New Roman" w:cs="Times New Roman"/>
          <w:color w:val="FF0000"/>
          <w:spacing w:val="-6"/>
          <w:lang w:val="en-US" w:eastAsia="zh-CN"/>
        </w:rPr>
        <w:t>还田</w:t>
      </w:r>
    </w:p>
    <w:p w14:paraId="46BA69E7">
      <w:pPr>
        <w:pStyle w:val="11"/>
        <w:keepNext w:val="0"/>
        <w:keepLines w:val="0"/>
        <w:pageBreakBefore w:val="0"/>
        <w:widowControl w:val="0"/>
        <w:numPr>
          <w:ilvl w:val="0"/>
          <w:numId w:val="0"/>
        </w:numPr>
        <w:kinsoku/>
        <w:wordWrap/>
        <w:overflowPunct/>
        <w:topLinePunct w:val="0"/>
        <w:autoSpaceDE/>
        <w:autoSpaceDN/>
        <w:bidi w:val="0"/>
        <w:adjustRightInd w:val="0"/>
        <w:snapToGrid w:val="0"/>
        <w:ind w:firstLine="456" w:firstLineChars="200"/>
        <w:textAlignment w:val="auto"/>
        <w:rPr>
          <w:rFonts w:hint="default" w:ascii="Times New Roman" w:hAnsi="Times New Roman" w:cs="Times New Roman"/>
          <w:color w:val="FF0000"/>
          <w:spacing w:val="-6"/>
          <w:lang w:val="en-US" w:eastAsia="zh-CN"/>
        </w:rPr>
      </w:pPr>
      <w:r>
        <w:rPr>
          <w:rFonts w:hint="eastAsia" w:ascii="Times New Roman" w:hAnsi="Times New Roman" w:cs="Times New Roman"/>
          <w:color w:val="FF0000"/>
          <w:spacing w:val="-6"/>
          <w:lang w:val="en-US" w:eastAsia="zh-CN"/>
        </w:rPr>
        <w:t>粪污发酵完成后，在可以还田施肥的季节，采用粪污车，运至还田地，由农户自行还田利用，粪污车为半封闭车辆，能够有效的较少粪污运输中的跑冒滴漏。</w:t>
      </w:r>
    </w:p>
    <w:p w14:paraId="452DAACB">
      <w:pPr>
        <w:pStyle w:val="11"/>
        <w:adjustRightInd w:val="0"/>
        <w:snapToGrid w:val="0"/>
        <w:ind w:firstLine="456"/>
        <w:rPr>
          <w:rFonts w:hint="default" w:ascii="Times New Roman" w:hAnsi="Times New Roman" w:eastAsia="宋体" w:cs="Times New Roman"/>
          <w:color w:val="000000" w:themeColor="text1"/>
          <w:spacing w:val="-6"/>
          <w:lang w:val="zh-CN" w:eastAsia="zh-CN"/>
          <w14:textFill>
            <w14:solidFill>
              <w14:schemeClr w14:val="tx1"/>
            </w14:solidFill>
          </w14:textFill>
        </w:rPr>
      </w:pPr>
      <w:r>
        <w:rPr>
          <w:rFonts w:hint="default" w:ascii="Times New Roman" w:hAnsi="Times New Roman" w:eastAsia="宋体" w:cs="Times New Roman"/>
          <w:color w:val="000000" w:themeColor="text1"/>
          <w:spacing w:val="-6"/>
          <w:lang w:val="zh-CN" w:eastAsia="zh-CN"/>
          <w14:textFill>
            <w14:solidFill>
              <w14:schemeClr w14:val="tx1"/>
            </w14:solidFill>
          </w14:textFill>
        </w:rPr>
        <w:t>粪便好氧堆肥工艺流程见图3.2-3。</w:t>
      </w:r>
    </w:p>
    <w:p w14:paraId="68D16973">
      <w:pPr>
        <w:pStyle w:val="11"/>
        <w:adjustRightInd w:val="0"/>
        <w:snapToGrid w:val="0"/>
        <w:ind w:firstLine="0" w:firstLineChars="0"/>
        <w:jc w:val="center"/>
        <w:rPr>
          <w:rFonts w:hint="default" w:ascii="Times New Roman" w:hAnsi="Times New Roman" w:eastAsia="宋体" w:cs="Times New Roman"/>
          <w:color w:val="000000" w:themeColor="text1"/>
          <w:spacing w:val="-6"/>
          <w:lang w:val="zh-CN"/>
          <w14:textFill>
            <w14:solidFill>
              <w14:schemeClr w14:val="tx1"/>
            </w14:solidFill>
          </w14:textFill>
        </w:rPr>
      </w:pPr>
      <w:r>
        <w:rPr>
          <w:rFonts w:hint="default" w:ascii="Times New Roman" w:hAnsi="Times New Roman" w:eastAsia="宋体" w:cs="Times New Roman"/>
          <w:color w:val="000000" w:themeColor="text1"/>
          <w:spacing w:val="-6"/>
          <w:lang w:val="zh-CN"/>
          <w14:textFill>
            <w14:solidFill>
              <w14:schemeClr w14:val="tx1"/>
            </w14:solidFill>
          </w14:textFill>
        </w:rPr>
        <w:object>
          <v:shape id="_x0000_i1026" o:spt="75" type="#_x0000_t75" style="height:187pt;width:267.65pt;" o:ole="t" filled="f" o:preferrelative="t" stroked="f" coordsize="21600,21600">
            <v:path/>
            <v:fill on="f" focussize="0,0"/>
            <v:stroke on="f"/>
            <v:imagedata r:id="rId40" cropleft="19218f" o:title=""/>
            <o:lock v:ext="edit" aspectratio="t"/>
            <w10:wrap type="none"/>
            <w10:anchorlock/>
          </v:shape>
          <o:OLEObject Type="Embed" ProgID="Visio.Drawing.11" ShapeID="_x0000_i1026" DrawAspect="Content" ObjectID="_1468075726" r:id="rId39">
            <o:LockedField>false</o:LockedField>
          </o:OLEObject>
        </w:object>
      </w:r>
    </w:p>
    <w:p w14:paraId="1C397CC1">
      <w:pPr>
        <w:pStyle w:val="11"/>
        <w:adjustRightInd w:val="0"/>
        <w:snapToGrid w:val="0"/>
        <w:ind w:firstLine="458"/>
        <w:jc w:val="center"/>
        <w:rPr>
          <w:rFonts w:hint="default" w:ascii="Times New Roman" w:hAnsi="Times New Roman" w:eastAsia="宋体" w:cs="Times New Roman"/>
          <w:b/>
          <w:color w:val="000000" w:themeColor="text1"/>
          <w:spacing w:val="-6"/>
          <w:lang w:val="zh-CN" w:eastAsia="zh-CN"/>
          <w14:textFill>
            <w14:solidFill>
              <w14:schemeClr w14:val="tx1"/>
            </w14:solidFill>
          </w14:textFill>
        </w:rPr>
      </w:pPr>
      <w:r>
        <w:rPr>
          <w:rFonts w:hint="default" w:ascii="Times New Roman" w:hAnsi="Times New Roman" w:eastAsia="宋体" w:cs="Times New Roman"/>
          <w:b/>
          <w:color w:val="000000" w:themeColor="text1"/>
          <w:spacing w:val="-6"/>
          <w:lang w:val="zh-CN" w:eastAsia="zh-CN"/>
          <w14:textFill>
            <w14:solidFill>
              <w14:schemeClr w14:val="tx1"/>
            </w14:solidFill>
          </w14:textFill>
        </w:rPr>
        <w:t>图3.</w:t>
      </w:r>
      <w:r>
        <w:rPr>
          <w:rFonts w:hint="eastAsia" w:ascii="Times New Roman" w:hAnsi="Times New Roman" w:cs="Times New Roman"/>
          <w:b/>
          <w:color w:val="000000" w:themeColor="text1"/>
          <w:spacing w:val="-6"/>
          <w:lang w:val="en-US" w:eastAsia="zh-CN"/>
          <w14:textFill>
            <w14:solidFill>
              <w14:schemeClr w14:val="tx1"/>
            </w14:solidFill>
          </w14:textFill>
        </w:rPr>
        <w:t>2-3</w:t>
      </w:r>
      <w:r>
        <w:rPr>
          <w:rFonts w:hint="default" w:ascii="Times New Roman" w:hAnsi="Times New Roman" w:eastAsia="宋体" w:cs="Times New Roman"/>
          <w:b/>
          <w:color w:val="000000" w:themeColor="text1"/>
          <w:spacing w:val="-6"/>
          <w:lang w:val="zh-CN" w:eastAsia="zh-CN"/>
          <w14:textFill>
            <w14:solidFill>
              <w14:schemeClr w14:val="tx1"/>
            </w14:solidFill>
          </w14:textFill>
        </w:rPr>
        <w:t>粪便好氧堆肥工艺流程图</w:t>
      </w:r>
    </w:p>
    <w:p w14:paraId="760A645E">
      <w:pPr>
        <w:ind w:firstLine="0" w:firstLineChars="0"/>
        <w:outlineLvl w:val="1"/>
        <w:rPr>
          <w:rFonts w:hint="default" w:ascii="Times New Roman" w:hAnsi="Times New Roman" w:eastAsia="宋体" w:cs="Times New Roman"/>
          <w:b/>
          <w:bCs/>
          <w:color w:val="000000" w:themeColor="text1"/>
          <w:sz w:val="28"/>
          <w:szCs w:val="28"/>
          <w14:textFill>
            <w14:solidFill>
              <w14:schemeClr w14:val="tx1"/>
            </w14:solidFill>
          </w14:textFill>
        </w:rPr>
      </w:pPr>
      <w:bookmarkStart w:id="116" w:name="_Toc6861"/>
      <w:r>
        <w:rPr>
          <w:rFonts w:hint="default" w:ascii="Times New Roman" w:hAnsi="Times New Roman" w:eastAsia="宋体" w:cs="Times New Roman"/>
          <w:b/>
          <w:bCs/>
          <w:color w:val="000000" w:themeColor="text1"/>
          <w:sz w:val="28"/>
          <w:szCs w:val="28"/>
          <w14:textFill>
            <w14:solidFill>
              <w14:schemeClr w14:val="tx1"/>
            </w14:solidFill>
          </w14:textFill>
        </w:rPr>
        <w:t>3.3污染源强核算</w:t>
      </w:r>
      <w:bookmarkEnd w:id="116"/>
    </w:p>
    <w:p w14:paraId="42AEC194">
      <w:pPr>
        <w:pStyle w:val="11"/>
        <w:adjustRightInd w:val="0"/>
        <w:snapToGrid w:val="0"/>
        <w:ind w:firstLine="482"/>
        <w:outlineLvl w:val="2"/>
        <w:rPr>
          <w:rFonts w:hint="default" w:ascii="Times New Roman" w:hAnsi="Times New Roman" w:eastAsia="宋体" w:cs="Times New Roman"/>
          <w:b/>
          <w:color w:val="000000" w:themeColor="text1"/>
          <w:lang w:eastAsia="zh-CN"/>
          <w14:textFill>
            <w14:solidFill>
              <w14:schemeClr w14:val="tx1"/>
            </w14:solidFill>
          </w14:textFill>
        </w:rPr>
      </w:pPr>
      <w:bookmarkStart w:id="117" w:name="_Toc3803"/>
      <w:r>
        <w:rPr>
          <w:rFonts w:hint="default" w:ascii="Times New Roman" w:hAnsi="Times New Roman" w:eastAsia="宋体" w:cs="Times New Roman"/>
          <w:b/>
          <w:color w:val="000000" w:themeColor="text1"/>
          <w:lang w:eastAsia="zh-CN"/>
          <w14:textFill>
            <w14:solidFill>
              <w14:schemeClr w14:val="tx1"/>
            </w14:solidFill>
          </w14:textFill>
        </w:rPr>
        <w:t>3.3.1施工期污染因素分析</w:t>
      </w:r>
      <w:bookmarkEnd w:id="117"/>
    </w:p>
    <w:p w14:paraId="208CDD2A">
      <w:pPr>
        <w:pStyle w:val="11"/>
        <w:adjustRightInd w:val="0"/>
        <w:snapToGrid w:val="0"/>
        <w:ind w:firstLine="456"/>
        <w:rPr>
          <w:rFonts w:hint="eastAsia" w:ascii="Times New Roman" w:hAnsi="Times New Roman" w:cs="Times New Roman"/>
          <w:color w:val="0000FF"/>
          <w:spacing w:val="-6"/>
          <w:lang w:val="en-US" w:eastAsia="zh-CN"/>
        </w:rPr>
      </w:pPr>
      <w:r>
        <w:rPr>
          <w:rFonts w:hint="default" w:ascii="Times New Roman" w:hAnsi="Times New Roman" w:eastAsia="宋体" w:cs="Times New Roman"/>
          <w:color w:val="0000FF"/>
          <w:spacing w:val="-6"/>
          <w:lang w:eastAsia="zh-CN"/>
        </w:rPr>
        <w:t>本项目</w:t>
      </w:r>
      <w:r>
        <w:rPr>
          <w:rFonts w:hint="default" w:ascii="Times New Roman" w:hAnsi="Times New Roman" w:eastAsia="宋体" w:cs="Times New Roman"/>
          <w:color w:val="0000FF"/>
          <w:spacing w:val="-6"/>
          <w:lang w:val="en-US" w:eastAsia="zh-CN"/>
        </w:rPr>
        <w:t>泌乳</w:t>
      </w:r>
      <w:r>
        <w:rPr>
          <w:rFonts w:hint="default" w:ascii="Times New Roman" w:hAnsi="Times New Roman" w:eastAsia="宋体" w:cs="Times New Roman"/>
          <w:color w:val="0000FF"/>
          <w:spacing w:val="-6"/>
          <w:lang w:eastAsia="zh-CN"/>
        </w:rPr>
        <w:t>牛舍、</w:t>
      </w:r>
      <w:r>
        <w:rPr>
          <w:rFonts w:hint="default" w:ascii="Times New Roman" w:hAnsi="Times New Roman" w:eastAsia="宋体" w:cs="Times New Roman"/>
          <w:color w:val="0000FF"/>
          <w:spacing w:val="-6"/>
          <w:lang w:val="en-US" w:eastAsia="zh-CN"/>
        </w:rPr>
        <w:t>围产干奶</w:t>
      </w:r>
      <w:r>
        <w:rPr>
          <w:rFonts w:hint="default" w:ascii="Times New Roman" w:hAnsi="Times New Roman" w:eastAsia="宋体" w:cs="Times New Roman"/>
          <w:color w:val="0000FF"/>
          <w:spacing w:val="-6"/>
          <w:lang w:eastAsia="zh-CN"/>
        </w:rPr>
        <w:t>舍</w:t>
      </w:r>
      <w:r>
        <w:rPr>
          <w:rFonts w:hint="default" w:ascii="Times New Roman" w:hAnsi="Times New Roman" w:eastAsia="宋体" w:cs="Times New Roman"/>
          <w:color w:val="0000FF"/>
          <w:spacing w:val="-6"/>
          <w:lang w:val="en-US" w:eastAsia="zh-CN"/>
        </w:rPr>
        <w:t>以及综合业务用房已经建设完成，但未投入使用，其于公辅工程均未建设</w:t>
      </w:r>
      <w:r>
        <w:rPr>
          <w:rFonts w:hint="eastAsia" w:ascii="Times New Roman" w:hAnsi="Times New Roman" w:cs="Times New Roman"/>
          <w:color w:val="0000FF"/>
          <w:spacing w:val="-6"/>
          <w:lang w:val="en-US" w:eastAsia="zh-CN"/>
        </w:rPr>
        <w:t>，项目施工活动的影响主要为施工扬尘、废水、固体废物、噪声排放及场地挖填对场址所属区域自然、生态环境的影响。其中以施工扬尘和施工噪声对环境的影响比较显著。</w:t>
      </w:r>
    </w:p>
    <w:p w14:paraId="6E635083">
      <w:pPr>
        <w:pStyle w:val="11"/>
        <w:adjustRightInd w:val="0"/>
        <w:snapToGrid w:val="0"/>
        <w:ind w:firstLine="456"/>
        <w:rPr>
          <w:rFonts w:hint="default" w:ascii="Times New Roman" w:hAnsi="Times New Roman" w:eastAsia="宋体" w:cs="Times New Roman"/>
          <w:color w:val="000000" w:themeColor="text1"/>
          <w:spacing w:val="-6"/>
          <w:lang w:eastAsia="zh-CN"/>
          <w14:textFill>
            <w14:solidFill>
              <w14:schemeClr w14:val="tx1"/>
            </w14:solidFill>
          </w14:textFill>
        </w:rPr>
      </w:pPr>
      <w:r>
        <w:rPr>
          <w:rFonts w:hint="default" w:ascii="Times New Roman" w:hAnsi="Times New Roman" w:eastAsia="宋体" w:cs="Times New Roman"/>
          <w:color w:val="000000" w:themeColor="text1"/>
          <w:spacing w:val="-6"/>
          <w:lang w:eastAsia="zh-CN"/>
          <w14:textFill>
            <w14:solidFill>
              <w14:schemeClr w14:val="tx1"/>
            </w14:solidFill>
          </w14:textFill>
        </w:rPr>
        <w:t>施工阶段工程排污环节见表3.3-1。</w:t>
      </w:r>
    </w:p>
    <w:p w14:paraId="2FCB4717">
      <w:pPr>
        <w:pStyle w:val="11"/>
        <w:adjustRightInd w:val="0"/>
        <w:snapToGrid w:val="0"/>
        <w:ind w:firstLine="458"/>
        <w:jc w:val="center"/>
        <w:rPr>
          <w:rFonts w:hint="default" w:ascii="Times New Roman" w:hAnsi="Times New Roman" w:eastAsia="宋体" w:cs="Times New Roman"/>
          <w:b/>
          <w:color w:val="000000" w:themeColor="text1"/>
          <w:spacing w:val="-6"/>
          <w:lang w:eastAsia="zh-CN"/>
          <w14:textFill>
            <w14:solidFill>
              <w14:schemeClr w14:val="tx1"/>
            </w14:solidFill>
          </w14:textFill>
        </w:rPr>
      </w:pPr>
      <w:r>
        <w:rPr>
          <w:rFonts w:hint="default" w:ascii="Times New Roman" w:hAnsi="Times New Roman" w:eastAsia="宋体" w:cs="Times New Roman"/>
          <w:b/>
          <w:color w:val="000000" w:themeColor="text1"/>
          <w:spacing w:val="-6"/>
          <w:lang w:eastAsia="zh-CN"/>
          <w14:textFill>
            <w14:solidFill>
              <w14:schemeClr w14:val="tx1"/>
            </w14:solidFill>
          </w14:textFill>
        </w:rPr>
        <w:t>表3.3-1项目建设施工期排污环节表</w:t>
      </w:r>
    </w:p>
    <w:tbl>
      <w:tblPr>
        <w:tblStyle w:val="3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78"/>
        <w:gridCol w:w="2014"/>
        <w:gridCol w:w="4292"/>
        <w:gridCol w:w="1537"/>
      </w:tblGrid>
      <w:tr w14:paraId="663C74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1F8274BB">
            <w:pPr>
              <w:pStyle w:val="11"/>
              <w:adjustRightInd w:val="0"/>
              <w:snapToGrid w:val="0"/>
              <w:spacing w:line="240" w:lineRule="auto"/>
              <w:ind w:firstLine="0" w:firstLineChars="0"/>
              <w:jc w:val="center"/>
              <w:rPr>
                <w:rFonts w:hint="default" w:ascii="Times New Roman" w:hAnsi="Times New Roman" w:eastAsia="宋体" w:cs="Times New Roman"/>
                <w:b/>
                <w:bCs/>
                <w:color w:val="000000" w:themeColor="text1"/>
                <w:spacing w:val="-6"/>
                <w:sz w:val="21"/>
                <w:szCs w:val="21"/>
                <w14:textFill>
                  <w14:solidFill>
                    <w14:schemeClr w14:val="tx1"/>
                  </w14:solidFill>
                </w14:textFill>
              </w:rPr>
            </w:pPr>
            <w:r>
              <w:rPr>
                <w:rFonts w:hint="default" w:ascii="Times New Roman" w:hAnsi="Times New Roman" w:eastAsia="宋体" w:cs="Times New Roman"/>
                <w:b/>
                <w:bCs/>
                <w:color w:val="000000" w:themeColor="text1"/>
                <w:spacing w:val="-6"/>
                <w:sz w:val="21"/>
                <w:szCs w:val="21"/>
                <w14:textFill>
                  <w14:solidFill>
                    <w14:schemeClr w14:val="tx1"/>
                  </w14:solidFill>
                </w14:textFill>
              </w:rPr>
              <w:t>污染类别</w:t>
            </w:r>
          </w:p>
        </w:tc>
        <w:tc>
          <w:tcPr>
            <w:tcW w:w="0" w:type="auto"/>
            <w:vAlign w:val="center"/>
          </w:tcPr>
          <w:p w14:paraId="056D790E">
            <w:pPr>
              <w:pStyle w:val="11"/>
              <w:adjustRightInd w:val="0"/>
              <w:snapToGrid w:val="0"/>
              <w:spacing w:line="240" w:lineRule="auto"/>
              <w:ind w:firstLine="0" w:firstLineChars="0"/>
              <w:jc w:val="center"/>
              <w:rPr>
                <w:rFonts w:hint="default" w:ascii="Times New Roman" w:hAnsi="Times New Roman" w:eastAsia="宋体" w:cs="Times New Roman"/>
                <w:b/>
                <w:bCs/>
                <w:color w:val="000000" w:themeColor="text1"/>
                <w:spacing w:val="-6"/>
                <w:sz w:val="21"/>
                <w:szCs w:val="21"/>
                <w14:textFill>
                  <w14:solidFill>
                    <w14:schemeClr w14:val="tx1"/>
                  </w14:solidFill>
                </w14:textFill>
              </w:rPr>
            </w:pPr>
            <w:r>
              <w:rPr>
                <w:rFonts w:hint="default" w:ascii="Times New Roman" w:hAnsi="Times New Roman" w:eastAsia="宋体" w:cs="Times New Roman"/>
                <w:b/>
                <w:bCs/>
                <w:color w:val="000000" w:themeColor="text1"/>
                <w:spacing w:val="-6"/>
                <w:sz w:val="21"/>
                <w:szCs w:val="21"/>
                <w14:textFill>
                  <w14:solidFill>
                    <w14:schemeClr w14:val="tx1"/>
                  </w14:solidFill>
                </w14:textFill>
              </w:rPr>
              <w:t>污染源名称</w:t>
            </w:r>
          </w:p>
        </w:tc>
        <w:tc>
          <w:tcPr>
            <w:tcW w:w="0" w:type="auto"/>
            <w:vAlign w:val="center"/>
          </w:tcPr>
          <w:p w14:paraId="37444A9E">
            <w:pPr>
              <w:pStyle w:val="11"/>
              <w:adjustRightInd w:val="0"/>
              <w:snapToGrid w:val="0"/>
              <w:spacing w:line="240" w:lineRule="auto"/>
              <w:ind w:firstLine="0" w:firstLineChars="0"/>
              <w:jc w:val="center"/>
              <w:rPr>
                <w:rFonts w:hint="default" w:ascii="Times New Roman" w:hAnsi="Times New Roman" w:eastAsia="宋体" w:cs="Times New Roman"/>
                <w:b/>
                <w:bCs/>
                <w:color w:val="000000" w:themeColor="text1"/>
                <w:spacing w:val="-6"/>
                <w:sz w:val="21"/>
                <w:szCs w:val="21"/>
                <w14:textFill>
                  <w14:solidFill>
                    <w14:schemeClr w14:val="tx1"/>
                  </w14:solidFill>
                </w14:textFill>
              </w:rPr>
            </w:pPr>
            <w:r>
              <w:rPr>
                <w:rFonts w:hint="default" w:ascii="Times New Roman" w:hAnsi="Times New Roman" w:eastAsia="宋体" w:cs="Times New Roman"/>
                <w:b/>
                <w:bCs/>
                <w:color w:val="000000" w:themeColor="text1"/>
                <w:spacing w:val="-6"/>
                <w:sz w:val="21"/>
                <w:szCs w:val="21"/>
                <w14:textFill>
                  <w14:solidFill>
                    <w14:schemeClr w14:val="tx1"/>
                  </w14:solidFill>
                </w14:textFill>
              </w:rPr>
              <w:t>产生原因</w:t>
            </w:r>
          </w:p>
        </w:tc>
        <w:tc>
          <w:tcPr>
            <w:tcW w:w="0" w:type="auto"/>
            <w:vAlign w:val="center"/>
          </w:tcPr>
          <w:p w14:paraId="06DAE25F">
            <w:pPr>
              <w:pStyle w:val="11"/>
              <w:adjustRightInd w:val="0"/>
              <w:snapToGrid w:val="0"/>
              <w:spacing w:line="240" w:lineRule="auto"/>
              <w:ind w:firstLine="0" w:firstLineChars="0"/>
              <w:jc w:val="center"/>
              <w:rPr>
                <w:rFonts w:hint="default" w:ascii="Times New Roman" w:hAnsi="Times New Roman" w:eastAsia="宋体" w:cs="Times New Roman"/>
                <w:b/>
                <w:bCs/>
                <w:color w:val="000000" w:themeColor="text1"/>
                <w:spacing w:val="-6"/>
                <w:sz w:val="21"/>
                <w:szCs w:val="21"/>
                <w14:textFill>
                  <w14:solidFill>
                    <w14:schemeClr w14:val="tx1"/>
                  </w14:solidFill>
                </w14:textFill>
              </w:rPr>
            </w:pPr>
            <w:r>
              <w:rPr>
                <w:rFonts w:hint="default" w:ascii="Times New Roman" w:hAnsi="Times New Roman" w:eastAsia="宋体" w:cs="Times New Roman"/>
                <w:b/>
                <w:bCs/>
                <w:color w:val="000000" w:themeColor="text1"/>
                <w:spacing w:val="-6"/>
                <w:sz w:val="21"/>
                <w:szCs w:val="21"/>
                <w14:textFill>
                  <w14:solidFill>
                    <w14:schemeClr w14:val="tx1"/>
                  </w14:solidFill>
                </w14:textFill>
              </w:rPr>
              <w:t>主要污染物</w:t>
            </w:r>
          </w:p>
        </w:tc>
      </w:tr>
      <w:tr w14:paraId="087609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0AC2DB53">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废气</w:t>
            </w:r>
          </w:p>
        </w:tc>
        <w:tc>
          <w:tcPr>
            <w:tcW w:w="0" w:type="auto"/>
            <w:vAlign w:val="center"/>
          </w:tcPr>
          <w:p w14:paraId="46AC7C7E">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原料堆存、材料拌合、管道铺设、运输等</w:t>
            </w:r>
          </w:p>
        </w:tc>
        <w:tc>
          <w:tcPr>
            <w:tcW w:w="0" w:type="auto"/>
            <w:vAlign w:val="center"/>
          </w:tcPr>
          <w:p w14:paraId="7E034724">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原料贮存、混凝土配制产生的粉尘、汽车运输及管线铺设、地表开挖引起的扬尘</w:t>
            </w:r>
          </w:p>
        </w:tc>
        <w:tc>
          <w:tcPr>
            <w:tcW w:w="0" w:type="auto"/>
            <w:vAlign w:val="center"/>
          </w:tcPr>
          <w:p w14:paraId="42C662BF">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粉尘</w:t>
            </w:r>
          </w:p>
        </w:tc>
      </w:tr>
      <w:tr w14:paraId="6261AE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restart"/>
            <w:vAlign w:val="center"/>
          </w:tcPr>
          <w:p w14:paraId="63D24DA0">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废水</w:t>
            </w:r>
          </w:p>
        </w:tc>
        <w:tc>
          <w:tcPr>
            <w:tcW w:w="0" w:type="auto"/>
            <w:vAlign w:val="center"/>
          </w:tcPr>
          <w:p w14:paraId="7606F80D">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水泥养护、地下工程排水等</w:t>
            </w:r>
          </w:p>
        </w:tc>
        <w:tc>
          <w:tcPr>
            <w:tcW w:w="0" w:type="auto"/>
            <w:vAlign w:val="center"/>
          </w:tcPr>
          <w:p w14:paraId="59888D89">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对固液分离车间堆肥区等的水泥养护废水、挖掘时</w:t>
            </w:r>
          </w:p>
          <w:p w14:paraId="69D4775E">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可能出现的地下水等</w:t>
            </w:r>
          </w:p>
        </w:tc>
        <w:tc>
          <w:tcPr>
            <w:tcW w:w="0" w:type="auto"/>
            <w:vAlign w:val="center"/>
          </w:tcPr>
          <w:p w14:paraId="06E9AEE3">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悬浮物、多以泥沙为主</w:t>
            </w:r>
          </w:p>
        </w:tc>
      </w:tr>
      <w:tr w14:paraId="18F4A5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vAlign w:val="center"/>
          </w:tcPr>
          <w:p w14:paraId="54386316">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p>
        </w:tc>
        <w:tc>
          <w:tcPr>
            <w:tcW w:w="0" w:type="auto"/>
            <w:vAlign w:val="center"/>
          </w:tcPr>
          <w:p w14:paraId="1C545133">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生活污水</w:t>
            </w:r>
          </w:p>
        </w:tc>
        <w:tc>
          <w:tcPr>
            <w:tcW w:w="0" w:type="auto"/>
            <w:vAlign w:val="center"/>
          </w:tcPr>
          <w:p w14:paraId="7F54BFA6">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施工人员产生的生活污水</w:t>
            </w:r>
          </w:p>
        </w:tc>
        <w:tc>
          <w:tcPr>
            <w:tcW w:w="0" w:type="auto"/>
            <w:vAlign w:val="center"/>
          </w:tcPr>
          <w:p w14:paraId="77D7FD10">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COD、BOD</w:t>
            </w:r>
            <w:r>
              <w:rPr>
                <w:rFonts w:hint="default" w:ascii="Times New Roman" w:hAnsi="Times New Roman" w:eastAsia="宋体" w:cs="Times New Roman"/>
                <w:color w:val="000000" w:themeColor="text1"/>
                <w:spacing w:val="-6"/>
                <w:sz w:val="21"/>
                <w:szCs w:val="21"/>
                <w:vertAlign w:val="subscript"/>
                <w14:textFill>
                  <w14:solidFill>
                    <w14:schemeClr w14:val="tx1"/>
                  </w14:solidFill>
                </w14:textFill>
              </w:rPr>
              <w:t>5</w:t>
            </w:r>
            <w:r>
              <w:rPr>
                <w:rFonts w:hint="default" w:ascii="Times New Roman" w:hAnsi="Times New Roman" w:eastAsia="宋体" w:cs="Times New Roman"/>
                <w:color w:val="000000" w:themeColor="text1"/>
                <w:spacing w:val="-6"/>
                <w:sz w:val="21"/>
                <w:szCs w:val="21"/>
                <w14:textFill>
                  <w14:solidFill>
                    <w14:schemeClr w14:val="tx1"/>
                  </w14:solidFill>
                </w14:textFill>
              </w:rPr>
              <w:t>、NH</w:t>
            </w:r>
            <w:r>
              <w:rPr>
                <w:rFonts w:hint="default" w:ascii="Times New Roman" w:hAnsi="Times New Roman" w:eastAsia="宋体" w:cs="Times New Roman"/>
                <w:color w:val="000000" w:themeColor="text1"/>
                <w:spacing w:val="-6"/>
                <w:sz w:val="21"/>
                <w:szCs w:val="21"/>
                <w:vertAlign w:val="subscript"/>
                <w14:textFill>
                  <w14:solidFill>
                    <w14:schemeClr w14:val="tx1"/>
                  </w14:solidFill>
                </w14:textFill>
              </w:rPr>
              <w:t>3</w:t>
            </w:r>
            <w:r>
              <w:rPr>
                <w:rFonts w:hint="default" w:ascii="Times New Roman" w:hAnsi="Times New Roman" w:eastAsia="宋体" w:cs="Times New Roman"/>
                <w:color w:val="000000" w:themeColor="text1"/>
                <w:spacing w:val="-6"/>
                <w:sz w:val="21"/>
                <w:szCs w:val="21"/>
                <w14:textFill>
                  <w14:solidFill>
                    <w14:schemeClr w14:val="tx1"/>
                  </w14:solidFill>
                </w14:textFill>
              </w:rPr>
              <w:t>-N等</w:t>
            </w:r>
          </w:p>
        </w:tc>
      </w:tr>
      <w:tr w14:paraId="4A6288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382B1592">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固废</w:t>
            </w:r>
          </w:p>
        </w:tc>
        <w:tc>
          <w:tcPr>
            <w:tcW w:w="0" w:type="auto"/>
            <w:vAlign w:val="center"/>
          </w:tcPr>
          <w:p w14:paraId="77C40E5A">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弃土、建筑垃圾</w:t>
            </w:r>
          </w:p>
        </w:tc>
        <w:tc>
          <w:tcPr>
            <w:tcW w:w="0" w:type="auto"/>
            <w:vAlign w:val="center"/>
          </w:tcPr>
          <w:p w14:paraId="2C71C15B">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储存池建设时产生的多余土方；灰浆、废材料等</w:t>
            </w:r>
          </w:p>
        </w:tc>
        <w:tc>
          <w:tcPr>
            <w:tcW w:w="0" w:type="auto"/>
            <w:vAlign w:val="center"/>
          </w:tcPr>
          <w:p w14:paraId="6006CEC5">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w:t>
            </w:r>
          </w:p>
        </w:tc>
      </w:tr>
      <w:tr w14:paraId="3BE1A1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003D909F">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噪声</w:t>
            </w:r>
          </w:p>
        </w:tc>
        <w:tc>
          <w:tcPr>
            <w:tcW w:w="0" w:type="auto"/>
            <w:vAlign w:val="center"/>
          </w:tcPr>
          <w:p w14:paraId="5D194254">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各种施工机械设备</w:t>
            </w:r>
          </w:p>
        </w:tc>
        <w:tc>
          <w:tcPr>
            <w:tcW w:w="0" w:type="auto"/>
            <w:vAlign w:val="center"/>
          </w:tcPr>
          <w:p w14:paraId="12F334CB">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施工活动中推土机、搅拌机、挖掘机等振动、转动施工设备产生</w:t>
            </w:r>
          </w:p>
        </w:tc>
        <w:tc>
          <w:tcPr>
            <w:tcW w:w="0" w:type="auto"/>
            <w:vAlign w:val="center"/>
          </w:tcPr>
          <w:p w14:paraId="5E2447C7">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噪声</w:t>
            </w:r>
          </w:p>
        </w:tc>
      </w:tr>
      <w:tr w14:paraId="1D5FC1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4D7E7719">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生态</w:t>
            </w:r>
          </w:p>
        </w:tc>
        <w:tc>
          <w:tcPr>
            <w:tcW w:w="0" w:type="auto"/>
            <w:vAlign w:val="center"/>
          </w:tcPr>
          <w:p w14:paraId="4871DFCE">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土石方开挖等施工活动</w:t>
            </w:r>
          </w:p>
        </w:tc>
        <w:tc>
          <w:tcPr>
            <w:tcW w:w="0" w:type="auto"/>
            <w:vAlign w:val="center"/>
          </w:tcPr>
          <w:p w14:paraId="79EF1016">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施工期开挖土石方，破坏局部植被，遇到雨水冲刷易造成水土流失；开挖和回填土方会引起扬尘污染</w:t>
            </w:r>
          </w:p>
        </w:tc>
        <w:tc>
          <w:tcPr>
            <w:tcW w:w="0" w:type="auto"/>
            <w:vAlign w:val="center"/>
          </w:tcPr>
          <w:p w14:paraId="74D9E7B0">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扬尘</w:t>
            </w:r>
          </w:p>
        </w:tc>
      </w:tr>
    </w:tbl>
    <w:p w14:paraId="572D0B14">
      <w:pPr>
        <w:pStyle w:val="11"/>
        <w:adjustRightInd w:val="0"/>
        <w:snapToGrid w:val="0"/>
        <w:ind w:firstLine="482"/>
        <w:rPr>
          <w:rFonts w:hint="default" w:ascii="Times New Roman" w:hAnsi="Times New Roman" w:eastAsia="宋体" w:cs="Times New Roman"/>
          <w:b/>
          <w:color w:val="000000" w:themeColor="text1"/>
          <w14:textFill>
            <w14:solidFill>
              <w14:schemeClr w14:val="tx1"/>
            </w14:solidFill>
          </w14:textFill>
        </w:rPr>
      </w:pPr>
      <w:r>
        <w:rPr>
          <w:rFonts w:hint="default" w:ascii="Times New Roman" w:hAnsi="Times New Roman" w:eastAsia="宋体" w:cs="Times New Roman"/>
          <w:b/>
          <w:color w:val="000000" w:themeColor="text1"/>
          <w:lang w:eastAsia="zh-CN"/>
          <w14:textFill>
            <w14:solidFill>
              <w14:schemeClr w14:val="tx1"/>
            </w14:solidFill>
          </w14:textFill>
        </w:rPr>
        <w:t>3.3.1.1</w:t>
      </w:r>
      <w:r>
        <w:rPr>
          <w:rFonts w:hint="default" w:ascii="Times New Roman" w:hAnsi="Times New Roman" w:eastAsia="宋体" w:cs="Times New Roman"/>
          <w:b/>
          <w:color w:val="000000" w:themeColor="text1"/>
          <w14:textFill>
            <w14:solidFill>
              <w14:schemeClr w14:val="tx1"/>
            </w14:solidFill>
          </w14:textFill>
        </w:rPr>
        <w:t>废气</w:t>
      </w:r>
    </w:p>
    <w:p w14:paraId="20C27CE4">
      <w:pPr>
        <w:pStyle w:val="11"/>
        <w:adjustRightInd w:val="0"/>
        <w:snapToGrid w:val="0"/>
        <w:ind w:firstLine="480"/>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eastAsia="宋体" w:cs="Times New Roman"/>
          <w:color w:val="000000" w:themeColor="text1"/>
          <w:lang w:eastAsia="zh-CN"/>
          <w14:textFill>
            <w14:solidFill>
              <w14:schemeClr w14:val="tx1"/>
            </w14:solidFill>
          </w14:textFill>
        </w:rPr>
        <w:t>本项目施工期产生的大气污染物主要为施工引起的扬尘、建筑材料运输车辆及施工设备产生的燃油废气。</w:t>
      </w:r>
    </w:p>
    <w:p w14:paraId="0BEA0AC4">
      <w:pPr>
        <w:pStyle w:val="11"/>
        <w:adjustRightInd w:val="0"/>
        <w:snapToGrid w:val="0"/>
        <w:ind w:firstLine="480"/>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eastAsia="宋体" w:cs="Times New Roman"/>
          <w:color w:val="000000" w:themeColor="text1"/>
          <w:lang w:eastAsia="zh-CN"/>
          <w14:textFill>
            <w14:solidFill>
              <w14:schemeClr w14:val="tx1"/>
            </w14:solidFill>
          </w14:textFill>
        </w:rPr>
        <w:t>（1）扬尘</w:t>
      </w:r>
    </w:p>
    <w:p w14:paraId="303FC85D">
      <w:pPr>
        <w:pStyle w:val="11"/>
        <w:adjustRightInd w:val="0"/>
        <w:snapToGrid w:val="0"/>
        <w:ind w:firstLine="480"/>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eastAsia="宋体" w:cs="Times New Roman"/>
          <w:color w:val="000000" w:themeColor="text1"/>
          <w:lang w:eastAsia="zh-CN"/>
          <w14:textFill>
            <w14:solidFill>
              <w14:schemeClr w14:val="tx1"/>
            </w14:solidFill>
          </w14:textFill>
        </w:rPr>
        <w:t>项目施工期扬尘污染主要来源于以下各个方面：</w:t>
      </w:r>
    </w:p>
    <w:p w14:paraId="67199C6B">
      <w:pPr>
        <w:pStyle w:val="11"/>
        <w:adjustRightInd w:val="0"/>
        <w:snapToGrid w:val="0"/>
        <w:ind w:firstLine="480"/>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eastAsia="宋体" w:cs="Times New Roman"/>
          <w:color w:val="000000" w:themeColor="text1"/>
          <w:lang w:eastAsia="zh-CN"/>
          <w14:textFill>
            <w14:solidFill>
              <w14:schemeClr w14:val="tx1"/>
            </w14:solidFill>
          </w14:textFill>
        </w:rPr>
        <w:t>①场地平整、建筑物基础土石方的开挖、回填、堆放、道路填筑等过程形成的露天堆场和裸露场地的风力扬尘；</w:t>
      </w:r>
    </w:p>
    <w:p w14:paraId="003D0506">
      <w:pPr>
        <w:pStyle w:val="11"/>
        <w:adjustRightInd w:val="0"/>
        <w:snapToGrid w:val="0"/>
        <w:ind w:firstLine="480"/>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eastAsia="宋体" w:cs="Times New Roman"/>
          <w:color w:val="000000" w:themeColor="text1"/>
          <w:lang w:eastAsia="zh-CN"/>
          <w14:textFill>
            <w14:solidFill>
              <w14:schemeClr w14:val="tx1"/>
            </w14:solidFill>
          </w14:textFill>
        </w:rPr>
        <w:t>②水泥、砂石、混凝土等建筑材料在装卸、运输等过程中，可能造成泄漏，产生扬尘污染；</w:t>
      </w:r>
    </w:p>
    <w:p w14:paraId="36E89B1C">
      <w:pPr>
        <w:pStyle w:val="11"/>
        <w:adjustRightInd w:val="0"/>
        <w:snapToGrid w:val="0"/>
        <w:ind w:firstLine="480"/>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eastAsia="宋体" w:cs="Times New Roman"/>
          <w:color w:val="000000" w:themeColor="text1"/>
          <w:lang w:eastAsia="zh-CN"/>
          <w14:textFill>
            <w14:solidFill>
              <w14:schemeClr w14:val="tx1"/>
            </w14:solidFill>
          </w14:textFill>
        </w:rPr>
        <w:t>③混凝土等物料在拌和过程中会产生扬尘和粉尘；</w:t>
      </w:r>
    </w:p>
    <w:p w14:paraId="1E3F8178">
      <w:pPr>
        <w:pStyle w:val="11"/>
        <w:adjustRightInd w:val="0"/>
        <w:snapToGrid w:val="0"/>
        <w:ind w:firstLine="480"/>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eastAsia="宋体" w:cs="Times New Roman"/>
          <w:color w:val="000000" w:themeColor="text1"/>
          <w:lang w:eastAsia="zh-CN"/>
          <w14:textFill>
            <w14:solidFill>
              <w14:schemeClr w14:val="tx1"/>
            </w14:solidFill>
          </w14:textFill>
        </w:rPr>
        <w:t>④建筑材料及土石方运输车辆在施工便道及施工场地行驶过程中会产生道路扬尘。</w:t>
      </w:r>
    </w:p>
    <w:p w14:paraId="18EE87E2">
      <w:pPr>
        <w:pStyle w:val="11"/>
        <w:adjustRightInd w:val="0"/>
        <w:snapToGrid w:val="0"/>
        <w:ind w:firstLine="480"/>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eastAsia="宋体" w:cs="Times New Roman"/>
          <w:color w:val="000000" w:themeColor="text1"/>
          <w:lang w:eastAsia="zh-CN"/>
          <w14:textFill>
            <w14:solidFill>
              <w14:schemeClr w14:val="tx1"/>
            </w14:solidFill>
          </w14:textFill>
        </w:rPr>
        <w:t>扬尘使该区域及附近周边地区大气环境中总悬浮颗粒（TSP）浓度增大，粉尘排放量大小直接与施工期现场条件、管理水平、机械化程度、施工季节及当地气候等诸多因素有关，因此较难进行定量分析。根据同类工程项目现场实测结果进行类比，施工现场的TSP日均值范围在0.121～0.158mg/m</w:t>
      </w:r>
      <w:r>
        <w:rPr>
          <w:rFonts w:hint="default" w:ascii="Times New Roman" w:hAnsi="Times New Roman" w:eastAsia="宋体" w:cs="Times New Roman"/>
          <w:color w:val="000000" w:themeColor="text1"/>
          <w:vertAlign w:val="superscript"/>
          <w:lang w:eastAsia="zh-CN"/>
          <w14:textFill>
            <w14:solidFill>
              <w14:schemeClr w14:val="tx1"/>
            </w14:solidFill>
          </w14:textFill>
        </w:rPr>
        <w:t>3</w:t>
      </w:r>
      <w:r>
        <w:rPr>
          <w:rFonts w:hint="default" w:ascii="Times New Roman" w:hAnsi="Times New Roman" w:eastAsia="宋体" w:cs="Times New Roman"/>
          <w:color w:val="000000" w:themeColor="text1"/>
          <w:lang w:eastAsia="zh-CN"/>
          <w14:textFill>
            <w14:solidFill>
              <w14:schemeClr w14:val="tx1"/>
            </w14:solidFill>
          </w14:textFill>
        </w:rPr>
        <w:t>，距离施工现场约50m的TSP日均值范围为0.014～0.056mg/m</w:t>
      </w:r>
      <w:r>
        <w:rPr>
          <w:rFonts w:hint="default" w:ascii="Times New Roman" w:hAnsi="Times New Roman" w:eastAsia="宋体" w:cs="Times New Roman"/>
          <w:color w:val="000000" w:themeColor="text1"/>
          <w:vertAlign w:val="superscript"/>
          <w:lang w:eastAsia="zh-CN"/>
          <w14:textFill>
            <w14:solidFill>
              <w14:schemeClr w14:val="tx1"/>
            </w14:solidFill>
          </w14:textFill>
        </w:rPr>
        <w:t>3</w:t>
      </w:r>
      <w:r>
        <w:rPr>
          <w:rFonts w:hint="default" w:ascii="Times New Roman" w:hAnsi="Times New Roman" w:eastAsia="宋体" w:cs="Times New Roman"/>
          <w:color w:val="000000" w:themeColor="text1"/>
          <w:lang w:eastAsia="zh-CN"/>
          <w14:textFill>
            <w14:solidFill>
              <w14:schemeClr w14:val="tx1"/>
            </w14:solidFill>
          </w14:textFill>
        </w:rPr>
        <w:t>；混凝土拌和作业中距搅拌机下风向50m处TSP日均值为8.90mg/m</w:t>
      </w:r>
      <w:r>
        <w:rPr>
          <w:rFonts w:hint="default" w:ascii="Times New Roman" w:hAnsi="Times New Roman" w:eastAsia="宋体" w:cs="Times New Roman"/>
          <w:color w:val="000000" w:themeColor="text1"/>
          <w:vertAlign w:val="superscript"/>
          <w:lang w:eastAsia="zh-CN"/>
          <w14:textFill>
            <w14:solidFill>
              <w14:schemeClr w14:val="tx1"/>
            </w14:solidFill>
          </w14:textFill>
        </w:rPr>
        <w:t>3</w:t>
      </w:r>
      <w:r>
        <w:rPr>
          <w:rFonts w:hint="default" w:ascii="Times New Roman" w:hAnsi="Times New Roman" w:eastAsia="宋体" w:cs="Times New Roman"/>
          <w:color w:val="000000" w:themeColor="text1"/>
          <w:lang w:eastAsia="zh-CN"/>
          <w14:textFill>
            <w14:solidFill>
              <w14:schemeClr w14:val="tx1"/>
            </w14:solidFill>
          </w14:textFill>
        </w:rPr>
        <w:t>，下风向100m处TSP日均值为1.65mg/m</w:t>
      </w:r>
      <w:r>
        <w:rPr>
          <w:rFonts w:hint="default" w:ascii="Times New Roman" w:hAnsi="Times New Roman" w:eastAsia="宋体" w:cs="Times New Roman"/>
          <w:color w:val="000000" w:themeColor="text1"/>
          <w:vertAlign w:val="superscript"/>
          <w:lang w:eastAsia="zh-CN"/>
          <w14:textFill>
            <w14:solidFill>
              <w14:schemeClr w14:val="tx1"/>
            </w14:solidFill>
          </w14:textFill>
        </w:rPr>
        <w:t>3</w:t>
      </w:r>
      <w:r>
        <w:rPr>
          <w:rFonts w:hint="default" w:ascii="Times New Roman" w:hAnsi="Times New Roman" w:eastAsia="宋体" w:cs="Times New Roman"/>
          <w:color w:val="000000" w:themeColor="text1"/>
          <w:lang w:eastAsia="zh-CN"/>
          <w14:textFill>
            <w14:solidFill>
              <w14:schemeClr w14:val="tx1"/>
            </w14:solidFill>
          </w14:textFill>
        </w:rPr>
        <w:t>，扬尘污染较严重。一般情况下，运输车辆下风向50m处TSP浓度达到10mg/m</w:t>
      </w:r>
      <w:r>
        <w:rPr>
          <w:rFonts w:hint="default" w:ascii="Times New Roman" w:hAnsi="Times New Roman" w:eastAsia="宋体" w:cs="Times New Roman"/>
          <w:color w:val="000000" w:themeColor="text1"/>
          <w:vertAlign w:val="superscript"/>
          <w:lang w:eastAsia="zh-CN"/>
          <w14:textFill>
            <w14:solidFill>
              <w14:schemeClr w14:val="tx1"/>
            </w14:solidFill>
          </w14:textFill>
        </w:rPr>
        <w:t>3</w:t>
      </w:r>
      <w:r>
        <w:rPr>
          <w:rFonts w:hint="default" w:ascii="Times New Roman" w:hAnsi="Times New Roman" w:eastAsia="宋体" w:cs="Times New Roman"/>
          <w:color w:val="000000" w:themeColor="text1"/>
          <w:lang w:eastAsia="zh-CN"/>
          <w14:textFill>
            <w14:solidFill>
              <w14:schemeClr w14:val="tx1"/>
            </w14:solidFill>
          </w14:textFill>
        </w:rPr>
        <w:t>左右，下风向100m处TSP浓度达到9mg/m</w:t>
      </w:r>
      <w:r>
        <w:rPr>
          <w:rFonts w:hint="default" w:ascii="Times New Roman" w:hAnsi="Times New Roman" w:eastAsia="宋体" w:cs="Times New Roman"/>
          <w:color w:val="000000" w:themeColor="text1"/>
          <w:vertAlign w:val="superscript"/>
          <w:lang w:eastAsia="zh-CN"/>
          <w14:textFill>
            <w14:solidFill>
              <w14:schemeClr w14:val="tx1"/>
            </w14:solidFill>
          </w14:textFill>
        </w:rPr>
        <w:t>3</w:t>
      </w:r>
      <w:r>
        <w:rPr>
          <w:rFonts w:hint="default" w:ascii="Times New Roman" w:hAnsi="Times New Roman" w:eastAsia="宋体" w:cs="Times New Roman"/>
          <w:color w:val="000000" w:themeColor="text1"/>
          <w:lang w:eastAsia="zh-CN"/>
          <w14:textFill>
            <w14:solidFill>
              <w14:schemeClr w14:val="tx1"/>
            </w14:solidFill>
          </w14:textFill>
        </w:rPr>
        <w:t>左右，下风向150m处TSP浓度达到5mg/m</w:t>
      </w:r>
      <w:r>
        <w:rPr>
          <w:rFonts w:hint="default" w:ascii="Times New Roman" w:hAnsi="Times New Roman" w:eastAsia="宋体" w:cs="Times New Roman"/>
          <w:color w:val="000000" w:themeColor="text1"/>
          <w:vertAlign w:val="superscript"/>
          <w:lang w:eastAsia="zh-CN"/>
          <w14:textFill>
            <w14:solidFill>
              <w14:schemeClr w14:val="tx1"/>
            </w14:solidFill>
          </w14:textFill>
        </w:rPr>
        <w:t>3</w:t>
      </w:r>
      <w:r>
        <w:rPr>
          <w:rFonts w:hint="default" w:ascii="Times New Roman" w:hAnsi="Times New Roman" w:eastAsia="宋体" w:cs="Times New Roman"/>
          <w:color w:val="000000" w:themeColor="text1"/>
          <w:lang w:eastAsia="zh-CN"/>
          <w14:textFill>
            <w14:solidFill>
              <w14:schemeClr w14:val="tx1"/>
            </w14:solidFill>
          </w14:textFill>
        </w:rPr>
        <w:t>左右，下风向200m处TSP浓度达到2mg/m</w:t>
      </w:r>
      <w:r>
        <w:rPr>
          <w:rFonts w:hint="default" w:ascii="Times New Roman" w:hAnsi="Times New Roman" w:eastAsia="宋体" w:cs="Times New Roman"/>
          <w:color w:val="000000" w:themeColor="text1"/>
          <w:vertAlign w:val="superscript"/>
          <w:lang w:eastAsia="zh-CN"/>
          <w14:textFill>
            <w14:solidFill>
              <w14:schemeClr w14:val="tx1"/>
            </w14:solidFill>
          </w14:textFill>
        </w:rPr>
        <w:t>3</w:t>
      </w:r>
      <w:r>
        <w:rPr>
          <w:rFonts w:hint="default" w:ascii="Times New Roman" w:hAnsi="Times New Roman" w:eastAsia="宋体" w:cs="Times New Roman"/>
          <w:color w:val="000000" w:themeColor="text1"/>
          <w:lang w:eastAsia="zh-CN"/>
          <w14:textFill>
            <w14:solidFill>
              <w14:schemeClr w14:val="tx1"/>
            </w14:solidFill>
          </w14:textFill>
        </w:rPr>
        <w:t>。</w:t>
      </w:r>
    </w:p>
    <w:p w14:paraId="13B3518D">
      <w:pPr>
        <w:pStyle w:val="11"/>
        <w:adjustRightInd w:val="0"/>
        <w:snapToGrid w:val="0"/>
        <w:ind w:firstLine="480"/>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eastAsia="宋体" w:cs="Times New Roman"/>
          <w:color w:val="000000" w:themeColor="text1"/>
          <w:lang w:eastAsia="zh-CN"/>
          <w14:textFill>
            <w14:solidFill>
              <w14:schemeClr w14:val="tx1"/>
            </w14:solidFill>
          </w14:textFill>
        </w:rPr>
        <w:t>（2）燃油废气</w:t>
      </w:r>
    </w:p>
    <w:p w14:paraId="238F5C9F">
      <w:pPr>
        <w:pStyle w:val="11"/>
        <w:adjustRightInd w:val="0"/>
        <w:snapToGrid w:val="0"/>
        <w:ind w:firstLine="480"/>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eastAsia="宋体" w:cs="Times New Roman"/>
          <w:color w:val="000000" w:themeColor="text1"/>
          <w:lang w:eastAsia="zh-CN"/>
          <w14:textFill>
            <w14:solidFill>
              <w14:schemeClr w14:val="tx1"/>
            </w14:solidFill>
          </w14:textFill>
        </w:rPr>
        <w:t>施工期配备挖掘机、起重机、自卸汽车等设备大多以柴油作为燃料，各设备在运行过程中会产生燃油废气，排放的主要污染物为SO</w:t>
      </w:r>
      <w:r>
        <w:rPr>
          <w:rFonts w:hint="default" w:ascii="Times New Roman" w:hAnsi="Times New Roman" w:eastAsia="宋体" w:cs="Times New Roman"/>
          <w:color w:val="000000" w:themeColor="text1"/>
          <w:vertAlign w:val="subscript"/>
          <w:lang w:eastAsia="zh-CN"/>
          <w14:textFill>
            <w14:solidFill>
              <w14:schemeClr w14:val="tx1"/>
            </w14:solidFill>
          </w14:textFill>
        </w:rPr>
        <w:t>2</w:t>
      </w:r>
      <w:r>
        <w:rPr>
          <w:rFonts w:hint="default" w:ascii="Times New Roman" w:hAnsi="Times New Roman" w:eastAsia="宋体" w:cs="Times New Roman"/>
          <w:color w:val="000000" w:themeColor="text1"/>
          <w:lang w:eastAsia="zh-CN"/>
          <w14:textFill>
            <w14:solidFill>
              <w14:schemeClr w14:val="tx1"/>
            </w14:solidFill>
          </w14:textFill>
        </w:rPr>
        <w:t>、NO</w:t>
      </w:r>
      <w:r>
        <w:rPr>
          <w:rFonts w:hint="default" w:ascii="Times New Roman" w:hAnsi="Times New Roman" w:eastAsia="宋体" w:cs="Times New Roman"/>
          <w:color w:val="000000" w:themeColor="text1"/>
          <w:vertAlign w:val="subscript"/>
          <w:lang w:eastAsia="zh-CN"/>
          <w14:textFill>
            <w14:solidFill>
              <w14:schemeClr w14:val="tx1"/>
            </w14:solidFill>
          </w14:textFill>
        </w:rPr>
        <w:t>2</w:t>
      </w:r>
      <w:r>
        <w:rPr>
          <w:rFonts w:hint="default" w:ascii="Times New Roman" w:hAnsi="Times New Roman" w:eastAsia="宋体" w:cs="Times New Roman"/>
          <w:color w:val="000000" w:themeColor="text1"/>
          <w:lang w:eastAsia="zh-CN"/>
          <w14:textFill>
            <w14:solidFill>
              <w14:schemeClr w14:val="tx1"/>
            </w14:solidFill>
          </w14:textFill>
        </w:rPr>
        <w:t>、CO、烟尘等，因其产生量较小，本评价不作定量分析。</w:t>
      </w:r>
    </w:p>
    <w:p w14:paraId="3D56E055">
      <w:pPr>
        <w:pStyle w:val="11"/>
        <w:adjustRightInd w:val="0"/>
        <w:snapToGrid w:val="0"/>
        <w:ind w:firstLine="480"/>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eastAsia="宋体" w:cs="Times New Roman"/>
          <w:color w:val="000000" w:themeColor="text1"/>
          <w:lang w:eastAsia="zh-CN"/>
          <w14:textFill>
            <w14:solidFill>
              <w14:schemeClr w14:val="tx1"/>
            </w14:solidFill>
          </w14:textFill>
        </w:rPr>
        <w:t>本项目施工配备1台60kW移动式柴油发电机，参照《非道路移动机械用柴油机排气污染物排放限值及测量方法（中国Ⅲ、Ⅳ阶段）》（GB20891-2014）中的排气污染物限值：CO5.0g/kWh、HC+NOx4.7g/kWh、烟尘0.40g/kWh，按1台60kW移动式柴油发电机同时工作且满负荷运行1小时计，则柴油发电机大气排放量分别为：CO0.30kg/h、HC+NOx0.282kg/h、烟尘0.024kg/h。</w:t>
      </w:r>
    </w:p>
    <w:p w14:paraId="1996F995">
      <w:pPr>
        <w:pStyle w:val="11"/>
        <w:adjustRightInd w:val="0"/>
        <w:snapToGrid w:val="0"/>
        <w:ind w:firstLine="482"/>
        <w:rPr>
          <w:rFonts w:hint="default" w:ascii="Times New Roman" w:hAnsi="Times New Roman" w:eastAsia="宋体" w:cs="Times New Roman"/>
          <w:b/>
          <w:color w:val="000000" w:themeColor="text1"/>
          <w:lang w:eastAsia="zh-CN"/>
          <w14:textFill>
            <w14:solidFill>
              <w14:schemeClr w14:val="tx1"/>
            </w14:solidFill>
          </w14:textFill>
        </w:rPr>
      </w:pPr>
      <w:r>
        <w:rPr>
          <w:rFonts w:hint="default" w:ascii="Times New Roman" w:hAnsi="Times New Roman" w:eastAsia="宋体" w:cs="Times New Roman"/>
          <w:b/>
          <w:color w:val="000000" w:themeColor="text1"/>
          <w:lang w:eastAsia="zh-CN"/>
          <w14:textFill>
            <w14:solidFill>
              <w14:schemeClr w14:val="tx1"/>
            </w14:solidFill>
          </w14:textFill>
        </w:rPr>
        <w:t>3.3.1.2废水</w:t>
      </w:r>
    </w:p>
    <w:p w14:paraId="4C9017D1">
      <w:pPr>
        <w:pStyle w:val="11"/>
        <w:adjustRightInd w:val="0"/>
        <w:snapToGrid w:val="0"/>
        <w:ind w:firstLine="480"/>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eastAsia="宋体" w:cs="Times New Roman"/>
          <w:color w:val="000000" w:themeColor="text1"/>
          <w:lang w:eastAsia="zh-CN"/>
          <w14:textFill>
            <w14:solidFill>
              <w14:schemeClr w14:val="tx1"/>
            </w14:solidFill>
          </w14:textFill>
        </w:rPr>
        <w:t>施工期废水主要来自施工过程中的生产废水和施工人员的生活污水。</w:t>
      </w:r>
    </w:p>
    <w:p w14:paraId="476798EF">
      <w:pPr>
        <w:pStyle w:val="11"/>
        <w:adjustRightInd w:val="0"/>
        <w:snapToGrid w:val="0"/>
        <w:ind w:firstLine="480"/>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eastAsia="宋体" w:cs="Times New Roman"/>
          <w:color w:val="000000" w:themeColor="text1"/>
          <w:lang w:eastAsia="zh-CN"/>
          <w14:textFill>
            <w14:solidFill>
              <w14:schemeClr w14:val="tx1"/>
            </w14:solidFill>
          </w14:textFill>
        </w:rPr>
        <w:t>（1）生产废水</w:t>
      </w:r>
    </w:p>
    <w:p w14:paraId="02BE62C2">
      <w:pPr>
        <w:pStyle w:val="11"/>
        <w:adjustRightInd w:val="0"/>
        <w:snapToGrid w:val="0"/>
        <w:ind w:firstLine="480"/>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eastAsia="宋体" w:cs="Times New Roman"/>
          <w:color w:val="000000" w:themeColor="text1"/>
          <w:lang w:eastAsia="zh-CN"/>
          <w14:textFill>
            <w14:solidFill>
              <w14:schemeClr w14:val="tx1"/>
            </w14:solidFill>
          </w14:textFill>
        </w:rPr>
        <w:t>生产废水产生于清洗设备、材料冲洗、混凝土搅拌与养护过程。其中，施工机械的修理、维护过程及作业过程中的跑、冒、滴、漏以及施工中必要的机械油料的使用会产生含油废水；施工设备及车辆的冲洗产生冲洗废水。混凝土养护水多被吸收或蒸发，其余生产废水所含污染物主要是SS和石油类，项目的施工量不大，施工废水较少。另外，项目区的泥浆水、雨水冲刷场地所也产生废水。工地要设废水沉淀池，对生产废水经隔油沉淀处理后回用于施工场水池，不外排。</w:t>
      </w:r>
    </w:p>
    <w:p w14:paraId="0B62CA5E">
      <w:pPr>
        <w:pStyle w:val="11"/>
        <w:adjustRightInd w:val="0"/>
        <w:snapToGrid w:val="0"/>
        <w:ind w:firstLine="480"/>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eastAsia="宋体" w:cs="Times New Roman"/>
          <w:color w:val="000000" w:themeColor="text1"/>
          <w:lang w:eastAsia="zh-CN"/>
          <w14:textFill>
            <w14:solidFill>
              <w14:schemeClr w14:val="tx1"/>
            </w14:solidFill>
          </w14:textFill>
        </w:rPr>
        <w:t>（2）生活污水</w:t>
      </w:r>
    </w:p>
    <w:p w14:paraId="4D97A699">
      <w:pPr>
        <w:pStyle w:val="11"/>
        <w:adjustRightInd w:val="0"/>
        <w:snapToGrid w:val="0"/>
        <w:ind w:firstLine="480"/>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eastAsia="宋体" w:cs="Times New Roman"/>
          <w:color w:val="000000" w:themeColor="text1"/>
          <w:lang w:eastAsia="zh-CN"/>
          <w14:textFill>
            <w14:solidFill>
              <w14:schemeClr w14:val="tx1"/>
            </w14:solidFill>
          </w14:textFill>
        </w:rPr>
        <w:t>施工高峰期间施工人员可达20人，每天生活用水按50L/人计，排放系数取0.8，则施工期生活污水最大排放量为0.8t/d。主要污染物为COD、BOD</w:t>
      </w:r>
      <w:r>
        <w:rPr>
          <w:rFonts w:hint="default" w:ascii="Times New Roman" w:hAnsi="Times New Roman" w:eastAsia="宋体" w:cs="Times New Roman"/>
          <w:color w:val="000000" w:themeColor="text1"/>
          <w:vertAlign w:val="subscript"/>
          <w:lang w:eastAsia="zh-CN"/>
          <w14:textFill>
            <w14:solidFill>
              <w14:schemeClr w14:val="tx1"/>
            </w14:solidFill>
          </w14:textFill>
        </w:rPr>
        <w:t>5</w:t>
      </w:r>
      <w:r>
        <w:rPr>
          <w:rFonts w:hint="default" w:ascii="Times New Roman" w:hAnsi="Times New Roman" w:eastAsia="宋体" w:cs="Times New Roman"/>
          <w:color w:val="000000" w:themeColor="text1"/>
          <w:lang w:eastAsia="zh-CN"/>
          <w14:textFill>
            <w14:solidFill>
              <w14:schemeClr w14:val="tx1"/>
            </w14:solidFill>
          </w14:textFill>
        </w:rPr>
        <w:t>、SS、NH</w:t>
      </w:r>
      <w:r>
        <w:rPr>
          <w:rFonts w:hint="default" w:ascii="Times New Roman" w:hAnsi="Times New Roman" w:eastAsia="宋体" w:cs="Times New Roman"/>
          <w:color w:val="000000" w:themeColor="text1"/>
          <w:vertAlign w:val="subscript"/>
          <w:lang w:eastAsia="zh-CN"/>
          <w14:textFill>
            <w14:solidFill>
              <w14:schemeClr w14:val="tx1"/>
            </w14:solidFill>
          </w14:textFill>
        </w:rPr>
        <w:t>3</w:t>
      </w:r>
      <w:r>
        <w:rPr>
          <w:rFonts w:hint="default" w:ascii="Times New Roman" w:hAnsi="Times New Roman" w:eastAsia="宋体" w:cs="Times New Roman"/>
          <w:color w:val="000000" w:themeColor="text1"/>
          <w:lang w:eastAsia="zh-CN"/>
          <w14:textFill>
            <w14:solidFill>
              <w14:schemeClr w14:val="tx1"/>
            </w14:solidFill>
          </w14:textFill>
        </w:rPr>
        <w:t>-N、TP等污染物，参考典型生活污水水质，主要污染物浓度为COD400mg/L、BOD</w:t>
      </w:r>
      <w:r>
        <w:rPr>
          <w:rFonts w:hint="default" w:ascii="Times New Roman" w:hAnsi="Times New Roman" w:eastAsia="宋体" w:cs="Times New Roman"/>
          <w:color w:val="000000" w:themeColor="text1"/>
          <w:vertAlign w:val="subscript"/>
          <w:lang w:eastAsia="zh-CN"/>
          <w14:textFill>
            <w14:solidFill>
              <w14:schemeClr w14:val="tx1"/>
            </w14:solidFill>
          </w14:textFill>
        </w:rPr>
        <w:t>5</w:t>
      </w:r>
      <w:r>
        <w:rPr>
          <w:rFonts w:hint="default" w:ascii="Times New Roman" w:hAnsi="Times New Roman" w:eastAsia="宋体" w:cs="Times New Roman"/>
          <w:color w:val="000000" w:themeColor="text1"/>
          <w:lang w:eastAsia="zh-CN"/>
          <w14:textFill>
            <w14:solidFill>
              <w14:schemeClr w14:val="tx1"/>
            </w14:solidFill>
          </w14:textFill>
        </w:rPr>
        <w:t>200mg/L、SS220mg/L、NH</w:t>
      </w:r>
      <w:r>
        <w:rPr>
          <w:rFonts w:hint="default" w:ascii="Times New Roman" w:hAnsi="Times New Roman" w:eastAsia="宋体" w:cs="Times New Roman"/>
          <w:color w:val="000000" w:themeColor="text1"/>
          <w:vertAlign w:val="subscript"/>
          <w:lang w:eastAsia="zh-CN"/>
          <w14:textFill>
            <w14:solidFill>
              <w14:schemeClr w14:val="tx1"/>
            </w14:solidFill>
          </w14:textFill>
        </w:rPr>
        <w:t>3</w:t>
      </w:r>
      <w:r>
        <w:rPr>
          <w:rFonts w:hint="default" w:ascii="Times New Roman" w:hAnsi="Times New Roman" w:eastAsia="宋体" w:cs="Times New Roman"/>
          <w:color w:val="000000" w:themeColor="text1"/>
          <w:lang w:eastAsia="zh-CN"/>
          <w14:textFill>
            <w14:solidFill>
              <w14:schemeClr w14:val="tx1"/>
            </w14:solidFill>
          </w14:textFill>
        </w:rPr>
        <w:t>-N35mg/L、TP3.5mg/L。施工期施工人员均雇佣当地村民，工地不涉食宿，生活污水均依托周边村庄，施工人员生活污水不外排。</w:t>
      </w:r>
    </w:p>
    <w:p w14:paraId="7F582DC8">
      <w:pPr>
        <w:pStyle w:val="11"/>
        <w:adjustRightInd w:val="0"/>
        <w:snapToGrid w:val="0"/>
        <w:ind w:firstLine="482"/>
        <w:rPr>
          <w:rFonts w:hint="default" w:ascii="Times New Roman" w:hAnsi="Times New Roman" w:eastAsia="宋体" w:cs="Times New Roman"/>
          <w:b/>
          <w:color w:val="000000" w:themeColor="text1"/>
          <w:lang w:eastAsia="zh-CN"/>
          <w14:textFill>
            <w14:solidFill>
              <w14:schemeClr w14:val="tx1"/>
            </w14:solidFill>
          </w14:textFill>
        </w:rPr>
      </w:pPr>
      <w:r>
        <w:rPr>
          <w:rFonts w:hint="default" w:ascii="Times New Roman" w:hAnsi="Times New Roman" w:eastAsia="宋体" w:cs="Times New Roman"/>
          <w:b/>
          <w:color w:val="000000" w:themeColor="text1"/>
          <w:lang w:eastAsia="zh-CN"/>
          <w14:textFill>
            <w14:solidFill>
              <w14:schemeClr w14:val="tx1"/>
            </w14:solidFill>
          </w14:textFill>
        </w:rPr>
        <w:t>3.3.1.3固体废物</w:t>
      </w:r>
    </w:p>
    <w:p w14:paraId="620E156B">
      <w:pPr>
        <w:pStyle w:val="11"/>
        <w:adjustRightInd w:val="0"/>
        <w:snapToGrid w:val="0"/>
        <w:ind w:firstLine="480"/>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eastAsia="宋体" w:cs="Times New Roman"/>
          <w:color w:val="000000" w:themeColor="text1"/>
          <w:lang w:eastAsia="zh-CN"/>
          <w14:textFill>
            <w14:solidFill>
              <w14:schemeClr w14:val="tx1"/>
            </w14:solidFill>
          </w14:textFill>
        </w:rPr>
        <w:t>施工期的固体废物主要有挖掘土方、建筑垃圾以及施工人员的生活垃圾。</w:t>
      </w:r>
    </w:p>
    <w:p w14:paraId="2125EF0C">
      <w:pPr>
        <w:pStyle w:val="11"/>
        <w:adjustRightInd w:val="0"/>
        <w:snapToGrid w:val="0"/>
        <w:ind w:firstLine="480"/>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eastAsia="宋体" w:cs="Times New Roman"/>
          <w:color w:val="000000" w:themeColor="text1"/>
          <w:lang w:eastAsia="zh-CN"/>
          <w14:textFill>
            <w14:solidFill>
              <w14:schemeClr w14:val="tx1"/>
            </w14:solidFill>
          </w14:textFill>
        </w:rPr>
        <w:t>（1）挖方弃土</w:t>
      </w:r>
    </w:p>
    <w:p w14:paraId="3235B366">
      <w:pPr>
        <w:pStyle w:val="11"/>
        <w:adjustRightInd w:val="0"/>
        <w:snapToGrid w:val="0"/>
        <w:ind w:firstLine="480"/>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eastAsia="宋体" w:cs="Times New Roman"/>
          <w:color w:val="000000" w:themeColor="text1"/>
          <w:lang w:eastAsia="zh-CN"/>
          <w14:textFill>
            <w14:solidFill>
              <w14:schemeClr w14:val="tx1"/>
            </w14:solidFill>
          </w14:textFill>
        </w:rPr>
        <w:t>项目挖方0.20万m</w:t>
      </w:r>
      <w:r>
        <w:rPr>
          <w:rFonts w:hint="default" w:ascii="Times New Roman" w:hAnsi="Times New Roman" w:eastAsia="宋体" w:cs="Times New Roman"/>
          <w:color w:val="000000" w:themeColor="text1"/>
          <w:vertAlign w:val="superscript"/>
          <w:lang w:eastAsia="zh-CN"/>
          <w14:textFill>
            <w14:solidFill>
              <w14:schemeClr w14:val="tx1"/>
            </w14:solidFill>
          </w14:textFill>
        </w:rPr>
        <w:t>3</w:t>
      </w:r>
      <w:r>
        <w:rPr>
          <w:rFonts w:hint="default" w:ascii="Times New Roman" w:hAnsi="Times New Roman" w:eastAsia="宋体" w:cs="Times New Roman"/>
          <w:color w:val="000000" w:themeColor="text1"/>
          <w:lang w:eastAsia="zh-CN"/>
          <w14:textFill>
            <w14:solidFill>
              <w14:schemeClr w14:val="tx1"/>
            </w14:solidFill>
          </w14:textFill>
        </w:rPr>
        <w:t>，表土施工结束后用于植被恢复覆土，不产生弃方。</w:t>
      </w:r>
    </w:p>
    <w:p w14:paraId="5059ECFE">
      <w:pPr>
        <w:pStyle w:val="11"/>
        <w:adjustRightInd w:val="0"/>
        <w:snapToGrid w:val="0"/>
        <w:ind w:firstLine="480"/>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eastAsia="宋体" w:cs="Times New Roman"/>
          <w:color w:val="000000" w:themeColor="text1"/>
          <w:lang w:eastAsia="zh-CN"/>
          <w14:textFill>
            <w14:solidFill>
              <w14:schemeClr w14:val="tx1"/>
            </w14:solidFill>
          </w14:textFill>
        </w:rPr>
        <w:t>（2）建筑垃圾</w:t>
      </w:r>
    </w:p>
    <w:p w14:paraId="5F61FC97">
      <w:pPr>
        <w:pStyle w:val="11"/>
        <w:adjustRightInd w:val="0"/>
        <w:snapToGrid w:val="0"/>
        <w:ind w:firstLine="480"/>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eastAsia="宋体" w:cs="Times New Roman"/>
          <w:color w:val="000000" w:themeColor="text1"/>
          <w:lang w:eastAsia="zh-CN"/>
          <w14:textFill>
            <w14:solidFill>
              <w14:schemeClr w14:val="tx1"/>
            </w14:solidFill>
          </w14:textFill>
        </w:rPr>
        <w:t>建筑垃圾的成分主要为碎砂石、砖、混凝土等，其产生量约为5t，不可利用的及时清理并外运到当地制定的堆存地点。</w:t>
      </w:r>
    </w:p>
    <w:p w14:paraId="31E53368">
      <w:pPr>
        <w:pStyle w:val="11"/>
        <w:adjustRightInd w:val="0"/>
        <w:snapToGrid w:val="0"/>
        <w:ind w:firstLine="480"/>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eastAsia="宋体" w:cs="Times New Roman"/>
          <w:color w:val="000000" w:themeColor="text1"/>
          <w:lang w:eastAsia="zh-CN"/>
          <w14:textFill>
            <w14:solidFill>
              <w14:schemeClr w14:val="tx1"/>
            </w14:solidFill>
          </w14:textFill>
        </w:rPr>
        <w:t>（3）生活垃圾</w:t>
      </w:r>
    </w:p>
    <w:p w14:paraId="01A43679">
      <w:pPr>
        <w:pStyle w:val="11"/>
        <w:adjustRightInd w:val="0"/>
        <w:snapToGrid w:val="0"/>
        <w:ind w:firstLine="480"/>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eastAsia="宋体" w:cs="Times New Roman"/>
          <w:color w:val="000000" w:themeColor="text1"/>
          <w:lang w:eastAsia="zh-CN"/>
          <w14:textFill>
            <w14:solidFill>
              <w14:schemeClr w14:val="tx1"/>
            </w14:solidFill>
          </w14:textFill>
        </w:rPr>
        <w:t>施工期生活垃圾产生量约20kg/d。施工现场设置垃圾箱集中收集生活垃圾，及时联系环卫部门外运处置，以减少对周边环境卫生的影响。</w:t>
      </w:r>
    </w:p>
    <w:p w14:paraId="434A464B">
      <w:pPr>
        <w:pStyle w:val="11"/>
        <w:adjustRightInd w:val="0"/>
        <w:snapToGrid w:val="0"/>
        <w:ind w:firstLine="482"/>
        <w:rPr>
          <w:rFonts w:hint="default" w:ascii="Times New Roman" w:hAnsi="Times New Roman" w:eastAsia="宋体" w:cs="Times New Roman"/>
          <w:b/>
          <w:color w:val="000000" w:themeColor="text1"/>
          <w:lang w:eastAsia="zh-CN"/>
          <w14:textFill>
            <w14:solidFill>
              <w14:schemeClr w14:val="tx1"/>
            </w14:solidFill>
          </w14:textFill>
        </w:rPr>
      </w:pPr>
      <w:r>
        <w:rPr>
          <w:rFonts w:hint="default" w:ascii="Times New Roman" w:hAnsi="Times New Roman" w:eastAsia="宋体" w:cs="Times New Roman"/>
          <w:b/>
          <w:color w:val="000000" w:themeColor="text1"/>
          <w:lang w:eastAsia="zh-CN"/>
          <w14:textFill>
            <w14:solidFill>
              <w14:schemeClr w14:val="tx1"/>
            </w14:solidFill>
          </w14:textFill>
        </w:rPr>
        <w:t>3.3.1.4噪声</w:t>
      </w:r>
    </w:p>
    <w:p w14:paraId="69D3C091">
      <w:pPr>
        <w:pStyle w:val="11"/>
        <w:adjustRightInd w:val="0"/>
        <w:snapToGrid w:val="0"/>
        <w:ind w:firstLine="480"/>
        <w:rPr>
          <w:rFonts w:hint="default" w:ascii="Times New Roman" w:hAnsi="Times New Roman" w:eastAsia="宋体" w:cs="Times New Roman"/>
          <w:color w:val="000000" w:themeColor="text1"/>
          <w:lang w:val="zh-CN" w:eastAsia="zh-CN"/>
          <w14:textFill>
            <w14:solidFill>
              <w14:schemeClr w14:val="tx1"/>
            </w14:solidFill>
          </w14:textFill>
        </w:rPr>
      </w:pPr>
      <w:r>
        <w:rPr>
          <w:rFonts w:hint="default" w:ascii="Times New Roman" w:hAnsi="Times New Roman" w:eastAsia="宋体" w:cs="Times New Roman"/>
          <w:color w:val="000000" w:themeColor="text1"/>
          <w:lang w:val="zh-CN" w:eastAsia="zh-CN"/>
          <w14:textFill>
            <w14:solidFill>
              <w14:schemeClr w14:val="tx1"/>
            </w14:solidFill>
          </w14:textFill>
        </w:rPr>
        <w:t>施工期噪声主要是各种机械设备所产生的噪声和车辆行驶时产生的噪声。项目施工期间施工设备噪声值见表3.</w:t>
      </w:r>
      <w:r>
        <w:rPr>
          <w:rFonts w:hint="default" w:ascii="Times New Roman" w:hAnsi="Times New Roman" w:eastAsia="宋体" w:cs="Times New Roman"/>
          <w:color w:val="000000" w:themeColor="text1"/>
          <w:lang w:eastAsia="zh-CN"/>
          <w14:textFill>
            <w14:solidFill>
              <w14:schemeClr w14:val="tx1"/>
            </w14:solidFill>
          </w14:textFill>
        </w:rPr>
        <w:t>3-2</w:t>
      </w:r>
      <w:r>
        <w:rPr>
          <w:rFonts w:hint="default" w:ascii="Times New Roman" w:hAnsi="Times New Roman" w:eastAsia="宋体" w:cs="Times New Roman"/>
          <w:color w:val="000000" w:themeColor="text1"/>
          <w:lang w:val="zh-CN" w:eastAsia="zh-CN"/>
          <w14:textFill>
            <w14:solidFill>
              <w14:schemeClr w14:val="tx1"/>
            </w14:solidFill>
          </w14:textFill>
        </w:rPr>
        <w:t>。</w:t>
      </w:r>
    </w:p>
    <w:p w14:paraId="181661BD">
      <w:pPr>
        <w:pStyle w:val="11"/>
        <w:adjustRightInd w:val="0"/>
        <w:snapToGrid w:val="0"/>
        <w:ind w:firstLine="482"/>
        <w:jc w:val="center"/>
        <w:rPr>
          <w:rFonts w:hint="default" w:ascii="Times New Roman" w:hAnsi="Times New Roman" w:eastAsia="宋体" w:cs="Times New Roman"/>
          <w:b/>
          <w:color w:val="000000" w:themeColor="text1"/>
          <w:lang w:val="zh-CN" w:eastAsia="zh-CN"/>
          <w14:textFill>
            <w14:solidFill>
              <w14:schemeClr w14:val="tx1"/>
            </w14:solidFill>
          </w14:textFill>
        </w:rPr>
      </w:pPr>
      <w:r>
        <w:rPr>
          <w:rFonts w:hint="default" w:ascii="Times New Roman" w:hAnsi="Times New Roman" w:eastAsia="宋体" w:cs="Times New Roman"/>
          <w:b/>
          <w:color w:val="000000" w:themeColor="text1"/>
          <w:lang w:val="zh-CN" w:eastAsia="zh-CN"/>
          <w14:textFill>
            <w14:solidFill>
              <w14:schemeClr w14:val="tx1"/>
            </w14:solidFill>
          </w14:textFill>
        </w:rPr>
        <w:t>表3.</w:t>
      </w:r>
      <w:r>
        <w:rPr>
          <w:rFonts w:hint="default" w:ascii="Times New Roman" w:hAnsi="Times New Roman" w:eastAsia="宋体" w:cs="Times New Roman"/>
          <w:b/>
          <w:color w:val="000000" w:themeColor="text1"/>
          <w:lang w:eastAsia="zh-CN"/>
          <w14:textFill>
            <w14:solidFill>
              <w14:schemeClr w14:val="tx1"/>
            </w14:solidFill>
          </w14:textFill>
        </w:rPr>
        <w:t>3-2</w:t>
      </w:r>
      <w:r>
        <w:rPr>
          <w:rFonts w:hint="default" w:ascii="Times New Roman" w:hAnsi="Times New Roman" w:eastAsia="宋体" w:cs="Times New Roman"/>
          <w:b/>
          <w:color w:val="000000" w:themeColor="text1"/>
          <w:lang w:val="zh-CN" w:eastAsia="zh-CN"/>
          <w14:textFill>
            <w14:solidFill>
              <w14:schemeClr w14:val="tx1"/>
            </w14:solidFill>
          </w14:textFill>
        </w:rPr>
        <w:t>主要施工机械设备及加工系统噪声源强</w:t>
      </w:r>
    </w:p>
    <w:tbl>
      <w:tblPr>
        <w:tblStyle w:val="3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37"/>
        <w:gridCol w:w="1578"/>
        <w:gridCol w:w="3427"/>
        <w:gridCol w:w="2579"/>
      </w:tblGrid>
      <w:tr w14:paraId="66C957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0" w:type="pct"/>
            <w:vAlign w:val="center"/>
          </w:tcPr>
          <w:p w14:paraId="40570E18">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序号</w:t>
            </w:r>
          </w:p>
        </w:tc>
        <w:tc>
          <w:tcPr>
            <w:tcW w:w="926" w:type="pct"/>
            <w:vAlign w:val="center"/>
          </w:tcPr>
          <w:p w14:paraId="046E6D4F">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施工设备</w:t>
            </w:r>
          </w:p>
        </w:tc>
        <w:tc>
          <w:tcPr>
            <w:tcW w:w="2011" w:type="pct"/>
            <w:vAlign w:val="center"/>
          </w:tcPr>
          <w:p w14:paraId="5DDA2FD5">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测点与设备距离（m）</w:t>
            </w:r>
          </w:p>
        </w:tc>
        <w:tc>
          <w:tcPr>
            <w:tcW w:w="1514" w:type="pct"/>
            <w:vAlign w:val="center"/>
          </w:tcPr>
          <w:p w14:paraId="7A45B2F2">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最大声级[dB</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w:t>
            </w:r>
            <w:r>
              <w:rPr>
                <w:rFonts w:hint="default" w:ascii="Times New Roman" w:hAnsi="Times New Roman" w:eastAsia="宋体" w:cs="Times New Roman"/>
                <w:color w:val="000000" w:themeColor="text1"/>
                <w:spacing w:val="-6"/>
                <w:sz w:val="21"/>
                <w:szCs w:val="21"/>
                <w14:textFill>
                  <w14:solidFill>
                    <w14:schemeClr w14:val="tx1"/>
                  </w14:solidFill>
                </w14:textFill>
              </w:rPr>
              <w:t>A</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w:t>
            </w:r>
            <w:r>
              <w:rPr>
                <w:rFonts w:hint="default" w:ascii="Times New Roman" w:hAnsi="Times New Roman" w:eastAsia="宋体" w:cs="Times New Roman"/>
                <w:color w:val="000000" w:themeColor="text1"/>
                <w:spacing w:val="-6"/>
                <w:sz w:val="21"/>
                <w:szCs w:val="21"/>
                <w14:textFill>
                  <w14:solidFill>
                    <w14:schemeClr w14:val="tx1"/>
                  </w14:solidFill>
                </w14:textFill>
              </w:rPr>
              <w:t>]</w:t>
            </w:r>
          </w:p>
        </w:tc>
      </w:tr>
      <w:tr w14:paraId="50C6A7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0" w:type="pct"/>
            <w:vAlign w:val="center"/>
          </w:tcPr>
          <w:p w14:paraId="6AD24E71">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1</w:t>
            </w:r>
          </w:p>
        </w:tc>
        <w:tc>
          <w:tcPr>
            <w:tcW w:w="926" w:type="pct"/>
            <w:vAlign w:val="center"/>
          </w:tcPr>
          <w:p w14:paraId="0D294E25">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装载机</w:t>
            </w:r>
          </w:p>
        </w:tc>
        <w:tc>
          <w:tcPr>
            <w:tcW w:w="2011" w:type="pct"/>
            <w:vAlign w:val="center"/>
          </w:tcPr>
          <w:p w14:paraId="226CBF6B">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5</w:t>
            </w:r>
          </w:p>
        </w:tc>
        <w:tc>
          <w:tcPr>
            <w:tcW w:w="1514" w:type="pct"/>
            <w:vAlign w:val="center"/>
          </w:tcPr>
          <w:p w14:paraId="06D9352F">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80</w:t>
            </w:r>
          </w:p>
        </w:tc>
      </w:tr>
      <w:tr w14:paraId="7FAA86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0" w:type="pct"/>
            <w:vAlign w:val="center"/>
          </w:tcPr>
          <w:p w14:paraId="083F810F">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2</w:t>
            </w:r>
          </w:p>
        </w:tc>
        <w:tc>
          <w:tcPr>
            <w:tcW w:w="926" w:type="pct"/>
            <w:vAlign w:val="center"/>
          </w:tcPr>
          <w:p w14:paraId="1D6CBAC9">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柴油空压机</w:t>
            </w:r>
          </w:p>
        </w:tc>
        <w:tc>
          <w:tcPr>
            <w:tcW w:w="2011" w:type="pct"/>
            <w:vAlign w:val="center"/>
          </w:tcPr>
          <w:p w14:paraId="43BB58C4">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5</w:t>
            </w:r>
          </w:p>
        </w:tc>
        <w:tc>
          <w:tcPr>
            <w:tcW w:w="1514" w:type="pct"/>
            <w:vAlign w:val="center"/>
          </w:tcPr>
          <w:p w14:paraId="3F9A1EFE">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90</w:t>
            </w:r>
          </w:p>
        </w:tc>
      </w:tr>
      <w:tr w14:paraId="08BC18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0" w:type="pct"/>
            <w:vAlign w:val="center"/>
          </w:tcPr>
          <w:p w14:paraId="0AE72231">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3</w:t>
            </w:r>
          </w:p>
        </w:tc>
        <w:tc>
          <w:tcPr>
            <w:tcW w:w="926" w:type="pct"/>
            <w:vAlign w:val="center"/>
          </w:tcPr>
          <w:p w14:paraId="3CD7B4A5">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挖掘机</w:t>
            </w:r>
          </w:p>
        </w:tc>
        <w:tc>
          <w:tcPr>
            <w:tcW w:w="2011" w:type="pct"/>
            <w:vAlign w:val="center"/>
          </w:tcPr>
          <w:p w14:paraId="17AC4CF6">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5</w:t>
            </w:r>
          </w:p>
        </w:tc>
        <w:tc>
          <w:tcPr>
            <w:tcW w:w="1514" w:type="pct"/>
            <w:vAlign w:val="center"/>
          </w:tcPr>
          <w:p w14:paraId="11C0E637">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75</w:t>
            </w:r>
          </w:p>
        </w:tc>
      </w:tr>
      <w:tr w14:paraId="01B57F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0" w:type="pct"/>
            <w:vAlign w:val="center"/>
          </w:tcPr>
          <w:p w14:paraId="79E615B3">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4</w:t>
            </w:r>
          </w:p>
        </w:tc>
        <w:tc>
          <w:tcPr>
            <w:tcW w:w="926" w:type="pct"/>
            <w:vAlign w:val="center"/>
          </w:tcPr>
          <w:p w14:paraId="1CF1BB48">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搅拌机</w:t>
            </w:r>
          </w:p>
        </w:tc>
        <w:tc>
          <w:tcPr>
            <w:tcW w:w="2011" w:type="pct"/>
            <w:vAlign w:val="center"/>
          </w:tcPr>
          <w:p w14:paraId="19EABEAD">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5</w:t>
            </w:r>
          </w:p>
        </w:tc>
        <w:tc>
          <w:tcPr>
            <w:tcW w:w="1514" w:type="pct"/>
            <w:vAlign w:val="center"/>
          </w:tcPr>
          <w:p w14:paraId="4B764895">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78</w:t>
            </w:r>
          </w:p>
        </w:tc>
      </w:tr>
      <w:tr w14:paraId="22DFAB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0" w:type="pct"/>
            <w:vAlign w:val="center"/>
          </w:tcPr>
          <w:p w14:paraId="0FDE44B1">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5</w:t>
            </w:r>
          </w:p>
        </w:tc>
        <w:tc>
          <w:tcPr>
            <w:tcW w:w="926" w:type="pct"/>
            <w:vAlign w:val="center"/>
          </w:tcPr>
          <w:p w14:paraId="44479401">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起重机</w:t>
            </w:r>
          </w:p>
        </w:tc>
        <w:tc>
          <w:tcPr>
            <w:tcW w:w="2011" w:type="pct"/>
            <w:vAlign w:val="center"/>
          </w:tcPr>
          <w:p w14:paraId="61F8FF74">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5</w:t>
            </w:r>
          </w:p>
        </w:tc>
        <w:tc>
          <w:tcPr>
            <w:tcW w:w="1514" w:type="pct"/>
            <w:vAlign w:val="center"/>
          </w:tcPr>
          <w:p w14:paraId="56A13247">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80</w:t>
            </w:r>
          </w:p>
        </w:tc>
      </w:tr>
      <w:tr w14:paraId="370280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0" w:type="pct"/>
            <w:vAlign w:val="center"/>
          </w:tcPr>
          <w:p w14:paraId="1B270DFF">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6</w:t>
            </w:r>
          </w:p>
        </w:tc>
        <w:tc>
          <w:tcPr>
            <w:tcW w:w="926" w:type="pct"/>
            <w:vAlign w:val="center"/>
          </w:tcPr>
          <w:p w14:paraId="0DD08C3E">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震动棒</w:t>
            </w:r>
          </w:p>
        </w:tc>
        <w:tc>
          <w:tcPr>
            <w:tcW w:w="2011" w:type="pct"/>
            <w:vAlign w:val="center"/>
          </w:tcPr>
          <w:p w14:paraId="7106BEE2">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5</w:t>
            </w:r>
          </w:p>
        </w:tc>
        <w:tc>
          <w:tcPr>
            <w:tcW w:w="1514" w:type="pct"/>
            <w:vAlign w:val="center"/>
          </w:tcPr>
          <w:p w14:paraId="392A8E4A">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78</w:t>
            </w:r>
          </w:p>
        </w:tc>
      </w:tr>
      <w:tr w14:paraId="46B196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0" w:type="pct"/>
            <w:vAlign w:val="center"/>
          </w:tcPr>
          <w:p w14:paraId="05799AF0">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7</w:t>
            </w:r>
          </w:p>
        </w:tc>
        <w:tc>
          <w:tcPr>
            <w:tcW w:w="926" w:type="pct"/>
            <w:vAlign w:val="center"/>
          </w:tcPr>
          <w:p w14:paraId="2BDD5977">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拉直切割机</w:t>
            </w:r>
          </w:p>
        </w:tc>
        <w:tc>
          <w:tcPr>
            <w:tcW w:w="2011" w:type="pct"/>
            <w:vAlign w:val="center"/>
          </w:tcPr>
          <w:p w14:paraId="067BE246">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5</w:t>
            </w:r>
          </w:p>
        </w:tc>
        <w:tc>
          <w:tcPr>
            <w:tcW w:w="1514" w:type="pct"/>
            <w:vAlign w:val="center"/>
          </w:tcPr>
          <w:p w14:paraId="648EF72E">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78</w:t>
            </w:r>
          </w:p>
        </w:tc>
      </w:tr>
      <w:tr w14:paraId="517CBB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0" w:type="pct"/>
            <w:vAlign w:val="center"/>
          </w:tcPr>
          <w:p w14:paraId="347DC018">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8</w:t>
            </w:r>
          </w:p>
        </w:tc>
        <w:tc>
          <w:tcPr>
            <w:tcW w:w="926" w:type="pct"/>
            <w:vAlign w:val="center"/>
          </w:tcPr>
          <w:p w14:paraId="4C58AE5C">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冲击钻</w:t>
            </w:r>
          </w:p>
        </w:tc>
        <w:tc>
          <w:tcPr>
            <w:tcW w:w="2011" w:type="pct"/>
            <w:vAlign w:val="center"/>
          </w:tcPr>
          <w:p w14:paraId="496EBF17">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5</w:t>
            </w:r>
          </w:p>
        </w:tc>
        <w:tc>
          <w:tcPr>
            <w:tcW w:w="1514" w:type="pct"/>
            <w:vAlign w:val="center"/>
          </w:tcPr>
          <w:p w14:paraId="30148AC1">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80</w:t>
            </w:r>
          </w:p>
        </w:tc>
      </w:tr>
    </w:tbl>
    <w:p w14:paraId="10EB1111">
      <w:pPr>
        <w:pStyle w:val="11"/>
        <w:adjustRightInd w:val="0"/>
        <w:snapToGrid w:val="0"/>
        <w:ind w:firstLine="456"/>
        <w:rPr>
          <w:rFonts w:hint="default" w:ascii="Times New Roman" w:hAnsi="Times New Roman" w:eastAsia="宋体" w:cs="Times New Roman"/>
          <w:color w:val="000000" w:themeColor="text1"/>
          <w:spacing w:val="-6"/>
          <w:lang w:eastAsia="zh-CN"/>
          <w14:textFill>
            <w14:solidFill>
              <w14:schemeClr w14:val="tx1"/>
            </w14:solidFill>
          </w14:textFill>
        </w:rPr>
      </w:pPr>
      <w:r>
        <w:rPr>
          <w:rFonts w:hint="default" w:ascii="Times New Roman" w:hAnsi="Times New Roman" w:eastAsia="宋体" w:cs="Times New Roman"/>
          <w:color w:val="000000" w:themeColor="text1"/>
          <w:spacing w:val="-6"/>
          <w:lang w:eastAsia="zh-CN"/>
          <w14:textFill>
            <w14:solidFill>
              <w14:schemeClr w14:val="tx1"/>
            </w14:solidFill>
          </w14:textFill>
        </w:rPr>
        <w:t>施工期随着工程的展开，投入的施工设备也在变化。在施工初期，所选用的设备以推土机、挖掘机、打桩机和运输设备为主，之后使用较多的是发电机、压路机和运输设备等，后期使用的产噪设备主要为切割机、电焊机、电锯、电刨等。</w:t>
      </w:r>
    </w:p>
    <w:p w14:paraId="18072568">
      <w:pPr>
        <w:pStyle w:val="11"/>
        <w:adjustRightInd w:val="0"/>
        <w:snapToGrid w:val="0"/>
        <w:ind w:firstLine="456"/>
        <w:rPr>
          <w:rFonts w:hint="default" w:ascii="Times New Roman" w:hAnsi="Times New Roman" w:eastAsia="宋体" w:cs="Times New Roman"/>
          <w:color w:val="000000" w:themeColor="text1"/>
          <w:spacing w:val="-6"/>
          <w:lang w:eastAsia="zh-CN"/>
          <w14:textFill>
            <w14:solidFill>
              <w14:schemeClr w14:val="tx1"/>
            </w14:solidFill>
          </w14:textFill>
        </w:rPr>
      </w:pPr>
      <w:r>
        <w:rPr>
          <w:rFonts w:hint="default" w:ascii="Times New Roman" w:hAnsi="Times New Roman" w:eastAsia="宋体" w:cs="Times New Roman"/>
          <w:color w:val="000000" w:themeColor="text1"/>
          <w:spacing w:val="-6"/>
          <w:lang w:eastAsia="zh-CN"/>
          <w14:textFill>
            <w14:solidFill>
              <w14:schemeClr w14:val="tx1"/>
            </w14:solidFill>
          </w14:textFill>
        </w:rPr>
        <w:t>施工中运输车辆虽然较多，但按时空分布后一般流量不大，由于载重量大，建设期路况一般不佳，产生的声级较大。固定声源一般功率大，运行时间较长，对周围敏感目标的影响较大，影响程度主要取决于施工点与敏感目标的距离。</w:t>
      </w:r>
    </w:p>
    <w:p w14:paraId="545B076D">
      <w:pPr>
        <w:pStyle w:val="11"/>
        <w:adjustRightInd w:val="0"/>
        <w:snapToGrid w:val="0"/>
        <w:ind w:firstLine="482"/>
        <w:rPr>
          <w:rFonts w:hint="default" w:ascii="Times New Roman" w:hAnsi="Times New Roman" w:eastAsia="宋体" w:cs="Times New Roman"/>
          <w:color w:val="000000" w:themeColor="text1"/>
          <w:spacing w:val="-6"/>
          <w:lang w:eastAsia="zh-CN"/>
          <w14:textFill>
            <w14:solidFill>
              <w14:schemeClr w14:val="tx1"/>
            </w14:solidFill>
          </w14:textFill>
        </w:rPr>
      </w:pPr>
      <w:r>
        <w:rPr>
          <w:rFonts w:hint="default" w:ascii="Times New Roman" w:hAnsi="Times New Roman" w:eastAsia="宋体" w:cs="Times New Roman"/>
          <w:b/>
          <w:color w:val="000000" w:themeColor="text1"/>
          <w:lang w:eastAsia="zh-CN"/>
          <w14:textFill>
            <w14:solidFill>
              <w14:schemeClr w14:val="tx1"/>
            </w14:solidFill>
          </w14:textFill>
        </w:rPr>
        <w:t>3.3.1.5生态影响</w:t>
      </w:r>
    </w:p>
    <w:p w14:paraId="0760DD0F">
      <w:pPr>
        <w:pStyle w:val="11"/>
        <w:adjustRightInd w:val="0"/>
        <w:snapToGrid w:val="0"/>
        <w:ind w:firstLine="456"/>
        <w:rPr>
          <w:rFonts w:hint="default" w:ascii="Times New Roman" w:hAnsi="Times New Roman" w:eastAsia="宋体" w:cs="Times New Roman"/>
          <w:color w:val="000000" w:themeColor="text1"/>
          <w:spacing w:val="-6"/>
          <w:lang w:eastAsia="zh-CN"/>
          <w14:textFill>
            <w14:solidFill>
              <w14:schemeClr w14:val="tx1"/>
            </w14:solidFill>
          </w14:textFill>
        </w:rPr>
      </w:pPr>
      <w:r>
        <w:rPr>
          <w:rFonts w:hint="default" w:ascii="Times New Roman" w:hAnsi="Times New Roman" w:eastAsia="宋体" w:cs="Times New Roman"/>
          <w:color w:val="000000" w:themeColor="text1"/>
          <w:spacing w:val="-6"/>
          <w:lang w:eastAsia="zh-CN"/>
          <w14:textFill>
            <w14:solidFill>
              <w14:schemeClr w14:val="tx1"/>
            </w14:solidFill>
          </w14:textFill>
        </w:rPr>
        <w:t>项目建设征用的土地类型为</w:t>
      </w:r>
      <w:r>
        <w:rPr>
          <w:rFonts w:hint="eastAsia" w:ascii="Times New Roman" w:hAnsi="Times New Roman" w:cs="Times New Roman"/>
          <w:color w:val="000000" w:themeColor="text1"/>
          <w:spacing w:val="-6"/>
          <w:lang w:val="en-US" w:eastAsia="zh-CN"/>
          <w14:textFill>
            <w14:solidFill>
              <w14:schemeClr w14:val="tx1"/>
            </w14:solidFill>
          </w14:textFill>
        </w:rPr>
        <w:t>用材林地</w:t>
      </w:r>
      <w:r>
        <w:rPr>
          <w:rFonts w:hint="default" w:ascii="Times New Roman" w:hAnsi="Times New Roman" w:eastAsia="宋体" w:cs="Times New Roman"/>
          <w:color w:val="000000" w:themeColor="text1"/>
          <w:spacing w:val="-6"/>
          <w:lang w:eastAsia="zh-CN"/>
          <w14:textFill>
            <w14:solidFill>
              <w14:schemeClr w14:val="tx1"/>
            </w14:solidFill>
          </w14:textFill>
        </w:rPr>
        <w:t>，主要以</w:t>
      </w:r>
      <w:r>
        <w:rPr>
          <w:rFonts w:hint="eastAsia" w:ascii="Times New Roman" w:hAnsi="Times New Roman" w:cs="Times New Roman"/>
          <w:color w:val="000000" w:themeColor="text1"/>
          <w:spacing w:val="-6"/>
          <w:lang w:val="en-US" w:eastAsia="zh-CN"/>
          <w14:textFill>
            <w14:solidFill>
              <w14:schemeClr w14:val="tx1"/>
            </w14:solidFill>
          </w14:textFill>
        </w:rPr>
        <w:t>杨树</w:t>
      </w:r>
      <w:r>
        <w:rPr>
          <w:rFonts w:hint="default" w:ascii="Times New Roman" w:hAnsi="Times New Roman" w:eastAsia="宋体" w:cs="Times New Roman"/>
          <w:color w:val="000000" w:themeColor="text1"/>
          <w:spacing w:val="-6"/>
          <w:lang w:eastAsia="zh-CN"/>
          <w14:textFill>
            <w14:solidFill>
              <w14:schemeClr w14:val="tx1"/>
            </w14:solidFill>
          </w14:textFill>
        </w:rPr>
        <w:t>为主，项目建设过程，将改变其土地使用功能，破坏现有植被。项目区土壤侵蚀类型为中度，在挖土及填土过程会导致地表土的松动和余土临时堆放，在降雨冲蚀、地表径流的作用下，不可避免地产生一定程度的水土流失。</w:t>
      </w:r>
    </w:p>
    <w:p w14:paraId="58C58FD2">
      <w:pPr>
        <w:pStyle w:val="11"/>
        <w:adjustRightInd w:val="0"/>
        <w:snapToGrid w:val="0"/>
        <w:ind w:firstLine="482"/>
        <w:outlineLvl w:val="2"/>
        <w:rPr>
          <w:rFonts w:hint="default" w:ascii="Times New Roman" w:hAnsi="Times New Roman" w:eastAsia="宋体" w:cs="Times New Roman"/>
          <w:b/>
          <w:color w:val="000000" w:themeColor="text1"/>
          <w:lang w:eastAsia="zh-CN"/>
          <w14:textFill>
            <w14:solidFill>
              <w14:schemeClr w14:val="tx1"/>
            </w14:solidFill>
          </w14:textFill>
        </w:rPr>
      </w:pPr>
      <w:bookmarkStart w:id="118" w:name="_Toc18960"/>
      <w:r>
        <w:rPr>
          <w:rFonts w:hint="default" w:ascii="Times New Roman" w:hAnsi="Times New Roman" w:eastAsia="宋体" w:cs="Times New Roman"/>
          <w:b/>
          <w:color w:val="000000" w:themeColor="text1"/>
          <w:lang w:eastAsia="zh-CN"/>
          <w14:textFill>
            <w14:solidFill>
              <w14:schemeClr w14:val="tx1"/>
            </w14:solidFill>
          </w14:textFill>
        </w:rPr>
        <w:t>3.3.2运营期污染因素分析</w:t>
      </w:r>
      <w:bookmarkEnd w:id="118"/>
    </w:p>
    <w:p w14:paraId="6248B321">
      <w:pPr>
        <w:pStyle w:val="11"/>
        <w:adjustRightInd w:val="0"/>
        <w:snapToGrid w:val="0"/>
        <w:ind w:firstLine="456"/>
        <w:rPr>
          <w:rFonts w:hint="default" w:ascii="Times New Roman" w:hAnsi="Times New Roman" w:eastAsia="宋体" w:cs="Times New Roman"/>
          <w:color w:val="000000" w:themeColor="text1"/>
          <w:spacing w:val="-6"/>
          <w:lang w:eastAsia="zh-CN"/>
          <w14:textFill>
            <w14:solidFill>
              <w14:schemeClr w14:val="tx1"/>
            </w14:solidFill>
          </w14:textFill>
        </w:rPr>
      </w:pPr>
      <w:r>
        <w:rPr>
          <w:rFonts w:hint="default" w:ascii="Times New Roman" w:hAnsi="Times New Roman" w:eastAsia="宋体" w:cs="Times New Roman"/>
          <w:color w:val="000000" w:themeColor="text1"/>
          <w:spacing w:val="-6"/>
          <w:lang w:eastAsia="zh-CN"/>
          <w14:textFill>
            <w14:solidFill>
              <w14:schemeClr w14:val="tx1"/>
            </w14:solidFill>
          </w14:textFill>
        </w:rPr>
        <w:t>本项目生产过程产生废气主要为饲料配制粉尘；牛舍、固液分离车间堆肥区、废水储存设施产生的恶臭气体；废水主要有挤奶设备酸碱清洗废水和冲洗水、待挤奶厅地面冲洗废水、牛尿液及生活污水等；主要噪声源有饲料搅拌机、排风扇、各种泵、风机等；固体</w:t>
      </w:r>
      <w:r>
        <w:rPr>
          <w:rFonts w:hint="default" w:ascii="Times New Roman" w:hAnsi="Times New Roman" w:eastAsia="宋体" w:cs="Times New Roman"/>
          <w:color w:val="000000" w:themeColor="text1"/>
          <w:spacing w:val="-6"/>
          <w:lang w:val="en-US" w:eastAsia="zh-CN"/>
          <w14:textFill>
            <w14:solidFill>
              <w14:schemeClr w14:val="tx1"/>
            </w14:solidFill>
          </w14:textFill>
        </w:rPr>
        <w:t>废物</w:t>
      </w:r>
      <w:r>
        <w:rPr>
          <w:rFonts w:hint="default" w:ascii="Times New Roman" w:hAnsi="Times New Roman" w:eastAsia="宋体" w:cs="Times New Roman"/>
          <w:color w:val="000000" w:themeColor="text1"/>
          <w:spacing w:val="-6"/>
          <w:lang w:eastAsia="zh-CN"/>
          <w14:textFill>
            <w14:solidFill>
              <w14:schemeClr w14:val="tx1"/>
            </w14:solidFill>
          </w14:textFill>
        </w:rPr>
        <w:t>主要为粪便、氧化塘污泥、病死畜、医疗废物、</w:t>
      </w:r>
      <w:r>
        <w:rPr>
          <w:rFonts w:hint="default" w:ascii="Times New Roman" w:hAnsi="Times New Roman" w:eastAsia="宋体" w:cs="Times New Roman"/>
          <w:color w:val="000000" w:themeColor="text1"/>
          <w:spacing w:val="-6"/>
          <w:lang w:val="en-US" w:eastAsia="zh-CN"/>
          <w14:textFill>
            <w14:solidFill>
              <w14:schemeClr w14:val="tx1"/>
            </w14:solidFill>
          </w14:textFill>
        </w:rPr>
        <w:t>废机油</w:t>
      </w:r>
      <w:r>
        <w:rPr>
          <w:rFonts w:hint="default" w:ascii="Times New Roman" w:hAnsi="Times New Roman" w:eastAsia="宋体" w:cs="Times New Roman"/>
          <w:color w:val="000000" w:themeColor="text1"/>
          <w:spacing w:val="-6"/>
          <w:lang w:eastAsia="zh-CN"/>
          <w14:textFill>
            <w14:solidFill>
              <w14:schemeClr w14:val="tx1"/>
            </w14:solidFill>
          </w14:textFill>
        </w:rPr>
        <w:t>和少量生活垃圾等。</w:t>
      </w:r>
    </w:p>
    <w:p w14:paraId="580DB6E6">
      <w:pPr>
        <w:pStyle w:val="11"/>
        <w:adjustRightInd w:val="0"/>
        <w:snapToGrid w:val="0"/>
        <w:ind w:firstLine="456"/>
        <w:rPr>
          <w:rFonts w:hint="default" w:ascii="Times New Roman" w:hAnsi="Times New Roman" w:eastAsia="宋体" w:cs="Times New Roman"/>
          <w:color w:val="000000" w:themeColor="text1"/>
          <w:spacing w:val="-6"/>
          <w:lang w:eastAsia="zh-CN"/>
          <w14:textFill>
            <w14:solidFill>
              <w14:schemeClr w14:val="tx1"/>
            </w14:solidFill>
          </w14:textFill>
        </w:rPr>
      </w:pPr>
      <w:r>
        <w:rPr>
          <w:rFonts w:hint="default" w:ascii="Times New Roman" w:hAnsi="Times New Roman" w:eastAsia="宋体" w:cs="Times New Roman"/>
          <w:color w:val="000000" w:themeColor="text1"/>
          <w:spacing w:val="-6"/>
          <w:lang w:eastAsia="zh-CN"/>
          <w14:textFill>
            <w14:solidFill>
              <w14:schemeClr w14:val="tx1"/>
            </w14:solidFill>
          </w14:textFill>
        </w:rPr>
        <w:t>本项目生产运行期主要污染源汇总于表3.3-3。</w:t>
      </w:r>
    </w:p>
    <w:p w14:paraId="27386AA7">
      <w:pPr>
        <w:pStyle w:val="11"/>
        <w:adjustRightInd w:val="0"/>
        <w:snapToGrid w:val="0"/>
        <w:ind w:firstLine="458"/>
        <w:jc w:val="center"/>
        <w:rPr>
          <w:rFonts w:hint="default" w:ascii="Times New Roman" w:hAnsi="Times New Roman" w:eastAsia="宋体" w:cs="Times New Roman"/>
          <w:b/>
          <w:color w:val="000000" w:themeColor="text1"/>
          <w:spacing w:val="-6"/>
          <w:lang w:eastAsia="zh-CN"/>
          <w14:textFill>
            <w14:solidFill>
              <w14:schemeClr w14:val="tx1"/>
            </w14:solidFill>
          </w14:textFill>
        </w:rPr>
      </w:pPr>
      <w:r>
        <w:rPr>
          <w:rFonts w:hint="default" w:ascii="Times New Roman" w:hAnsi="Times New Roman" w:eastAsia="宋体" w:cs="Times New Roman"/>
          <w:b/>
          <w:color w:val="000000" w:themeColor="text1"/>
          <w:spacing w:val="-6"/>
          <w:lang w:eastAsia="zh-CN"/>
          <w14:textFill>
            <w14:solidFill>
              <w14:schemeClr w14:val="tx1"/>
            </w14:solidFill>
          </w14:textFill>
        </w:rPr>
        <w:t>表3.3-3本项目</w:t>
      </w:r>
      <w:r>
        <w:rPr>
          <w:rFonts w:hint="eastAsia" w:ascii="Times New Roman" w:hAnsi="Times New Roman" w:cs="Times New Roman"/>
          <w:b/>
          <w:color w:val="000000" w:themeColor="text1"/>
          <w:spacing w:val="-6"/>
          <w:lang w:val="en-US" w:eastAsia="zh-CN"/>
          <w14:textFill>
            <w14:solidFill>
              <w14:schemeClr w14:val="tx1"/>
            </w14:solidFill>
          </w14:textFill>
        </w:rPr>
        <w:t>运营期</w:t>
      </w:r>
      <w:r>
        <w:rPr>
          <w:rFonts w:hint="default" w:ascii="Times New Roman" w:hAnsi="Times New Roman" w:eastAsia="宋体" w:cs="Times New Roman"/>
          <w:b/>
          <w:color w:val="000000" w:themeColor="text1"/>
          <w:spacing w:val="-6"/>
          <w:lang w:eastAsia="zh-CN"/>
          <w14:textFill>
            <w14:solidFill>
              <w14:schemeClr w14:val="tx1"/>
            </w14:solidFill>
          </w14:textFill>
        </w:rPr>
        <w:t>排污环节分析一览表</w:t>
      </w:r>
    </w:p>
    <w:tbl>
      <w:tblPr>
        <w:tblStyle w:val="30"/>
        <w:tblW w:w="0" w:type="auto"/>
        <w:tblInd w:w="-10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72"/>
        <w:gridCol w:w="1360"/>
        <w:gridCol w:w="833"/>
        <w:gridCol w:w="3368"/>
        <w:gridCol w:w="2388"/>
      </w:tblGrid>
      <w:tr w14:paraId="409DF4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2" w:type="dxa"/>
            <w:vAlign w:val="center"/>
          </w:tcPr>
          <w:p w14:paraId="58935C6E">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lang w:val="zh-CN"/>
                <w14:textFill>
                  <w14:solidFill>
                    <w14:schemeClr w14:val="tx1"/>
                  </w14:solidFill>
                </w14:textFill>
              </w:rPr>
            </w:pPr>
            <w:r>
              <w:rPr>
                <w:rFonts w:hint="default" w:ascii="Times New Roman" w:hAnsi="Times New Roman" w:eastAsia="宋体" w:cs="Times New Roman"/>
                <w:color w:val="000000" w:themeColor="text1"/>
                <w:spacing w:val="-6"/>
                <w:sz w:val="21"/>
                <w:szCs w:val="21"/>
                <w:lang w:val="zh-CN"/>
                <w14:textFill>
                  <w14:solidFill>
                    <w14:schemeClr w14:val="tx1"/>
                  </w14:solidFill>
                </w14:textFill>
              </w:rPr>
              <w:t>污染类别</w:t>
            </w:r>
          </w:p>
        </w:tc>
        <w:tc>
          <w:tcPr>
            <w:tcW w:w="1360" w:type="dxa"/>
            <w:vAlign w:val="center"/>
          </w:tcPr>
          <w:p w14:paraId="0846559A">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lang w:val="zh-CN"/>
                <w14:textFill>
                  <w14:solidFill>
                    <w14:schemeClr w14:val="tx1"/>
                  </w14:solidFill>
                </w14:textFill>
              </w:rPr>
            </w:pPr>
            <w:r>
              <w:rPr>
                <w:rFonts w:hint="default" w:ascii="Times New Roman" w:hAnsi="Times New Roman" w:eastAsia="宋体" w:cs="Times New Roman"/>
                <w:color w:val="000000" w:themeColor="text1"/>
                <w:spacing w:val="-6"/>
                <w:sz w:val="21"/>
                <w:szCs w:val="21"/>
                <w:lang w:val="zh-CN"/>
                <w14:textFill>
                  <w14:solidFill>
                    <w14:schemeClr w14:val="tx1"/>
                  </w14:solidFill>
                </w14:textFill>
              </w:rPr>
              <w:t>污染源</w:t>
            </w:r>
          </w:p>
          <w:p w14:paraId="3EAF08A3">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lang w:val="zh-CN"/>
                <w14:textFill>
                  <w14:solidFill>
                    <w14:schemeClr w14:val="tx1"/>
                  </w14:solidFill>
                </w14:textFill>
              </w:rPr>
            </w:pPr>
            <w:r>
              <w:rPr>
                <w:rFonts w:hint="default" w:ascii="Times New Roman" w:hAnsi="Times New Roman" w:eastAsia="宋体" w:cs="Times New Roman"/>
                <w:color w:val="000000" w:themeColor="text1"/>
                <w:spacing w:val="-6"/>
                <w:sz w:val="21"/>
                <w:szCs w:val="21"/>
                <w:lang w:val="zh-CN"/>
                <w14:textFill>
                  <w14:solidFill>
                    <w14:schemeClr w14:val="tx1"/>
                  </w14:solidFill>
                </w14:textFill>
              </w:rPr>
              <w:t>名称</w:t>
            </w:r>
          </w:p>
        </w:tc>
        <w:tc>
          <w:tcPr>
            <w:tcW w:w="833" w:type="dxa"/>
            <w:vAlign w:val="center"/>
          </w:tcPr>
          <w:p w14:paraId="6DCFE206">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lang w:val="zh-CN"/>
                <w14:textFill>
                  <w14:solidFill>
                    <w14:schemeClr w14:val="tx1"/>
                  </w14:solidFill>
                </w14:textFill>
              </w:rPr>
            </w:pPr>
            <w:r>
              <w:rPr>
                <w:rFonts w:hint="default" w:ascii="Times New Roman" w:hAnsi="Times New Roman" w:eastAsia="宋体" w:cs="Times New Roman"/>
                <w:color w:val="000000" w:themeColor="text1"/>
                <w:spacing w:val="-6"/>
                <w:sz w:val="21"/>
                <w:szCs w:val="21"/>
                <w:lang w:val="zh-CN"/>
                <w14:textFill>
                  <w14:solidFill>
                    <w14:schemeClr w14:val="tx1"/>
                  </w14:solidFill>
                </w14:textFill>
              </w:rPr>
              <w:t>污染源代号</w:t>
            </w:r>
          </w:p>
        </w:tc>
        <w:tc>
          <w:tcPr>
            <w:tcW w:w="3368" w:type="dxa"/>
            <w:vAlign w:val="center"/>
          </w:tcPr>
          <w:p w14:paraId="7F45E97E">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lang w:val="zh-CN"/>
                <w14:textFill>
                  <w14:solidFill>
                    <w14:schemeClr w14:val="tx1"/>
                  </w14:solidFill>
                </w14:textFill>
              </w:rPr>
            </w:pPr>
            <w:r>
              <w:rPr>
                <w:rFonts w:hint="default" w:ascii="Times New Roman" w:hAnsi="Times New Roman" w:eastAsia="宋体" w:cs="Times New Roman"/>
                <w:color w:val="000000" w:themeColor="text1"/>
                <w:spacing w:val="-6"/>
                <w:sz w:val="21"/>
                <w:szCs w:val="21"/>
                <w:lang w:val="zh-CN"/>
                <w14:textFill>
                  <w14:solidFill>
                    <w14:schemeClr w14:val="tx1"/>
                  </w14:solidFill>
                </w14:textFill>
              </w:rPr>
              <w:t>产生原因</w:t>
            </w:r>
          </w:p>
        </w:tc>
        <w:tc>
          <w:tcPr>
            <w:tcW w:w="2388" w:type="dxa"/>
            <w:vAlign w:val="center"/>
          </w:tcPr>
          <w:p w14:paraId="0F013474">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lang w:val="zh-CN"/>
                <w14:textFill>
                  <w14:solidFill>
                    <w14:schemeClr w14:val="tx1"/>
                  </w14:solidFill>
                </w14:textFill>
              </w:rPr>
            </w:pPr>
            <w:r>
              <w:rPr>
                <w:rFonts w:hint="default" w:ascii="Times New Roman" w:hAnsi="Times New Roman" w:eastAsia="宋体" w:cs="Times New Roman"/>
                <w:color w:val="000000" w:themeColor="text1"/>
                <w:spacing w:val="-6"/>
                <w:sz w:val="21"/>
                <w:szCs w:val="21"/>
                <w:lang w:val="zh-CN"/>
                <w14:textFill>
                  <w14:solidFill>
                    <w14:schemeClr w14:val="tx1"/>
                  </w14:solidFill>
                </w14:textFill>
              </w:rPr>
              <w:t>主要污染物</w:t>
            </w:r>
          </w:p>
        </w:tc>
      </w:tr>
      <w:tr w14:paraId="68CBA5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72" w:type="dxa"/>
            <w:vMerge w:val="restart"/>
            <w:vAlign w:val="center"/>
          </w:tcPr>
          <w:p w14:paraId="6409A51C">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lang w:val="zh-CN"/>
                <w14:textFill>
                  <w14:solidFill>
                    <w14:schemeClr w14:val="tx1"/>
                  </w14:solidFill>
                </w14:textFill>
              </w:rPr>
            </w:pPr>
            <w:r>
              <w:rPr>
                <w:rFonts w:hint="default" w:ascii="Times New Roman" w:hAnsi="Times New Roman" w:eastAsia="宋体" w:cs="Times New Roman"/>
                <w:color w:val="000000" w:themeColor="text1"/>
                <w:spacing w:val="-6"/>
                <w:sz w:val="21"/>
                <w:szCs w:val="21"/>
                <w:lang w:val="zh-CN"/>
                <w14:textFill>
                  <w14:solidFill>
                    <w14:schemeClr w14:val="tx1"/>
                  </w14:solidFill>
                </w14:textFill>
              </w:rPr>
              <w:t>废气</w:t>
            </w:r>
          </w:p>
        </w:tc>
        <w:tc>
          <w:tcPr>
            <w:tcW w:w="1360" w:type="dxa"/>
            <w:vAlign w:val="center"/>
          </w:tcPr>
          <w:p w14:paraId="0C1DF061">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lang w:val="zh-CN"/>
                <w14:textFill>
                  <w14:solidFill>
                    <w14:schemeClr w14:val="tx1"/>
                  </w14:solidFill>
                </w14:textFill>
              </w:rPr>
            </w:pPr>
            <w:r>
              <w:rPr>
                <w:rFonts w:hint="default" w:ascii="Times New Roman" w:hAnsi="Times New Roman" w:eastAsia="宋体" w:cs="Times New Roman"/>
                <w:color w:val="000000" w:themeColor="text1"/>
                <w:spacing w:val="-6"/>
                <w:sz w:val="21"/>
                <w:szCs w:val="21"/>
                <w:lang w:val="zh-CN"/>
                <w14:textFill>
                  <w14:solidFill>
                    <w14:schemeClr w14:val="tx1"/>
                  </w14:solidFill>
                </w14:textFill>
              </w:rPr>
              <w:t>饲料配制</w:t>
            </w:r>
          </w:p>
          <w:p w14:paraId="1E149DF6">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lang w:val="zh-CN"/>
                <w14:textFill>
                  <w14:solidFill>
                    <w14:schemeClr w14:val="tx1"/>
                  </w14:solidFill>
                </w14:textFill>
              </w:rPr>
            </w:pPr>
            <w:r>
              <w:rPr>
                <w:rFonts w:hint="default" w:ascii="Times New Roman" w:hAnsi="Times New Roman" w:eastAsia="宋体" w:cs="Times New Roman"/>
                <w:color w:val="000000" w:themeColor="text1"/>
                <w:spacing w:val="-6"/>
                <w:sz w:val="21"/>
                <w:szCs w:val="21"/>
                <w:lang w:val="zh-CN"/>
                <w14:textFill>
                  <w14:solidFill>
                    <w14:schemeClr w14:val="tx1"/>
                  </w14:solidFill>
                </w14:textFill>
              </w:rPr>
              <w:t>粉尘</w:t>
            </w:r>
          </w:p>
        </w:tc>
        <w:tc>
          <w:tcPr>
            <w:tcW w:w="833" w:type="dxa"/>
            <w:vAlign w:val="center"/>
          </w:tcPr>
          <w:p w14:paraId="25B99E35">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lang w:val="zh-CN"/>
                <w14:textFill>
                  <w14:solidFill>
                    <w14:schemeClr w14:val="tx1"/>
                  </w14:solidFill>
                </w14:textFill>
              </w:rPr>
            </w:pPr>
            <w:r>
              <w:rPr>
                <w:rFonts w:hint="default" w:ascii="Times New Roman" w:hAnsi="Times New Roman" w:eastAsia="宋体" w:cs="Times New Roman"/>
                <w:color w:val="000000" w:themeColor="text1"/>
                <w:spacing w:val="-6"/>
                <w:sz w:val="21"/>
                <w:szCs w:val="21"/>
                <w:lang w:val="zh-CN"/>
                <w14:textFill>
                  <w14:solidFill>
                    <w14:schemeClr w14:val="tx1"/>
                  </w14:solidFill>
                </w14:textFill>
              </w:rPr>
              <w:t>G1</w:t>
            </w:r>
          </w:p>
        </w:tc>
        <w:tc>
          <w:tcPr>
            <w:tcW w:w="3368" w:type="dxa"/>
            <w:vAlign w:val="center"/>
          </w:tcPr>
          <w:p w14:paraId="39CC211B">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lang w:val="zh-CN"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val="zh-CN" w:eastAsia="zh-CN"/>
                <w14:textFill>
                  <w14:solidFill>
                    <w14:schemeClr w14:val="tx1"/>
                  </w14:solidFill>
                </w14:textFill>
              </w:rPr>
              <w:t>主要为干草棚取料及饲料混合搅拌过程产生少量的粉尘</w:t>
            </w:r>
          </w:p>
        </w:tc>
        <w:tc>
          <w:tcPr>
            <w:tcW w:w="2388" w:type="dxa"/>
            <w:vAlign w:val="center"/>
          </w:tcPr>
          <w:p w14:paraId="0D518E57">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lang w:val="zh-CN"/>
                <w14:textFill>
                  <w14:solidFill>
                    <w14:schemeClr w14:val="tx1"/>
                  </w14:solidFill>
                </w14:textFill>
              </w:rPr>
            </w:pPr>
            <w:r>
              <w:rPr>
                <w:rFonts w:hint="default" w:ascii="Times New Roman" w:hAnsi="Times New Roman" w:eastAsia="宋体" w:cs="Times New Roman"/>
                <w:color w:val="000000" w:themeColor="text1"/>
                <w:spacing w:val="-6"/>
                <w:sz w:val="21"/>
                <w:szCs w:val="21"/>
                <w:lang w:val="zh-CN"/>
                <w14:textFill>
                  <w14:solidFill>
                    <w14:schemeClr w14:val="tx1"/>
                  </w14:solidFill>
                </w14:textFill>
              </w:rPr>
              <w:t>粉尘</w:t>
            </w:r>
          </w:p>
        </w:tc>
      </w:tr>
      <w:tr w14:paraId="4E4281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2" w:type="dxa"/>
            <w:vMerge w:val="continue"/>
            <w:vAlign w:val="center"/>
          </w:tcPr>
          <w:p w14:paraId="3C451677">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lang w:val="zh-CN"/>
                <w14:textFill>
                  <w14:solidFill>
                    <w14:schemeClr w14:val="tx1"/>
                  </w14:solidFill>
                </w14:textFill>
              </w:rPr>
            </w:pPr>
          </w:p>
        </w:tc>
        <w:tc>
          <w:tcPr>
            <w:tcW w:w="1360" w:type="dxa"/>
            <w:vAlign w:val="center"/>
          </w:tcPr>
          <w:p w14:paraId="0226570D">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lang w:val="zh-CN"/>
                <w14:textFill>
                  <w14:solidFill>
                    <w14:schemeClr w14:val="tx1"/>
                  </w14:solidFill>
                </w14:textFill>
              </w:rPr>
            </w:pPr>
            <w:r>
              <w:rPr>
                <w:rFonts w:hint="default" w:ascii="Times New Roman" w:hAnsi="Times New Roman" w:eastAsia="宋体" w:cs="Times New Roman"/>
                <w:color w:val="000000" w:themeColor="text1"/>
                <w:spacing w:val="-6"/>
                <w:sz w:val="21"/>
                <w:szCs w:val="21"/>
                <w:lang w:val="zh-CN" w:eastAsia="zh-CN"/>
                <w14:textFill>
                  <w14:solidFill>
                    <w14:schemeClr w14:val="tx1"/>
                  </w14:solidFill>
                </w14:textFill>
              </w:rPr>
              <w:t>牛舍</w:t>
            </w:r>
            <w:r>
              <w:rPr>
                <w:rFonts w:hint="eastAsia" w:ascii="Times New Roman" w:hAnsi="Times New Roman" w:cs="Times New Roman"/>
                <w:color w:val="000000" w:themeColor="text1"/>
                <w:spacing w:val="-6"/>
                <w:sz w:val="21"/>
                <w:szCs w:val="21"/>
                <w:lang w:val="en-US" w:eastAsia="zh-CN"/>
                <w14:textFill>
                  <w14:solidFill>
                    <w14:schemeClr w14:val="tx1"/>
                  </w14:solidFill>
                </w14:textFill>
              </w:rPr>
              <w:t>固液分离车间、氧化塘</w:t>
            </w:r>
            <w:r>
              <w:rPr>
                <w:rFonts w:hint="default" w:ascii="Times New Roman" w:hAnsi="Times New Roman" w:eastAsia="宋体" w:cs="Times New Roman"/>
                <w:color w:val="000000" w:themeColor="text1"/>
                <w:spacing w:val="-6"/>
                <w:sz w:val="21"/>
                <w:szCs w:val="21"/>
                <w:lang w:val="zh-CN" w:eastAsia="zh-CN"/>
                <w14:textFill>
                  <w14:solidFill>
                    <w14:schemeClr w14:val="tx1"/>
                  </w14:solidFill>
                </w14:textFill>
              </w:rPr>
              <w:t>等区域产生的臭气</w:t>
            </w:r>
          </w:p>
        </w:tc>
        <w:tc>
          <w:tcPr>
            <w:tcW w:w="833" w:type="dxa"/>
            <w:vAlign w:val="center"/>
          </w:tcPr>
          <w:p w14:paraId="64AA91A3">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lang w:val="zh-CN"/>
                <w14:textFill>
                  <w14:solidFill>
                    <w14:schemeClr w14:val="tx1"/>
                  </w14:solidFill>
                </w14:textFill>
              </w:rPr>
            </w:pPr>
            <w:r>
              <w:rPr>
                <w:rFonts w:hint="default" w:ascii="Times New Roman" w:hAnsi="Times New Roman" w:eastAsia="宋体" w:cs="Times New Roman"/>
                <w:color w:val="000000" w:themeColor="text1"/>
                <w:spacing w:val="-6"/>
                <w:sz w:val="21"/>
                <w:szCs w:val="21"/>
                <w:lang w:val="zh-CN"/>
                <w14:textFill>
                  <w14:solidFill>
                    <w14:schemeClr w14:val="tx1"/>
                  </w14:solidFill>
                </w14:textFill>
              </w:rPr>
              <w:t>G2</w:t>
            </w:r>
          </w:p>
        </w:tc>
        <w:tc>
          <w:tcPr>
            <w:tcW w:w="3368" w:type="dxa"/>
            <w:vAlign w:val="center"/>
          </w:tcPr>
          <w:p w14:paraId="756BEB7F">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lang w:val="zh-CN" w:eastAsia="zh-CN"/>
                <w14:textFill>
                  <w14:solidFill>
                    <w14:schemeClr w14:val="tx1"/>
                  </w14:solidFill>
                </w14:textFill>
              </w:rPr>
            </w:pPr>
            <w:r>
              <w:rPr>
                <w:rFonts w:hint="eastAsia" w:ascii="Times New Roman" w:hAnsi="Times New Roman" w:eastAsia="宋体" w:cs="Times New Roman"/>
                <w:color w:val="000000" w:themeColor="text1"/>
                <w:spacing w:val="-6"/>
                <w:sz w:val="21"/>
                <w:szCs w:val="21"/>
                <w:lang w:val="en-US" w:eastAsia="zh-CN"/>
                <w14:textFill>
                  <w14:solidFill>
                    <w14:schemeClr w14:val="tx1"/>
                  </w14:solidFill>
                </w14:textFill>
              </w:rPr>
              <w:t>牛舍</w:t>
            </w:r>
            <w:r>
              <w:rPr>
                <w:rFonts w:hint="default" w:ascii="Times New Roman" w:hAnsi="Times New Roman" w:eastAsia="宋体" w:cs="Times New Roman"/>
                <w:color w:val="000000" w:themeColor="text1"/>
                <w:spacing w:val="-6"/>
                <w:sz w:val="21"/>
                <w:szCs w:val="21"/>
                <w:lang w:val="zh-CN"/>
                <w14:textFill>
                  <w14:solidFill>
                    <w14:schemeClr w14:val="tx1"/>
                  </w14:solidFill>
                </w14:textFill>
              </w:rPr>
              <w:t>臭气</w:t>
            </w:r>
            <w:r>
              <w:rPr>
                <w:rFonts w:hint="default" w:ascii="Times New Roman" w:hAnsi="Times New Roman" w:eastAsia="宋体" w:cs="Times New Roman"/>
                <w:color w:val="000000" w:themeColor="text1"/>
                <w:spacing w:val="-6"/>
                <w:sz w:val="21"/>
                <w:szCs w:val="21"/>
                <w:lang w:val="zh-CN" w:eastAsia="zh-CN"/>
                <w14:textFill>
                  <w14:solidFill>
                    <w14:schemeClr w14:val="tx1"/>
                  </w14:solidFill>
                </w14:textFill>
              </w:rPr>
              <w:t>主要为牛舍内的取食通道、牛舍外的集粪池等产生的臭气</w:t>
            </w:r>
            <w:r>
              <w:rPr>
                <w:rFonts w:hint="eastAsia" w:ascii="Times New Roman" w:hAnsi="Times New Roman" w:cs="Times New Roman"/>
                <w:color w:val="000000" w:themeColor="text1"/>
                <w:spacing w:val="-6"/>
                <w:sz w:val="21"/>
                <w:szCs w:val="21"/>
                <w:lang w:val="zh-CN" w:eastAsia="zh-CN"/>
                <w14:textFill>
                  <w14:solidFill>
                    <w14:schemeClr w14:val="tx1"/>
                  </w14:solidFill>
                </w14:textFill>
              </w:rPr>
              <w:t>；</w:t>
            </w:r>
            <w:r>
              <w:rPr>
                <w:rFonts w:hint="default" w:ascii="Times New Roman" w:hAnsi="Times New Roman" w:eastAsia="宋体" w:cs="Times New Roman"/>
                <w:color w:val="000000" w:themeColor="text1"/>
                <w:spacing w:val="-6"/>
                <w:sz w:val="21"/>
                <w:szCs w:val="21"/>
                <w:lang w:val="zh-CN" w:eastAsia="zh-CN"/>
                <w14:textFill>
                  <w14:solidFill>
                    <w14:schemeClr w14:val="tx1"/>
                  </w14:solidFill>
                </w14:textFill>
              </w:rPr>
              <w:t>氧化塘臭气等</w:t>
            </w:r>
            <w:r>
              <w:rPr>
                <w:rFonts w:hint="eastAsia" w:ascii="Times New Roman" w:hAnsi="Times New Roman" w:eastAsia="宋体" w:cs="Times New Roman"/>
                <w:color w:val="000000" w:themeColor="text1"/>
                <w:spacing w:val="-6"/>
                <w:sz w:val="21"/>
                <w:szCs w:val="21"/>
                <w:lang w:val="zh-CN" w:eastAsia="zh-CN"/>
                <w14:textFill>
                  <w14:solidFill>
                    <w14:schemeClr w14:val="tx1"/>
                  </w14:solidFill>
                </w14:textFill>
              </w:rPr>
              <w:t>；</w:t>
            </w:r>
            <w:r>
              <w:rPr>
                <w:rFonts w:hint="default" w:ascii="Times New Roman" w:hAnsi="Times New Roman" w:eastAsia="宋体" w:cs="Times New Roman"/>
                <w:color w:val="000000" w:themeColor="text1"/>
                <w:spacing w:val="-6"/>
                <w:sz w:val="21"/>
                <w:szCs w:val="21"/>
                <w:lang w:val="zh-CN" w:eastAsia="zh-CN"/>
                <w14:textFill>
                  <w14:solidFill>
                    <w14:schemeClr w14:val="tx1"/>
                  </w14:solidFill>
                </w14:textFill>
              </w:rPr>
              <w:t>堆肥过程中产生的恶臭气体</w:t>
            </w:r>
          </w:p>
        </w:tc>
        <w:tc>
          <w:tcPr>
            <w:tcW w:w="2388" w:type="dxa"/>
            <w:vAlign w:val="center"/>
          </w:tcPr>
          <w:p w14:paraId="380C69D5">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lang w:val="zh-CN"/>
                <w14:textFill>
                  <w14:solidFill>
                    <w14:schemeClr w14:val="tx1"/>
                  </w14:solidFill>
                </w14:textFill>
              </w:rPr>
            </w:pPr>
            <w:r>
              <w:rPr>
                <w:rFonts w:hint="default" w:ascii="Times New Roman" w:hAnsi="Times New Roman" w:eastAsia="宋体" w:cs="Times New Roman"/>
                <w:color w:val="000000" w:themeColor="text1"/>
                <w:spacing w:val="-6"/>
                <w:sz w:val="21"/>
                <w:szCs w:val="21"/>
                <w:lang w:val="zh-CN"/>
                <w14:textFill>
                  <w14:solidFill>
                    <w14:schemeClr w14:val="tx1"/>
                  </w14:solidFill>
                </w14:textFill>
              </w:rPr>
              <w:t>H</w:t>
            </w:r>
            <w:r>
              <w:rPr>
                <w:rFonts w:hint="default" w:ascii="Times New Roman" w:hAnsi="Times New Roman" w:eastAsia="宋体" w:cs="Times New Roman"/>
                <w:color w:val="000000" w:themeColor="text1"/>
                <w:spacing w:val="-6"/>
                <w:sz w:val="21"/>
                <w:szCs w:val="21"/>
                <w:vertAlign w:val="subscript"/>
                <w:lang w:val="zh-CN"/>
                <w14:textFill>
                  <w14:solidFill>
                    <w14:schemeClr w14:val="tx1"/>
                  </w14:solidFill>
                </w14:textFill>
              </w:rPr>
              <w:t>2</w:t>
            </w:r>
            <w:r>
              <w:rPr>
                <w:rFonts w:hint="default" w:ascii="Times New Roman" w:hAnsi="Times New Roman" w:eastAsia="宋体" w:cs="Times New Roman"/>
                <w:color w:val="000000" w:themeColor="text1"/>
                <w:spacing w:val="-6"/>
                <w:sz w:val="21"/>
                <w:szCs w:val="21"/>
                <w:lang w:val="zh-CN"/>
                <w14:textFill>
                  <w14:solidFill>
                    <w14:schemeClr w14:val="tx1"/>
                  </w14:solidFill>
                </w14:textFill>
              </w:rPr>
              <w:t>S、NH</w:t>
            </w:r>
            <w:r>
              <w:rPr>
                <w:rFonts w:hint="default" w:ascii="Times New Roman" w:hAnsi="Times New Roman" w:eastAsia="宋体" w:cs="Times New Roman"/>
                <w:color w:val="000000" w:themeColor="text1"/>
                <w:spacing w:val="-6"/>
                <w:sz w:val="21"/>
                <w:szCs w:val="21"/>
                <w:vertAlign w:val="subscript"/>
                <w:lang w:val="zh-CN"/>
                <w14:textFill>
                  <w14:solidFill>
                    <w14:schemeClr w14:val="tx1"/>
                  </w14:solidFill>
                </w14:textFill>
              </w:rPr>
              <w:t>3</w:t>
            </w:r>
            <w:r>
              <w:rPr>
                <w:rFonts w:hint="default" w:ascii="Times New Roman" w:hAnsi="Times New Roman" w:eastAsia="宋体" w:cs="Times New Roman"/>
                <w:color w:val="000000" w:themeColor="text1"/>
                <w:spacing w:val="-6"/>
                <w:sz w:val="21"/>
                <w:szCs w:val="21"/>
                <w:lang w:val="zh-CN"/>
                <w14:textFill>
                  <w14:solidFill>
                    <w14:schemeClr w14:val="tx1"/>
                  </w14:solidFill>
                </w14:textFill>
              </w:rPr>
              <w:t>等</w:t>
            </w:r>
          </w:p>
        </w:tc>
      </w:tr>
      <w:tr w14:paraId="2AF987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2" w:type="dxa"/>
            <w:vMerge w:val="continue"/>
            <w:vAlign w:val="center"/>
          </w:tcPr>
          <w:p w14:paraId="03D9515D">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lang w:val="zh-CN"/>
                <w14:textFill>
                  <w14:solidFill>
                    <w14:schemeClr w14:val="tx1"/>
                  </w14:solidFill>
                </w14:textFill>
              </w:rPr>
            </w:pPr>
          </w:p>
        </w:tc>
        <w:tc>
          <w:tcPr>
            <w:tcW w:w="1360" w:type="dxa"/>
            <w:vAlign w:val="center"/>
          </w:tcPr>
          <w:p w14:paraId="4E4B632F">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lang w:val="zh-CN"/>
                <w14:textFill>
                  <w14:solidFill>
                    <w14:schemeClr w14:val="tx1"/>
                  </w14:solidFill>
                </w14:textFill>
              </w:rPr>
            </w:pPr>
            <w:r>
              <w:rPr>
                <w:rFonts w:hint="default" w:ascii="Times New Roman" w:hAnsi="Times New Roman" w:eastAsia="宋体" w:cs="Times New Roman"/>
                <w:color w:val="000000" w:themeColor="text1"/>
                <w:spacing w:val="-6"/>
                <w:sz w:val="21"/>
                <w:szCs w:val="21"/>
                <w:lang w:val="zh-CN"/>
                <w14:textFill>
                  <w14:solidFill>
                    <w14:schemeClr w14:val="tx1"/>
                  </w14:solidFill>
                </w14:textFill>
              </w:rPr>
              <w:t>餐饮油烟</w:t>
            </w:r>
          </w:p>
        </w:tc>
        <w:tc>
          <w:tcPr>
            <w:tcW w:w="833" w:type="dxa"/>
            <w:vAlign w:val="center"/>
          </w:tcPr>
          <w:p w14:paraId="782102DE">
            <w:pPr>
              <w:pStyle w:val="11"/>
              <w:adjustRightInd w:val="0"/>
              <w:snapToGrid w:val="0"/>
              <w:spacing w:line="240" w:lineRule="auto"/>
              <w:ind w:firstLine="0" w:firstLineChars="0"/>
              <w:jc w:val="center"/>
              <w:rPr>
                <w:rFonts w:hint="eastAsia" w:ascii="Times New Roman" w:hAnsi="Times New Roman" w:eastAsia="宋体" w:cs="Times New Roman"/>
                <w:color w:val="000000" w:themeColor="text1"/>
                <w:spacing w:val="-6"/>
                <w:sz w:val="21"/>
                <w:szCs w:val="21"/>
                <w:lang w:val="zh-CN"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val="zh-CN"/>
                <w14:textFill>
                  <w14:solidFill>
                    <w14:schemeClr w14:val="tx1"/>
                  </w14:solidFill>
                </w14:textFill>
              </w:rPr>
              <w:t>G</w:t>
            </w:r>
            <w:r>
              <w:rPr>
                <w:rFonts w:hint="eastAsia" w:ascii="Times New Roman" w:hAnsi="Times New Roman" w:cs="Times New Roman"/>
                <w:color w:val="000000" w:themeColor="text1"/>
                <w:spacing w:val="-6"/>
                <w:sz w:val="21"/>
                <w:szCs w:val="21"/>
                <w:lang w:val="en-US" w:eastAsia="zh-CN"/>
                <w14:textFill>
                  <w14:solidFill>
                    <w14:schemeClr w14:val="tx1"/>
                  </w14:solidFill>
                </w14:textFill>
              </w:rPr>
              <w:t>3</w:t>
            </w:r>
          </w:p>
        </w:tc>
        <w:tc>
          <w:tcPr>
            <w:tcW w:w="3368" w:type="dxa"/>
            <w:vAlign w:val="center"/>
          </w:tcPr>
          <w:p w14:paraId="52CD29F5">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lang w:val="zh-CN"/>
                <w14:textFill>
                  <w14:solidFill>
                    <w14:schemeClr w14:val="tx1"/>
                  </w14:solidFill>
                </w14:textFill>
              </w:rPr>
            </w:pPr>
            <w:r>
              <w:rPr>
                <w:rFonts w:hint="default" w:ascii="Times New Roman" w:hAnsi="Times New Roman" w:eastAsia="宋体" w:cs="Times New Roman"/>
                <w:color w:val="000000" w:themeColor="text1"/>
                <w:spacing w:val="-6"/>
                <w:sz w:val="21"/>
                <w:szCs w:val="21"/>
                <w:lang w:val="zh-CN"/>
                <w14:textFill>
                  <w14:solidFill>
                    <w14:schemeClr w14:val="tx1"/>
                  </w14:solidFill>
                </w14:textFill>
              </w:rPr>
              <w:t>员工食堂</w:t>
            </w:r>
          </w:p>
        </w:tc>
        <w:tc>
          <w:tcPr>
            <w:tcW w:w="2388" w:type="dxa"/>
            <w:vAlign w:val="center"/>
          </w:tcPr>
          <w:p w14:paraId="5C06F242">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lang w:val="zh-CN"/>
                <w14:textFill>
                  <w14:solidFill>
                    <w14:schemeClr w14:val="tx1"/>
                  </w14:solidFill>
                </w14:textFill>
              </w:rPr>
            </w:pPr>
            <w:r>
              <w:rPr>
                <w:rFonts w:hint="default" w:ascii="Times New Roman" w:hAnsi="Times New Roman" w:eastAsia="宋体" w:cs="Times New Roman"/>
                <w:color w:val="000000" w:themeColor="text1"/>
                <w:spacing w:val="-6"/>
                <w:sz w:val="21"/>
                <w:szCs w:val="21"/>
                <w:lang w:val="zh-CN"/>
                <w14:textFill>
                  <w14:solidFill>
                    <w14:schemeClr w14:val="tx1"/>
                  </w14:solidFill>
                </w14:textFill>
              </w:rPr>
              <w:t>餐饮油烟</w:t>
            </w:r>
          </w:p>
        </w:tc>
      </w:tr>
      <w:tr w14:paraId="3A15F1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2" w:type="dxa"/>
            <w:vMerge w:val="restart"/>
            <w:vAlign w:val="center"/>
          </w:tcPr>
          <w:p w14:paraId="3CB45A83">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lang w:val="zh-CN"/>
                <w14:textFill>
                  <w14:solidFill>
                    <w14:schemeClr w14:val="tx1"/>
                  </w14:solidFill>
                </w14:textFill>
              </w:rPr>
            </w:pPr>
            <w:r>
              <w:rPr>
                <w:rFonts w:hint="default" w:ascii="Times New Roman" w:hAnsi="Times New Roman" w:eastAsia="宋体" w:cs="Times New Roman"/>
                <w:color w:val="000000" w:themeColor="text1"/>
                <w:spacing w:val="-6"/>
                <w:sz w:val="21"/>
                <w:szCs w:val="21"/>
                <w:lang w:val="zh-CN"/>
                <w14:textFill>
                  <w14:solidFill>
                    <w14:schemeClr w14:val="tx1"/>
                  </w14:solidFill>
                </w14:textFill>
              </w:rPr>
              <w:t>废水</w:t>
            </w:r>
          </w:p>
        </w:tc>
        <w:tc>
          <w:tcPr>
            <w:tcW w:w="1360" w:type="dxa"/>
            <w:vAlign w:val="center"/>
          </w:tcPr>
          <w:p w14:paraId="32BDFB85">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lang w:val="zh-CN"/>
                <w14:textFill>
                  <w14:solidFill>
                    <w14:schemeClr w14:val="tx1"/>
                  </w14:solidFill>
                </w14:textFill>
              </w:rPr>
            </w:pPr>
            <w:r>
              <w:rPr>
                <w:rFonts w:hint="default" w:ascii="Times New Roman" w:hAnsi="Times New Roman" w:eastAsia="宋体" w:cs="Times New Roman"/>
                <w:color w:val="000000" w:themeColor="text1"/>
                <w:spacing w:val="-6"/>
                <w:sz w:val="21"/>
                <w:szCs w:val="21"/>
                <w:lang w:val="zh-CN"/>
                <w14:textFill>
                  <w14:solidFill>
                    <w14:schemeClr w14:val="tx1"/>
                  </w14:solidFill>
                </w14:textFill>
              </w:rPr>
              <w:t>牛尿</w:t>
            </w:r>
          </w:p>
        </w:tc>
        <w:tc>
          <w:tcPr>
            <w:tcW w:w="833" w:type="dxa"/>
            <w:vAlign w:val="center"/>
          </w:tcPr>
          <w:p w14:paraId="74035061">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lang w:val="zh-CN"/>
                <w14:textFill>
                  <w14:solidFill>
                    <w14:schemeClr w14:val="tx1"/>
                  </w14:solidFill>
                </w14:textFill>
              </w:rPr>
            </w:pPr>
            <w:r>
              <w:rPr>
                <w:rFonts w:hint="default" w:ascii="Times New Roman" w:hAnsi="Times New Roman" w:eastAsia="宋体" w:cs="Times New Roman"/>
                <w:color w:val="000000" w:themeColor="text1"/>
                <w:spacing w:val="-6"/>
                <w:sz w:val="21"/>
                <w:szCs w:val="21"/>
                <w:lang w:val="zh-CN"/>
                <w14:textFill>
                  <w14:solidFill>
                    <w14:schemeClr w14:val="tx1"/>
                  </w14:solidFill>
                </w14:textFill>
              </w:rPr>
              <w:t>W1</w:t>
            </w:r>
          </w:p>
        </w:tc>
        <w:tc>
          <w:tcPr>
            <w:tcW w:w="3368" w:type="dxa"/>
            <w:vAlign w:val="center"/>
          </w:tcPr>
          <w:p w14:paraId="2175C305">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lang w:val="zh-CN"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val="zh-CN" w:eastAsia="zh-CN"/>
                <w14:textFill>
                  <w14:solidFill>
                    <w14:schemeClr w14:val="tx1"/>
                  </w14:solidFill>
                </w14:textFill>
              </w:rPr>
              <w:t>奶牛饲养过程中，牛排放的尿液</w:t>
            </w:r>
          </w:p>
        </w:tc>
        <w:tc>
          <w:tcPr>
            <w:tcW w:w="2388" w:type="dxa"/>
            <w:vAlign w:val="center"/>
          </w:tcPr>
          <w:p w14:paraId="72B82720">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lang w:val="zh-CN"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val="zh-CN" w:eastAsia="zh-CN"/>
                <w14:textFill>
                  <w14:solidFill>
                    <w14:schemeClr w14:val="tx1"/>
                  </w14:solidFill>
                </w14:textFill>
              </w:rPr>
              <w:t>COD、BOD、SS、氨氮</w:t>
            </w:r>
          </w:p>
        </w:tc>
      </w:tr>
      <w:tr w14:paraId="36DDEF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2" w:type="dxa"/>
            <w:vMerge w:val="continue"/>
            <w:vAlign w:val="center"/>
          </w:tcPr>
          <w:p w14:paraId="22791F7A">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lang w:val="zh-CN" w:eastAsia="zh-CN"/>
                <w14:textFill>
                  <w14:solidFill>
                    <w14:schemeClr w14:val="tx1"/>
                  </w14:solidFill>
                </w14:textFill>
              </w:rPr>
            </w:pPr>
          </w:p>
        </w:tc>
        <w:tc>
          <w:tcPr>
            <w:tcW w:w="1360" w:type="dxa"/>
            <w:vAlign w:val="center"/>
          </w:tcPr>
          <w:p w14:paraId="62DCDFFC">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lang w:val="zh-CN"/>
                <w14:textFill>
                  <w14:solidFill>
                    <w14:schemeClr w14:val="tx1"/>
                  </w14:solidFill>
                </w14:textFill>
              </w:rPr>
            </w:pPr>
            <w:r>
              <w:rPr>
                <w:rFonts w:hint="eastAsia" w:ascii="Times New Roman" w:hAnsi="Times New Roman" w:cs="Times New Roman"/>
                <w:color w:val="000000" w:themeColor="text1"/>
                <w:spacing w:val="-6"/>
                <w:sz w:val="21"/>
                <w:szCs w:val="21"/>
                <w:lang w:val="en-US" w:eastAsia="zh-CN"/>
                <w14:textFill>
                  <w14:solidFill>
                    <w14:schemeClr w14:val="tx1"/>
                  </w14:solidFill>
                </w14:textFill>
              </w:rPr>
              <w:t>挤</w:t>
            </w:r>
            <w:r>
              <w:rPr>
                <w:rFonts w:hint="default" w:ascii="Times New Roman" w:hAnsi="Times New Roman" w:eastAsia="宋体" w:cs="Times New Roman"/>
                <w:color w:val="000000" w:themeColor="text1"/>
                <w:spacing w:val="-6"/>
                <w:sz w:val="21"/>
                <w:szCs w:val="21"/>
                <w:lang w:val="zh-CN"/>
                <w14:textFill>
                  <w14:solidFill>
                    <w14:schemeClr w14:val="tx1"/>
                  </w14:solidFill>
                </w14:textFill>
              </w:rPr>
              <w:t>奶厅冲洗</w:t>
            </w:r>
          </w:p>
          <w:p w14:paraId="4A168CD6">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lang w:val="zh-CN"/>
                <w14:textFill>
                  <w14:solidFill>
                    <w14:schemeClr w14:val="tx1"/>
                  </w14:solidFill>
                </w14:textFill>
              </w:rPr>
            </w:pPr>
            <w:r>
              <w:rPr>
                <w:rFonts w:hint="default" w:ascii="Times New Roman" w:hAnsi="Times New Roman" w:eastAsia="宋体" w:cs="Times New Roman"/>
                <w:color w:val="000000" w:themeColor="text1"/>
                <w:spacing w:val="-6"/>
                <w:sz w:val="21"/>
                <w:szCs w:val="21"/>
                <w:lang w:val="zh-CN"/>
                <w14:textFill>
                  <w14:solidFill>
                    <w14:schemeClr w14:val="tx1"/>
                  </w14:solidFill>
                </w14:textFill>
              </w:rPr>
              <w:t>废水</w:t>
            </w:r>
          </w:p>
        </w:tc>
        <w:tc>
          <w:tcPr>
            <w:tcW w:w="833" w:type="dxa"/>
            <w:vAlign w:val="center"/>
          </w:tcPr>
          <w:p w14:paraId="0D30CA7E">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lang w:val="zh-CN"/>
                <w14:textFill>
                  <w14:solidFill>
                    <w14:schemeClr w14:val="tx1"/>
                  </w14:solidFill>
                </w14:textFill>
              </w:rPr>
            </w:pPr>
            <w:r>
              <w:rPr>
                <w:rFonts w:hint="default" w:ascii="Times New Roman" w:hAnsi="Times New Roman" w:eastAsia="宋体" w:cs="Times New Roman"/>
                <w:color w:val="000000" w:themeColor="text1"/>
                <w:spacing w:val="-6"/>
                <w:sz w:val="21"/>
                <w:szCs w:val="21"/>
                <w:lang w:val="zh-CN"/>
                <w14:textFill>
                  <w14:solidFill>
                    <w14:schemeClr w14:val="tx1"/>
                  </w14:solidFill>
                </w14:textFill>
              </w:rPr>
              <w:t>W2</w:t>
            </w:r>
          </w:p>
        </w:tc>
        <w:tc>
          <w:tcPr>
            <w:tcW w:w="3368" w:type="dxa"/>
            <w:vAlign w:val="center"/>
          </w:tcPr>
          <w:p w14:paraId="15AA838A">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lang w:val="zh-CN"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val="zh-CN" w:eastAsia="zh-CN"/>
                <w14:textFill>
                  <w14:solidFill>
                    <w14:schemeClr w14:val="tx1"/>
                  </w14:solidFill>
                </w14:textFill>
              </w:rPr>
              <w:t>待挤奶厅</w:t>
            </w:r>
            <w:r>
              <w:rPr>
                <w:rFonts w:hint="eastAsia" w:ascii="Times New Roman" w:hAnsi="Times New Roman" w:cs="Times New Roman"/>
                <w:color w:val="000000" w:themeColor="text1"/>
                <w:spacing w:val="-6"/>
                <w:sz w:val="21"/>
                <w:szCs w:val="21"/>
                <w:lang w:val="en-US" w:eastAsia="zh-CN"/>
                <w14:textFill>
                  <w14:solidFill>
                    <w14:schemeClr w14:val="tx1"/>
                  </w14:solidFill>
                </w14:textFill>
              </w:rPr>
              <w:t>和挤奶厅</w:t>
            </w:r>
            <w:r>
              <w:rPr>
                <w:rFonts w:hint="default" w:ascii="Times New Roman" w:hAnsi="Times New Roman" w:eastAsia="宋体" w:cs="Times New Roman"/>
                <w:color w:val="000000" w:themeColor="text1"/>
                <w:spacing w:val="-6"/>
                <w:sz w:val="21"/>
                <w:szCs w:val="21"/>
                <w:lang w:val="zh-CN" w:eastAsia="zh-CN"/>
                <w14:textFill>
                  <w14:solidFill>
                    <w14:schemeClr w14:val="tx1"/>
                  </w14:solidFill>
                </w14:textFill>
              </w:rPr>
              <w:t>每天</w:t>
            </w:r>
            <w:r>
              <w:rPr>
                <w:rFonts w:hint="eastAsia" w:ascii="Times New Roman" w:hAnsi="Times New Roman" w:cs="Times New Roman"/>
                <w:color w:val="000000" w:themeColor="text1"/>
                <w:spacing w:val="-6"/>
                <w:sz w:val="21"/>
                <w:szCs w:val="21"/>
                <w:lang w:val="en-US" w:eastAsia="zh-CN"/>
                <w14:textFill>
                  <w14:solidFill>
                    <w14:schemeClr w14:val="tx1"/>
                  </w14:solidFill>
                </w14:textFill>
              </w:rPr>
              <w:t>设备以及</w:t>
            </w:r>
            <w:r>
              <w:rPr>
                <w:rFonts w:hint="default" w:ascii="Times New Roman" w:hAnsi="Times New Roman" w:eastAsia="宋体" w:cs="Times New Roman"/>
                <w:color w:val="000000" w:themeColor="text1"/>
                <w:spacing w:val="-6"/>
                <w:sz w:val="21"/>
                <w:szCs w:val="21"/>
                <w:lang w:val="zh-CN" w:eastAsia="zh-CN"/>
                <w14:textFill>
                  <w14:solidFill>
                    <w14:schemeClr w14:val="tx1"/>
                  </w14:solidFill>
                </w14:textFill>
              </w:rPr>
              <w:t>地面冲洗产生的废水</w:t>
            </w:r>
          </w:p>
        </w:tc>
        <w:tc>
          <w:tcPr>
            <w:tcW w:w="2388" w:type="dxa"/>
            <w:vAlign w:val="center"/>
          </w:tcPr>
          <w:p w14:paraId="26785392">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lang w:val="zh-CN"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val="zh-CN" w:eastAsia="zh-CN"/>
                <w14:textFill>
                  <w14:solidFill>
                    <w14:schemeClr w14:val="tx1"/>
                  </w14:solidFill>
                </w14:textFill>
              </w:rPr>
              <w:t>COD、BOD、SS、氨氮</w:t>
            </w:r>
          </w:p>
        </w:tc>
      </w:tr>
      <w:tr w14:paraId="64853D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2" w:type="dxa"/>
            <w:vMerge w:val="continue"/>
            <w:vAlign w:val="center"/>
          </w:tcPr>
          <w:p w14:paraId="41917189">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lang w:val="zh-CN" w:eastAsia="zh-CN"/>
                <w14:textFill>
                  <w14:solidFill>
                    <w14:schemeClr w14:val="tx1"/>
                  </w14:solidFill>
                </w14:textFill>
              </w:rPr>
            </w:pPr>
          </w:p>
        </w:tc>
        <w:tc>
          <w:tcPr>
            <w:tcW w:w="1360" w:type="dxa"/>
            <w:vAlign w:val="center"/>
          </w:tcPr>
          <w:p w14:paraId="3C8B322D">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lang w:val="zh-CN"/>
                <w14:textFill>
                  <w14:solidFill>
                    <w14:schemeClr w14:val="tx1"/>
                  </w14:solidFill>
                </w14:textFill>
              </w:rPr>
            </w:pPr>
            <w:r>
              <w:rPr>
                <w:rFonts w:hint="default" w:ascii="Times New Roman" w:hAnsi="Times New Roman" w:eastAsia="宋体" w:cs="Times New Roman"/>
                <w:color w:val="000000" w:themeColor="text1"/>
                <w:spacing w:val="-6"/>
                <w:sz w:val="21"/>
                <w:szCs w:val="21"/>
                <w:lang w:val="zh-CN"/>
                <w14:textFill>
                  <w14:solidFill>
                    <w14:schemeClr w14:val="tx1"/>
                  </w14:solidFill>
                </w14:textFill>
              </w:rPr>
              <w:t>生活污水</w:t>
            </w:r>
          </w:p>
        </w:tc>
        <w:tc>
          <w:tcPr>
            <w:tcW w:w="833" w:type="dxa"/>
            <w:vAlign w:val="center"/>
          </w:tcPr>
          <w:p w14:paraId="47F1ED11">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lang w:val="zh-CN"/>
                <w14:textFill>
                  <w14:solidFill>
                    <w14:schemeClr w14:val="tx1"/>
                  </w14:solidFill>
                </w14:textFill>
              </w:rPr>
            </w:pPr>
            <w:r>
              <w:rPr>
                <w:rFonts w:hint="default" w:ascii="Times New Roman" w:hAnsi="Times New Roman" w:eastAsia="宋体" w:cs="Times New Roman"/>
                <w:color w:val="000000" w:themeColor="text1"/>
                <w:spacing w:val="-6"/>
                <w:sz w:val="21"/>
                <w:szCs w:val="21"/>
                <w:lang w:val="zh-CN"/>
                <w14:textFill>
                  <w14:solidFill>
                    <w14:schemeClr w14:val="tx1"/>
                  </w14:solidFill>
                </w14:textFill>
              </w:rPr>
              <w:t>W3</w:t>
            </w:r>
          </w:p>
        </w:tc>
        <w:tc>
          <w:tcPr>
            <w:tcW w:w="3368" w:type="dxa"/>
            <w:vAlign w:val="center"/>
          </w:tcPr>
          <w:p w14:paraId="68589AFB">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lang w:val="zh-CN"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val="zh-CN" w:eastAsia="zh-CN"/>
                <w14:textFill>
                  <w14:solidFill>
                    <w14:schemeClr w14:val="tx1"/>
                  </w14:solidFill>
                </w14:textFill>
              </w:rPr>
              <w:t>员工办公、生活产生的废水</w:t>
            </w:r>
          </w:p>
        </w:tc>
        <w:tc>
          <w:tcPr>
            <w:tcW w:w="2388" w:type="dxa"/>
            <w:vAlign w:val="center"/>
          </w:tcPr>
          <w:p w14:paraId="201DD862">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lang w:val="zh-CN"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val="zh-CN" w:eastAsia="zh-CN"/>
                <w14:textFill>
                  <w14:solidFill>
                    <w14:schemeClr w14:val="tx1"/>
                  </w14:solidFill>
                </w14:textFill>
              </w:rPr>
              <w:t>COD、BOD、SS、氨氮</w:t>
            </w:r>
          </w:p>
        </w:tc>
      </w:tr>
      <w:tr w14:paraId="6E92ED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2" w:type="dxa"/>
            <w:vMerge w:val="restart"/>
            <w:vAlign w:val="center"/>
          </w:tcPr>
          <w:p w14:paraId="5FD01D00">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lang w:val="zh-CN"/>
                <w14:textFill>
                  <w14:solidFill>
                    <w14:schemeClr w14:val="tx1"/>
                  </w14:solidFill>
                </w14:textFill>
              </w:rPr>
            </w:pPr>
            <w:r>
              <w:rPr>
                <w:rFonts w:hint="default" w:ascii="Times New Roman" w:hAnsi="Times New Roman" w:eastAsia="宋体" w:cs="Times New Roman"/>
                <w:color w:val="000000" w:themeColor="text1"/>
                <w:spacing w:val="-6"/>
                <w:sz w:val="21"/>
                <w:szCs w:val="21"/>
                <w:lang w:val="zh-CN"/>
                <w14:textFill>
                  <w14:solidFill>
                    <w14:schemeClr w14:val="tx1"/>
                  </w14:solidFill>
                </w14:textFill>
              </w:rPr>
              <w:t>固废</w:t>
            </w:r>
          </w:p>
        </w:tc>
        <w:tc>
          <w:tcPr>
            <w:tcW w:w="1360" w:type="dxa"/>
            <w:vAlign w:val="center"/>
          </w:tcPr>
          <w:p w14:paraId="5ECE7112">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lang w:val="zh-CN"/>
                <w14:textFill>
                  <w14:solidFill>
                    <w14:schemeClr w14:val="tx1"/>
                  </w14:solidFill>
                </w14:textFill>
              </w:rPr>
            </w:pPr>
            <w:r>
              <w:rPr>
                <w:rFonts w:hint="default" w:ascii="Times New Roman" w:hAnsi="Times New Roman" w:eastAsia="宋体" w:cs="Times New Roman"/>
                <w:color w:val="000000" w:themeColor="text1"/>
                <w:spacing w:val="-6"/>
                <w:sz w:val="21"/>
                <w:szCs w:val="21"/>
                <w:lang w:val="zh-CN"/>
                <w14:textFill>
                  <w14:solidFill>
                    <w14:schemeClr w14:val="tx1"/>
                  </w14:solidFill>
                </w14:textFill>
              </w:rPr>
              <w:t>粪便</w:t>
            </w:r>
          </w:p>
        </w:tc>
        <w:tc>
          <w:tcPr>
            <w:tcW w:w="833" w:type="dxa"/>
            <w:vAlign w:val="center"/>
          </w:tcPr>
          <w:p w14:paraId="17D6ECD9">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lang w:val="zh-CN"/>
                <w14:textFill>
                  <w14:solidFill>
                    <w14:schemeClr w14:val="tx1"/>
                  </w14:solidFill>
                </w14:textFill>
              </w:rPr>
            </w:pPr>
            <w:r>
              <w:rPr>
                <w:rFonts w:hint="default" w:ascii="Times New Roman" w:hAnsi="Times New Roman" w:eastAsia="宋体" w:cs="Times New Roman"/>
                <w:color w:val="000000" w:themeColor="text1"/>
                <w:spacing w:val="-6"/>
                <w:sz w:val="21"/>
                <w:szCs w:val="21"/>
                <w:lang w:val="zh-CN"/>
                <w14:textFill>
                  <w14:solidFill>
                    <w14:schemeClr w14:val="tx1"/>
                  </w14:solidFill>
                </w14:textFill>
              </w:rPr>
              <w:t>S1</w:t>
            </w:r>
          </w:p>
        </w:tc>
        <w:tc>
          <w:tcPr>
            <w:tcW w:w="3368" w:type="dxa"/>
            <w:vAlign w:val="center"/>
          </w:tcPr>
          <w:p w14:paraId="03559071">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lang w:val="zh-CN"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val="zh-CN" w:eastAsia="zh-CN"/>
                <w14:textFill>
                  <w14:solidFill>
                    <w14:schemeClr w14:val="tx1"/>
                  </w14:solidFill>
                </w14:textFill>
              </w:rPr>
              <w:t>牛饲养过程产生的粪便</w:t>
            </w:r>
          </w:p>
        </w:tc>
        <w:tc>
          <w:tcPr>
            <w:tcW w:w="2388" w:type="dxa"/>
            <w:vAlign w:val="center"/>
          </w:tcPr>
          <w:p w14:paraId="0EE3AFCD">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lang w:val="zh-CN"/>
                <w14:textFill>
                  <w14:solidFill>
                    <w14:schemeClr w14:val="tx1"/>
                  </w14:solidFill>
                </w14:textFill>
              </w:rPr>
            </w:pPr>
            <w:r>
              <w:rPr>
                <w:rFonts w:hint="default" w:ascii="Times New Roman" w:hAnsi="Times New Roman" w:eastAsia="宋体" w:cs="Times New Roman"/>
                <w:color w:val="000000" w:themeColor="text1"/>
                <w:spacing w:val="-6"/>
                <w:sz w:val="21"/>
                <w:szCs w:val="21"/>
                <w:lang w:val="zh-CN"/>
                <w14:textFill>
                  <w14:solidFill>
                    <w14:schemeClr w14:val="tx1"/>
                  </w14:solidFill>
                </w14:textFill>
              </w:rPr>
              <w:t>牛粪、牛尿</w:t>
            </w:r>
          </w:p>
        </w:tc>
      </w:tr>
      <w:tr w14:paraId="14554A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2" w:type="dxa"/>
            <w:vMerge w:val="continue"/>
            <w:vAlign w:val="center"/>
          </w:tcPr>
          <w:p w14:paraId="26941C4D">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lang w:val="zh-CN"/>
                <w14:textFill>
                  <w14:solidFill>
                    <w14:schemeClr w14:val="tx1"/>
                  </w14:solidFill>
                </w14:textFill>
              </w:rPr>
            </w:pPr>
          </w:p>
        </w:tc>
        <w:tc>
          <w:tcPr>
            <w:tcW w:w="1360" w:type="dxa"/>
            <w:vAlign w:val="center"/>
          </w:tcPr>
          <w:p w14:paraId="30B569BF">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lang w:val="zh-CN"/>
                <w14:textFill>
                  <w14:solidFill>
                    <w14:schemeClr w14:val="tx1"/>
                  </w14:solidFill>
                </w14:textFill>
              </w:rPr>
            </w:pPr>
            <w:r>
              <w:rPr>
                <w:rFonts w:hint="default" w:ascii="Times New Roman" w:hAnsi="Times New Roman" w:eastAsia="宋体" w:cs="Times New Roman"/>
                <w:color w:val="000000" w:themeColor="text1"/>
                <w:spacing w:val="-6"/>
                <w:sz w:val="21"/>
                <w:szCs w:val="21"/>
                <w:lang w:val="zh-CN"/>
                <w14:textFill>
                  <w14:solidFill>
                    <w14:schemeClr w14:val="tx1"/>
                  </w14:solidFill>
                </w14:textFill>
              </w:rPr>
              <w:t>氧化塘污泥</w:t>
            </w:r>
          </w:p>
        </w:tc>
        <w:tc>
          <w:tcPr>
            <w:tcW w:w="833" w:type="dxa"/>
            <w:vAlign w:val="center"/>
          </w:tcPr>
          <w:p w14:paraId="7FACED99">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lang w:val="zh-CN"/>
                <w14:textFill>
                  <w14:solidFill>
                    <w14:schemeClr w14:val="tx1"/>
                  </w14:solidFill>
                </w14:textFill>
              </w:rPr>
            </w:pPr>
            <w:r>
              <w:rPr>
                <w:rFonts w:hint="default" w:ascii="Times New Roman" w:hAnsi="Times New Roman" w:eastAsia="宋体" w:cs="Times New Roman"/>
                <w:color w:val="000000" w:themeColor="text1"/>
                <w:spacing w:val="-6"/>
                <w:sz w:val="21"/>
                <w:szCs w:val="21"/>
                <w:lang w:val="zh-CN"/>
                <w14:textFill>
                  <w14:solidFill>
                    <w14:schemeClr w14:val="tx1"/>
                  </w14:solidFill>
                </w14:textFill>
              </w:rPr>
              <w:t>S2</w:t>
            </w:r>
          </w:p>
        </w:tc>
        <w:tc>
          <w:tcPr>
            <w:tcW w:w="3368" w:type="dxa"/>
            <w:vAlign w:val="center"/>
          </w:tcPr>
          <w:p w14:paraId="30123292">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lang w:val="zh-CN"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val="zh-CN" w:eastAsia="zh-CN"/>
                <w14:textFill>
                  <w14:solidFill>
                    <w14:schemeClr w14:val="tx1"/>
                  </w14:solidFill>
                </w14:textFill>
              </w:rPr>
              <w:t>污水处理系统产生的污泥等</w:t>
            </w:r>
          </w:p>
        </w:tc>
        <w:tc>
          <w:tcPr>
            <w:tcW w:w="2388" w:type="dxa"/>
            <w:vAlign w:val="center"/>
          </w:tcPr>
          <w:p w14:paraId="63594C81">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lang w:val="zh-CN"/>
                <w14:textFill>
                  <w14:solidFill>
                    <w14:schemeClr w14:val="tx1"/>
                  </w14:solidFill>
                </w14:textFill>
              </w:rPr>
            </w:pPr>
            <w:r>
              <w:rPr>
                <w:rFonts w:hint="default" w:ascii="Times New Roman" w:hAnsi="Times New Roman" w:eastAsia="宋体" w:cs="Times New Roman"/>
                <w:color w:val="000000" w:themeColor="text1"/>
                <w:spacing w:val="-6"/>
                <w:sz w:val="21"/>
                <w:szCs w:val="21"/>
                <w:lang w:val="zh-CN"/>
                <w14:textFill>
                  <w14:solidFill>
                    <w14:schemeClr w14:val="tx1"/>
                  </w14:solidFill>
                </w14:textFill>
              </w:rPr>
              <w:t>污泥</w:t>
            </w:r>
          </w:p>
        </w:tc>
      </w:tr>
      <w:tr w14:paraId="6A46D6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2" w:type="dxa"/>
            <w:vMerge w:val="continue"/>
            <w:vAlign w:val="center"/>
          </w:tcPr>
          <w:p w14:paraId="0F0F0950">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lang w:val="zh-CN"/>
                <w14:textFill>
                  <w14:solidFill>
                    <w14:schemeClr w14:val="tx1"/>
                  </w14:solidFill>
                </w14:textFill>
              </w:rPr>
            </w:pPr>
          </w:p>
        </w:tc>
        <w:tc>
          <w:tcPr>
            <w:tcW w:w="1360" w:type="dxa"/>
            <w:vAlign w:val="center"/>
          </w:tcPr>
          <w:p w14:paraId="0C51A2B0">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lang w:val="zh-CN"/>
                <w14:textFill>
                  <w14:solidFill>
                    <w14:schemeClr w14:val="tx1"/>
                  </w14:solidFill>
                </w14:textFill>
              </w:rPr>
            </w:pPr>
            <w:r>
              <w:rPr>
                <w:rFonts w:hint="default" w:ascii="Times New Roman" w:hAnsi="Times New Roman" w:eastAsia="宋体" w:cs="Times New Roman"/>
                <w:color w:val="000000" w:themeColor="text1"/>
                <w:spacing w:val="-6"/>
                <w:sz w:val="21"/>
                <w:szCs w:val="21"/>
                <w:lang w:val="zh-CN"/>
                <w14:textFill>
                  <w14:solidFill>
                    <w14:schemeClr w14:val="tx1"/>
                  </w14:solidFill>
                </w14:textFill>
              </w:rPr>
              <w:t>病死畜</w:t>
            </w:r>
          </w:p>
        </w:tc>
        <w:tc>
          <w:tcPr>
            <w:tcW w:w="833" w:type="dxa"/>
            <w:vAlign w:val="center"/>
          </w:tcPr>
          <w:p w14:paraId="0EFB8847">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lang w:val="zh-CN"/>
                <w14:textFill>
                  <w14:solidFill>
                    <w14:schemeClr w14:val="tx1"/>
                  </w14:solidFill>
                </w14:textFill>
              </w:rPr>
            </w:pPr>
            <w:r>
              <w:rPr>
                <w:rFonts w:hint="default" w:ascii="Times New Roman" w:hAnsi="Times New Roman" w:eastAsia="宋体" w:cs="Times New Roman"/>
                <w:color w:val="000000" w:themeColor="text1"/>
                <w:spacing w:val="-6"/>
                <w:sz w:val="21"/>
                <w:szCs w:val="21"/>
                <w:lang w:val="zh-CN"/>
                <w14:textFill>
                  <w14:solidFill>
                    <w14:schemeClr w14:val="tx1"/>
                  </w14:solidFill>
                </w14:textFill>
              </w:rPr>
              <w:t>S3</w:t>
            </w:r>
          </w:p>
        </w:tc>
        <w:tc>
          <w:tcPr>
            <w:tcW w:w="3368" w:type="dxa"/>
            <w:vAlign w:val="center"/>
          </w:tcPr>
          <w:p w14:paraId="64A9B863">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lang w:val="zh-CN"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val="zh-CN" w:eastAsia="zh-CN"/>
                <w14:textFill>
                  <w14:solidFill>
                    <w14:schemeClr w14:val="tx1"/>
                  </w14:solidFill>
                </w14:textFill>
              </w:rPr>
              <w:t>养殖过程由于疾病等原因产生的病死畜及胎盘等</w:t>
            </w:r>
          </w:p>
        </w:tc>
        <w:tc>
          <w:tcPr>
            <w:tcW w:w="2388" w:type="dxa"/>
            <w:vAlign w:val="center"/>
          </w:tcPr>
          <w:p w14:paraId="6A0AB099">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lang w:val="zh-CN"/>
                <w14:textFill>
                  <w14:solidFill>
                    <w14:schemeClr w14:val="tx1"/>
                  </w14:solidFill>
                </w14:textFill>
              </w:rPr>
            </w:pPr>
            <w:r>
              <w:rPr>
                <w:rFonts w:hint="default" w:ascii="Times New Roman" w:hAnsi="Times New Roman" w:eastAsia="宋体" w:cs="Times New Roman"/>
                <w:color w:val="000000" w:themeColor="text1"/>
                <w:spacing w:val="-6"/>
                <w:sz w:val="21"/>
                <w:szCs w:val="21"/>
                <w:lang w:val="zh-CN"/>
                <w14:textFill>
                  <w14:solidFill>
                    <w14:schemeClr w14:val="tx1"/>
                  </w14:solidFill>
                </w14:textFill>
              </w:rPr>
              <w:t>/</w:t>
            </w:r>
          </w:p>
        </w:tc>
      </w:tr>
      <w:tr w14:paraId="1BABEF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2" w:type="dxa"/>
            <w:vMerge w:val="continue"/>
            <w:vAlign w:val="center"/>
          </w:tcPr>
          <w:p w14:paraId="333B28AC">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lang w:val="zh-CN"/>
                <w14:textFill>
                  <w14:solidFill>
                    <w14:schemeClr w14:val="tx1"/>
                  </w14:solidFill>
                </w14:textFill>
              </w:rPr>
            </w:pPr>
          </w:p>
        </w:tc>
        <w:tc>
          <w:tcPr>
            <w:tcW w:w="1360" w:type="dxa"/>
            <w:vAlign w:val="center"/>
          </w:tcPr>
          <w:p w14:paraId="091064EC">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lang w:val="zh-CN"/>
                <w14:textFill>
                  <w14:solidFill>
                    <w14:schemeClr w14:val="tx1"/>
                  </w14:solidFill>
                </w14:textFill>
              </w:rPr>
            </w:pPr>
            <w:r>
              <w:rPr>
                <w:rFonts w:hint="default" w:ascii="Times New Roman" w:hAnsi="Times New Roman" w:eastAsia="宋体" w:cs="Times New Roman"/>
                <w:color w:val="000000" w:themeColor="text1"/>
                <w:spacing w:val="-6"/>
                <w:sz w:val="21"/>
                <w:szCs w:val="21"/>
                <w:lang w:val="zh-CN"/>
                <w14:textFill>
                  <w14:solidFill>
                    <w14:schemeClr w14:val="tx1"/>
                  </w14:solidFill>
                </w14:textFill>
              </w:rPr>
              <w:t>医疗废物</w:t>
            </w:r>
          </w:p>
        </w:tc>
        <w:tc>
          <w:tcPr>
            <w:tcW w:w="833" w:type="dxa"/>
            <w:vAlign w:val="center"/>
          </w:tcPr>
          <w:p w14:paraId="75FB9EC4">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lang w:val="zh-CN"/>
                <w14:textFill>
                  <w14:solidFill>
                    <w14:schemeClr w14:val="tx1"/>
                  </w14:solidFill>
                </w14:textFill>
              </w:rPr>
            </w:pPr>
            <w:r>
              <w:rPr>
                <w:rFonts w:hint="default" w:ascii="Times New Roman" w:hAnsi="Times New Roman" w:eastAsia="宋体" w:cs="Times New Roman"/>
                <w:color w:val="000000" w:themeColor="text1"/>
                <w:spacing w:val="-6"/>
                <w:sz w:val="21"/>
                <w:szCs w:val="21"/>
                <w:lang w:val="zh-CN"/>
                <w14:textFill>
                  <w14:solidFill>
                    <w14:schemeClr w14:val="tx1"/>
                  </w14:solidFill>
                </w14:textFill>
              </w:rPr>
              <w:t>S4</w:t>
            </w:r>
          </w:p>
        </w:tc>
        <w:tc>
          <w:tcPr>
            <w:tcW w:w="3368" w:type="dxa"/>
            <w:vAlign w:val="center"/>
          </w:tcPr>
          <w:p w14:paraId="2F552CF0">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lang w:val="zh-CN"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val="zh-CN" w:eastAsia="zh-CN"/>
                <w14:textFill>
                  <w14:solidFill>
                    <w14:schemeClr w14:val="tx1"/>
                  </w14:solidFill>
                </w14:textFill>
              </w:rPr>
              <w:t>兽医室日常产生的针头、废弃手术器械、消毒棉纱等</w:t>
            </w:r>
          </w:p>
        </w:tc>
        <w:tc>
          <w:tcPr>
            <w:tcW w:w="2388" w:type="dxa"/>
            <w:vAlign w:val="center"/>
          </w:tcPr>
          <w:p w14:paraId="7D05802C">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lang w:val="zh-CN"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val="zh-CN" w:eastAsia="zh-CN"/>
                <w14:textFill>
                  <w14:solidFill>
                    <w14:schemeClr w14:val="tx1"/>
                  </w14:solidFill>
                </w14:textFill>
              </w:rPr>
              <w:t>针头、废弃手术器</w:t>
            </w:r>
          </w:p>
          <w:p w14:paraId="05D65BF4">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lang w:val="zh-CN"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val="zh-CN" w:eastAsia="zh-CN"/>
                <w14:textFill>
                  <w14:solidFill>
                    <w14:schemeClr w14:val="tx1"/>
                  </w14:solidFill>
                </w14:textFill>
              </w:rPr>
              <w:t>械、消毒棉纱等</w:t>
            </w:r>
          </w:p>
        </w:tc>
      </w:tr>
      <w:tr w14:paraId="5DB8D1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2" w:type="dxa"/>
            <w:vMerge w:val="continue"/>
            <w:vAlign w:val="center"/>
          </w:tcPr>
          <w:p w14:paraId="540F5623">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lang w:val="zh-CN" w:eastAsia="zh-CN"/>
                <w14:textFill>
                  <w14:solidFill>
                    <w14:schemeClr w14:val="tx1"/>
                  </w14:solidFill>
                </w14:textFill>
              </w:rPr>
            </w:pPr>
          </w:p>
        </w:tc>
        <w:tc>
          <w:tcPr>
            <w:tcW w:w="1360" w:type="dxa"/>
            <w:vAlign w:val="center"/>
          </w:tcPr>
          <w:p w14:paraId="4678DC47">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lang w:val="zh-CN"/>
                <w14:textFill>
                  <w14:solidFill>
                    <w14:schemeClr w14:val="tx1"/>
                  </w14:solidFill>
                </w14:textFill>
              </w:rPr>
            </w:pPr>
            <w:r>
              <w:rPr>
                <w:rFonts w:hint="default" w:ascii="Times New Roman" w:hAnsi="Times New Roman" w:eastAsia="宋体" w:cs="Times New Roman"/>
                <w:color w:val="000000" w:themeColor="text1"/>
                <w:spacing w:val="-6"/>
                <w:sz w:val="21"/>
                <w:szCs w:val="21"/>
                <w:lang w:val="zh-CN"/>
                <w14:textFill>
                  <w14:solidFill>
                    <w14:schemeClr w14:val="tx1"/>
                  </w14:solidFill>
                </w14:textFill>
              </w:rPr>
              <w:t>酸碱液桶</w:t>
            </w:r>
          </w:p>
        </w:tc>
        <w:tc>
          <w:tcPr>
            <w:tcW w:w="833" w:type="dxa"/>
            <w:vAlign w:val="center"/>
          </w:tcPr>
          <w:p w14:paraId="1EE792B2">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lang w:val="zh-CN"/>
                <w14:textFill>
                  <w14:solidFill>
                    <w14:schemeClr w14:val="tx1"/>
                  </w14:solidFill>
                </w14:textFill>
              </w:rPr>
            </w:pPr>
            <w:r>
              <w:rPr>
                <w:rFonts w:hint="default" w:ascii="Times New Roman" w:hAnsi="Times New Roman" w:eastAsia="宋体" w:cs="Times New Roman"/>
                <w:color w:val="000000" w:themeColor="text1"/>
                <w:spacing w:val="-6"/>
                <w:sz w:val="21"/>
                <w:szCs w:val="21"/>
                <w:lang w:val="zh-CN"/>
                <w14:textFill>
                  <w14:solidFill>
                    <w14:schemeClr w14:val="tx1"/>
                  </w14:solidFill>
                </w14:textFill>
              </w:rPr>
              <w:t>S5</w:t>
            </w:r>
          </w:p>
        </w:tc>
        <w:tc>
          <w:tcPr>
            <w:tcW w:w="3368" w:type="dxa"/>
            <w:vAlign w:val="center"/>
          </w:tcPr>
          <w:p w14:paraId="40E20DEE">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lang w:val="zh-CN"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val="zh-CN" w:eastAsia="zh-CN"/>
                <w14:textFill>
                  <w14:solidFill>
                    <w14:schemeClr w14:val="tx1"/>
                  </w14:solidFill>
                </w14:textFill>
              </w:rPr>
              <w:t>挤奶设备清洗液包装垃圾</w:t>
            </w:r>
          </w:p>
        </w:tc>
        <w:tc>
          <w:tcPr>
            <w:tcW w:w="2388" w:type="dxa"/>
            <w:vAlign w:val="center"/>
          </w:tcPr>
          <w:p w14:paraId="3D325733">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lang w:val="en-US" w:eastAsia="zh-CN"/>
                <w14:textFill>
                  <w14:solidFill>
                    <w14:schemeClr w14:val="tx1"/>
                  </w14:solidFill>
                </w14:textFill>
              </w:rPr>
            </w:pPr>
            <w:r>
              <w:rPr>
                <w:rFonts w:hint="eastAsia" w:ascii="Times New Roman" w:hAnsi="Times New Roman" w:cs="Times New Roman"/>
                <w:color w:val="000000" w:themeColor="text1"/>
                <w:spacing w:val="-6"/>
                <w:sz w:val="21"/>
                <w:szCs w:val="21"/>
                <w:lang w:val="en-US" w:eastAsia="zh-CN"/>
                <w14:textFill>
                  <w14:solidFill>
                    <w14:schemeClr w14:val="tx1"/>
                  </w14:solidFill>
                </w14:textFill>
              </w:rPr>
              <w:t>塑料包装桶</w:t>
            </w:r>
          </w:p>
        </w:tc>
      </w:tr>
      <w:tr w14:paraId="103DF5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2" w:type="dxa"/>
            <w:vMerge w:val="continue"/>
            <w:vAlign w:val="center"/>
          </w:tcPr>
          <w:p w14:paraId="128D27B3">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lang w:val="zh-CN" w:eastAsia="zh-CN"/>
                <w14:textFill>
                  <w14:solidFill>
                    <w14:schemeClr w14:val="tx1"/>
                  </w14:solidFill>
                </w14:textFill>
              </w:rPr>
            </w:pPr>
          </w:p>
        </w:tc>
        <w:tc>
          <w:tcPr>
            <w:tcW w:w="1360" w:type="dxa"/>
            <w:vAlign w:val="center"/>
          </w:tcPr>
          <w:p w14:paraId="6A1C7D11">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lang w:val="zh-CN"/>
                <w14:textFill>
                  <w14:solidFill>
                    <w14:schemeClr w14:val="tx1"/>
                  </w14:solidFill>
                </w14:textFill>
              </w:rPr>
            </w:pPr>
            <w:r>
              <w:rPr>
                <w:rFonts w:hint="default" w:ascii="Times New Roman" w:hAnsi="Times New Roman" w:eastAsia="宋体" w:cs="Times New Roman"/>
                <w:color w:val="000000" w:themeColor="text1"/>
                <w:spacing w:val="-6"/>
                <w:sz w:val="21"/>
                <w:szCs w:val="21"/>
                <w:lang w:val="zh-CN"/>
                <w14:textFill>
                  <w14:solidFill>
                    <w14:schemeClr w14:val="tx1"/>
                  </w14:solidFill>
                </w14:textFill>
              </w:rPr>
              <w:t>废机油</w:t>
            </w:r>
          </w:p>
        </w:tc>
        <w:tc>
          <w:tcPr>
            <w:tcW w:w="833" w:type="dxa"/>
            <w:vAlign w:val="center"/>
          </w:tcPr>
          <w:p w14:paraId="201582DE">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lang w:val="zh-CN"/>
                <w14:textFill>
                  <w14:solidFill>
                    <w14:schemeClr w14:val="tx1"/>
                  </w14:solidFill>
                </w14:textFill>
              </w:rPr>
            </w:pPr>
            <w:r>
              <w:rPr>
                <w:rFonts w:hint="default" w:ascii="Times New Roman" w:hAnsi="Times New Roman" w:eastAsia="宋体" w:cs="Times New Roman"/>
                <w:color w:val="000000" w:themeColor="text1"/>
                <w:spacing w:val="-6"/>
                <w:sz w:val="21"/>
                <w:szCs w:val="21"/>
                <w:lang w:val="zh-CN"/>
                <w14:textFill>
                  <w14:solidFill>
                    <w14:schemeClr w14:val="tx1"/>
                  </w14:solidFill>
                </w14:textFill>
              </w:rPr>
              <w:t>S6</w:t>
            </w:r>
          </w:p>
        </w:tc>
        <w:tc>
          <w:tcPr>
            <w:tcW w:w="3368" w:type="dxa"/>
            <w:vAlign w:val="center"/>
          </w:tcPr>
          <w:p w14:paraId="7AFBBAB3">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lang w:val="zh-CN"/>
                <w14:textFill>
                  <w14:solidFill>
                    <w14:schemeClr w14:val="tx1"/>
                  </w14:solidFill>
                </w14:textFill>
              </w:rPr>
            </w:pPr>
            <w:r>
              <w:rPr>
                <w:rFonts w:hint="default" w:ascii="Times New Roman" w:hAnsi="Times New Roman" w:eastAsia="宋体" w:cs="Times New Roman"/>
                <w:color w:val="000000" w:themeColor="text1"/>
                <w:spacing w:val="-6"/>
                <w:sz w:val="21"/>
                <w:szCs w:val="21"/>
                <w:lang w:val="zh-CN"/>
                <w14:textFill>
                  <w14:solidFill>
                    <w14:schemeClr w14:val="tx1"/>
                  </w14:solidFill>
                </w14:textFill>
              </w:rPr>
              <w:t>各种机械设备使用等</w:t>
            </w:r>
          </w:p>
        </w:tc>
        <w:tc>
          <w:tcPr>
            <w:tcW w:w="2388" w:type="dxa"/>
            <w:vAlign w:val="center"/>
          </w:tcPr>
          <w:p w14:paraId="1D969986">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lang w:val="zh-CN"/>
                <w14:textFill>
                  <w14:solidFill>
                    <w14:schemeClr w14:val="tx1"/>
                  </w14:solidFill>
                </w14:textFill>
              </w:rPr>
            </w:pPr>
            <w:r>
              <w:rPr>
                <w:rFonts w:hint="default" w:ascii="Times New Roman" w:hAnsi="Times New Roman" w:eastAsia="宋体" w:cs="Times New Roman"/>
                <w:color w:val="000000" w:themeColor="text1"/>
                <w:spacing w:val="-6"/>
                <w:sz w:val="21"/>
                <w:szCs w:val="21"/>
                <w:lang w:val="zh-CN"/>
                <w14:textFill>
                  <w14:solidFill>
                    <w14:schemeClr w14:val="tx1"/>
                  </w14:solidFill>
                </w14:textFill>
              </w:rPr>
              <w:t>废机油</w:t>
            </w:r>
          </w:p>
        </w:tc>
      </w:tr>
      <w:tr w14:paraId="36EC0A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2" w:type="dxa"/>
            <w:vMerge w:val="continue"/>
            <w:vAlign w:val="center"/>
          </w:tcPr>
          <w:p w14:paraId="7835C0AA">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lang w:val="zh-CN"/>
                <w14:textFill>
                  <w14:solidFill>
                    <w14:schemeClr w14:val="tx1"/>
                  </w14:solidFill>
                </w14:textFill>
              </w:rPr>
            </w:pPr>
          </w:p>
        </w:tc>
        <w:tc>
          <w:tcPr>
            <w:tcW w:w="1360" w:type="dxa"/>
            <w:vAlign w:val="center"/>
          </w:tcPr>
          <w:p w14:paraId="3953D9B7">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lang w:val="zh-CN"/>
                <w14:textFill>
                  <w14:solidFill>
                    <w14:schemeClr w14:val="tx1"/>
                  </w14:solidFill>
                </w14:textFill>
              </w:rPr>
            </w:pPr>
            <w:r>
              <w:rPr>
                <w:rFonts w:hint="default" w:ascii="Times New Roman" w:hAnsi="Times New Roman" w:eastAsia="宋体" w:cs="Times New Roman"/>
                <w:color w:val="000000" w:themeColor="text1"/>
                <w:spacing w:val="-6"/>
                <w:sz w:val="21"/>
                <w:szCs w:val="21"/>
                <w:lang w:val="zh-CN"/>
                <w14:textFill>
                  <w14:solidFill>
                    <w14:schemeClr w14:val="tx1"/>
                  </w14:solidFill>
                </w14:textFill>
              </w:rPr>
              <w:t>生活垃圾</w:t>
            </w:r>
          </w:p>
        </w:tc>
        <w:tc>
          <w:tcPr>
            <w:tcW w:w="833" w:type="dxa"/>
            <w:vAlign w:val="center"/>
          </w:tcPr>
          <w:p w14:paraId="21686CD7">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lang w:val="zh-CN"/>
                <w14:textFill>
                  <w14:solidFill>
                    <w14:schemeClr w14:val="tx1"/>
                  </w14:solidFill>
                </w14:textFill>
              </w:rPr>
            </w:pPr>
            <w:r>
              <w:rPr>
                <w:rFonts w:hint="default" w:ascii="Times New Roman" w:hAnsi="Times New Roman" w:eastAsia="宋体" w:cs="Times New Roman"/>
                <w:color w:val="000000" w:themeColor="text1"/>
                <w:spacing w:val="-6"/>
                <w:sz w:val="21"/>
                <w:szCs w:val="21"/>
                <w:lang w:val="zh-CN"/>
                <w14:textFill>
                  <w14:solidFill>
                    <w14:schemeClr w14:val="tx1"/>
                  </w14:solidFill>
                </w14:textFill>
              </w:rPr>
              <w:t>S7</w:t>
            </w:r>
          </w:p>
        </w:tc>
        <w:tc>
          <w:tcPr>
            <w:tcW w:w="3368" w:type="dxa"/>
            <w:vAlign w:val="center"/>
          </w:tcPr>
          <w:p w14:paraId="22069477">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lang w:val="zh-CN"/>
                <w14:textFill>
                  <w14:solidFill>
                    <w14:schemeClr w14:val="tx1"/>
                  </w14:solidFill>
                </w14:textFill>
              </w:rPr>
            </w:pPr>
            <w:r>
              <w:rPr>
                <w:rFonts w:hint="default" w:ascii="Times New Roman" w:hAnsi="Times New Roman" w:eastAsia="宋体" w:cs="Times New Roman"/>
                <w:color w:val="000000" w:themeColor="text1"/>
                <w:spacing w:val="-6"/>
                <w:sz w:val="21"/>
                <w:szCs w:val="21"/>
                <w:lang w:val="zh-CN"/>
                <w14:textFill>
                  <w14:solidFill>
                    <w14:schemeClr w14:val="tx1"/>
                  </w14:solidFill>
                </w14:textFill>
              </w:rPr>
              <w:t>牧场员工产生的垃圾</w:t>
            </w:r>
          </w:p>
        </w:tc>
        <w:tc>
          <w:tcPr>
            <w:tcW w:w="2388" w:type="dxa"/>
            <w:vAlign w:val="center"/>
          </w:tcPr>
          <w:p w14:paraId="4F0B0FA5">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lang w:val="zh-CN"/>
                <w14:textFill>
                  <w14:solidFill>
                    <w14:schemeClr w14:val="tx1"/>
                  </w14:solidFill>
                </w14:textFill>
              </w:rPr>
            </w:pPr>
            <w:r>
              <w:rPr>
                <w:rFonts w:hint="default" w:ascii="Times New Roman" w:hAnsi="Times New Roman" w:eastAsia="宋体" w:cs="Times New Roman"/>
                <w:color w:val="000000" w:themeColor="text1"/>
                <w:spacing w:val="-6"/>
                <w:sz w:val="21"/>
                <w:szCs w:val="21"/>
                <w:lang w:val="zh-CN"/>
                <w14:textFill>
                  <w14:solidFill>
                    <w14:schemeClr w14:val="tx1"/>
                  </w14:solidFill>
                </w14:textFill>
              </w:rPr>
              <w:t>纸张、食物残渣等</w:t>
            </w:r>
          </w:p>
        </w:tc>
      </w:tr>
      <w:tr w14:paraId="03A114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2" w:type="dxa"/>
            <w:vMerge w:val="restart"/>
            <w:vAlign w:val="center"/>
          </w:tcPr>
          <w:p w14:paraId="657E0815">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lang w:val="zh-CN"/>
                <w14:textFill>
                  <w14:solidFill>
                    <w14:schemeClr w14:val="tx1"/>
                  </w14:solidFill>
                </w14:textFill>
              </w:rPr>
            </w:pPr>
            <w:r>
              <w:rPr>
                <w:rFonts w:hint="default" w:ascii="Times New Roman" w:hAnsi="Times New Roman" w:eastAsia="宋体" w:cs="Times New Roman"/>
                <w:color w:val="000000" w:themeColor="text1"/>
                <w:spacing w:val="-6"/>
                <w:sz w:val="21"/>
                <w:szCs w:val="21"/>
                <w:lang w:val="zh-CN"/>
                <w14:textFill>
                  <w14:solidFill>
                    <w14:schemeClr w14:val="tx1"/>
                  </w14:solidFill>
                </w14:textFill>
              </w:rPr>
              <w:t>噪声</w:t>
            </w:r>
          </w:p>
        </w:tc>
        <w:tc>
          <w:tcPr>
            <w:tcW w:w="1360" w:type="dxa"/>
            <w:vAlign w:val="center"/>
          </w:tcPr>
          <w:p w14:paraId="68805E6B">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lang w:val="zh-CN"/>
                <w14:textFill>
                  <w14:solidFill>
                    <w14:schemeClr w14:val="tx1"/>
                  </w14:solidFill>
                </w14:textFill>
              </w:rPr>
            </w:pPr>
            <w:r>
              <w:rPr>
                <w:rFonts w:hint="default" w:ascii="Times New Roman" w:hAnsi="Times New Roman" w:eastAsia="宋体" w:cs="Times New Roman"/>
                <w:color w:val="000000" w:themeColor="text1"/>
                <w:spacing w:val="-6"/>
                <w:sz w:val="21"/>
                <w:szCs w:val="21"/>
                <w:lang w:val="zh-CN"/>
                <w14:textFill>
                  <w14:solidFill>
                    <w14:schemeClr w14:val="tx1"/>
                  </w14:solidFill>
                </w14:textFill>
              </w:rPr>
              <w:t>饲料配制</w:t>
            </w:r>
          </w:p>
          <w:p w14:paraId="0B45F5F3">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lang w:val="zh-CN"/>
                <w14:textFill>
                  <w14:solidFill>
                    <w14:schemeClr w14:val="tx1"/>
                  </w14:solidFill>
                </w14:textFill>
              </w:rPr>
            </w:pPr>
            <w:r>
              <w:rPr>
                <w:rFonts w:hint="default" w:ascii="Times New Roman" w:hAnsi="Times New Roman" w:eastAsia="宋体" w:cs="Times New Roman"/>
                <w:color w:val="000000" w:themeColor="text1"/>
                <w:spacing w:val="-6"/>
                <w:sz w:val="21"/>
                <w:szCs w:val="21"/>
                <w:lang w:val="zh-CN"/>
                <w14:textFill>
                  <w14:solidFill>
                    <w14:schemeClr w14:val="tx1"/>
                  </w14:solidFill>
                </w14:textFill>
              </w:rPr>
              <w:t>工段</w:t>
            </w:r>
          </w:p>
        </w:tc>
        <w:tc>
          <w:tcPr>
            <w:tcW w:w="833" w:type="dxa"/>
            <w:vAlign w:val="center"/>
          </w:tcPr>
          <w:p w14:paraId="0625F472">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lang w:val="en-US" w:eastAsia="zh-CN"/>
                <w14:textFill>
                  <w14:solidFill>
                    <w14:schemeClr w14:val="tx1"/>
                  </w14:solidFill>
                </w14:textFill>
              </w:rPr>
            </w:pPr>
            <w:r>
              <w:rPr>
                <w:rFonts w:hint="eastAsia" w:ascii="Times New Roman" w:hAnsi="Times New Roman" w:cs="Times New Roman"/>
                <w:color w:val="000000" w:themeColor="text1"/>
                <w:spacing w:val="-6"/>
                <w:sz w:val="21"/>
                <w:szCs w:val="21"/>
                <w:lang w:val="en-US" w:eastAsia="zh-CN"/>
                <w14:textFill>
                  <w14:solidFill>
                    <w14:schemeClr w14:val="tx1"/>
                  </w14:solidFill>
                </w14:textFill>
              </w:rPr>
              <w:t>N1</w:t>
            </w:r>
          </w:p>
        </w:tc>
        <w:tc>
          <w:tcPr>
            <w:tcW w:w="3368" w:type="dxa"/>
            <w:vAlign w:val="center"/>
          </w:tcPr>
          <w:p w14:paraId="65C3B9D9">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lang w:val="zh-CN"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val="zh-CN" w:eastAsia="zh-CN"/>
                <w14:textFill>
                  <w14:solidFill>
                    <w14:schemeClr w14:val="tx1"/>
                  </w14:solidFill>
                </w14:textFill>
              </w:rPr>
              <w:t>生产过程中饲料搅拌机噪声</w:t>
            </w:r>
          </w:p>
        </w:tc>
        <w:tc>
          <w:tcPr>
            <w:tcW w:w="2388" w:type="dxa"/>
            <w:vAlign w:val="center"/>
          </w:tcPr>
          <w:p w14:paraId="0E7C81CD">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lang w:val="zh-CN"/>
                <w14:textFill>
                  <w14:solidFill>
                    <w14:schemeClr w14:val="tx1"/>
                  </w14:solidFill>
                </w14:textFill>
              </w:rPr>
            </w:pPr>
            <w:r>
              <w:rPr>
                <w:rFonts w:hint="default" w:ascii="Times New Roman" w:hAnsi="Times New Roman" w:eastAsia="宋体" w:cs="Times New Roman"/>
                <w:color w:val="000000" w:themeColor="text1"/>
                <w:spacing w:val="-6"/>
                <w:sz w:val="21"/>
                <w:szCs w:val="21"/>
                <w:lang w:val="zh-CN"/>
                <w14:textFill>
                  <w14:solidFill>
                    <w14:schemeClr w14:val="tx1"/>
                  </w14:solidFill>
                </w14:textFill>
              </w:rPr>
              <w:t>噪音</w:t>
            </w:r>
          </w:p>
        </w:tc>
      </w:tr>
      <w:tr w14:paraId="17D1B4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9" w:hRule="atLeast"/>
        </w:trPr>
        <w:tc>
          <w:tcPr>
            <w:tcW w:w="672" w:type="dxa"/>
            <w:vMerge w:val="continue"/>
            <w:vAlign w:val="center"/>
          </w:tcPr>
          <w:p w14:paraId="1A81C5EE">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lang w:val="zh-CN"/>
                <w14:textFill>
                  <w14:solidFill>
                    <w14:schemeClr w14:val="tx1"/>
                  </w14:solidFill>
                </w14:textFill>
              </w:rPr>
            </w:pPr>
          </w:p>
        </w:tc>
        <w:tc>
          <w:tcPr>
            <w:tcW w:w="1360" w:type="dxa"/>
            <w:vAlign w:val="center"/>
          </w:tcPr>
          <w:p w14:paraId="57B7ED7F">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lang w:val="zh-CN"/>
                <w14:textFill>
                  <w14:solidFill>
                    <w14:schemeClr w14:val="tx1"/>
                  </w14:solidFill>
                </w14:textFill>
              </w:rPr>
            </w:pPr>
            <w:r>
              <w:rPr>
                <w:rFonts w:hint="default" w:ascii="Times New Roman" w:hAnsi="Times New Roman" w:eastAsia="宋体" w:cs="Times New Roman"/>
                <w:color w:val="000000" w:themeColor="text1"/>
                <w:spacing w:val="-6"/>
                <w:sz w:val="21"/>
                <w:szCs w:val="21"/>
                <w:lang w:val="zh-CN"/>
                <w14:textFill>
                  <w14:solidFill>
                    <w14:schemeClr w14:val="tx1"/>
                  </w14:solidFill>
                </w14:textFill>
              </w:rPr>
              <w:t>养殖区</w:t>
            </w:r>
          </w:p>
        </w:tc>
        <w:tc>
          <w:tcPr>
            <w:tcW w:w="833" w:type="dxa"/>
            <w:vAlign w:val="center"/>
          </w:tcPr>
          <w:p w14:paraId="14E3FF06">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lang w:val="en-US" w:eastAsia="zh-CN"/>
                <w14:textFill>
                  <w14:solidFill>
                    <w14:schemeClr w14:val="tx1"/>
                  </w14:solidFill>
                </w14:textFill>
              </w:rPr>
            </w:pPr>
            <w:r>
              <w:rPr>
                <w:rFonts w:hint="eastAsia" w:ascii="Times New Roman" w:hAnsi="Times New Roman" w:cs="Times New Roman"/>
                <w:color w:val="000000" w:themeColor="text1"/>
                <w:spacing w:val="-6"/>
                <w:sz w:val="21"/>
                <w:szCs w:val="21"/>
                <w:lang w:val="en-US" w:eastAsia="zh-CN"/>
                <w14:textFill>
                  <w14:solidFill>
                    <w14:schemeClr w14:val="tx1"/>
                  </w14:solidFill>
                </w14:textFill>
              </w:rPr>
              <w:t>N2</w:t>
            </w:r>
          </w:p>
        </w:tc>
        <w:tc>
          <w:tcPr>
            <w:tcW w:w="3368" w:type="dxa"/>
            <w:vAlign w:val="center"/>
          </w:tcPr>
          <w:p w14:paraId="2DC1694D">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lang w:val="zh-CN"/>
                <w14:textFill>
                  <w14:solidFill>
                    <w14:schemeClr w14:val="tx1"/>
                  </w14:solidFill>
                </w14:textFill>
              </w:rPr>
            </w:pPr>
            <w:r>
              <w:rPr>
                <w:rFonts w:hint="default" w:ascii="Times New Roman" w:hAnsi="Times New Roman" w:eastAsia="宋体" w:cs="Times New Roman"/>
                <w:color w:val="000000" w:themeColor="text1"/>
                <w:spacing w:val="-6"/>
                <w:sz w:val="21"/>
                <w:szCs w:val="21"/>
                <w:lang w:val="zh-CN"/>
                <w14:textFill>
                  <w14:solidFill>
                    <w14:schemeClr w14:val="tx1"/>
                  </w14:solidFill>
                </w14:textFill>
              </w:rPr>
              <w:t>排风扇以及牛叫声</w:t>
            </w:r>
          </w:p>
        </w:tc>
        <w:tc>
          <w:tcPr>
            <w:tcW w:w="2388" w:type="dxa"/>
            <w:vAlign w:val="center"/>
          </w:tcPr>
          <w:p w14:paraId="740D455F">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lang w:val="zh-CN"/>
                <w14:textFill>
                  <w14:solidFill>
                    <w14:schemeClr w14:val="tx1"/>
                  </w14:solidFill>
                </w14:textFill>
              </w:rPr>
            </w:pPr>
            <w:r>
              <w:rPr>
                <w:rFonts w:hint="default" w:ascii="Times New Roman" w:hAnsi="Times New Roman" w:eastAsia="宋体" w:cs="Times New Roman"/>
                <w:color w:val="000000" w:themeColor="text1"/>
                <w:spacing w:val="-6"/>
                <w:sz w:val="21"/>
                <w:szCs w:val="21"/>
                <w:lang w:val="zh-CN"/>
                <w14:textFill>
                  <w14:solidFill>
                    <w14:schemeClr w14:val="tx1"/>
                  </w14:solidFill>
                </w14:textFill>
              </w:rPr>
              <w:t>噪音</w:t>
            </w:r>
          </w:p>
        </w:tc>
      </w:tr>
      <w:tr w14:paraId="4941E7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2" w:type="dxa"/>
            <w:vMerge w:val="continue"/>
            <w:vAlign w:val="center"/>
          </w:tcPr>
          <w:p w14:paraId="757EF4E7">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lang w:val="zh-CN"/>
                <w14:textFill>
                  <w14:solidFill>
                    <w14:schemeClr w14:val="tx1"/>
                  </w14:solidFill>
                </w14:textFill>
              </w:rPr>
            </w:pPr>
          </w:p>
        </w:tc>
        <w:tc>
          <w:tcPr>
            <w:tcW w:w="1360" w:type="dxa"/>
            <w:vAlign w:val="center"/>
          </w:tcPr>
          <w:p w14:paraId="65346DA4">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lang w:val="zh-CN"/>
                <w14:textFill>
                  <w14:solidFill>
                    <w14:schemeClr w14:val="tx1"/>
                  </w14:solidFill>
                </w14:textFill>
              </w:rPr>
            </w:pPr>
            <w:r>
              <w:rPr>
                <w:rFonts w:hint="default" w:ascii="Times New Roman" w:hAnsi="Times New Roman" w:eastAsia="宋体" w:cs="Times New Roman"/>
                <w:color w:val="000000" w:themeColor="text1"/>
                <w:spacing w:val="-6"/>
                <w:sz w:val="21"/>
                <w:szCs w:val="21"/>
                <w:lang w:val="zh-CN"/>
                <w14:textFill>
                  <w14:solidFill>
                    <w14:schemeClr w14:val="tx1"/>
                  </w14:solidFill>
                </w14:textFill>
              </w:rPr>
              <w:t>环保工程区</w:t>
            </w:r>
          </w:p>
        </w:tc>
        <w:tc>
          <w:tcPr>
            <w:tcW w:w="833" w:type="dxa"/>
            <w:vAlign w:val="center"/>
          </w:tcPr>
          <w:p w14:paraId="35883AE4">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lang w:val="zh-CN"/>
                <w14:textFill>
                  <w14:solidFill>
                    <w14:schemeClr w14:val="tx1"/>
                  </w14:solidFill>
                </w14:textFill>
              </w:rPr>
            </w:pPr>
            <w:r>
              <w:rPr>
                <w:rFonts w:hint="eastAsia" w:ascii="Times New Roman" w:hAnsi="Times New Roman" w:cs="Times New Roman"/>
                <w:color w:val="000000" w:themeColor="text1"/>
                <w:spacing w:val="-6"/>
                <w:sz w:val="21"/>
                <w:szCs w:val="21"/>
                <w:lang w:val="en-US" w:eastAsia="zh-CN"/>
                <w14:textFill>
                  <w14:solidFill>
                    <w14:schemeClr w14:val="tx1"/>
                  </w14:solidFill>
                </w14:textFill>
              </w:rPr>
              <w:t>N3</w:t>
            </w:r>
          </w:p>
        </w:tc>
        <w:tc>
          <w:tcPr>
            <w:tcW w:w="3368" w:type="dxa"/>
            <w:vAlign w:val="center"/>
          </w:tcPr>
          <w:p w14:paraId="39F458C6">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lang w:val="zh-CN"/>
                <w14:textFill>
                  <w14:solidFill>
                    <w14:schemeClr w14:val="tx1"/>
                  </w14:solidFill>
                </w14:textFill>
              </w:rPr>
            </w:pPr>
            <w:r>
              <w:rPr>
                <w:rFonts w:hint="default" w:ascii="Times New Roman" w:hAnsi="Times New Roman" w:eastAsia="宋体" w:cs="Times New Roman"/>
                <w:color w:val="000000" w:themeColor="text1"/>
                <w:spacing w:val="-6"/>
                <w:sz w:val="21"/>
                <w:szCs w:val="21"/>
                <w:lang w:val="zh-CN"/>
                <w14:textFill>
                  <w14:solidFill>
                    <w14:schemeClr w14:val="tx1"/>
                  </w14:solidFill>
                </w14:textFill>
              </w:rPr>
              <w:t>各种泵、风机等</w:t>
            </w:r>
          </w:p>
        </w:tc>
        <w:tc>
          <w:tcPr>
            <w:tcW w:w="2388" w:type="dxa"/>
            <w:vAlign w:val="center"/>
          </w:tcPr>
          <w:p w14:paraId="198CB739">
            <w:pPr>
              <w:pStyle w:val="11"/>
              <w:adjustRightInd w:val="0"/>
              <w:snapToGrid w:val="0"/>
              <w:spacing w:line="240" w:lineRule="auto"/>
              <w:ind w:firstLine="0" w:firstLineChars="0"/>
              <w:jc w:val="center"/>
              <w:rPr>
                <w:rFonts w:hint="default" w:ascii="Times New Roman" w:hAnsi="Times New Roman" w:eastAsia="宋体" w:cs="Times New Roman"/>
                <w:color w:val="000000" w:themeColor="text1"/>
                <w:spacing w:val="-6"/>
                <w:sz w:val="21"/>
                <w:szCs w:val="21"/>
                <w:lang w:val="zh-CN"/>
                <w14:textFill>
                  <w14:solidFill>
                    <w14:schemeClr w14:val="tx1"/>
                  </w14:solidFill>
                </w14:textFill>
              </w:rPr>
            </w:pPr>
            <w:r>
              <w:rPr>
                <w:rFonts w:hint="default" w:ascii="Times New Roman" w:hAnsi="Times New Roman" w:eastAsia="宋体" w:cs="Times New Roman"/>
                <w:color w:val="000000" w:themeColor="text1"/>
                <w:spacing w:val="-6"/>
                <w:sz w:val="21"/>
                <w:szCs w:val="21"/>
                <w:lang w:val="zh-CN"/>
                <w14:textFill>
                  <w14:solidFill>
                    <w14:schemeClr w14:val="tx1"/>
                  </w14:solidFill>
                </w14:textFill>
              </w:rPr>
              <w:t>噪音</w:t>
            </w:r>
          </w:p>
        </w:tc>
      </w:tr>
    </w:tbl>
    <w:p w14:paraId="52CA9554">
      <w:pPr>
        <w:pStyle w:val="11"/>
        <w:adjustRightInd w:val="0"/>
        <w:snapToGrid w:val="0"/>
        <w:ind w:firstLine="482"/>
        <w:rPr>
          <w:rFonts w:hint="default" w:ascii="Times New Roman" w:hAnsi="Times New Roman" w:eastAsia="宋体" w:cs="Times New Roman"/>
          <w:b/>
          <w:color w:val="000000" w:themeColor="text1"/>
          <w14:textFill>
            <w14:solidFill>
              <w14:schemeClr w14:val="tx1"/>
            </w14:solidFill>
          </w14:textFill>
        </w:rPr>
      </w:pPr>
      <w:r>
        <w:rPr>
          <w:rFonts w:hint="default" w:ascii="Times New Roman" w:hAnsi="Times New Roman" w:eastAsia="宋体" w:cs="Times New Roman"/>
          <w:b/>
          <w:color w:val="000000" w:themeColor="text1"/>
          <w:lang w:eastAsia="zh-CN"/>
          <w14:textFill>
            <w14:solidFill>
              <w14:schemeClr w14:val="tx1"/>
            </w14:solidFill>
          </w14:textFill>
        </w:rPr>
        <w:t>3.3.2.1</w:t>
      </w:r>
      <w:r>
        <w:rPr>
          <w:rFonts w:hint="default" w:ascii="Times New Roman" w:hAnsi="Times New Roman" w:eastAsia="宋体" w:cs="Times New Roman"/>
          <w:b/>
          <w:color w:val="000000" w:themeColor="text1"/>
          <w14:textFill>
            <w14:solidFill>
              <w14:schemeClr w14:val="tx1"/>
            </w14:solidFill>
          </w14:textFill>
        </w:rPr>
        <w:t>废气</w:t>
      </w:r>
    </w:p>
    <w:p w14:paraId="7F53A97C">
      <w:pPr>
        <w:pStyle w:val="11"/>
        <w:adjustRightInd w:val="0"/>
        <w:snapToGrid w:val="0"/>
        <w:ind w:firstLine="456"/>
        <w:rPr>
          <w:rFonts w:hint="default" w:ascii="Times New Roman" w:hAnsi="Times New Roman" w:eastAsia="宋体" w:cs="Times New Roman"/>
          <w:color w:val="000000" w:themeColor="text1"/>
          <w:spacing w:val="-6"/>
          <w:lang w:eastAsia="zh-CN"/>
          <w14:textFill>
            <w14:solidFill>
              <w14:schemeClr w14:val="tx1"/>
            </w14:solidFill>
          </w14:textFill>
        </w:rPr>
      </w:pPr>
      <w:r>
        <w:rPr>
          <w:rFonts w:hint="default" w:ascii="Times New Roman" w:hAnsi="Times New Roman" w:eastAsia="宋体" w:cs="Times New Roman"/>
          <w:color w:val="000000" w:themeColor="text1"/>
          <w:spacing w:val="-6"/>
          <w:lang w:val="en-US" w:eastAsia="zh-CN"/>
          <w14:textFill>
            <w14:solidFill>
              <w14:schemeClr w14:val="tx1"/>
            </w14:solidFill>
          </w14:textFill>
        </w:rPr>
        <w:t>项目运营期间产生废气主要为牛舍、粪便处理设施、氧化塘等产生恶臭及餐饮油烟。</w:t>
      </w:r>
    </w:p>
    <w:p w14:paraId="023D674C">
      <w:pPr>
        <w:pStyle w:val="11"/>
        <w:adjustRightInd w:val="0"/>
        <w:snapToGrid w:val="0"/>
        <w:ind w:firstLine="456"/>
        <w:rPr>
          <w:rFonts w:hint="default" w:ascii="Times New Roman" w:hAnsi="Times New Roman" w:eastAsia="宋体" w:cs="Times New Roman"/>
          <w:color w:val="000000" w:themeColor="text1"/>
          <w:spacing w:val="-6"/>
          <w:lang w:eastAsia="zh-CN"/>
          <w14:textFill>
            <w14:solidFill>
              <w14:schemeClr w14:val="tx1"/>
            </w14:solidFill>
          </w14:textFill>
        </w:rPr>
      </w:pPr>
      <w:r>
        <w:rPr>
          <w:rFonts w:hint="default" w:ascii="Times New Roman" w:hAnsi="Times New Roman" w:eastAsia="宋体" w:cs="Times New Roman"/>
          <w:color w:val="000000" w:themeColor="text1"/>
          <w:spacing w:val="-6"/>
          <w:lang w:eastAsia="zh-CN"/>
          <w14:textFill>
            <w14:solidFill>
              <w14:schemeClr w14:val="tx1"/>
            </w14:solidFill>
          </w14:textFill>
        </w:rPr>
        <w:t>（1）粉尘</w:t>
      </w:r>
      <w:r>
        <w:rPr>
          <w:rFonts w:hint="eastAsia" w:ascii="Times New Roman" w:hAnsi="Times New Roman" w:cs="Times New Roman"/>
          <w:color w:val="000000" w:themeColor="text1"/>
          <w:spacing w:val="-6"/>
          <w:lang w:eastAsia="zh-CN"/>
          <w14:textFill>
            <w14:solidFill>
              <w14:schemeClr w14:val="tx1"/>
            </w14:solidFill>
          </w14:textFill>
        </w:rPr>
        <w:t>（</w:t>
      </w:r>
      <w:r>
        <w:rPr>
          <w:rFonts w:hint="eastAsia" w:ascii="Times New Roman" w:hAnsi="Times New Roman" w:cs="Times New Roman"/>
          <w:color w:val="000000" w:themeColor="text1"/>
          <w:spacing w:val="-6"/>
          <w:lang w:val="en-US" w:eastAsia="zh-CN"/>
          <w14:textFill>
            <w14:solidFill>
              <w14:schemeClr w14:val="tx1"/>
            </w14:solidFill>
          </w14:textFill>
        </w:rPr>
        <w:t>G1</w:t>
      </w:r>
      <w:r>
        <w:rPr>
          <w:rFonts w:hint="eastAsia" w:ascii="Times New Roman" w:hAnsi="Times New Roman" w:cs="Times New Roman"/>
          <w:color w:val="000000" w:themeColor="text1"/>
          <w:spacing w:val="-6"/>
          <w:lang w:eastAsia="zh-CN"/>
          <w14:textFill>
            <w14:solidFill>
              <w14:schemeClr w14:val="tx1"/>
            </w14:solidFill>
          </w14:textFill>
        </w:rPr>
        <w:t>）</w:t>
      </w:r>
    </w:p>
    <w:p w14:paraId="0B1A3104">
      <w:pPr>
        <w:pStyle w:val="11"/>
        <w:adjustRightInd w:val="0"/>
        <w:snapToGrid w:val="0"/>
        <w:ind w:firstLine="456"/>
        <w:rPr>
          <w:rFonts w:hint="default" w:ascii="Times New Roman" w:hAnsi="Times New Roman" w:eastAsia="宋体" w:cs="Times New Roman"/>
          <w:color w:val="000000" w:themeColor="text1"/>
          <w:spacing w:val="-6"/>
          <w:lang w:eastAsia="zh-CN"/>
          <w14:textFill>
            <w14:solidFill>
              <w14:schemeClr w14:val="tx1"/>
            </w14:solidFill>
          </w14:textFill>
        </w:rPr>
      </w:pPr>
      <w:r>
        <w:rPr>
          <w:rFonts w:hint="default" w:ascii="Times New Roman" w:hAnsi="Times New Roman" w:eastAsia="宋体" w:cs="Times New Roman"/>
          <w:color w:val="000000" w:themeColor="text1"/>
          <w:spacing w:val="-6"/>
          <w:lang w:eastAsia="zh-CN"/>
          <w14:textFill>
            <w14:solidFill>
              <w14:schemeClr w14:val="tx1"/>
            </w14:solidFill>
          </w14:textFill>
        </w:rPr>
        <w:t>本项目饲料搅拌过程中产生粉尘。</w:t>
      </w:r>
    </w:p>
    <w:p w14:paraId="25E9AFA0">
      <w:pPr>
        <w:pStyle w:val="11"/>
        <w:adjustRightInd w:val="0"/>
        <w:snapToGrid w:val="0"/>
        <w:ind w:firstLine="456"/>
        <w:rPr>
          <w:rFonts w:hint="default" w:ascii="Times New Roman" w:hAnsi="Times New Roman" w:eastAsia="宋体" w:cs="Times New Roman"/>
          <w:color w:val="000000" w:themeColor="text1"/>
          <w:spacing w:val="-6"/>
          <w:lang w:val="en-US" w:eastAsia="zh-CN"/>
          <w14:textFill>
            <w14:solidFill>
              <w14:schemeClr w14:val="tx1"/>
            </w14:solidFill>
          </w14:textFill>
        </w:rPr>
      </w:pPr>
      <w:r>
        <w:rPr>
          <w:rFonts w:hint="eastAsia" w:ascii="Times New Roman" w:hAnsi="Times New Roman" w:cs="Times New Roman"/>
          <w:color w:val="000000" w:themeColor="text1"/>
          <w:spacing w:val="-6"/>
          <w:lang w:val="en-US" w:eastAsia="zh-CN"/>
          <w14:textFill>
            <w14:solidFill>
              <w14:schemeClr w14:val="tx1"/>
            </w14:solidFill>
          </w14:textFill>
        </w:rPr>
        <w:t>项目</w:t>
      </w:r>
      <w:r>
        <w:rPr>
          <w:rFonts w:hint="default" w:ascii="Times New Roman" w:hAnsi="Times New Roman" w:eastAsia="宋体" w:cs="Times New Roman"/>
          <w:color w:val="000000" w:themeColor="text1"/>
          <w:spacing w:val="-6"/>
          <w:lang w:eastAsia="zh-CN"/>
          <w14:textFill>
            <w14:solidFill>
              <w14:schemeClr w14:val="tx1"/>
            </w14:solidFill>
          </w14:textFill>
        </w:rPr>
        <w:t>TMR饲料搅拌过程中会产生粉尘。根据《工业源产排污系数手册》（公告2021年第24号）中“</w:t>
      </w:r>
      <w:r>
        <w:rPr>
          <w:rFonts w:hint="default" w:ascii="Times New Roman" w:hAnsi="Times New Roman" w:eastAsia="宋体" w:cs="Times New Roman"/>
          <w:color w:val="000000" w:themeColor="text1"/>
          <w:spacing w:val="-6"/>
          <w:lang w:val="en-US" w:eastAsia="zh-CN"/>
          <w14:textFill>
            <w14:solidFill>
              <w14:schemeClr w14:val="tx1"/>
            </w14:solidFill>
          </w14:textFill>
        </w:rPr>
        <w:t>132</w:t>
      </w:r>
      <w:r>
        <w:rPr>
          <w:rFonts w:hint="default" w:ascii="Times New Roman" w:hAnsi="Times New Roman" w:eastAsia="宋体" w:cs="Times New Roman"/>
          <w:color w:val="000000" w:themeColor="text1"/>
          <w:spacing w:val="-6"/>
          <w:lang w:eastAsia="zh-CN"/>
          <w14:textFill>
            <w14:solidFill>
              <w14:schemeClr w14:val="tx1"/>
            </w14:solidFill>
          </w14:textFill>
        </w:rPr>
        <w:t>饲料加工行业产排污系数表”，规模小于10万吨/年的饲料加工企业产排污系数为0.04</w:t>
      </w:r>
      <w:r>
        <w:rPr>
          <w:rFonts w:hint="default" w:ascii="Times New Roman" w:hAnsi="Times New Roman" w:eastAsia="宋体" w:cs="Times New Roman"/>
          <w:color w:val="000000" w:themeColor="text1"/>
          <w:spacing w:val="-6"/>
          <w:lang w:val="en-US" w:eastAsia="zh-CN"/>
          <w14:textFill>
            <w14:solidFill>
              <w14:schemeClr w14:val="tx1"/>
            </w14:solidFill>
          </w14:textFill>
        </w:rPr>
        <w:t>3</w:t>
      </w:r>
      <w:r>
        <w:rPr>
          <w:rFonts w:hint="default" w:ascii="Times New Roman" w:hAnsi="Times New Roman" w:eastAsia="宋体" w:cs="Times New Roman"/>
          <w:color w:val="000000" w:themeColor="text1"/>
          <w:spacing w:val="-6"/>
          <w:lang w:eastAsia="zh-CN"/>
          <w14:textFill>
            <w14:solidFill>
              <w14:schemeClr w14:val="tx1"/>
            </w14:solidFill>
          </w14:textFill>
        </w:rPr>
        <w:t>kg/t。本项目精饲料包括玉米、麸皮、豆粕、盐等，项目饲料用量为</w:t>
      </w:r>
      <w:r>
        <w:rPr>
          <w:rFonts w:hint="default" w:ascii="Times New Roman" w:hAnsi="Times New Roman" w:eastAsia="宋体" w:cs="Times New Roman"/>
          <w:color w:val="000000" w:themeColor="text1"/>
          <w:spacing w:val="-6"/>
          <w:lang w:val="en-US" w:eastAsia="zh-CN"/>
          <w14:textFill>
            <w14:solidFill>
              <w14:schemeClr w14:val="tx1"/>
            </w14:solidFill>
          </w14:textFill>
        </w:rPr>
        <w:t>26.11</w:t>
      </w:r>
      <w:r>
        <w:rPr>
          <w:rFonts w:hint="default" w:ascii="Times New Roman" w:hAnsi="Times New Roman" w:eastAsia="宋体" w:cs="Times New Roman"/>
          <w:color w:val="000000" w:themeColor="text1"/>
          <w:spacing w:val="-6"/>
          <w:lang w:eastAsia="zh-CN"/>
          <w14:textFill>
            <w14:solidFill>
              <w14:schemeClr w14:val="tx1"/>
            </w14:solidFill>
          </w14:textFill>
        </w:rPr>
        <w:t>t/at，故项目饲料加工粉尘产生量约为0.</w:t>
      </w:r>
      <w:r>
        <w:rPr>
          <w:rFonts w:hint="default" w:ascii="Times New Roman" w:hAnsi="Times New Roman" w:eastAsia="宋体" w:cs="Times New Roman"/>
          <w:color w:val="000000" w:themeColor="text1"/>
          <w:spacing w:val="-6"/>
          <w:lang w:val="en-US" w:eastAsia="zh-CN"/>
          <w14:textFill>
            <w14:solidFill>
              <w14:schemeClr w14:val="tx1"/>
            </w14:solidFill>
          </w14:textFill>
        </w:rPr>
        <w:t>0</w:t>
      </w:r>
      <w:r>
        <w:rPr>
          <w:rFonts w:hint="eastAsia" w:ascii="Times New Roman" w:hAnsi="Times New Roman" w:cs="Times New Roman"/>
          <w:color w:val="000000" w:themeColor="text1"/>
          <w:spacing w:val="-6"/>
          <w:lang w:val="en-US" w:eastAsia="zh-CN"/>
          <w14:textFill>
            <w14:solidFill>
              <w14:schemeClr w14:val="tx1"/>
            </w14:solidFill>
          </w14:textFill>
        </w:rPr>
        <w:t>011</w:t>
      </w:r>
      <w:r>
        <w:rPr>
          <w:rFonts w:hint="default" w:ascii="Times New Roman" w:hAnsi="Times New Roman" w:eastAsia="宋体" w:cs="Times New Roman"/>
          <w:color w:val="000000" w:themeColor="text1"/>
          <w:spacing w:val="-6"/>
          <w:lang w:eastAsia="zh-CN"/>
          <w14:textFill>
            <w14:solidFill>
              <w14:schemeClr w14:val="tx1"/>
            </w14:solidFill>
          </w14:textFill>
        </w:rPr>
        <w:t>t/a，饲料切碎机年工作365天，每天工作4h，则粉尘产生速率约</w:t>
      </w:r>
      <w:r>
        <w:rPr>
          <w:rFonts w:hint="default" w:ascii="Times New Roman" w:hAnsi="Times New Roman" w:eastAsia="宋体" w:cs="Times New Roman"/>
          <w:color w:val="000000" w:themeColor="text1"/>
          <w:spacing w:val="-6"/>
          <w:lang w:val="en-US" w:eastAsia="zh-CN"/>
          <w14:textFill>
            <w14:solidFill>
              <w14:schemeClr w14:val="tx1"/>
            </w14:solidFill>
          </w14:textFill>
        </w:rPr>
        <w:t>0.0</w:t>
      </w:r>
      <w:r>
        <w:rPr>
          <w:rFonts w:hint="eastAsia" w:ascii="Times New Roman" w:hAnsi="Times New Roman" w:cs="Times New Roman"/>
          <w:color w:val="000000" w:themeColor="text1"/>
          <w:spacing w:val="-6"/>
          <w:lang w:val="en-US" w:eastAsia="zh-CN"/>
          <w14:textFill>
            <w14:solidFill>
              <w14:schemeClr w14:val="tx1"/>
            </w14:solidFill>
          </w14:textFill>
        </w:rPr>
        <w:t>016</w:t>
      </w:r>
      <w:r>
        <w:rPr>
          <w:rFonts w:hint="default" w:ascii="Times New Roman" w:hAnsi="Times New Roman" w:eastAsia="宋体" w:cs="Times New Roman"/>
          <w:color w:val="000000" w:themeColor="text1"/>
          <w:spacing w:val="-6"/>
          <w:lang w:val="en-US" w:eastAsia="zh-CN"/>
          <w14:textFill>
            <w14:solidFill>
              <w14:schemeClr w14:val="tx1"/>
            </w14:solidFill>
          </w14:textFill>
        </w:rPr>
        <w:t>kg/h。</w:t>
      </w:r>
    </w:p>
    <w:p w14:paraId="7570D709">
      <w:pPr>
        <w:pStyle w:val="11"/>
        <w:adjustRightInd w:val="0"/>
        <w:snapToGrid w:val="0"/>
        <w:ind w:firstLine="456"/>
        <w:rPr>
          <w:rFonts w:hint="default" w:ascii="Times New Roman" w:hAnsi="Times New Roman" w:eastAsia="宋体" w:cs="Times New Roman"/>
          <w:color w:val="000000" w:themeColor="text1"/>
          <w:spacing w:val="-6"/>
          <w:lang w:eastAsia="zh-CN"/>
          <w14:textFill>
            <w14:solidFill>
              <w14:schemeClr w14:val="tx1"/>
            </w14:solidFill>
          </w14:textFill>
        </w:rPr>
      </w:pPr>
      <w:r>
        <w:rPr>
          <w:rFonts w:hint="default" w:ascii="Times New Roman" w:hAnsi="Times New Roman" w:eastAsia="宋体" w:cs="Times New Roman"/>
          <w:color w:val="000000" w:themeColor="text1"/>
          <w:spacing w:val="-6"/>
          <w:lang w:val="en-US" w:eastAsia="zh-CN"/>
          <w14:textFill>
            <w14:solidFill>
              <w14:schemeClr w14:val="tx1"/>
            </w14:solidFill>
          </w14:textFill>
        </w:rPr>
        <w:t>全混合日粮（TMR）是根据羊饲养管理特点的营养需要，把适当长度的干草料、精饲料等按合理的比例及要求进行充分混合而得到的一种营养平衡的日粮。本项目各种配料在TMR搅拌车进行搅拌，且饲料配置车间全密闭无通风口饲料配制期间门窗紧闭。由于玉米、豆粕等原料粒度大，而羊草、苜蓿等均为短段、湿度大，各物料一般都有一定的湿度，同时其配方中喷入一定量的水，以保持饲料的湿度，因此在配制过程中，需在喷水的情况下进行搅拌，因此粉尘产生量较少，</w:t>
      </w:r>
      <w:r>
        <w:rPr>
          <w:rFonts w:hint="eastAsia" w:ascii="Times New Roman" w:hAnsi="Times New Roman" w:cs="Times New Roman"/>
          <w:color w:val="000000" w:themeColor="text1"/>
          <w:spacing w:val="-6"/>
          <w:lang w:val="en-US" w:eastAsia="zh-CN"/>
          <w14:textFill>
            <w14:solidFill>
              <w14:schemeClr w14:val="tx1"/>
            </w14:solidFill>
          </w14:textFill>
        </w:rPr>
        <w:t>该部分粉尘属于无组织。</w:t>
      </w:r>
      <w:r>
        <w:rPr>
          <w:rFonts w:hint="default" w:ascii="Times New Roman" w:hAnsi="Times New Roman" w:eastAsia="宋体" w:cs="Times New Roman"/>
          <w:color w:val="000000" w:themeColor="text1"/>
          <w:spacing w:val="-6"/>
          <w:lang w:val="en-US" w:eastAsia="zh-CN"/>
          <w14:textFill>
            <w14:solidFill>
              <w14:schemeClr w14:val="tx1"/>
            </w14:solidFill>
          </w14:textFill>
        </w:rPr>
        <w:t>本项目饲料搅拌过程中粉尘排放</w:t>
      </w:r>
      <w:r>
        <w:rPr>
          <w:rFonts w:hint="default" w:ascii="Times New Roman" w:hAnsi="Times New Roman" w:eastAsia="宋体" w:cs="Times New Roman"/>
          <w:color w:val="000000" w:themeColor="text1"/>
          <w:spacing w:val="-6"/>
          <w:highlight w:val="none"/>
          <w:lang w:val="en-US" w:eastAsia="zh-CN"/>
          <w14:textFill>
            <w14:solidFill>
              <w14:schemeClr w14:val="tx1"/>
            </w14:solidFill>
          </w14:textFill>
        </w:rPr>
        <w:t>量为0.0</w:t>
      </w:r>
      <w:r>
        <w:rPr>
          <w:rFonts w:hint="eastAsia" w:ascii="Times New Roman" w:hAnsi="Times New Roman" w:cs="Times New Roman"/>
          <w:color w:val="000000" w:themeColor="text1"/>
          <w:spacing w:val="-6"/>
          <w:highlight w:val="none"/>
          <w:lang w:val="en-US" w:eastAsia="zh-CN"/>
          <w14:textFill>
            <w14:solidFill>
              <w14:schemeClr w14:val="tx1"/>
            </w14:solidFill>
          </w14:textFill>
        </w:rPr>
        <w:t>016</w:t>
      </w:r>
      <w:r>
        <w:rPr>
          <w:rFonts w:hint="default" w:ascii="Times New Roman" w:hAnsi="Times New Roman" w:eastAsia="宋体" w:cs="Times New Roman"/>
          <w:color w:val="000000" w:themeColor="text1"/>
          <w:spacing w:val="-6"/>
          <w:highlight w:val="none"/>
          <w:lang w:val="en-US" w:eastAsia="zh-CN"/>
          <w14:textFill>
            <w14:solidFill>
              <w14:schemeClr w14:val="tx1"/>
            </w14:solidFill>
          </w14:textFill>
        </w:rPr>
        <w:t>kg/h</w:t>
      </w:r>
      <w:r>
        <w:rPr>
          <w:rFonts w:hint="eastAsia" w:ascii="Times New Roman" w:hAnsi="Times New Roman" w:cs="Times New Roman"/>
          <w:color w:val="000000" w:themeColor="text1"/>
          <w:spacing w:val="-6"/>
          <w:highlight w:val="none"/>
          <w:lang w:val="en-US" w:eastAsia="zh-CN"/>
          <w14:textFill>
            <w14:solidFill>
              <w14:schemeClr w14:val="tx1"/>
            </w14:solidFill>
          </w14:textFill>
        </w:rPr>
        <w:t>。</w:t>
      </w:r>
    </w:p>
    <w:p w14:paraId="6A296A98">
      <w:pPr>
        <w:pStyle w:val="11"/>
        <w:adjustRightInd w:val="0"/>
        <w:snapToGrid w:val="0"/>
        <w:ind w:firstLine="456"/>
        <w:rPr>
          <w:rFonts w:hint="default" w:ascii="Times New Roman" w:hAnsi="Times New Roman" w:eastAsia="宋体" w:cs="Times New Roman"/>
          <w:color w:val="0000FF"/>
          <w:spacing w:val="-6"/>
          <w:lang w:eastAsia="zh-CN"/>
        </w:rPr>
      </w:pPr>
      <w:r>
        <w:rPr>
          <w:rFonts w:hint="default" w:ascii="Times New Roman" w:hAnsi="Times New Roman" w:eastAsia="宋体" w:cs="Times New Roman"/>
          <w:color w:val="0000FF"/>
          <w:spacing w:val="-6"/>
          <w:lang w:eastAsia="zh-CN"/>
        </w:rPr>
        <w:t>（2）恶臭气体</w:t>
      </w:r>
      <w:r>
        <w:rPr>
          <w:rFonts w:hint="eastAsia" w:ascii="Times New Roman" w:hAnsi="Times New Roman" w:cs="Times New Roman"/>
          <w:color w:val="0000FF"/>
          <w:spacing w:val="-6"/>
          <w:lang w:eastAsia="zh-CN"/>
        </w:rPr>
        <w:t>（</w:t>
      </w:r>
      <w:r>
        <w:rPr>
          <w:rFonts w:hint="eastAsia" w:ascii="Times New Roman" w:hAnsi="Times New Roman" w:cs="Times New Roman"/>
          <w:color w:val="0000FF"/>
          <w:spacing w:val="-6"/>
          <w:lang w:val="en-US" w:eastAsia="zh-CN"/>
        </w:rPr>
        <w:t>G2</w:t>
      </w:r>
      <w:r>
        <w:rPr>
          <w:rFonts w:hint="eastAsia" w:ascii="Times New Roman" w:hAnsi="Times New Roman" w:cs="Times New Roman"/>
          <w:color w:val="0000FF"/>
          <w:spacing w:val="-6"/>
          <w:lang w:eastAsia="zh-CN"/>
        </w:rPr>
        <w:t>）</w:t>
      </w:r>
    </w:p>
    <w:p w14:paraId="3767EE79">
      <w:pPr>
        <w:pStyle w:val="11"/>
        <w:adjustRightInd w:val="0"/>
        <w:snapToGrid w:val="0"/>
        <w:ind w:firstLine="456"/>
        <w:rPr>
          <w:rFonts w:hint="default" w:ascii="Times New Roman" w:hAnsi="Times New Roman" w:eastAsia="宋体" w:cs="Times New Roman"/>
          <w:color w:val="0000FF"/>
          <w:spacing w:val="-6"/>
          <w:lang w:val="en-US" w:eastAsia="zh-CN"/>
        </w:rPr>
      </w:pPr>
      <w:r>
        <w:rPr>
          <w:rFonts w:hint="default" w:ascii="Times New Roman" w:hAnsi="Times New Roman" w:eastAsia="宋体" w:cs="Times New Roman"/>
          <w:color w:val="0000FF"/>
          <w:spacing w:val="-6"/>
          <w:lang w:val="en-US" w:eastAsia="zh-CN"/>
        </w:rPr>
        <w:t>奶牛场运营期间牛舍、</w:t>
      </w:r>
      <w:r>
        <w:rPr>
          <w:rFonts w:hint="eastAsia" w:ascii="Times New Roman" w:hAnsi="Times New Roman" w:cs="Times New Roman"/>
          <w:color w:val="0000FF"/>
          <w:spacing w:val="-6"/>
          <w:lang w:val="en-US" w:eastAsia="zh-CN"/>
        </w:rPr>
        <w:t>固液分离车间</w:t>
      </w:r>
      <w:r>
        <w:rPr>
          <w:rFonts w:hint="default" w:ascii="Times New Roman" w:hAnsi="Times New Roman" w:eastAsia="宋体" w:cs="Times New Roman"/>
          <w:color w:val="0000FF"/>
          <w:spacing w:val="-6"/>
          <w:lang w:val="en-US" w:eastAsia="zh-CN"/>
        </w:rPr>
        <w:t>、</w:t>
      </w:r>
      <w:r>
        <w:rPr>
          <w:rFonts w:hint="eastAsia" w:ascii="Times New Roman" w:hAnsi="Times New Roman" w:cs="Times New Roman"/>
          <w:color w:val="0000FF"/>
          <w:spacing w:val="-6"/>
          <w:lang w:val="en-US" w:eastAsia="zh-CN"/>
        </w:rPr>
        <w:t>污水处理系统恶臭</w:t>
      </w:r>
      <w:r>
        <w:rPr>
          <w:rFonts w:hint="default" w:ascii="Times New Roman" w:hAnsi="Times New Roman" w:eastAsia="宋体" w:cs="Times New Roman"/>
          <w:color w:val="0000FF"/>
          <w:spacing w:val="-6"/>
          <w:lang w:val="en-US" w:eastAsia="zh-CN"/>
        </w:rPr>
        <w:t>等处均会产生恶臭，其中主要污染因子为氨（NH</w:t>
      </w:r>
      <w:r>
        <w:rPr>
          <w:rFonts w:hint="default" w:ascii="Times New Roman" w:hAnsi="Times New Roman" w:eastAsia="宋体" w:cs="Times New Roman"/>
          <w:color w:val="0000FF"/>
          <w:spacing w:val="-6"/>
          <w:vertAlign w:val="subscript"/>
          <w:lang w:val="en-US" w:eastAsia="zh-CN"/>
        </w:rPr>
        <w:t>3</w:t>
      </w:r>
      <w:r>
        <w:rPr>
          <w:rFonts w:hint="default" w:ascii="Times New Roman" w:hAnsi="Times New Roman" w:eastAsia="宋体" w:cs="Times New Roman"/>
          <w:color w:val="0000FF"/>
          <w:spacing w:val="-6"/>
          <w:lang w:val="en-US" w:eastAsia="zh-CN"/>
        </w:rPr>
        <w:t>）和硫化氢（H</w:t>
      </w:r>
      <w:r>
        <w:rPr>
          <w:rFonts w:hint="default" w:ascii="Times New Roman" w:hAnsi="Times New Roman" w:eastAsia="宋体" w:cs="Times New Roman"/>
          <w:color w:val="0000FF"/>
          <w:spacing w:val="-6"/>
          <w:vertAlign w:val="subscript"/>
          <w:lang w:val="en-US" w:eastAsia="zh-CN"/>
        </w:rPr>
        <w:t>2</w:t>
      </w:r>
      <w:r>
        <w:rPr>
          <w:rFonts w:hint="default" w:ascii="Times New Roman" w:hAnsi="Times New Roman" w:eastAsia="宋体" w:cs="Times New Roman"/>
          <w:color w:val="0000FF"/>
          <w:spacing w:val="-6"/>
          <w:lang w:val="en-US" w:eastAsia="zh-CN"/>
        </w:rPr>
        <w:t>S），均呈无组织排放。</w:t>
      </w:r>
    </w:p>
    <w:p w14:paraId="6177AA1A">
      <w:pPr>
        <w:pStyle w:val="11"/>
        <w:adjustRightInd w:val="0"/>
        <w:snapToGrid w:val="0"/>
        <w:ind w:firstLine="456"/>
        <w:rPr>
          <w:rFonts w:hint="default" w:ascii="Times New Roman" w:hAnsi="Times New Roman" w:eastAsia="宋体" w:cs="Times New Roman"/>
          <w:color w:val="0000FF"/>
          <w:spacing w:val="-6"/>
          <w:lang w:eastAsia="zh-CN"/>
        </w:rPr>
      </w:pPr>
      <w:r>
        <w:rPr>
          <w:rFonts w:hint="default" w:ascii="Times New Roman" w:hAnsi="Times New Roman" w:eastAsia="宋体" w:cs="Times New Roman"/>
          <w:color w:val="0000FF"/>
          <w:spacing w:val="-6"/>
          <w:lang w:val="en-US" w:eastAsia="zh-CN"/>
        </w:rPr>
        <w:t>①牛舍恶臭</w:t>
      </w:r>
    </w:p>
    <w:p w14:paraId="4D1D3AF4">
      <w:pPr>
        <w:pStyle w:val="11"/>
        <w:adjustRightInd w:val="0"/>
        <w:snapToGrid w:val="0"/>
        <w:ind w:firstLine="456"/>
        <w:rPr>
          <w:rFonts w:hint="default" w:ascii="Times New Roman" w:hAnsi="Times New Roman" w:eastAsia="宋体" w:cs="Times New Roman"/>
          <w:color w:val="0000FF"/>
          <w:spacing w:val="-6"/>
          <w:lang w:eastAsia="zh-CN"/>
        </w:rPr>
      </w:pPr>
      <w:r>
        <w:rPr>
          <w:rFonts w:hint="default" w:ascii="Times New Roman" w:hAnsi="Times New Roman" w:eastAsia="宋体" w:cs="Times New Roman"/>
          <w:color w:val="0000FF"/>
          <w:spacing w:val="-6"/>
          <w:lang w:val="en-US" w:eastAsia="zh-CN"/>
        </w:rPr>
        <w:t>牛舍臭气物质浓度和季节、畜舍结构、饲养密度、清粪工艺类型和清扫水平密切相关。牛舍恶臭来自牛的新鲜粪便和尿液、消化道排出气体、皮脂腺和汗腺分泌物、粘附在牛体表污物等，其中主要来源为牛排泄物即牛粪便和尿液。</w:t>
      </w:r>
    </w:p>
    <w:p w14:paraId="2FCB750D">
      <w:pPr>
        <w:pStyle w:val="11"/>
        <w:adjustRightInd w:val="0"/>
        <w:snapToGrid w:val="0"/>
        <w:ind w:firstLine="456"/>
        <w:rPr>
          <w:rFonts w:hint="default" w:ascii="Times New Roman" w:hAnsi="Times New Roman" w:eastAsia="宋体" w:cs="Times New Roman"/>
          <w:color w:val="0000FF"/>
          <w:spacing w:val="-6"/>
          <w:lang w:eastAsia="zh-CN"/>
        </w:rPr>
      </w:pPr>
      <w:r>
        <w:rPr>
          <w:rFonts w:hint="default" w:ascii="Times New Roman" w:hAnsi="Times New Roman" w:eastAsia="宋体" w:cs="Times New Roman"/>
          <w:color w:val="0000FF"/>
          <w:spacing w:val="-6"/>
          <w:lang w:val="en-US" w:eastAsia="zh-CN"/>
        </w:rPr>
        <w:t>本评价采用资料调查法和参考相关文献报道确定恶臭污染物排放源强。按照总存栏量核算由粪污中挥发出的恶臭物质量。根据《中国乳品工程》（2011年第39卷第8期）中《奶牛粪尿中含氮量、NH</w:t>
      </w:r>
      <w:r>
        <w:rPr>
          <w:rFonts w:hint="default" w:ascii="Times New Roman" w:hAnsi="Times New Roman" w:eastAsia="宋体" w:cs="Times New Roman"/>
          <w:color w:val="0000FF"/>
          <w:spacing w:val="-6"/>
          <w:vertAlign w:val="subscript"/>
          <w:lang w:val="en-US" w:eastAsia="zh-CN"/>
        </w:rPr>
        <w:t>3</w:t>
      </w:r>
      <w:r>
        <w:rPr>
          <w:rFonts w:hint="default" w:ascii="Times New Roman" w:hAnsi="Times New Roman" w:eastAsia="宋体" w:cs="Times New Roman"/>
          <w:color w:val="0000FF"/>
          <w:spacing w:val="-6"/>
          <w:lang w:val="en-US" w:eastAsia="zh-CN"/>
        </w:rPr>
        <w:t>和H</w:t>
      </w:r>
      <w:r>
        <w:rPr>
          <w:rFonts w:hint="default" w:ascii="Times New Roman" w:hAnsi="Times New Roman" w:eastAsia="宋体" w:cs="Times New Roman"/>
          <w:color w:val="0000FF"/>
          <w:spacing w:val="-6"/>
          <w:vertAlign w:val="subscript"/>
          <w:lang w:val="en-US" w:eastAsia="zh-CN"/>
        </w:rPr>
        <w:t>2</w:t>
      </w:r>
      <w:r>
        <w:rPr>
          <w:rFonts w:hint="default" w:ascii="Times New Roman" w:hAnsi="Times New Roman" w:eastAsia="宋体" w:cs="Times New Roman"/>
          <w:color w:val="0000FF"/>
          <w:spacing w:val="-6"/>
          <w:lang w:val="en-US" w:eastAsia="zh-CN"/>
        </w:rPr>
        <w:t>S散发量的比较》，奶牛粪便中氨气散发量为0.018mg/g，硫化氢散发量为0.002mg/g。经核算，本项目新鲜牛粪污产生量为</w:t>
      </w:r>
      <w:r>
        <w:rPr>
          <w:rFonts w:hint="eastAsia" w:ascii="Times New Roman" w:hAnsi="Times New Roman" w:cs="Times New Roman"/>
          <w:color w:val="0000FF"/>
          <w:spacing w:val="-6"/>
          <w:lang w:val="en-US" w:eastAsia="zh-CN"/>
        </w:rPr>
        <w:t>18</w:t>
      </w:r>
      <w:r>
        <w:rPr>
          <w:rFonts w:hint="default" w:ascii="Times New Roman" w:hAnsi="Times New Roman" w:eastAsia="宋体" w:cs="Times New Roman"/>
          <w:color w:val="0000FF"/>
          <w:spacing w:val="-6"/>
          <w:lang w:val="en-US" w:eastAsia="zh-CN"/>
        </w:rPr>
        <w:t>t/a，则项目牛舍恶臭中NH</w:t>
      </w:r>
      <w:r>
        <w:rPr>
          <w:rFonts w:hint="default" w:ascii="Times New Roman" w:hAnsi="Times New Roman" w:eastAsia="宋体" w:cs="Times New Roman"/>
          <w:color w:val="0000FF"/>
          <w:spacing w:val="-6"/>
          <w:vertAlign w:val="subscript"/>
          <w:lang w:val="en-US" w:eastAsia="zh-CN"/>
        </w:rPr>
        <w:t>3</w:t>
      </w:r>
      <w:r>
        <w:rPr>
          <w:rFonts w:hint="default" w:ascii="Times New Roman" w:hAnsi="Times New Roman" w:eastAsia="宋体" w:cs="Times New Roman"/>
          <w:color w:val="0000FF"/>
          <w:spacing w:val="-6"/>
          <w:lang w:val="en-US" w:eastAsia="zh-CN"/>
        </w:rPr>
        <w:t>产生量为</w:t>
      </w:r>
      <w:r>
        <w:rPr>
          <w:rFonts w:hint="eastAsia" w:ascii="Times New Roman" w:hAnsi="Times New Roman" w:cs="Times New Roman"/>
          <w:color w:val="0000FF"/>
          <w:spacing w:val="-6"/>
          <w:lang w:val="en-US" w:eastAsia="zh-CN"/>
        </w:rPr>
        <w:t>0.0003</w:t>
      </w:r>
      <w:r>
        <w:rPr>
          <w:rFonts w:hint="default" w:ascii="Times New Roman" w:hAnsi="Times New Roman" w:eastAsia="宋体" w:cs="Times New Roman"/>
          <w:color w:val="0000FF"/>
          <w:spacing w:val="-6"/>
          <w:lang w:val="en-US" w:eastAsia="zh-CN"/>
        </w:rPr>
        <w:t>t/a（</w:t>
      </w:r>
      <w:r>
        <w:rPr>
          <w:rFonts w:hint="eastAsia" w:ascii="Times New Roman" w:hAnsi="Times New Roman" w:cs="Times New Roman"/>
          <w:color w:val="0000FF"/>
          <w:spacing w:val="-6"/>
          <w:lang w:val="en-US" w:eastAsia="zh-CN"/>
        </w:rPr>
        <w:t>0.00003</w:t>
      </w:r>
      <w:r>
        <w:rPr>
          <w:rFonts w:hint="default" w:ascii="Times New Roman" w:hAnsi="Times New Roman" w:eastAsia="宋体" w:cs="Times New Roman"/>
          <w:color w:val="0000FF"/>
          <w:spacing w:val="-6"/>
          <w:lang w:val="en-US" w:eastAsia="zh-CN"/>
        </w:rPr>
        <w:t>kg/h），H</w:t>
      </w:r>
      <w:r>
        <w:rPr>
          <w:rFonts w:hint="default" w:ascii="Times New Roman" w:hAnsi="Times New Roman" w:eastAsia="宋体" w:cs="Times New Roman"/>
          <w:color w:val="0000FF"/>
          <w:spacing w:val="-6"/>
          <w:vertAlign w:val="subscript"/>
          <w:lang w:val="en-US" w:eastAsia="zh-CN"/>
        </w:rPr>
        <w:t>2</w:t>
      </w:r>
      <w:r>
        <w:rPr>
          <w:rFonts w:hint="default" w:ascii="Times New Roman" w:hAnsi="Times New Roman" w:eastAsia="宋体" w:cs="Times New Roman"/>
          <w:color w:val="0000FF"/>
          <w:spacing w:val="-6"/>
          <w:lang w:val="en-US" w:eastAsia="zh-CN"/>
        </w:rPr>
        <w:t>S产生量为</w:t>
      </w:r>
      <w:r>
        <w:rPr>
          <w:rFonts w:hint="eastAsia" w:ascii="Times New Roman" w:hAnsi="Times New Roman" w:cs="Times New Roman"/>
          <w:color w:val="0000FF"/>
          <w:spacing w:val="-6"/>
          <w:lang w:val="en-US" w:eastAsia="zh-CN"/>
        </w:rPr>
        <w:t>0.00004</w:t>
      </w:r>
      <w:r>
        <w:rPr>
          <w:rFonts w:hint="default" w:ascii="Times New Roman" w:hAnsi="Times New Roman" w:eastAsia="宋体" w:cs="Times New Roman"/>
          <w:color w:val="0000FF"/>
          <w:spacing w:val="-6"/>
          <w:lang w:val="en-US" w:eastAsia="zh-CN"/>
        </w:rPr>
        <w:t>t/a（0.0</w:t>
      </w:r>
      <w:r>
        <w:rPr>
          <w:rFonts w:hint="eastAsia" w:ascii="Times New Roman" w:hAnsi="Times New Roman" w:cs="Times New Roman"/>
          <w:color w:val="0000FF"/>
          <w:spacing w:val="-6"/>
          <w:lang w:val="en-US" w:eastAsia="zh-CN"/>
        </w:rPr>
        <w:t>00004</w:t>
      </w:r>
      <w:r>
        <w:rPr>
          <w:rFonts w:hint="default" w:ascii="Times New Roman" w:hAnsi="Times New Roman" w:eastAsia="宋体" w:cs="Times New Roman"/>
          <w:color w:val="0000FF"/>
          <w:spacing w:val="-6"/>
          <w:lang w:val="en-US" w:eastAsia="zh-CN"/>
        </w:rPr>
        <w:t>kg/h）。</w:t>
      </w:r>
    </w:p>
    <w:p w14:paraId="6FCCD49E">
      <w:pPr>
        <w:pStyle w:val="11"/>
        <w:adjustRightInd w:val="0"/>
        <w:snapToGrid w:val="0"/>
        <w:ind w:firstLine="456"/>
        <w:rPr>
          <w:rFonts w:hint="default" w:ascii="Times New Roman" w:hAnsi="Times New Roman" w:eastAsia="宋体" w:cs="Times New Roman"/>
          <w:color w:val="0000FF"/>
          <w:spacing w:val="-6"/>
          <w:lang w:eastAsia="zh-CN"/>
        </w:rPr>
      </w:pPr>
      <w:r>
        <w:rPr>
          <w:rFonts w:hint="default" w:ascii="Times New Roman" w:hAnsi="Times New Roman" w:eastAsia="宋体" w:cs="Times New Roman"/>
          <w:color w:val="0000FF"/>
          <w:spacing w:val="-6"/>
          <w:lang w:val="en-US" w:eastAsia="zh-CN"/>
        </w:rPr>
        <w:t>本项目在日粮中添加有益微生物复合制剂，并调控饲粮（添加合成的氨基酸、增加饲料中非淀粉多糖含量等），同时加强牛场环境综合管理，对牛舍定期喷洒微生物除臭剂，减少恶臭污染物的蓄积，加强牛舍通风，并且项目区加强绿化。根据文献研究，微生物除臭剂研究进展》NH</w:t>
      </w:r>
      <w:r>
        <w:rPr>
          <w:rFonts w:hint="default" w:ascii="Times New Roman" w:hAnsi="Times New Roman" w:eastAsia="宋体" w:cs="Times New Roman"/>
          <w:color w:val="0000FF"/>
          <w:spacing w:val="-6"/>
          <w:vertAlign w:val="subscript"/>
          <w:lang w:val="en-US" w:eastAsia="zh-CN"/>
        </w:rPr>
        <w:t>3</w:t>
      </w:r>
      <w:r>
        <w:rPr>
          <w:rFonts w:hint="default" w:ascii="Times New Roman" w:hAnsi="Times New Roman" w:eastAsia="宋体" w:cs="Times New Roman"/>
          <w:color w:val="0000FF"/>
          <w:spacing w:val="-6"/>
          <w:lang w:val="en-US" w:eastAsia="zh-CN"/>
        </w:rPr>
        <w:t>和H</w:t>
      </w:r>
      <w:r>
        <w:rPr>
          <w:rFonts w:hint="default" w:ascii="Times New Roman" w:hAnsi="Times New Roman" w:eastAsia="宋体" w:cs="Times New Roman"/>
          <w:color w:val="0000FF"/>
          <w:spacing w:val="-6"/>
          <w:vertAlign w:val="subscript"/>
          <w:lang w:val="en-US" w:eastAsia="zh-CN"/>
        </w:rPr>
        <w:t>2</w:t>
      </w:r>
      <w:r>
        <w:rPr>
          <w:rFonts w:hint="default" w:ascii="Times New Roman" w:hAnsi="Times New Roman" w:eastAsia="宋体" w:cs="Times New Roman"/>
          <w:color w:val="0000FF"/>
          <w:spacing w:val="-6"/>
          <w:lang w:val="en-US" w:eastAsia="zh-CN"/>
        </w:rPr>
        <w:t>S的去除效率分别为92.6%和89%，《家禽环境卫生学》-添加有益菌NH</w:t>
      </w:r>
      <w:r>
        <w:rPr>
          <w:rFonts w:hint="default" w:ascii="Times New Roman" w:hAnsi="Times New Roman" w:eastAsia="宋体" w:cs="Times New Roman"/>
          <w:color w:val="0000FF"/>
          <w:spacing w:val="-6"/>
          <w:vertAlign w:val="subscript"/>
          <w:lang w:val="en-US" w:eastAsia="zh-CN"/>
        </w:rPr>
        <w:t>3</w:t>
      </w:r>
      <w:r>
        <w:rPr>
          <w:rFonts w:hint="default" w:ascii="Times New Roman" w:hAnsi="Times New Roman" w:eastAsia="宋体" w:cs="Times New Roman"/>
          <w:color w:val="0000FF"/>
          <w:spacing w:val="-6"/>
          <w:lang w:val="en-US" w:eastAsia="zh-CN"/>
        </w:rPr>
        <w:t>降解率＞40%，H</w:t>
      </w:r>
      <w:r>
        <w:rPr>
          <w:rFonts w:hint="default" w:ascii="Times New Roman" w:hAnsi="Times New Roman" w:eastAsia="宋体" w:cs="Times New Roman"/>
          <w:color w:val="0000FF"/>
          <w:spacing w:val="-6"/>
          <w:vertAlign w:val="subscript"/>
          <w:lang w:val="en-US" w:eastAsia="zh-CN"/>
        </w:rPr>
        <w:t>2</w:t>
      </w:r>
      <w:r>
        <w:rPr>
          <w:rFonts w:hint="default" w:ascii="Times New Roman" w:hAnsi="Times New Roman" w:eastAsia="宋体" w:cs="Times New Roman"/>
          <w:color w:val="0000FF"/>
          <w:spacing w:val="-6"/>
          <w:lang w:val="en-US" w:eastAsia="zh-CN"/>
        </w:rPr>
        <w:t>S降解率＞80%，干清粪工艺可减少60%的臭气排放，经过上述综合措施处理后，预计奶牛粪污恶臭污染物去除率可达到80%以上，则本项目奶牛粪污中NH</w:t>
      </w:r>
      <w:r>
        <w:rPr>
          <w:rFonts w:hint="default" w:ascii="Times New Roman" w:hAnsi="Times New Roman" w:eastAsia="宋体" w:cs="Times New Roman"/>
          <w:color w:val="0000FF"/>
          <w:spacing w:val="-6"/>
          <w:vertAlign w:val="subscript"/>
          <w:lang w:val="en-US" w:eastAsia="zh-CN"/>
        </w:rPr>
        <w:t>3</w:t>
      </w:r>
      <w:r>
        <w:rPr>
          <w:rFonts w:hint="default" w:ascii="Times New Roman" w:hAnsi="Times New Roman" w:eastAsia="宋体" w:cs="Times New Roman"/>
          <w:color w:val="0000FF"/>
          <w:spacing w:val="-6"/>
          <w:lang w:val="en-US" w:eastAsia="zh-CN"/>
        </w:rPr>
        <w:t>和H</w:t>
      </w:r>
      <w:r>
        <w:rPr>
          <w:rFonts w:hint="default" w:ascii="Times New Roman" w:hAnsi="Times New Roman" w:eastAsia="宋体" w:cs="Times New Roman"/>
          <w:color w:val="0000FF"/>
          <w:spacing w:val="-6"/>
          <w:vertAlign w:val="subscript"/>
          <w:lang w:val="en-US" w:eastAsia="zh-CN"/>
        </w:rPr>
        <w:t>2</w:t>
      </w:r>
      <w:r>
        <w:rPr>
          <w:rFonts w:hint="default" w:ascii="Times New Roman" w:hAnsi="Times New Roman" w:eastAsia="宋体" w:cs="Times New Roman"/>
          <w:color w:val="0000FF"/>
          <w:spacing w:val="-6"/>
          <w:lang w:val="en-US" w:eastAsia="zh-CN"/>
        </w:rPr>
        <w:t>S产生量及排放量见下表。</w:t>
      </w:r>
    </w:p>
    <w:p w14:paraId="0897C217">
      <w:pPr>
        <w:pStyle w:val="11"/>
        <w:adjustRightInd w:val="0"/>
        <w:snapToGrid w:val="0"/>
        <w:ind w:left="0" w:leftChars="0" w:firstLine="0" w:firstLineChars="0"/>
        <w:jc w:val="center"/>
        <w:rPr>
          <w:rFonts w:hint="default" w:ascii="Times New Roman" w:hAnsi="Times New Roman" w:eastAsia="宋体" w:cs="Times New Roman"/>
          <w:b/>
          <w:bCs/>
          <w:color w:val="0000FF"/>
          <w:spacing w:val="-6"/>
          <w:lang w:val="en-US" w:eastAsia="zh-CN"/>
        </w:rPr>
      </w:pPr>
    </w:p>
    <w:p w14:paraId="4E909092">
      <w:pPr>
        <w:pStyle w:val="11"/>
        <w:adjustRightInd w:val="0"/>
        <w:snapToGrid w:val="0"/>
        <w:ind w:left="0" w:leftChars="0" w:firstLine="0" w:firstLineChars="0"/>
        <w:jc w:val="center"/>
        <w:rPr>
          <w:rFonts w:hint="default" w:ascii="Times New Roman" w:hAnsi="Times New Roman" w:eastAsia="宋体" w:cs="Times New Roman"/>
          <w:b/>
          <w:bCs/>
          <w:color w:val="0000FF"/>
          <w:spacing w:val="-6"/>
          <w:lang w:val="en-US" w:eastAsia="zh-CN"/>
        </w:rPr>
      </w:pPr>
    </w:p>
    <w:p w14:paraId="72A1EC92">
      <w:pPr>
        <w:pStyle w:val="11"/>
        <w:adjustRightInd w:val="0"/>
        <w:snapToGrid w:val="0"/>
        <w:ind w:left="0" w:leftChars="0" w:firstLine="0" w:firstLineChars="0"/>
        <w:jc w:val="center"/>
        <w:rPr>
          <w:rFonts w:hint="default" w:ascii="Times New Roman" w:hAnsi="Times New Roman" w:eastAsia="宋体" w:cs="Times New Roman"/>
          <w:b/>
          <w:bCs/>
          <w:color w:val="0000FF"/>
          <w:spacing w:val="-6"/>
          <w:lang w:eastAsia="zh-CN"/>
        </w:rPr>
      </w:pPr>
      <w:r>
        <w:rPr>
          <w:rFonts w:hint="default" w:ascii="Times New Roman" w:hAnsi="Times New Roman" w:eastAsia="宋体" w:cs="Times New Roman"/>
          <w:b/>
          <w:bCs/>
          <w:color w:val="0000FF"/>
          <w:spacing w:val="-6"/>
          <w:lang w:val="en-US" w:eastAsia="zh-CN"/>
        </w:rPr>
        <w:t>表3.</w:t>
      </w:r>
      <w:r>
        <w:rPr>
          <w:rFonts w:hint="eastAsia" w:ascii="Times New Roman" w:hAnsi="Times New Roman" w:cs="Times New Roman"/>
          <w:b/>
          <w:bCs/>
          <w:color w:val="0000FF"/>
          <w:spacing w:val="-6"/>
          <w:lang w:val="en-US" w:eastAsia="zh-CN"/>
        </w:rPr>
        <w:t>3-4</w:t>
      </w:r>
      <w:r>
        <w:rPr>
          <w:rFonts w:hint="default" w:ascii="Times New Roman" w:hAnsi="Times New Roman" w:eastAsia="宋体" w:cs="Times New Roman"/>
          <w:b/>
          <w:bCs/>
          <w:color w:val="0000FF"/>
          <w:spacing w:val="-6"/>
          <w:lang w:val="en-US" w:eastAsia="zh-CN"/>
        </w:rPr>
        <w:t>牛舍恶臭产生情况一览表</w:t>
      </w:r>
    </w:p>
    <w:tbl>
      <w:tblPr>
        <w:tblStyle w:val="35"/>
        <w:tblW w:w="9071"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532"/>
        <w:gridCol w:w="955"/>
        <w:gridCol w:w="1050"/>
        <w:gridCol w:w="1029"/>
        <w:gridCol w:w="1249"/>
        <w:gridCol w:w="1800"/>
        <w:gridCol w:w="1065"/>
        <w:gridCol w:w="1391"/>
      </w:tblGrid>
      <w:tr w14:paraId="7963AD1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532" w:type="dxa"/>
            <w:vAlign w:val="center"/>
          </w:tcPr>
          <w:p w14:paraId="4F284AD9">
            <w:pPr>
              <w:pStyle w:val="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FF"/>
                <w:spacing w:val="-6"/>
                <w:sz w:val="21"/>
                <w:szCs w:val="21"/>
                <w:lang w:val="en-US" w:eastAsia="zh-CN"/>
              </w:rPr>
            </w:pPr>
            <w:r>
              <w:rPr>
                <w:rFonts w:hint="default" w:ascii="Times New Roman" w:hAnsi="Times New Roman" w:eastAsia="宋体" w:cs="Times New Roman"/>
                <w:color w:val="0000FF"/>
                <w:spacing w:val="-6"/>
                <w:sz w:val="21"/>
                <w:szCs w:val="21"/>
                <w:lang w:val="en-US" w:eastAsia="zh-CN"/>
              </w:rPr>
              <w:t>序号</w:t>
            </w:r>
          </w:p>
        </w:tc>
        <w:tc>
          <w:tcPr>
            <w:tcW w:w="955" w:type="dxa"/>
            <w:vAlign w:val="center"/>
          </w:tcPr>
          <w:p w14:paraId="5112F6B1">
            <w:pPr>
              <w:pStyle w:val="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FF"/>
                <w:spacing w:val="-6"/>
                <w:sz w:val="21"/>
                <w:szCs w:val="21"/>
                <w:lang w:val="en-US" w:eastAsia="zh-CN"/>
              </w:rPr>
            </w:pPr>
            <w:r>
              <w:rPr>
                <w:rFonts w:hint="default" w:ascii="Times New Roman" w:hAnsi="Times New Roman" w:eastAsia="宋体" w:cs="Times New Roman"/>
                <w:color w:val="0000FF"/>
                <w:spacing w:val="-6"/>
                <w:sz w:val="21"/>
                <w:szCs w:val="21"/>
                <w:lang w:val="en-US" w:eastAsia="zh-CN"/>
              </w:rPr>
              <w:t>污染源</w:t>
            </w:r>
          </w:p>
          <w:p w14:paraId="1C60658C">
            <w:pPr>
              <w:pStyle w:val="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FF"/>
                <w:spacing w:val="-6"/>
                <w:sz w:val="21"/>
                <w:szCs w:val="21"/>
                <w:lang w:val="en-US" w:eastAsia="zh-CN"/>
              </w:rPr>
            </w:pPr>
            <w:r>
              <w:rPr>
                <w:rFonts w:hint="default" w:ascii="Times New Roman" w:hAnsi="Times New Roman" w:eastAsia="宋体" w:cs="Times New Roman"/>
                <w:color w:val="0000FF"/>
                <w:spacing w:val="-6"/>
                <w:sz w:val="21"/>
                <w:szCs w:val="21"/>
                <w:lang w:val="en-US" w:eastAsia="zh-CN"/>
              </w:rPr>
              <w:t>位置</w:t>
            </w:r>
          </w:p>
        </w:tc>
        <w:tc>
          <w:tcPr>
            <w:tcW w:w="1050" w:type="dxa"/>
            <w:vAlign w:val="center"/>
          </w:tcPr>
          <w:p w14:paraId="2EF21C13">
            <w:pPr>
              <w:pStyle w:val="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FF"/>
                <w:spacing w:val="-6"/>
                <w:sz w:val="21"/>
                <w:szCs w:val="21"/>
                <w:lang w:val="en-US" w:eastAsia="zh-CN"/>
              </w:rPr>
            </w:pPr>
            <w:r>
              <w:rPr>
                <w:rFonts w:hint="default" w:ascii="Times New Roman" w:hAnsi="Times New Roman" w:eastAsia="宋体" w:cs="Times New Roman"/>
                <w:color w:val="0000FF"/>
                <w:spacing w:val="-6"/>
                <w:sz w:val="21"/>
                <w:szCs w:val="21"/>
                <w:lang w:val="en-US" w:eastAsia="zh-CN"/>
              </w:rPr>
              <w:t>污染物名称</w:t>
            </w:r>
          </w:p>
        </w:tc>
        <w:tc>
          <w:tcPr>
            <w:tcW w:w="1029" w:type="dxa"/>
            <w:vAlign w:val="center"/>
          </w:tcPr>
          <w:p w14:paraId="688ED551">
            <w:pPr>
              <w:pStyle w:val="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FF"/>
                <w:spacing w:val="-6"/>
                <w:sz w:val="21"/>
                <w:szCs w:val="21"/>
                <w:lang w:val="en-US" w:eastAsia="zh-CN"/>
              </w:rPr>
            </w:pPr>
            <w:r>
              <w:rPr>
                <w:rFonts w:hint="default" w:ascii="Times New Roman" w:hAnsi="Times New Roman" w:eastAsia="宋体" w:cs="Times New Roman"/>
                <w:color w:val="0000FF"/>
                <w:spacing w:val="-6"/>
                <w:sz w:val="21"/>
                <w:szCs w:val="21"/>
                <w:lang w:val="en-US" w:eastAsia="zh-CN"/>
              </w:rPr>
              <w:t>污染物产生量（t/a）</w:t>
            </w:r>
          </w:p>
        </w:tc>
        <w:tc>
          <w:tcPr>
            <w:tcW w:w="1249" w:type="dxa"/>
            <w:vAlign w:val="center"/>
          </w:tcPr>
          <w:p w14:paraId="3E1B411C">
            <w:pPr>
              <w:pStyle w:val="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FF"/>
                <w:spacing w:val="-6"/>
                <w:sz w:val="21"/>
                <w:szCs w:val="21"/>
                <w:lang w:val="en-US" w:eastAsia="zh-CN"/>
              </w:rPr>
            </w:pPr>
            <w:r>
              <w:rPr>
                <w:rFonts w:hint="default" w:ascii="Times New Roman" w:hAnsi="Times New Roman" w:eastAsia="宋体" w:cs="Times New Roman"/>
                <w:color w:val="0000FF"/>
                <w:spacing w:val="-6"/>
                <w:sz w:val="21"/>
                <w:szCs w:val="21"/>
                <w:lang w:val="en-US" w:eastAsia="zh-CN"/>
              </w:rPr>
              <w:t>污染物产生速率（kg/h）</w:t>
            </w:r>
          </w:p>
        </w:tc>
        <w:tc>
          <w:tcPr>
            <w:tcW w:w="1800" w:type="dxa"/>
            <w:vAlign w:val="center"/>
          </w:tcPr>
          <w:p w14:paraId="2C687521">
            <w:pPr>
              <w:pStyle w:val="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FF"/>
                <w:spacing w:val="-6"/>
                <w:sz w:val="21"/>
                <w:szCs w:val="21"/>
                <w:lang w:val="en-US" w:eastAsia="zh-CN"/>
              </w:rPr>
            </w:pPr>
            <w:r>
              <w:rPr>
                <w:rFonts w:hint="default" w:ascii="Times New Roman" w:hAnsi="Times New Roman" w:eastAsia="宋体" w:cs="Times New Roman"/>
                <w:color w:val="0000FF"/>
                <w:spacing w:val="-6"/>
                <w:sz w:val="21"/>
                <w:szCs w:val="21"/>
                <w:lang w:val="en-US" w:eastAsia="zh-CN"/>
              </w:rPr>
              <w:t>治理措施</w:t>
            </w:r>
          </w:p>
        </w:tc>
        <w:tc>
          <w:tcPr>
            <w:tcW w:w="1065" w:type="dxa"/>
            <w:vAlign w:val="center"/>
          </w:tcPr>
          <w:p w14:paraId="2FEAD60F">
            <w:pPr>
              <w:pStyle w:val="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FF"/>
                <w:spacing w:val="-6"/>
                <w:sz w:val="21"/>
                <w:szCs w:val="21"/>
                <w:lang w:val="en-US" w:eastAsia="zh-CN"/>
              </w:rPr>
            </w:pPr>
            <w:r>
              <w:rPr>
                <w:rFonts w:hint="default" w:ascii="Times New Roman" w:hAnsi="Times New Roman" w:eastAsia="宋体" w:cs="Times New Roman"/>
                <w:color w:val="0000FF"/>
                <w:spacing w:val="-6"/>
                <w:sz w:val="21"/>
                <w:szCs w:val="21"/>
                <w:lang w:val="en-US" w:eastAsia="zh-CN"/>
              </w:rPr>
              <w:t>污染物排放量（t/a）</w:t>
            </w:r>
          </w:p>
        </w:tc>
        <w:tc>
          <w:tcPr>
            <w:tcW w:w="1391" w:type="dxa"/>
            <w:vAlign w:val="center"/>
          </w:tcPr>
          <w:p w14:paraId="584D0630">
            <w:pPr>
              <w:pStyle w:val="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FF"/>
                <w:spacing w:val="-6"/>
                <w:sz w:val="21"/>
                <w:szCs w:val="21"/>
                <w:lang w:val="en-US" w:eastAsia="zh-CN"/>
              </w:rPr>
            </w:pPr>
            <w:r>
              <w:rPr>
                <w:rFonts w:hint="default" w:ascii="Times New Roman" w:hAnsi="Times New Roman" w:eastAsia="宋体" w:cs="Times New Roman"/>
                <w:color w:val="0000FF"/>
                <w:spacing w:val="-6"/>
                <w:sz w:val="21"/>
                <w:szCs w:val="21"/>
                <w:lang w:val="en-US" w:eastAsia="zh-CN"/>
              </w:rPr>
              <w:t>污染物排放速率（kg/h）</w:t>
            </w:r>
          </w:p>
        </w:tc>
      </w:tr>
      <w:tr w14:paraId="2011B1F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11" w:hRule="atLeast"/>
          <w:jc w:val="center"/>
        </w:trPr>
        <w:tc>
          <w:tcPr>
            <w:tcW w:w="532" w:type="dxa"/>
            <w:vAlign w:val="center"/>
          </w:tcPr>
          <w:p w14:paraId="33BEF310">
            <w:pPr>
              <w:pStyle w:val="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FF"/>
                <w:spacing w:val="-6"/>
                <w:sz w:val="21"/>
                <w:szCs w:val="21"/>
                <w:lang w:val="en-US" w:eastAsia="zh-CN"/>
              </w:rPr>
            </w:pPr>
            <w:r>
              <w:rPr>
                <w:rFonts w:hint="default" w:ascii="Times New Roman" w:hAnsi="Times New Roman" w:eastAsia="宋体" w:cs="Times New Roman"/>
                <w:color w:val="0000FF"/>
                <w:spacing w:val="-6"/>
                <w:sz w:val="21"/>
                <w:szCs w:val="21"/>
                <w:lang w:val="en-US" w:eastAsia="zh-CN"/>
              </w:rPr>
              <w:t>1</w:t>
            </w:r>
          </w:p>
        </w:tc>
        <w:tc>
          <w:tcPr>
            <w:tcW w:w="955" w:type="dxa"/>
            <w:vMerge w:val="restart"/>
            <w:tcBorders>
              <w:bottom w:val="nil"/>
            </w:tcBorders>
            <w:vAlign w:val="center"/>
          </w:tcPr>
          <w:p w14:paraId="4D449461">
            <w:pPr>
              <w:pStyle w:val="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FF"/>
                <w:spacing w:val="-6"/>
                <w:sz w:val="21"/>
                <w:szCs w:val="21"/>
                <w:lang w:val="en-US" w:eastAsia="zh-CN"/>
              </w:rPr>
            </w:pPr>
            <w:r>
              <w:rPr>
                <w:rFonts w:hint="default" w:ascii="Times New Roman" w:hAnsi="Times New Roman" w:eastAsia="宋体" w:cs="Times New Roman"/>
                <w:color w:val="0000FF"/>
                <w:spacing w:val="-6"/>
                <w:sz w:val="21"/>
                <w:szCs w:val="21"/>
                <w:lang w:val="en-US" w:eastAsia="zh-CN"/>
              </w:rPr>
              <w:t>牛舍</w:t>
            </w:r>
          </w:p>
        </w:tc>
        <w:tc>
          <w:tcPr>
            <w:tcW w:w="1050" w:type="dxa"/>
            <w:vAlign w:val="center"/>
          </w:tcPr>
          <w:p w14:paraId="5072C1D4">
            <w:pPr>
              <w:pStyle w:val="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FF"/>
                <w:spacing w:val="-6"/>
                <w:sz w:val="21"/>
                <w:szCs w:val="21"/>
                <w:lang w:val="en-US" w:eastAsia="zh-CN"/>
              </w:rPr>
            </w:pPr>
            <w:r>
              <w:rPr>
                <w:rFonts w:hint="default" w:ascii="Times New Roman" w:hAnsi="Times New Roman" w:eastAsia="宋体" w:cs="Times New Roman"/>
                <w:color w:val="0000FF"/>
                <w:spacing w:val="-6"/>
                <w:sz w:val="21"/>
                <w:szCs w:val="21"/>
                <w:lang w:val="en-US" w:eastAsia="zh-CN"/>
              </w:rPr>
              <w:t>NH</w:t>
            </w:r>
            <w:r>
              <w:rPr>
                <w:rFonts w:hint="default" w:ascii="Times New Roman" w:hAnsi="Times New Roman" w:eastAsia="宋体" w:cs="Times New Roman"/>
                <w:color w:val="0000FF"/>
                <w:spacing w:val="-6"/>
                <w:sz w:val="21"/>
                <w:szCs w:val="21"/>
                <w:vertAlign w:val="subscript"/>
                <w:lang w:val="en-US" w:eastAsia="zh-CN"/>
              </w:rPr>
              <w:t>3</w:t>
            </w:r>
          </w:p>
        </w:tc>
        <w:tc>
          <w:tcPr>
            <w:tcW w:w="1029" w:type="dxa"/>
            <w:vAlign w:val="center"/>
          </w:tcPr>
          <w:p w14:paraId="14DB45C4">
            <w:pPr>
              <w:pStyle w:val="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FF"/>
                <w:spacing w:val="-6"/>
                <w:sz w:val="21"/>
                <w:szCs w:val="21"/>
                <w:lang w:val="en-US" w:eastAsia="zh-CN"/>
              </w:rPr>
            </w:pPr>
            <w:r>
              <w:rPr>
                <w:rFonts w:hint="eastAsia" w:ascii="Times New Roman" w:hAnsi="Times New Roman" w:cs="Times New Roman"/>
                <w:color w:val="0000FF"/>
                <w:spacing w:val="-6"/>
                <w:sz w:val="21"/>
                <w:szCs w:val="21"/>
                <w:lang w:val="en-US" w:eastAsia="zh-CN"/>
              </w:rPr>
              <w:t>0.0003</w:t>
            </w:r>
          </w:p>
        </w:tc>
        <w:tc>
          <w:tcPr>
            <w:tcW w:w="1249" w:type="dxa"/>
            <w:vAlign w:val="center"/>
          </w:tcPr>
          <w:p w14:paraId="3686BB6A">
            <w:pPr>
              <w:pStyle w:val="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FF"/>
                <w:spacing w:val="-6"/>
                <w:sz w:val="21"/>
                <w:szCs w:val="21"/>
                <w:lang w:val="en-US" w:eastAsia="zh-CN"/>
              </w:rPr>
            </w:pPr>
            <w:r>
              <w:rPr>
                <w:rFonts w:hint="eastAsia" w:ascii="Times New Roman" w:hAnsi="Times New Roman" w:cs="Times New Roman"/>
                <w:color w:val="0000FF"/>
                <w:spacing w:val="-6"/>
                <w:sz w:val="21"/>
                <w:szCs w:val="21"/>
                <w:lang w:val="en-US" w:eastAsia="zh-CN"/>
              </w:rPr>
              <w:t>0.00003</w:t>
            </w:r>
          </w:p>
        </w:tc>
        <w:tc>
          <w:tcPr>
            <w:tcW w:w="1800" w:type="dxa"/>
            <w:vMerge w:val="restart"/>
            <w:vAlign w:val="center"/>
          </w:tcPr>
          <w:p w14:paraId="5E8C799F">
            <w:pPr>
              <w:pStyle w:val="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FF"/>
                <w:spacing w:val="-6"/>
                <w:sz w:val="21"/>
                <w:szCs w:val="21"/>
                <w:lang w:val="en-US" w:eastAsia="zh-CN"/>
              </w:rPr>
            </w:pPr>
            <w:r>
              <w:rPr>
                <w:rFonts w:hint="default" w:ascii="Times New Roman" w:hAnsi="Times New Roman" w:eastAsia="宋体" w:cs="Times New Roman"/>
                <w:color w:val="0000FF"/>
                <w:spacing w:val="-6"/>
                <w:sz w:val="21"/>
                <w:szCs w:val="21"/>
                <w:lang w:val="en-US" w:eastAsia="zh-CN"/>
              </w:rPr>
              <w:t>对牛舍定期喷洒微生物除臭剂，减少恶臭污染物的蓄积，加强牛舍通风，并且项目区加强绿化</w:t>
            </w:r>
            <w:r>
              <w:rPr>
                <w:rFonts w:hint="eastAsia" w:ascii="Times New Roman" w:hAnsi="Times New Roman" w:cs="Times New Roman"/>
                <w:color w:val="0000FF"/>
                <w:spacing w:val="-6"/>
                <w:sz w:val="21"/>
                <w:szCs w:val="21"/>
                <w:lang w:val="en-US" w:eastAsia="zh-CN"/>
              </w:rPr>
              <w:t>（除率可达到80%以上）</w:t>
            </w:r>
          </w:p>
        </w:tc>
        <w:tc>
          <w:tcPr>
            <w:tcW w:w="1065" w:type="dxa"/>
            <w:vAlign w:val="center"/>
          </w:tcPr>
          <w:p w14:paraId="3FE3BF2E">
            <w:pPr>
              <w:pStyle w:val="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FF"/>
                <w:spacing w:val="-6"/>
                <w:sz w:val="21"/>
                <w:szCs w:val="21"/>
                <w:lang w:val="en-US" w:eastAsia="zh-CN"/>
              </w:rPr>
            </w:pPr>
            <w:r>
              <w:rPr>
                <w:rFonts w:hint="eastAsia" w:ascii="Times New Roman" w:hAnsi="Times New Roman" w:cs="Times New Roman"/>
                <w:color w:val="0000FF"/>
                <w:spacing w:val="-6"/>
                <w:sz w:val="21"/>
                <w:szCs w:val="21"/>
                <w:lang w:val="en-US" w:eastAsia="zh-CN"/>
              </w:rPr>
              <w:t>0.00006</w:t>
            </w:r>
          </w:p>
        </w:tc>
        <w:tc>
          <w:tcPr>
            <w:tcW w:w="1391" w:type="dxa"/>
            <w:vAlign w:val="center"/>
          </w:tcPr>
          <w:p w14:paraId="4FFE80E6">
            <w:pPr>
              <w:pStyle w:val="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FF"/>
                <w:spacing w:val="-6"/>
                <w:sz w:val="21"/>
                <w:szCs w:val="21"/>
                <w:lang w:val="en-US" w:eastAsia="zh-CN"/>
              </w:rPr>
            </w:pPr>
            <w:r>
              <w:rPr>
                <w:rFonts w:hint="eastAsia" w:ascii="Times New Roman" w:hAnsi="Times New Roman" w:cs="Times New Roman"/>
                <w:color w:val="0000FF"/>
                <w:spacing w:val="-6"/>
                <w:sz w:val="21"/>
                <w:szCs w:val="21"/>
                <w:lang w:val="en-US" w:eastAsia="zh-CN"/>
              </w:rPr>
              <w:t>0.000006</w:t>
            </w:r>
          </w:p>
        </w:tc>
      </w:tr>
      <w:tr w14:paraId="67463AE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532" w:type="dxa"/>
            <w:vAlign w:val="center"/>
          </w:tcPr>
          <w:p w14:paraId="7C5AC84B">
            <w:pPr>
              <w:pStyle w:val="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FF"/>
                <w:spacing w:val="-6"/>
                <w:sz w:val="21"/>
                <w:szCs w:val="21"/>
                <w:lang w:val="en-US" w:eastAsia="zh-CN"/>
              </w:rPr>
            </w:pPr>
            <w:r>
              <w:rPr>
                <w:rFonts w:hint="default" w:ascii="Times New Roman" w:hAnsi="Times New Roman" w:eastAsia="宋体" w:cs="Times New Roman"/>
                <w:color w:val="0000FF"/>
                <w:spacing w:val="-6"/>
                <w:sz w:val="21"/>
                <w:szCs w:val="21"/>
                <w:lang w:val="en-US" w:eastAsia="zh-CN"/>
              </w:rPr>
              <w:t>2</w:t>
            </w:r>
          </w:p>
        </w:tc>
        <w:tc>
          <w:tcPr>
            <w:tcW w:w="955" w:type="dxa"/>
            <w:vMerge w:val="continue"/>
            <w:tcBorders>
              <w:top w:val="nil"/>
            </w:tcBorders>
            <w:vAlign w:val="center"/>
          </w:tcPr>
          <w:p w14:paraId="71048C39">
            <w:pPr>
              <w:pStyle w:val="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FF"/>
                <w:spacing w:val="-6"/>
                <w:sz w:val="21"/>
                <w:szCs w:val="21"/>
                <w:lang w:val="en-US" w:eastAsia="zh-CN"/>
              </w:rPr>
            </w:pPr>
          </w:p>
        </w:tc>
        <w:tc>
          <w:tcPr>
            <w:tcW w:w="1050" w:type="dxa"/>
            <w:vAlign w:val="center"/>
          </w:tcPr>
          <w:p w14:paraId="52A8B0EE">
            <w:pPr>
              <w:pStyle w:val="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FF"/>
                <w:spacing w:val="-6"/>
                <w:sz w:val="21"/>
                <w:szCs w:val="21"/>
                <w:lang w:val="en-US" w:eastAsia="zh-CN"/>
              </w:rPr>
            </w:pPr>
            <w:r>
              <w:rPr>
                <w:rFonts w:hint="default" w:ascii="Times New Roman" w:hAnsi="Times New Roman" w:eastAsia="宋体" w:cs="Times New Roman"/>
                <w:color w:val="0000FF"/>
                <w:spacing w:val="-6"/>
                <w:sz w:val="21"/>
                <w:szCs w:val="21"/>
                <w:lang w:val="en-US" w:eastAsia="zh-CN"/>
              </w:rPr>
              <w:t>H</w:t>
            </w:r>
            <w:r>
              <w:rPr>
                <w:rFonts w:hint="default" w:ascii="Times New Roman" w:hAnsi="Times New Roman" w:eastAsia="宋体" w:cs="Times New Roman"/>
                <w:color w:val="0000FF"/>
                <w:spacing w:val="-6"/>
                <w:sz w:val="21"/>
                <w:szCs w:val="21"/>
                <w:vertAlign w:val="subscript"/>
                <w:lang w:val="en-US" w:eastAsia="zh-CN"/>
              </w:rPr>
              <w:t>2</w:t>
            </w:r>
            <w:r>
              <w:rPr>
                <w:rFonts w:hint="default" w:ascii="Times New Roman" w:hAnsi="Times New Roman" w:eastAsia="宋体" w:cs="Times New Roman"/>
                <w:color w:val="0000FF"/>
                <w:spacing w:val="-6"/>
                <w:sz w:val="21"/>
                <w:szCs w:val="21"/>
                <w:lang w:val="en-US" w:eastAsia="zh-CN"/>
              </w:rPr>
              <w:t>S</w:t>
            </w:r>
          </w:p>
        </w:tc>
        <w:tc>
          <w:tcPr>
            <w:tcW w:w="1029" w:type="dxa"/>
            <w:vAlign w:val="center"/>
          </w:tcPr>
          <w:p w14:paraId="6914C8B4">
            <w:pPr>
              <w:pStyle w:val="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FF"/>
                <w:spacing w:val="-6"/>
                <w:sz w:val="21"/>
                <w:szCs w:val="21"/>
                <w:lang w:val="en-US" w:eastAsia="zh-CN"/>
              </w:rPr>
            </w:pPr>
            <w:r>
              <w:rPr>
                <w:rFonts w:hint="eastAsia" w:ascii="Times New Roman" w:hAnsi="Times New Roman" w:cs="Times New Roman"/>
                <w:color w:val="0000FF"/>
                <w:spacing w:val="-6"/>
                <w:sz w:val="21"/>
                <w:szCs w:val="21"/>
                <w:lang w:val="en-US" w:eastAsia="zh-CN"/>
              </w:rPr>
              <w:t>0.00004</w:t>
            </w:r>
          </w:p>
        </w:tc>
        <w:tc>
          <w:tcPr>
            <w:tcW w:w="1249" w:type="dxa"/>
            <w:vAlign w:val="center"/>
          </w:tcPr>
          <w:p w14:paraId="53A78481">
            <w:pPr>
              <w:pStyle w:val="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FF"/>
                <w:spacing w:val="-6"/>
                <w:sz w:val="21"/>
                <w:szCs w:val="21"/>
                <w:lang w:val="en-US" w:eastAsia="zh-CN"/>
              </w:rPr>
            </w:pPr>
            <w:r>
              <w:rPr>
                <w:rFonts w:hint="eastAsia" w:ascii="Times New Roman" w:hAnsi="Times New Roman" w:cs="Times New Roman"/>
                <w:color w:val="0000FF"/>
                <w:spacing w:val="-6"/>
                <w:sz w:val="21"/>
                <w:szCs w:val="21"/>
                <w:lang w:val="en-US" w:eastAsia="zh-CN"/>
              </w:rPr>
              <w:t>0.000004</w:t>
            </w:r>
          </w:p>
        </w:tc>
        <w:tc>
          <w:tcPr>
            <w:tcW w:w="1800" w:type="dxa"/>
            <w:vMerge w:val="continue"/>
            <w:vAlign w:val="center"/>
          </w:tcPr>
          <w:p w14:paraId="25DD6649">
            <w:pPr>
              <w:pStyle w:val="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FF"/>
                <w:spacing w:val="-6"/>
                <w:sz w:val="21"/>
                <w:szCs w:val="21"/>
                <w:lang w:val="en-US" w:eastAsia="zh-CN"/>
              </w:rPr>
            </w:pPr>
          </w:p>
        </w:tc>
        <w:tc>
          <w:tcPr>
            <w:tcW w:w="1065" w:type="dxa"/>
            <w:vAlign w:val="center"/>
          </w:tcPr>
          <w:p w14:paraId="156508A4">
            <w:pPr>
              <w:pStyle w:val="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FF"/>
                <w:spacing w:val="-6"/>
                <w:sz w:val="21"/>
                <w:szCs w:val="21"/>
                <w:lang w:val="en-US" w:eastAsia="zh-CN"/>
              </w:rPr>
            </w:pPr>
            <w:r>
              <w:rPr>
                <w:rFonts w:hint="eastAsia" w:ascii="Times New Roman" w:hAnsi="Times New Roman" w:cs="Times New Roman"/>
                <w:color w:val="0000FF"/>
                <w:spacing w:val="-6"/>
                <w:sz w:val="21"/>
                <w:szCs w:val="21"/>
                <w:lang w:val="en-US" w:eastAsia="zh-CN"/>
              </w:rPr>
              <w:t>0.000008</w:t>
            </w:r>
          </w:p>
        </w:tc>
        <w:tc>
          <w:tcPr>
            <w:tcW w:w="1391" w:type="dxa"/>
            <w:vAlign w:val="center"/>
          </w:tcPr>
          <w:p w14:paraId="23FF901D">
            <w:pPr>
              <w:pStyle w:val="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FF"/>
                <w:spacing w:val="-6"/>
                <w:sz w:val="21"/>
                <w:szCs w:val="21"/>
                <w:lang w:val="en-US" w:eastAsia="zh-CN"/>
              </w:rPr>
            </w:pPr>
            <w:r>
              <w:rPr>
                <w:rFonts w:hint="eastAsia" w:ascii="Times New Roman" w:hAnsi="Times New Roman" w:cs="Times New Roman"/>
                <w:color w:val="0000FF"/>
                <w:spacing w:val="-6"/>
                <w:sz w:val="21"/>
                <w:szCs w:val="21"/>
                <w:lang w:val="en-US" w:eastAsia="zh-CN"/>
              </w:rPr>
              <w:t>0.0000008</w:t>
            </w:r>
          </w:p>
        </w:tc>
      </w:tr>
    </w:tbl>
    <w:p w14:paraId="5E064AD9">
      <w:pPr>
        <w:pStyle w:val="11"/>
        <w:adjustRightInd w:val="0"/>
        <w:snapToGrid w:val="0"/>
        <w:ind w:firstLine="456"/>
        <w:rPr>
          <w:rFonts w:hint="default" w:ascii="Times New Roman" w:hAnsi="Times New Roman" w:eastAsia="宋体" w:cs="Times New Roman"/>
          <w:color w:val="0000FF"/>
          <w:spacing w:val="-6"/>
          <w:lang w:eastAsia="zh-CN"/>
        </w:rPr>
      </w:pPr>
      <w:r>
        <w:rPr>
          <w:rFonts w:hint="default" w:ascii="Times New Roman" w:hAnsi="Times New Roman" w:eastAsia="宋体" w:cs="Times New Roman"/>
          <w:color w:val="0000FF"/>
          <w:spacing w:val="-6"/>
          <w:lang w:eastAsia="zh-CN"/>
        </w:rPr>
        <w:t>②</w:t>
      </w:r>
      <w:r>
        <w:rPr>
          <w:rFonts w:hint="eastAsia" w:ascii="Times New Roman" w:hAnsi="Times New Roman" w:cs="Times New Roman"/>
          <w:color w:val="0000FF"/>
          <w:spacing w:val="-6"/>
          <w:lang w:val="en-US" w:eastAsia="zh-CN"/>
        </w:rPr>
        <w:t>固液分离车间</w:t>
      </w:r>
      <w:r>
        <w:rPr>
          <w:rFonts w:hint="default" w:ascii="Times New Roman" w:hAnsi="Times New Roman" w:eastAsia="宋体" w:cs="Times New Roman"/>
          <w:color w:val="0000FF"/>
          <w:spacing w:val="-6"/>
          <w:lang w:eastAsia="zh-CN"/>
        </w:rPr>
        <w:t>臭气</w:t>
      </w:r>
    </w:p>
    <w:p w14:paraId="4C22EBDC">
      <w:pPr>
        <w:pStyle w:val="11"/>
        <w:adjustRightInd w:val="0"/>
        <w:snapToGrid w:val="0"/>
        <w:ind w:firstLine="456"/>
        <w:rPr>
          <w:rFonts w:hint="default" w:ascii="Times New Roman" w:hAnsi="Times New Roman" w:eastAsia="宋体" w:cs="Times New Roman"/>
          <w:color w:val="0000FF"/>
          <w:spacing w:val="-6"/>
          <w:lang w:eastAsia="zh-CN"/>
        </w:rPr>
      </w:pPr>
      <w:r>
        <w:rPr>
          <w:rFonts w:hint="default" w:ascii="Times New Roman" w:hAnsi="Times New Roman" w:eastAsia="宋体" w:cs="Times New Roman"/>
          <w:color w:val="0000FF"/>
          <w:spacing w:val="-6"/>
          <w:lang w:eastAsia="zh-CN"/>
        </w:rPr>
        <w:t>本项目奶牛场采用干清粪模式，粪污经固液分离后分离出的固体</w:t>
      </w:r>
      <w:r>
        <w:rPr>
          <w:rFonts w:hint="eastAsia" w:ascii="Times New Roman" w:hAnsi="Times New Roman" w:cs="Times New Roman"/>
          <w:color w:val="0000FF"/>
          <w:spacing w:val="-6"/>
          <w:lang w:val="en-US" w:eastAsia="zh-CN"/>
        </w:rPr>
        <w:t>在车间内进</w:t>
      </w:r>
      <w:r>
        <w:rPr>
          <w:rFonts w:hint="default" w:ascii="Times New Roman" w:hAnsi="Times New Roman" w:eastAsia="宋体" w:cs="Times New Roman"/>
          <w:color w:val="0000FF"/>
          <w:spacing w:val="-6"/>
          <w:lang w:eastAsia="zh-CN"/>
        </w:rPr>
        <w:t>行堆肥无害化处理，会挥发出恶臭，其恶臭组成与牛舍基本一致，主要为NH</w:t>
      </w:r>
      <w:r>
        <w:rPr>
          <w:rFonts w:hint="default" w:ascii="Times New Roman" w:hAnsi="Times New Roman" w:eastAsia="宋体" w:cs="Times New Roman"/>
          <w:color w:val="0000FF"/>
          <w:spacing w:val="-6"/>
          <w:vertAlign w:val="subscript"/>
          <w:lang w:eastAsia="zh-CN"/>
        </w:rPr>
        <w:t>3</w:t>
      </w:r>
      <w:r>
        <w:rPr>
          <w:rFonts w:hint="default" w:ascii="Times New Roman" w:hAnsi="Times New Roman" w:eastAsia="宋体" w:cs="Times New Roman"/>
          <w:color w:val="0000FF"/>
          <w:spacing w:val="-6"/>
          <w:lang w:eastAsia="zh-CN"/>
        </w:rPr>
        <w:t>和H</w:t>
      </w:r>
      <w:r>
        <w:rPr>
          <w:rFonts w:hint="default" w:ascii="Times New Roman" w:hAnsi="Times New Roman" w:eastAsia="宋体" w:cs="Times New Roman"/>
          <w:color w:val="0000FF"/>
          <w:spacing w:val="-6"/>
          <w:vertAlign w:val="subscript"/>
          <w:lang w:eastAsia="zh-CN"/>
        </w:rPr>
        <w:t>2</w:t>
      </w:r>
      <w:r>
        <w:rPr>
          <w:rFonts w:hint="default" w:ascii="Times New Roman" w:hAnsi="Times New Roman" w:eastAsia="宋体" w:cs="Times New Roman"/>
          <w:color w:val="0000FF"/>
          <w:spacing w:val="-6"/>
          <w:lang w:eastAsia="zh-CN"/>
        </w:rPr>
        <w:t>S。根据《中国牛和奶牛粪尿氨（NH</w:t>
      </w:r>
      <w:r>
        <w:rPr>
          <w:rFonts w:hint="default" w:ascii="Times New Roman" w:hAnsi="Times New Roman" w:eastAsia="宋体" w:cs="Times New Roman"/>
          <w:color w:val="0000FF"/>
          <w:spacing w:val="-6"/>
          <w:vertAlign w:val="subscript"/>
          <w:lang w:eastAsia="zh-CN"/>
        </w:rPr>
        <w:t>3</w:t>
      </w:r>
      <w:r>
        <w:rPr>
          <w:rFonts w:hint="default" w:ascii="Times New Roman" w:hAnsi="Times New Roman" w:eastAsia="宋体" w:cs="Times New Roman"/>
          <w:color w:val="0000FF"/>
          <w:spacing w:val="-6"/>
          <w:lang w:eastAsia="zh-CN"/>
        </w:rPr>
        <w:t>）、硫化氢（H</w:t>
      </w:r>
      <w:r>
        <w:rPr>
          <w:rFonts w:hint="default" w:ascii="Times New Roman" w:hAnsi="Times New Roman" w:eastAsia="宋体" w:cs="Times New Roman"/>
          <w:color w:val="0000FF"/>
          <w:spacing w:val="-6"/>
          <w:vertAlign w:val="subscript"/>
          <w:lang w:eastAsia="zh-CN"/>
        </w:rPr>
        <w:t>2</w:t>
      </w:r>
      <w:r>
        <w:rPr>
          <w:rFonts w:hint="default" w:ascii="Times New Roman" w:hAnsi="Times New Roman" w:eastAsia="宋体" w:cs="Times New Roman"/>
          <w:color w:val="0000FF"/>
          <w:spacing w:val="-6"/>
          <w:lang w:eastAsia="zh-CN"/>
        </w:rPr>
        <w:t>S）挥发的评价研究》可知，堆放过程中每1000t粪产生NH</w:t>
      </w:r>
      <w:r>
        <w:rPr>
          <w:rFonts w:hint="default" w:ascii="Times New Roman" w:hAnsi="Times New Roman" w:eastAsia="宋体" w:cs="Times New Roman"/>
          <w:color w:val="0000FF"/>
          <w:spacing w:val="-6"/>
          <w:vertAlign w:val="subscript"/>
          <w:lang w:eastAsia="zh-CN"/>
        </w:rPr>
        <w:t>3</w:t>
      </w:r>
      <w:r>
        <w:rPr>
          <w:rFonts w:hint="default" w:ascii="Times New Roman" w:hAnsi="Times New Roman" w:eastAsia="宋体" w:cs="Times New Roman"/>
          <w:color w:val="0000FF"/>
          <w:spacing w:val="-6"/>
          <w:lang w:eastAsia="zh-CN"/>
        </w:rPr>
        <w:t>按0.5kg计，产生H</w:t>
      </w:r>
      <w:r>
        <w:rPr>
          <w:rFonts w:hint="default" w:ascii="Times New Roman" w:hAnsi="Times New Roman" w:eastAsia="宋体" w:cs="Times New Roman"/>
          <w:color w:val="0000FF"/>
          <w:spacing w:val="-6"/>
          <w:vertAlign w:val="subscript"/>
          <w:lang w:eastAsia="zh-CN"/>
        </w:rPr>
        <w:t>2</w:t>
      </w:r>
      <w:r>
        <w:rPr>
          <w:rFonts w:hint="default" w:ascii="Times New Roman" w:hAnsi="Times New Roman" w:eastAsia="宋体" w:cs="Times New Roman"/>
          <w:color w:val="0000FF"/>
          <w:spacing w:val="-6"/>
          <w:lang w:eastAsia="zh-CN"/>
        </w:rPr>
        <w:t>S按0.1kg计。</w:t>
      </w:r>
    </w:p>
    <w:p w14:paraId="7C45B496">
      <w:pPr>
        <w:pStyle w:val="11"/>
        <w:adjustRightInd w:val="0"/>
        <w:snapToGrid w:val="0"/>
        <w:ind w:firstLine="456"/>
        <w:rPr>
          <w:rFonts w:hint="default" w:ascii="Times New Roman" w:hAnsi="Times New Roman" w:eastAsia="宋体" w:cs="Times New Roman"/>
          <w:color w:val="0000FF"/>
          <w:spacing w:val="-6"/>
          <w:lang w:eastAsia="zh-CN"/>
        </w:rPr>
      </w:pPr>
      <w:r>
        <w:rPr>
          <w:rFonts w:hint="default" w:ascii="Times New Roman" w:hAnsi="Times New Roman" w:eastAsia="宋体" w:cs="Times New Roman"/>
          <w:color w:val="0000FF"/>
          <w:spacing w:val="-6"/>
          <w:lang w:eastAsia="zh-CN"/>
        </w:rPr>
        <w:t>本项目奶牛场设置1座</w:t>
      </w:r>
      <w:r>
        <w:rPr>
          <w:rFonts w:hint="eastAsia" w:ascii="Times New Roman" w:hAnsi="Times New Roman" w:cs="Times New Roman"/>
          <w:color w:val="0000FF"/>
          <w:spacing w:val="-6"/>
          <w:lang w:val="en-US" w:eastAsia="zh-CN"/>
        </w:rPr>
        <w:t>固液分离车间</w:t>
      </w:r>
      <w:r>
        <w:rPr>
          <w:rFonts w:hint="default" w:ascii="Times New Roman" w:hAnsi="Times New Roman" w:eastAsia="宋体" w:cs="Times New Roman"/>
          <w:color w:val="0000FF"/>
          <w:spacing w:val="-6"/>
          <w:lang w:eastAsia="zh-CN"/>
        </w:rPr>
        <w:t>，占地面积约</w:t>
      </w:r>
      <w:r>
        <w:rPr>
          <w:rFonts w:hint="eastAsia" w:ascii="Times New Roman" w:hAnsi="Times New Roman" w:cs="Times New Roman"/>
          <w:color w:val="0000FF"/>
          <w:spacing w:val="-6"/>
          <w:lang w:val="en-US" w:eastAsia="zh-CN"/>
        </w:rPr>
        <w:t>625</w:t>
      </w:r>
      <w:r>
        <w:rPr>
          <w:rFonts w:hint="default" w:ascii="Times New Roman" w:hAnsi="Times New Roman" w:eastAsia="宋体" w:cs="Times New Roman"/>
          <w:color w:val="0000FF"/>
          <w:spacing w:val="-6"/>
          <w:lang w:eastAsia="zh-CN"/>
        </w:rPr>
        <w:t>m</w:t>
      </w:r>
      <w:r>
        <w:rPr>
          <w:rFonts w:hint="default" w:ascii="Times New Roman" w:hAnsi="Times New Roman" w:eastAsia="宋体" w:cs="Times New Roman"/>
          <w:color w:val="0000FF"/>
          <w:spacing w:val="-6"/>
          <w:vertAlign w:val="superscript"/>
          <w:lang w:eastAsia="zh-CN"/>
        </w:rPr>
        <w:t>2</w:t>
      </w:r>
      <w:r>
        <w:rPr>
          <w:rFonts w:hint="default" w:ascii="Times New Roman" w:hAnsi="Times New Roman" w:eastAsia="宋体" w:cs="Times New Roman"/>
          <w:color w:val="0000FF"/>
          <w:spacing w:val="-6"/>
          <w:lang w:eastAsia="zh-CN"/>
        </w:rPr>
        <w:t>。</w:t>
      </w:r>
      <w:r>
        <w:rPr>
          <w:rFonts w:hint="eastAsia" w:ascii="Times New Roman" w:hAnsi="Times New Roman" w:cs="Times New Roman"/>
          <w:color w:val="0000FF"/>
          <w:spacing w:val="-6"/>
          <w:lang w:val="en-US" w:eastAsia="zh-CN"/>
        </w:rPr>
        <w:t>处理</w:t>
      </w:r>
      <w:r>
        <w:rPr>
          <w:rFonts w:hint="default" w:ascii="Times New Roman" w:hAnsi="Times New Roman" w:eastAsia="宋体" w:cs="Times New Roman"/>
          <w:color w:val="0000FF"/>
          <w:spacing w:val="-6"/>
          <w:lang w:eastAsia="zh-CN"/>
        </w:rPr>
        <w:t>牛粪量</w:t>
      </w:r>
      <w:r>
        <w:rPr>
          <w:rFonts w:hint="eastAsia" w:ascii="Times New Roman" w:hAnsi="Times New Roman" w:cs="Times New Roman"/>
          <w:color w:val="0000FF"/>
          <w:spacing w:val="-6"/>
          <w:lang w:val="en-US" w:eastAsia="zh-CN"/>
        </w:rPr>
        <w:t>约</w:t>
      </w:r>
      <w:r>
        <w:rPr>
          <w:rFonts w:hint="default" w:ascii="Times New Roman" w:hAnsi="Times New Roman" w:eastAsia="宋体" w:cs="Times New Roman"/>
          <w:color w:val="0000FF"/>
          <w:spacing w:val="-6"/>
          <w:lang w:eastAsia="zh-CN"/>
        </w:rPr>
        <w:t>为</w:t>
      </w:r>
      <w:r>
        <w:rPr>
          <w:rFonts w:hint="eastAsia" w:ascii="Times New Roman" w:hAnsi="Times New Roman" w:cs="Times New Roman"/>
          <w:color w:val="0000FF"/>
          <w:spacing w:val="-6"/>
          <w:lang w:val="en-US" w:eastAsia="zh-CN"/>
        </w:rPr>
        <w:t>18</w:t>
      </w:r>
      <w:r>
        <w:rPr>
          <w:rFonts w:hint="default" w:ascii="Times New Roman" w:hAnsi="Times New Roman" w:eastAsia="宋体" w:cs="Times New Roman"/>
          <w:color w:val="0000FF"/>
          <w:spacing w:val="-6"/>
          <w:lang w:eastAsia="zh-CN"/>
        </w:rPr>
        <w:t>t/a。为减少项目</w:t>
      </w:r>
      <w:r>
        <w:rPr>
          <w:rFonts w:hint="eastAsia" w:ascii="Times New Roman" w:hAnsi="Times New Roman" w:cs="Times New Roman"/>
          <w:color w:val="0000FF"/>
          <w:spacing w:val="-6"/>
          <w:lang w:val="en-US" w:eastAsia="zh-CN"/>
        </w:rPr>
        <w:t>固肥</w:t>
      </w:r>
      <w:r>
        <w:rPr>
          <w:rFonts w:hint="default" w:ascii="Times New Roman" w:hAnsi="Times New Roman" w:eastAsia="宋体" w:cs="Times New Roman"/>
          <w:color w:val="0000FF"/>
          <w:spacing w:val="-6"/>
          <w:lang w:eastAsia="zh-CN"/>
        </w:rPr>
        <w:t>发酵过程中恶臭对周边环境的影响，对</w:t>
      </w:r>
      <w:r>
        <w:rPr>
          <w:rFonts w:hint="eastAsia" w:ascii="Times New Roman" w:hAnsi="Times New Roman" w:cs="Times New Roman"/>
          <w:color w:val="0000FF"/>
          <w:spacing w:val="-6"/>
          <w:lang w:val="en-US" w:eastAsia="zh-CN"/>
        </w:rPr>
        <w:t>车间周围</w:t>
      </w:r>
      <w:r>
        <w:rPr>
          <w:rFonts w:hint="default" w:ascii="Times New Roman" w:hAnsi="Times New Roman" w:eastAsia="宋体" w:cs="Times New Roman"/>
          <w:color w:val="0000FF"/>
          <w:spacing w:val="-6"/>
          <w:lang w:eastAsia="zh-CN"/>
        </w:rPr>
        <w:t>定期喷洒微生物除臭剂，加强项目区绿化，除臭效率约为80%，将无害化处理后的粪便及时外运</w:t>
      </w:r>
      <w:r>
        <w:rPr>
          <w:rFonts w:hint="eastAsia" w:ascii="Times New Roman" w:hAnsi="Times New Roman" w:cs="Times New Roman"/>
          <w:color w:val="0000FF"/>
          <w:spacing w:val="-6"/>
          <w:lang w:val="en-US" w:eastAsia="zh-CN"/>
        </w:rPr>
        <w:t>至</w:t>
      </w:r>
      <w:r>
        <w:rPr>
          <w:rFonts w:hint="default" w:ascii="Times New Roman" w:hAnsi="Times New Roman" w:eastAsia="宋体" w:cs="Times New Roman"/>
          <w:color w:val="0000FF"/>
          <w:spacing w:val="-6"/>
          <w:lang w:eastAsia="zh-CN"/>
        </w:rPr>
        <w:t>项目区周边的农户作为农田施肥肥料。本项目</w:t>
      </w:r>
      <w:r>
        <w:rPr>
          <w:rFonts w:hint="default" w:ascii="Times New Roman" w:hAnsi="Times New Roman" w:eastAsia="宋体" w:cs="Times New Roman"/>
          <w:color w:val="0000FF"/>
          <w:spacing w:val="-6"/>
          <w:lang w:val="en-US" w:eastAsia="zh-CN"/>
        </w:rPr>
        <w:t>固液分离车间</w:t>
      </w:r>
      <w:r>
        <w:rPr>
          <w:rFonts w:hint="default" w:ascii="Times New Roman" w:hAnsi="Times New Roman" w:eastAsia="宋体" w:cs="Times New Roman"/>
          <w:color w:val="0000FF"/>
          <w:spacing w:val="-6"/>
          <w:lang w:eastAsia="zh-CN"/>
        </w:rPr>
        <w:t>中NH</w:t>
      </w:r>
      <w:r>
        <w:rPr>
          <w:rFonts w:hint="default" w:ascii="Times New Roman" w:hAnsi="Times New Roman" w:eastAsia="宋体" w:cs="Times New Roman"/>
          <w:color w:val="0000FF"/>
          <w:spacing w:val="-6"/>
          <w:vertAlign w:val="subscript"/>
          <w:lang w:eastAsia="zh-CN"/>
        </w:rPr>
        <w:t>3</w:t>
      </w:r>
      <w:r>
        <w:rPr>
          <w:rFonts w:hint="default" w:ascii="Times New Roman" w:hAnsi="Times New Roman" w:eastAsia="宋体" w:cs="Times New Roman"/>
          <w:color w:val="0000FF"/>
          <w:spacing w:val="-6"/>
          <w:lang w:eastAsia="zh-CN"/>
        </w:rPr>
        <w:t>和H</w:t>
      </w:r>
      <w:r>
        <w:rPr>
          <w:rFonts w:hint="default" w:ascii="Times New Roman" w:hAnsi="Times New Roman" w:eastAsia="宋体" w:cs="Times New Roman"/>
          <w:color w:val="0000FF"/>
          <w:spacing w:val="-6"/>
          <w:vertAlign w:val="subscript"/>
          <w:lang w:eastAsia="zh-CN"/>
        </w:rPr>
        <w:t>2</w:t>
      </w:r>
      <w:r>
        <w:rPr>
          <w:rFonts w:hint="default" w:ascii="Times New Roman" w:hAnsi="Times New Roman" w:eastAsia="宋体" w:cs="Times New Roman"/>
          <w:color w:val="0000FF"/>
          <w:spacing w:val="-6"/>
          <w:lang w:eastAsia="zh-CN"/>
        </w:rPr>
        <w:t>S产生量及排放量见下表。</w:t>
      </w:r>
    </w:p>
    <w:p w14:paraId="5B1596AD">
      <w:pPr>
        <w:pStyle w:val="11"/>
        <w:adjustRightInd w:val="0"/>
        <w:snapToGrid w:val="0"/>
        <w:ind w:left="0" w:leftChars="0" w:firstLine="0" w:firstLineChars="0"/>
        <w:jc w:val="center"/>
        <w:rPr>
          <w:rFonts w:hint="default" w:ascii="Times New Roman" w:hAnsi="Times New Roman" w:eastAsia="宋体" w:cs="Times New Roman"/>
          <w:b/>
          <w:bCs/>
          <w:color w:val="0000FF"/>
          <w:spacing w:val="-6"/>
          <w:lang w:eastAsia="zh-CN"/>
        </w:rPr>
      </w:pPr>
      <w:r>
        <w:rPr>
          <w:rFonts w:hint="default" w:ascii="Times New Roman" w:hAnsi="Times New Roman" w:eastAsia="宋体" w:cs="Times New Roman"/>
          <w:b/>
          <w:bCs/>
          <w:color w:val="0000FF"/>
          <w:spacing w:val="-6"/>
          <w:lang w:eastAsia="zh-CN"/>
        </w:rPr>
        <w:t>表3.</w:t>
      </w:r>
      <w:r>
        <w:rPr>
          <w:rFonts w:hint="eastAsia" w:ascii="Times New Roman" w:hAnsi="Times New Roman" w:cs="Times New Roman"/>
          <w:b/>
          <w:bCs/>
          <w:color w:val="0000FF"/>
          <w:spacing w:val="-6"/>
          <w:lang w:val="en-US" w:eastAsia="zh-CN"/>
        </w:rPr>
        <w:t>3-5固液分离车间</w:t>
      </w:r>
      <w:r>
        <w:rPr>
          <w:rFonts w:hint="default" w:ascii="Times New Roman" w:hAnsi="Times New Roman" w:eastAsia="宋体" w:cs="Times New Roman"/>
          <w:b/>
          <w:bCs/>
          <w:color w:val="0000FF"/>
          <w:spacing w:val="-6"/>
          <w:lang w:eastAsia="zh-CN"/>
        </w:rPr>
        <w:t>恶臭产生及排放情况一览表</w:t>
      </w:r>
    </w:p>
    <w:tbl>
      <w:tblPr>
        <w:tblStyle w:val="35"/>
        <w:tblW w:w="9071"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565"/>
        <w:gridCol w:w="830"/>
        <w:gridCol w:w="927"/>
        <w:gridCol w:w="1098"/>
        <w:gridCol w:w="1350"/>
        <w:gridCol w:w="1170"/>
        <w:gridCol w:w="1290"/>
        <w:gridCol w:w="1841"/>
      </w:tblGrid>
      <w:tr w14:paraId="1FC4A2A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565" w:type="dxa"/>
            <w:vAlign w:val="center"/>
          </w:tcPr>
          <w:p w14:paraId="22764229">
            <w:pPr>
              <w:pStyle w:val="11"/>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0000FF"/>
                <w:spacing w:val="-6"/>
                <w:sz w:val="21"/>
                <w:szCs w:val="21"/>
                <w:lang w:eastAsia="zh-CN"/>
              </w:rPr>
            </w:pPr>
            <w:r>
              <w:rPr>
                <w:rFonts w:hint="default" w:ascii="Times New Roman" w:hAnsi="Times New Roman" w:eastAsia="宋体" w:cs="Times New Roman"/>
                <w:color w:val="0000FF"/>
                <w:spacing w:val="-6"/>
                <w:sz w:val="21"/>
                <w:szCs w:val="21"/>
                <w:lang w:eastAsia="zh-CN"/>
              </w:rPr>
              <w:t>序号</w:t>
            </w:r>
          </w:p>
        </w:tc>
        <w:tc>
          <w:tcPr>
            <w:tcW w:w="830" w:type="dxa"/>
            <w:vAlign w:val="center"/>
          </w:tcPr>
          <w:p w14:paraId="34A0EC7F">
            <w:pPr>
              <w:pStyle w:val="11"/>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0000FF"/>
                <w:spacing w:val="-6"/>
                <w:sz w:val="21"/>
                <w:szCs w:val="21"/>
                <w:lang w:eastAsia="zh-CN"/>
              </w:rPr>
            </w:pPr>
            <w:r>
              <w:rPr>
                <w:rFonts w:hint="default" w:ascii="Times New Roman" w:hAnsi="Times New Roman" w:eastAsia="宋体" w:cs="Times New Roman"/>
                <w:color w:val="0000FF"/>
                <w:spacing w:val="-6"/>
                <w:sz w:val="21"/>
                <w:szCs w:val="21"/>
                <w:lang w:eastAsia="zh-CN"/>
              </w:rPr>
              <w:t>污染源</w:t>
            </w:r>
          </w:p>
          <w:p w14:paraId="488E95D4">
            <w:pPr>
              <w:pStyle w:val="11"/>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0000FF"/>
                <w:spacing w:val="-6"/>
                <w:sz w:val="21"/>
                <w:szCs w:val="21"/>
                <w:lang w:eastAsia="zh-CN"/>
              </w:rPr>
            </w:pPr>
            <w:r>
              <w:rPr>
                <w:rFonts w:hint="default" w:ascii="Times New Roman" w:hAnsi="Times New Roman" w:eastAsia="宋体" w:cs="Times New Roman"/>
                <w:color w:val="0000FF"/>
                <w:spacing w:val="-6"/>
                <w:sz w:val="21"/>
                <w:szCs w:val="21"/>
                <w:lang w:eastAsia="zh-CN"/>
              </w:rPr>
              <w:t>位置</w:t>
            </w:r>
          </w:p>
        </w:tc>
        <w:tc>
          <w:tcPr>
            <w:tcW w:w="927" w:type="dxa"/>
            <w:vAlign w:val="center"/>
          </w:tcPr>
          <w:p w14:paraId="7BD1060E">
            <w:pPr>
              <w:pStyle w:val="11"/>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0000FF"/>
                <w:spacing w:val="-6"/>
                <w:sz w:val="21"/>
                <w:szCs w:val="21"/>
                <w:lang w:eastAsia="zh-CN"/>
              </w:rPr>
            </w:pPr>
            <w:r>
              <w:rPr>
                <w:rFonts w:hint="default" w:ascii="Times New Roman" w:hAnsi="Times New Roman" w:eastAsia="宋体" w:cs="Times New Roman"/>
                <w:color w:val="0000FF"/>
                <w:spacing w:val="-6"/>
                <w:sz w:val="21"/>
                <w:szCs w:val="21"/>
                <w:lang w:eastAsia="zh-CN"/>
              </w:rPr>
              <w:t>污染物</w:t>
            </w:r>
          </w:p>
          <w:p w14:paraId="419716F2">
            <w:pPr>
              <w:pStyle w:val="11"/>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0000FF"/>
                <w:spacing w:val="-6"/>
                <w:sz w:val="21"/>
                <w:szCs w:val="21"/>
                <w:lang w:eastAsia="zh-CN"/>
              </w:rPr>
            </w:pPr>
            <w:r>
              <w:rPr>
                <w:rFonts w:hint="default" w:ascii="Times New Roman" w:hAnsi="Times New Roman" w:eastAsia="宋体" w:cs="Times New Roman"/>
                <w:color w:val="0000FF"/>
                <w:spacing w:val="-6"/>
                <w:sz w:val="21"/>
                <w:szCs w:val="21"/>
                <w:lang w:eastAsia="zh-CN"/>
              </w:rPr>
              <w:t>名称</w:t>
            </w:r>
          </w:p>
        </w:tc>
        <w:tc>
          <w:tcPr>
            <w:tcW w:w="1098" w:type="dxa"/>
            <w:vAlign w:val="center"/>
          </w:tcPr>
          <w:p w14:paraId="1491E853">
            <w:pPr>
              <w:pStyle w:val="11"/>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0000FF"/>
                <w:spacing w:val="-6"/>
                <w:sz w:val="21"/>
                <w:szCs w:val="21"/>
                <w:lang w:eastAsia="zh-CN"/>
              </w:rPr>
            </w:pPr>
            <w:r>
              <w:rPr>
                <w:rFonts w:hint="default" w:ascii="Times New Roman" w:hAnsi="Times New Roman" w:eastAsia="宋体" w:cs="Times New Roman"/>
                <w:color w:val="0000FF"/>
                <w:spacing w:val="-6"/>
                <w:sz w:val="21"/>
                <w:szCs w:val="21"/>
                <w:lang w:eastAsia="zh-CN"/>
              </w:rPr>
              <w:t>污染物产生量（t/a）</w:t>
            </w:r>
          </w:p>
        </w:tc>
        <w:tc>
          <w:tcPr>
            <w:tcW w:w="1350" w:type="dxa"/>
            <w:vAlign w:val="center"/>
          </w:tcPr>
          <w:p w14:paraId="00D0E3BC">
            <w:pPr>
              <w:pStyle w:val="11"/>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0000FF"/>
                <w:spacing w:val="-6"/>
                <w:sz w:val="21"/>
                <w:szCs w:val="21"/>
                <w:lang w:eastAsia="zh-CN"/>
              </w:rPr>
            </w:pPr>
            <w:r>
              <w:rPr>
                <w:rFonts w:hint="default" w:ascii="Times New Roman" w:hAnsi="Times New Roman" w:eastAsia="宋体" w:cs="Times New Roman"/>
                <w:color w:val="0000FF"/>
                <w:spacing w:val="-6"/>
                <w:sz w:val="21"/>
                <w:szCs w:val="21"/>
                <w:lang w:eastAsia="zh-CN"/>
              </w:rPr>
              <w:t>污染物产生速率（kg/h）</w:t>
            </w:r>
          </w:p>
        </w:tc>
        <w:tc>
          <w:tcPr>
            <w:tcW w:w="1170" w:type="dxa"/>
            <w:vAlign w:val="center"/>
          </w:tcPr>
          <w:p w14:paraId="7A6E9027">
            <w:pPr>
              <w:pStyle w:val="11"/>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0000FF"/>
                <w:spacing w:val="-6"/>
                <w:sz w:val="21"/>
                <w:szCs w:val="21"/>
                <w:lang w:eastAsia="zh-CN"/>
              </w:rPr>
            </w:pPr>
            <w:r>
              <w:rPr>
                <w:rFonts w:hint="default" w:ascii="Times New Roman" w:hAnsi="Times New Roman" w:eastAsia="宋体" w:cs="Times New Roman"/>
                <w:color w:val="0000FF"/>
                <w:spacing w:val="-6"/>
                <w:sz w:val="21"/>
                <w:szCs w:val="21"/>
                <w:lang w:eastAsia="zh-CN"/>
              </w:rPr>
              <w:t>污染物排放量（t/a）</w:t>
            </w:r>
          </w:p>
        </w:tc>
        <w:tc>
          <w:tcPr>
            <w:tcW w:w="1290" w:type="dxa"/>
            <w:vAlign w:val="center"/>
          </w:tcPr>
          <w:p w14:paraId="62DAEFC1">
            <w:pPr>
              <w:pStyle w:val="11"/>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0000FF"/>
                <w:spacing w:val="-6"/>
                <w:sz w:val="21"/>
                <w:szCs w:val="21"/>
                <w:lang w:eastAsia="zh-CN"/>
              </w:rPr>
            </w:pPr>
            <w:r>
              <w:rPr>
                <w:rFonts w:hint="default" w:ascii="Times New Roman" w:hAnsi="Times New Roman" w:eastAsia="宋体" w:cs="Times New Roman"/>
                <w:color w:val="0000FF"/>
                <w:spacing w:val="-6"/>
                <w:sz w:val="21"/>
                <w:szCs w:val="21"/>
                <w:lang w:eastAsia="zh-CN"/>
              </w:rPr>
              <w:t>污染物排放速率（kg/h）</w:t>
            </w:r>
          </w:p>
        </w:tc>
        <w:tc>
          <w:tcPr>
            <w:tcW w:w="1841" w:type="dxa"/>
            <w:vAlign w:val="center"/>
          </w:tcPr>
          <w:p w14:paraId="510CC0BE">
            <w:pPr>
              <w:pStyle w:val="11"/>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0000FF"/>
                <w:spacing w:val="-6"/>
                <w:sz w:val="21"/>
                <w:szCs w:val="21"/>
                <w:lang w:val="en-US" w:eastAsia="zh-CN"/>
              </w:rPr>
            </w:pPr>
            <w:r>
              <w:rPr>
                <w:rFonts w:hint="eastAsia" w:ascii="Times New Roman" w:hAnsi="Times New Roman" w:cs="Times New Roman"/>
                <w:color w:val="0000FF"/>
                <w:spacing w:val="-6"/>
                <w:sz w:val="21"/>
                <w:szCs w:val="21"/>
                <w:lang w:val="en-US" w:eastAsia="zh-CN"/>
              </w:rPr>
              <w:t>治理措施</w:t>
            </w:r>
          </w:p>
        </w:tc>
      </w:tr>
      <w:tr w14:paraId="523BEA9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02" w:hRule="atLeast"/>
          <w:jc w:val="center"/>
        </w:trPr>
        <w:tc>
          <w:tcPr>
            <w:tcW w:w="565" w:type="dxa"/>
            <w:vAlign w:val="center"/>
          </w:tcPr>
          <w:p w14:paraId="2C6EA938">
            <w:pPr>
              <w:pStyle w:val="11"/>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0000FF"/>
                <w:spacing w:val="-6"/>
                <w:sz w:val="21"/>
                <w:szCs w:val="21"/>
                <w:lang w:eastAsia="zh-CN"/>
              </w:rPr>
            </w:pPr>
            <w:r>
              <w:rPr>
                <w:rFonts w:hint="default" w:ascii="Times New Roman" w:hAnsi="Times New Roman" w:eastAsia="宋体" w:cs="Times New Roman"/>
                <w:color w:val="0000FF"/>
                <w:spacing w:val="-6"/>
                <w:sz w:val="21"/>
                <w:szCs w:val="21"/>
                <w:lang w:eastAsia="zh-CN"/>
              </w:rPr>
              <w:t>1</w:t>
            </w:r>
          </w:p>
        </w:tc>
        <w:tc>
          <w:tcPr>
            <w:tcW w:w="830" w:type="dxa"/>
            <w:vMerge w:val="restart"/>
            <w:tcBorders>
              <w:bottom w:val="nil"/>
            </w:tcBorders>
            <w:vAlign w:val="center"/>
          </w:tcPr>
          <w:p w14:paraId="25B5DCCA">
            <w:pPr>
              <w:pStyle w:val="11"/>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0000FF"/>
                <w:spacing w:val="-6"/>
                <w:sz w:val="21"/>
                <w:szCs w:val="21"/>
                <w:lang w:val="en-US" w:eastAsia="zh-CN"/>
              </w:rPr>
            </w:pPr>
            <w:r>
              <w:rPr>
                <w:rFonts w:hint="eastAsia" w:ascii="Times New Roman" w:hAnsi="Times New Roman" w:cs="Times New Roman"/>
                <w:color w:val="0000FF"/>
                <w:spacing w:val="-6"/>
                <w:sz w:val="21"/>
                <w:szCs w:val="21"/>
                <w:lang w:val="en-US" w:eastAsia="zh-CN"/>
              </w:rPr>
              <w:t>固液分离车间</w:t>
            </w:r>
          </w:p>
        </w:tc>
        <w:tc>
          <w:tcPr>
            <w:tcW w:w="927" w:type="dxa"/>
            <w:vAlign w:val="center"/>
          </w:tcPr>
          <w:p w14:paraId="6BE69B8A">
            <w:pPr>
              <w:pStyle w:val="11"/>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0000FF"/>
                <w:spacing w:val="-6"/>
                <w:sz w:val="21"/>
                <w:szCs w:val="21"/>
                <w:lang w:eastAsia="zh-CN"/>
              </w:rPr>
            </w:pPr>
            <w:r>
              <w:rPr>
                <w:rFonts w:hint="default" w:ascii="Times New Roman" w:hAnsi="Times New Roman" w:eastAsia="宋体" w:cs="Times New Roman"/>
                <w:color w:val="0000FF"/>
                <w:spacing w:val="-6"/>
                <w:sz w:val="21"/>
                <w:szCs w:val="21"/>
                <w:lang w:eastAsia="zh-CN"/>
              </w:rPr>
              <w:t>NH</w:t>
            </w:r>
            <w:r>
              <w:rPr>
                <w:rFonts w:hint="default" w:ascii="Times New Roman" w:hAnsi="Times New Roman" w:eastAsia="宋体" w:cs="Times New Roman"/>
                <w:color w:val="0000FF"/>
                <w:spacing w:val="-6"/>
                <w:sz w:val="21"/>
                <w:szCs w:val="21"/>
                <w:vertAlign w:val="subscript"/>
                <w:lang w:eastAsia="zh-CN"/>
              </w:rPr>
              <w:t>3</w:t>
            </w:r>
          </w:p>
        </w:tc>
        <w:tc>
          <w:tcPr>
            <w:tcW w:w="1098" w:type="dxa"/>
            <w:vAlign w:val="center"/>
          </w:tcPr>
          <w:p w14:paraId="7FB19818">
            <w:pPr>
              <w:pStyle w:val="11"/>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0000FF"/>
                <w:spacing w:val="-6"/>
                <w:sz w:val="21"/>
                <w:szCs w:val="21"/>
                <w:lang w:val="en-US" w:eastAsia="zh-CN"/>
              </w:rPr>
            </w:pPr>
            <w:r>
              <w:rPr>
                <w:rFonts w:hint="eastAsia" w:ascii="Times New Roman" w:hAnsi="Times New Roman" w:cs="Times New Roman"/>
                <w:color w:val="0000FF"/>
                <w:spacing w:val="-6"/>
                <w:sz w:val="21"/>
                <w:szCs w:val="21"/>
                <w:lang w:val="en-US" w:eastAsia="zh-CN"/>
              </w:rPr>
              <w:t>9*10</w:t>
            </w:r>
            <w:r>
              <w:rPr>
                <w:rFonts w:hint="eastAsia" w:ascii="Times New Roman" w:hAnsi="Times New Roman" w:cs="Times New Roman"/>
                <w:color w:val="0000FF"/>
                <w:spacing w:val="-6"/>
                <w:sz w:val="21"/>
                <w:szCs w:val="21"/>
                <w:vertAlign w:val="superscript"/>
                <w:lang w:val="en-US" w:eastAsia="zh-CN"/>
              </w:rPr>
              <w:t>-5</w:t>
            </w:r>
          </w:p>
        </w:tc>
        <w:tc>
          <w:tcPr>
            <w:tcW w:w="1350" w:type="dxa"/>
            <w:vAlign w:val="center"/>
          </w:tcPr>
          <w:p w14:paraId="5B4623BB">
            <w:pPr>
              <w:pStyle w:val="11"/>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0000FF"/>
                <w:spacing w:val="-6"/>
                <w:sz w:val="21"/>
                <w:szCs w:val="21"/>
                <w:lang w:val="en-US" w:eastAsia="zh-CN"/>
              </w:rPr>
            </w:pPr>
            <w:r>
              <w:rPr>
                <w:rFonts w:hint="eastAsia" w:ascii="Times New Roman" w:hAnsi="Times New Roman" w:cs="Times New Roman"/>
                <w:color w:val="0000FF"/>
                <w:spacing w:val="-6"/>
                <w:sz w:val="21"/>
                <w:szCs w:val="21"/>
                <w:lang w:val="en-US" w:eastAsia="zh-CN"/>
              </w:rPr>
              <w:t>1.02*10</w:t>
            </w:r>
            <w:r>
              <w:rPr>
                <w:rFonts w:hint="eastAsia" w:ascii="Times New Roman" w:hAnsi="Times New Roman" w:cs="Times New Roman"/>
                <w:color w:val="0000FF"/>
                <w:spacing w:val="-6"/>
                <w:sz w:val="21"/>
                <w:szCs w:val="21"/>
                <w:vertAlign w:val="superscript"/>
                <w:lang w:val="en-US" w:eastAsia="zh-CN"/>
              </w:rPr>
              <w:t>-5</w:t>
            </w:r>
          </w:p>
        </w:tc>
        <w:tc>
          <w:tcPr>
            <w:tcW w:w="1170" w:type="dxa"/>
            <w:vAlign w:val="center"/>
          </w:tcPr>
          <w:p w14:paraId="243C5537">
            <w:pPr>
              <w:pStyle w:val="11"/>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0000FF"/>
                <w:spacing w:val="-6"/>
                <w:sz w:val="21"/>
                <w:szCs w:val="21"/>
                <w:lang w:val="en-US" w:eastAsia="zh-CN"/>
              </w:rPr>
            </w:pPr>
            <w:r>
              <w:rPr>
                <w:rFonts w:hint="eastAsia" w:ascii="Times New Roman" w:hAnsi="Times New Roman" w:cs="Times New Roman"/>
                <w:color w:val="0000FF"/>
                <w:spacing w:val="-6"/>
                <w:sz w:val="21"/>
                <w:szCs w:val="21"/>
                <w:lang w:val="en-US" w:eastAsia="zh-CN"/>
              </w:rPr>
              <w:t>1.8*10</w:t>
            </w:r>
            <w:r>
              <w:rPr>
                <w:rFonts w:hint="eastAsia" w:ascii="Times New Roman" w:hAnsi="Times New Roman" w:cs="Times New Roman"/>
                <w:color w:val="0000FF"/>
                <w:spacing w:val="-6"/>
                <w:sz w:val="21"/>
                <w:szCs w:val="21"/>
                <w:vertAlign w:val="superscript"/>
                <w:lang w:val="en-US" w:eastAsia="zh-CN"/>
              </w:rPr>
              <w:t>-5</w:t>
            </w:r>
          </w:p>
        </w:tc>
        <w:tc>
          <w:tcPr>
            <w:tcW w:w="1290" w:type="dxa"/>
            <w:vAlign w:val="center"/>
          </w:tcPr>
          <w:p w14:paraId="2956FC80">
            <w:pPr>
              <w:pStyle w:val="11"/>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0000FF"/>
                <w:spacing w:val="-6"/>
                <w:sz w:val="21"/>
                <w:szCs w:val="21"/>
                <w:lang w:val="en-US" w:eastAsia="zh-CN"/>
              </w:rPr>
            </w:pPr>
            <w:r>
              <w:rPr>
                <w:rFonts w:hint="eastAsia" w:ascii="Times New Roman" w:hAnsi="Times New Roman" w:cs="Times New Roman"/>
                <w:color w:val="0000FF"/>
                <w:spacing w:val="-6"/>
                <w:sz w:val="21"/>
                <w:szCs w:val="21"/>
                <w:lang w:val="en-US" w:eastAsia="zh-CN"/>
              </w:rPr>
              <w:t>2.04*10</w:t>
            </w:r>
            <w:r>
              <w:rPr>
                <w:rFonts w:hint="eastAsia" w:ascii="Times New Roman" w:hAnsi="Times New Roman" w:cs="Times New Roman"/>
                <w:color w:val="0000FF"/>
                <w:spacing w:val="-6"/>
                <w:sz w:val="21"/>
                <w:szCs w:val="21"/>
                <w:vertAlign w:val="superscript"/>
                <w:lang w:val="en-US" w:eastAsia="zh-CN"/>
              </w:rPr>
              <w:t>-6</w:t>
            </w:r>
          </w:p>
        </w:tc>
        <w:tc>
          <w:tcPr>
            <w:tcW w:w="1841" w:type="dxa"/>
            <w:vMerge w:val="restart"/>
            <w:tcBorders>
              <w:bottom w:val="nil"/>
            </w:tcBorders>
            <w:vAlign w:val="center"/>
          </w:tcPr>
          <w:p w14:paraId="06EBF537">
            <w:pPr>
              <w:pStyle w:val="11"/>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0000FF"/>
                <w:spacing w:val="-6"/>
                <w:sz w:val="21"/>
                <w:szCs w:val="21"/>
                <w:lang w:eastAsia="zh-CN"/>
              </w:rPr>
            </w:pPr>
            <w:r>
              <w:rPr>
                <w:rFonts w:hint="default" w:ascii="Times New Roman" w:hAnsi="Times New Roman" w:eastAsia="宋体" w:cs="Times New Roman"/>
                <w:color w:val="0000FF"/>
                <w:spacing w:val="-6"/>
                <w:sz w:val="21"/>
                <w:szCs w:val="21"/>
                <w:lang w:eastAsia="zh-CN"/>
              </w:rPr>
              <w:t>对</w:t>
            </w:r>
            <w:r>
              <w:rPr>
                <w:rFonts w:hint="default" w:ascii="Times New Roman" w:hAnsi="Times New Roman" w:eastAsia="宋体" w:cs="Times New Roman"/>
                <w:color w:val="0000FF"/>
                <w:spacing w:val="-6"/>
                <w:sz w:val="21"/>
                <w:szCs w:val="21"/>
                <w:lang w:val="en-US" w:eastAsia="zh-CN"/>
              </w:rPr>
              <w:t>车间周围</w:t>
            </w:r>
            <w:r>
              <w:rPr>
                <w:rFonts w:hint="default" w:ascii="Times New Roman" w:hAnsi="Times New Roman" w:eastAsia="宋体" w:cs="Times New Roman"/>
                <w:color w:val="0000FF"/>
                <w:spacing w:val="-6"/>
                <w:sz w:val="21"/>
                <w:szCs w:val="21"/>
                <w:lang w:eastAsia="zh-CN"/>
              </w:rPr>
              <w:t>定期喷洒微生物除臭剂，加强项目区绿化，除臭效率约为80%</w:t>
            </w:r>
          </w:p>
        </w:tc>
      </w:tr>
      <w:tr w14:paraId="26B6422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565" w:type="dxa"/>
            <w:vAlign w:val="center"/>
          </w:tcPr>
          <w:p w14:paraId="29496F2E">
            <w:pPr>
              <w:pStyle w:val="11"/>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0000FF"/>
                <w:spacing w:val="-6"/>
                <w:sz w:val="21"/>
                <w:szCs w:val="21"/>
                <w:lang w:eastAsia="zh-CN"/>
              </w:rPr>
            </w:pPr>
            <w:r>
              <w:rPr>
                <w:rFonts w:hint="default" w:ascii="Times New Roman" w:hAnsi="Times New Roman" w:eastAsia="宋体" w:cs="Times New Roman"/>
                <w:color w:val="0000FF"/>
                <w:spacing w:val="-6"/>
                <w:sz w:val="21"/>
                <w:szCs w:val="21"/>
                <w:lang w:eastAsia="zh-CN"/>
              </w:rPr>
              <w:t>2</w:t>
            </w:r>
          </w:p>
        </w:tc>
        <w:tc>
          <w:tcPr>
            <w:tcW w:w="830" w:type="dxa"/>
            <w:vMerge w:val="continue"/>
            <w:tcBorders>
              <w:top w:val="nil"/>
            </w:tcBorders>
            <w:vAlign w:val="center"/>
          </w:tcPr>
          <w:p w14:paraId="50602504">
            <w:pPr>
              <w:pStyle w:val="11"/>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0000FF"/>
                <w:spacing w:val="-6"/>
                <w:sz w:val="21"/>
                <w:szCs w:val="21"/>
                <w:lang w:eastAsia="zh-CN"/>
              </w:rPr>
            </w:pPr>
          </w:p>
        </w:tc>
        <w:tc>
          <w:tcPr>
            <w:tcW w:w="927" w:type="dxa"/>
            <w:vAlign w:val="center"/>
          </w:tcPr>
          <w:p w14:paraId="145B842F">
            <w:pPr>
              <w:pStyle w:val="11"/>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0000FF"/>
                <w:spacing w:val="-6"/>
                <w:sz w:val="21"/>
                <w:szCs w:val="21"/>
                <w:lang w:eastAsia="zh-CN"/>
              </w:rPr>
            </w:pPr>
            <w:r>
              <w:rPr>
                <w:rFonts w:hint="default" w:ascii="Times New Roman" w:hAnsi="Times New Roman" w:eastAsia="宋体" w:cs="Times New Roman"/>
                <w:color w:val="0000FF"/>
                <w:spacing w:val="-6"/>
                <w:sz w:val="21"/>
                <w:szCs w:val="21"/>
                <w:lang w:eastAsia="zh-CN"/>
              </w:rPr>
              <w:t>H</w:t>
            </w:r>
            <w:r>
              <w:rPr>
                <w:rFonts w:hint="default" w:ascii="Times New Roman" w:hAnsi="Times New Roman" w:eastAsia="宋体" w:cs="Times New Roman"/>
                <w:color w:val="0000FF"/>
                <w:spacing w:val="-6"/>
                <w:sz w:val="21"/>
                <w:szCs w:val="21"/>
                <w:vertAlign w:val="subscript"/>
                <w:lang w:eastAsia="zh-CN"/>
              </w:rPr>
              <w:t>2</w:t>
            </w:r>
            <w:r>
              <w:rPr>
                <w:rFonts w:hint="default" w:ascii="Times New Roman" w:hAnsi="Times New Roman" w:eastAsia="宋体" w:cs="Times New Roman"/>
                <w:color w:val="0000FF"/>
                <w:spacing w:val="-6"/>
                <w:sz w:val="21"/>
                <w:szCs w:val="21"/>
                <w:lang w:eastAsia="zh-CN"/>
              </w:rPr>
              <w:t>S</w:t>
            </w:r>
          </w:p>
        </w:tc>
        <w:tc>
          <w:tcPr>
            <w:tcW w:w="1098" w:type="dxa"/>
            <w:vAlign w:val="center"/>
          </w:tcPr>
          <w:p w14:paraId="78F47C96">
            <w:pPr>
              <w:pStyle w:val="11"/>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0000FF"/>
                <w:spacing w:val="-6"/>
                <w:sz w:val="21"/>
                <w:szCs w:val="21"/>
                <w:lang w:val="en-US" w:eastAsia="zh-CN"/>
              </w:rPr>
            </w:pPr>
            <w:r>
              <w:rPr>
                <w:rFonts w:hint="eastAsia" w:ascii="Times New Roman" w:hAnsi="Times New Roman" w:cs="Times New Roman"/>
                <w:color w:val="0000FF"/>
                <w:spacing w:val="-6"/>
                <w:sz w:val="21"/>
                <w:szCs w:val="21"/>
                <w:lang w:val="en-US" w:eastAsia="zh-CN"/>
              </w:rPr>
              <w:t>1.8*10</w:t>
            </w:r>
            <w:r>
              <w:rPr>
                <w:rFonts w:hint="eastAsia" w:ascii="Times New Roman" w:hAnsi="Times New Roman" w:cs="Times New Roman"/>
                <w:color w:val="0000FF"/>
                <w:spacing w:val="-6"/>
                <w:sz w:val="21"/>
                <w:szCs w:val="21"/>
                <w:vertAlign w:val="superscript"/>
                <w:lang w:val="en-US" w:eastAsia="zh-CN"/>
              </w:rPr>
              <w:t>-5</w:t>
            </w:r>
          </w:p>
        </w:tc>
        <w:tc>
          <w:tcPr>
            <w:tcW w:w="1350" w:type="dxa"/>
            <w:vAlign w:val="center"/>
          </w:tcPr>
          <w:p w14:paraId="3229DD1A">
            <w:pPr>
              <w:pStyle w:val="11"/>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0000FF"/>
                <w:spacing w:val="-6"/>
                <w:sz w:val="21"/>
                <w:szCs w:val="21"/>
                <w:lang w:val="en-US" w:eastAsia="zh-CN"/>
              </w:rPr>
            </w:pPr>
            <w:r>
              <w:rPr>
                <w:rFonts w:hint="eastAsia" w:ascii="Times New Roman" w:hAnsi="Times New Roman" w:cs="Times New Roman"/>
                <w:color w:val="0000FF"/>
                <w:spacing w:val="-6"/>
                <w:sz w:val="21"/>
                <w:szCs w:val="21"/>
                <w:lang w:val="en-US" w:eastAsia="zh-CN"/>
              </w:rPr>
              <w:t>2*10</w:t>
            </w:r>
            <w:r>
              <w:rPr>
                <w:rFonts w:hint="eastAsia" w:ascii="Times New Roman" w:hAnsi="Times New Roman" w:cs="Times New Roman"/>
                <w:color w:val="0000FF"/>
                <w:spacing w:val="-6"/>
                <w:sz w:val="21"/>
                <w:szCs w:val="21"/>
                <w:vertAlign w:val="superscript"/>
                <w:lang w:val="en-US" w:eastAsia="zh-CN"/>
              </w:rPr>
              <w:t>-6</w:t>
            </w:r>
          </w:p>
        </w:tc>
        <w:tc>
          <w:tcPr>
            <w:tcW w:w="1170" w:type="dxa"/>
            <w:vAlign w:val="center"/>
          </w:tcPr>
          <w:p w14:paraId="7E6AB067">
            <w:pPr>
              <w:pStyle w:val="11"/>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0000FF"/>
                <w:spacing w:val="-6"/>
                <w:sz w:val="21"/>
                <w:szCs w:val="21"/>
                <w:lang w:val="en-US" w:eastAsia="zh-CN"/>
              </w:rPr>
            </w:pPr>
            <w:r>
              <w:rPr>
                <w:rFonts w:hint="eastAsia" w:ascii="Times New Roman" w:hAnsi="Times New Roman" w:cs="Times New Roman"/>
                <w:color w:val="0000FF"/>
                <w:spacing w:val="-6"/>
                <w:sz w:val="21"/>
                <w:szCs w:val="21"/>
                <w:lang w:val="en-US" w:eastAsia="zh-CN"/>
              </w:rPr>
              <w:t>3.6*10</w:t>
            </w:r>
            <w:r>
              <w:rPr>
                <w:rFonts w:hint="eastAsia" w:ascii="Times New Roman" w:hAnsi="Times New Roman" w:cs="Times New Roman"/>
                <w:color w:val="0000FF"/>
                <w:spacing w:val="-6"/>
                <w:sz w:val="21"/>
                <w:szCs w:val="21"/>
                <w:vertAlign w:val="superscript"/>
                <w:lang w:val="en-US" w:eastAsia="zh-CN"/>
              </w:rPr>
              <w:t>-6</w:t>
            </w:r>
          </w:p>
        </w:tc>
        <w:tc>
          <w:tcPr>
            <w:tcW w:w="1290" w:type="dxa"/>
            <w:vAlign w:val="center"/>
          </w:tcPr>
          <w:p w14:paraId="474C8FC0">
            <w:pPr>
              <w:pStyle w:val="11"/>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0000FF"/>
                <w:spacing w:val="-6"/>
                <w:sz w:val="21"/>
                <w:szCs w:val="21"/>
                <w:lang w:val="en-US" w:eastAsia="zh-CN"/>
              </w:rPr>
            </w:pPr>
            <w:r>
              <w:rPr>
                <w:rFonts w:hint="eastAsia" w:ascii="Times New Roman" w:hAnsi="Times New Roman" w:cs="Times New Roman"/>
                <w:color w:val="0000FF"/>
                <w:spacing w:val="-6"/>
                <w:sz w:val="21"/>
                <w:szCs w:val="21"/>
                <w:lang w:val="en-US" w:eastAsia="zh-CN"/>
              </w:rPr>
              <w:t>7.2*10</w:t>
            </w:r>
            <w:r>
              <w:rPr>
                <w:rFonts w:hint="eastAsia" w:ascii="Times New Roman" w:hAnsi="Times New Roman" w:cs="Times New Roman"/>
                <w:color w:val="0000FF"/>
                <w:spacing w:val="-6"/>
                <w:sz w:val="21"/>
                <w:szCs w:val="21"/>
                <w:vertAlign w:val="superscript"/>
                <w:lang w:val="en-US" w:eastAsia="zh-CN"/>
              </w:rPr>
              <w:t>-7</w:t>
            </w:r>
          </w:p>
        </w:tc>
        <w:tc>
          <w:tcPr>
            <w:tcW w:w="1841" w:type="dxa"/>
            <w:vMerge w:val="continue"/>
            <w:tcBorders>
              <w:top w:val="nil"/>
            </w:tcBorders>
            <w:vAlign w:val="center"/>
          </w:tcPr>
          <w:p w14:paraId="7FF97079">
            <w:pPr>
              <w:pStyle w:val="11"/>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0000FF"/>
                <w:spacing w:val="-6"/>
                <w:sz w:val="21"/>
                <w:szCs w:val="21"/>
                <w:lang w:eastAsia="zh-CN"/>
              </w:rPr>
            </w:pPr>
          </w:p>
        </w:tc>
      </w:tr>
    </w:tbl>
    <w:p w14:paraId="12D07191">
      <w:pPr>
        <w:pStyle w:val="11"/>
        <w:adjustRightInd w:val="0"/>
        <w:snapToGrid w:val="0"/>
        <w:ind w:firstLine="456"/>
        <w:rPr>
          <w:rFonts w:hint="default" w:ascii="Times New Roman" w:hAnsi="Times New Roman" w:eastAsia="宋体" w:cs="Times New Roman"/>
          <w:color w:val="0000FF"/>
          <w:spacing w:val="-6"/>
          <w:lang w:eastAsia="zh-CN"/>
        </w:rPr>
      </w:pPr>
      <w:r>
        <w:rPr>
          <w:rFonts w:hint="default" w:ascii="Times New Roman" w:hAnsi="Times New Roman" w:eastAsia="宋体" w:cs="Times New Roman"/>
          <w:color w:val="0000FF"/>
          <w:spacing w:val="-6"/>
          <w:lang w:eastAsia="zh-CN"/>
        </w:rPr>
        <w:t>③污水处理设施恶臭</w:t>
      </w:r>
    </w:p>
    <w:p w14:paraId="7F383261">
      <w:pPr>
        <w:pStyle w:val="11"/>
        <w:adjustRightInd w:val="0"/>
        <w:snapToGrid w:val="0"/>
        <w:ind w:firstLine="456"/>
        <w:rPr>
          <w:rFonts w:hint="default" w:ascii="Times New Roman" w:hAnsi="Times New Roman" w:eastAsia="宋体" w:cs="Times New Roman"/>
          <w:color w:val="0000FF"/>
          <w:spacing w:val="-6"/>
          <w:lang w:eastAsia="zh-CN"/>
        </w:rPr>
      </w:pPr>
      <w:r>
        <w:rPr>
          <w:rFonts w:hint="default" w:ascii="Times New Roman" w:hAnsi="Times New Roman" w:eastAsia="宋体" w:cs="Times New Roman"/>
          <w:color w:val="0000FF"/>
          <w:spacing w:val="-6"/>
          <w:lang w:eastAsia="zh-CN"/>
        </w:rPr>
        <w:t>污水处理系统恶臭气体主要集中在粪污收集池、固液分离间、氧化塘等，粪污收集池、固液分离间均设置在封闭建筑内，并定期喷洒除臭剂，恶臭无组织排放很少，因此本项目污水处理设施恶臭主要为氧化塘产生的恶臭。</w:t>
      </w:r>
    </w:p>
    <w:p w14:paraId="3A9EB7FE">
      <w:pPr>
        <w:pStyle w:val="11"/>
        <w:adjustRightInd w:val="0"/>
        <w:snapToGrid w:val="0"/>
        <w:ind w:firstLine="456"/>
        <w:rPr>
          <w:rFonts w:hint="default" w:ascii="Times New Roman" w:hAnsi="Times New Roman" w:eastAsia="宋体" w:cs="Times New Roman"/>
          <w:color w:val="0000FF"/>
          <w:spacing w:val="-6"/>
          <w:lang w:eastAsia="zh-CN"/>
        </w:rPr>
      </w:pPr>
      <w:r>
        <w:rPr>
          <w:rFonts w:hint="default" w:ascii="Times New Roman" w:hAnsi="Times New Roman" w:eastAsia="宋体" w:cs="Times New Roman"/>
          <w:color w:val="0000FF"/>
          <w:spacing w:val="-6"/>
          <w:lang w:eastAsia="zh-CN"/>
        </w:rPr>
        <w:t>为了有效核定出臭气中NH</w:t>
      </w:r>
      <w:r>
        <w:rPr>
          <w:rFonts w:hint="default" w:ascii="Times New Roman" w:hAnsi="Times New Roman" w:eastAsia="宋体" w:cs="Times New Roman"/>
          <w:color w:val="0000FF"/>
          <w:spacing w:val="-6"/>
          <w:vertAlign w:val="subscript"/>
          <w:lang w:eastAsia="zh-CN"/>
        </w:rPr>
        <w:t>3</w:t>
      </w:r>
      <w:r>
        <w:rPr>
          <w:rFonts w:hint="default" w:ascii="Times New Roman" w:hAnsi="Times New Roman" w:eastAsia="宋体" w:cs="Times New Roman"/>
          <w:color w:val="0000FF"/>
          <w:spacing w:val="-6"/>
          <w:lang w:eastAsia="zh-CN"/>
        </w:rPr>
        <w:t>、H</w:t>
      </w:r>
      <w:r>
        <w:rPr>
          <w:rFonts w:hint="default" w:ascii="Times New Roman" w:hAnsi="Times New Roman" w:eastAsia="宋体" w:cs="Times New Roman"/>
          <w:color w:val="0000FF"/>
          <w:spacing w:val="-6"/>
          <w:vertAlign w:val="subscript"/>
          <w:lang w:eastAsia="zh-CN"/>
        </w:rPr>
        <w:t>2</w:t>
      </w:r>
      <w:r>
        <w:rPr>
          <w:rFonts w:hint="default" w:ascii="Times New Roman" w:hAnsi="Times New Roman" w:eastAsia="宋体" w:cs="Times New Roman"/>
          <w:color w:val="0000FF"/>
          <w:spacing w:val="-6"/>
          <w:lang w:eastAsia="zh-CN"/>
        </w:rPr>
        <w:t>S产生情况，评价臭气污染源强采用美国EPA对城市污水处理厂恶臭污染物产生情况的研究，每处理1gBOD</w:t>
      </w:r>
      <w:r>
        <w:rPr>
          <w:rFonts w:hint="default" w:ascii="Times New Roman" w:hAnsi="Times New Roman" w:eastAsia="宋体" w:cs="Times New Roman"/>
          <w:color w:val="0000FF"/>
          <w:spacing w:val="-6"/>
          <w:vertAlign w:val="subscript"/>
          <w:lang w:eastAsia="zh-CN"/>
        </w:rPr>
        <w:t>5</w:t>
      </w:r>
      <w:r>
        <w:rPr>
          <w:rFonts w:hint="default" w:ascii="Times New Roman" w:hAnsi="Times New Roman" w:eastAsia="宋体" w:cs="Times New Roman"/>
          <w:color w:val="0000FF"/>
          <w:spacing w:val="-6"/>
          <w:lang w:eastAsia="zh-CN"/>
        </w:rPr>
        <w:t>可产生0.0031g氨气和0.00012g硫化氢。本项目</w:t>
      </w:r>
      <w:r>
        <w:rPr>
          <w:rFonts w:hint="eastAsia" w:ascii="Times New Roman" w:hAnsi="Times New Roman" w:cs="Times New Roman"/>
          <w:color w:val="0000FF"/>
          <w:spacing w:val="-6"/>
          <w:lang w:val="en-US" w:eastAsia="zh-CN"/>
        </w:rPr>
        <w:t>养殖</w:t>
      </w:r>
      <w:r>
        <w:rPr>
          <w:rFonts w:hint="default" w:ascii="Times New Roman" w:hAnsi="Times New Roman" w:eastAsia="宋体" w:cs="Times New Roman"/>
          <w:color w:val="0000FF"/>
          <w:spacing w:val="-6"/>
          <w:lang w:eastAsia="zh-CN"/>
        </w:rPr>
        <w:t>废水总排放量约</w:t>
      </w:r>
      <w:r>
        <w:rPr>
          <w:rFonts w:hint="eastAsia" w:ascii="Times New Roman" w:hAnsi="Times New Roman" w:cs="Times New Roman"/>
          <w:color w:val="0000FF"/>
          <w:spacing w:val="-6"/>
          <w:lang w:val="en-US" w:eastAsia="zh-CN"/>
        </w:rPr>
        <w:t>36.9</w:t>
      </w:r>
      <w:r>
        <w:rPr>
          <w:rFonts w:hint="default" w:ascii="Times New Roman" w:hAnsi="Times New Roman" w:eastAsia="宋体" w:cs="Times New Roman"/>
          <w:color w:val="0000FF"/>
          <w:spacing w:val="-6"/>
          <w:lang w:eastAsia="zh-CN"/>
        </w:rPr>
        <w:t>t/a。根据相关文献养殖项目综合废水BOD</w:t>
      </w:r>
      <w:r>
        <w:rPr>
          <w:rFonts w:hint="default" w:ascii="Times New Roman" w:hAnsi="Times New Roman" w:eastAsia="宋体" w:cs="Times New Roman"/>
          <w:color w:val="0000FF"/>
          <w:spacing w:val="-6"/>
          <w:vertAlign w:val="subscript"/>
          <w:lang w:eastAsia="zh-CN"/>
        </w:rPr>
        <w:t>5</w:t>
      </w:r>
      <w:r>
        <w:rPr>
          <w:rFonts w:hint="default" w:ascii="Times New Roman" w:hAnsi="Times New Roman" w:eastAsia="宋体" w:cs="Times New Roman"/>
          <w:color w:val="0000FF"/>
          <w:spacing w:val="-6"/>
          <w:lang w:eastAsia="zh-CN"/>
        </w:rPr>
        <w:t>初始浓度为470mg/L，根据经验数据氧化塘BOD</w:t>
      </w:r>
      <w:r>
        <w:rPr>
          <w:rFonts w:hint="default" w:ascii="Times New Roman" w:hAnsi="Times New Roman" w:eastAsia="宋体" w:cs="Times New Roman"/>
          <w:color w:val="0000FF"/>
          <w:spacing w:val="-6"/>
          <w:vertAlign w:val="subscript"/>
          <w:lang w:eastAsia="zh-CN"/>
        </w:rPr>
        <w:t>5</w:t>
      </w:r>
      <w:r>
        <w:rPr>
          <w:rFonts w:hint="default" w:ascii="Times New Roman" w:hAnsi="Times New Roman" w:eastAsia="宋体" w:cs="Times New Roman"/>
          <w:color w:val="0000FF"/>
          <w:spacing w:val="-6"/>
          <w:lang w:eastAsia="zh-CN"/>
        </w:rPr>
        <w:t>降解效率为50%，本项目自然氧化塘BOD</w:t>
      </w:r>
      <w:r>
        <w:rPr>
          <w:rFonts w:hint="default" w:ascii="Times New Roman" w:hAnsi="Times New Roman" w:eastAsia="宋体" w:cs="Times New Roman"/>
          <w:color w:val="0000FF"/>
          <w:spacing w:val="-6"/>
          <w:vertAlign w:val="subscript"/>
          <w:lang w:eastAsia="zh-CN"/>
        </w:rPr>
        <w:t>5</w:t>
      </w:r>
      <w:r>
        <w:rPr>
          <w:rFonts w:hint="default" w:ascii="Times New Roman" w:hAnsi="Times New Roman" w:eastAsia="宋体" w:cs="Times New Roman"/>
          <w:color w:val="0000FF"/>
          <w:spacing w:val="-6"/>
          <w:lang w:eastAsia="zh-CN"/>
        </w:rPr>
        <w:t>处理量约为</w:t>
      </w:r>
      <w:r>
        <w:rPr>
          <w:rFonts w:hint="eastAsia" w:ascii="Times New Roman" w:hAnsi="Times New Roman" w:cs="Times New Roman"/>
          <w:color w:val="0000FF"/>
          <w:spacing w:val="-6"/>
          <w:lang w:val="en-US" w:eastAsia="zh-CN"/>
        </w:rPr>
        <w:t>18.45</w:t>
      </w:r>
      <w:r>
        <w:rPr>
          <w:rFonts w:hint="default" w:ascii="Times New Roman" w:hAnsi="Times New Roman" w:eastAsia="宋体" w:cs="Times New Roman"/>
          <w:color w:val="0000FF"/>
          <w:spacing w:val="-6"/>
          <w:lang w:eastAsia="zh-CN"/>
        </w:rPr>
        <w:t>t/a，则自然氧化塘恶臭污染物NH</w:t>
      </w:r>
      <w:r>
        <w:rPr>
          <w:rFonts w:hint="default" w:ascii="Times New Roman" w:hAnsi="Times New Roman" w:eastAsia="宋体" w:cs="Times New Roman"/>
          <w:color w:val="0000FF"/>
          <w:spacing w:val="-6"/>
          <w:vertAlign w:val="subscript"/>
          <w:lang w:eastAsia="zh-CN"/>
        </w:rPr>
        <w:t>3</w:t>
      </w:r>
      <w:r>
        <w:rPr>
          <w:rFonts w:hint="default" w:ascii="Times New Roman" w:hAnsi="Times New Roman" w:eastAsia="宋体" w:cs="Times New Roman"/>
          <w:color w:val="0000FF"/>
          <w:spacing w:val="-6"/>
          <w:lang w:eastAsia="zh-CN"/>
        </w:rPr>
        <w:t>产生量为</w:t>
      </w:r>
      <w:r>
        <w:rPr>
          <w:rFonts w:hint="eastAsia" w:ascii="Times New Roman" w:hAnsi="Times New Roman" w:cs="Times New Roman"/>
          <w:color w:val="0000FF"/>
          <w:spacing w:val="-6"/>
          <w:lang w:val="en-US" w:eastAsia="zh-CN"/>
        </w:rPr>
        <w:t>5.72*10</w:t>
      </w:r>
      <w:r>
        <w:rPr>
          <w:rFonts w:hint="eastAsia" w:ascii="Times New Roman" w:hAnsi="Times New Roman" w:cs="Times New Roman"/>
          <w:color w:val="0000FF"/>
          <w:spacing w:val="-6"/>
          <w:vertAlign w:val="superscript"/>
          <w:lang w:val="en-US" w:eastAsia="zh-CN"/>
        </w:rPr>
        <w:t>-7</w:t>
      </w:r>
      <w:r>
        <w:rPr>
          <w:rFonts w:hint="default" w:ascii="Times New Roman" w:hAnsi="Times New Roman" w:eastAsia="宋体" w:cs="Times New Roman"/>
          <w:color w:val="0000FF"/>
          <w:spacing w:val="-6"/>
          <w:lang w:eastAsia="zh-CN"/>
        </w:rPr>
        <w:t>t/a、H</w:t>
      </w:r>
      <w:r>
        <w:rPr>
          <w:rFonts w:hint="default" w:ascii="Times New Roman" w:hAnsi="Times New Roman" w:eastAsia="宋体" w:cs="Times New Roman"/>
          <w:color w:val="0000FF"/>
          <w:spacing w:val="-6"/>
          <w:vertAlign w:val="subscript"/>
          <w:lang w:eastAsia="zh-CN"/>
        </w:rPr>
        <w:t>2</w:t>
      </w:r>
      <w:r>
        <w:rPr>
          <w:rFonts w:hint="default" w:ascii="Times New Roman" w:hAnsi="Times New Roman" w:eastAsia="宋体" w:cs="Times New Roman"/>
          <w:color w:val="0000FF"/>
          <w:spacing w:val="-6"/>
          <w:lang w:eastAsia="zh-CN"/>
        </w:rPr>
        <w:t>S产生量为</w:t>
      </w:r>
      <w:r>
        <w:rPr>
          <w:rFonts w:hint="eastAsia" w:ascii="Times New Roman" w:hAnsi="Times New Roman" w:cs="Times New Roman"/>
          <w:color w:val="0000FF"/>
          <w:spacing w:val="-6"/>
          <w:lang w:val="en-US" w:eastAsia="zh-CN"/>
        </w:rPr>
        <w:t>2.21*10</w:t>
      </w:r>
      <w:r>
        <w:rPr>
          <w:rFonts w:hint="eastAsia" w:ascii="Times New Roman" w:hAnsi="Times New Roman" w:cs="Times New Roman"/>
          <w:color w:val="0000FF"/>
          <w:spacing w:val="-6"/>
          <w:vertAlign w:val="superscript"/>
          <w:lang w:val="en-US" w:eastAsia="zh-CN"/>
        </w:rPr>
        <w:t>-8</w:t>
      </w:r>
      <w:r>
        <w:rPr>
          <w:rFonts w:hint="default" w:ascii="Times New Roman" w:hAnsi="Times New Roman" w:eastAsia="宋体" w:cs="Times New Roman"/>
          <w:color w:val="0000FF"/>
          <w:spacing w:val="-6"/>
          <w:lang w:eastAsia="zh-CN"/>
        </w:rPr>
        <w:t>t/a。排放方式为无组织面源排放。氧化塘周边喷洒植物型除臭剂、在各池体周边加强绿化，减轻臭气的排放，除臭效率为80%，本项目</w:t>
      </w:r>
      <w:r>
        <w:rPr>
          <w:rFonts w:hint="eastAsia" w:ascii="Times New Roman" w:hAnsi="Times New Roman" w:cs="Times New Roman"/>
          <w:color w:val="0000FF"/>
          <w:spacing w:val="-6"/>
          <w:lang w:val="en-US" w:eastAsia="zh-CN"/>
        </w:rPr>
        <w:t>氧化塘中</w:t>
      </w:r>
      <w:r>
        <w:rPr>
          <w:rFonts w:hint="default" w:ascii="Times New Roman" w:hAnsi="Times New Roman" w:eastAsia="宋体" w:cs="Times New Roman"/>
          <w:color w:val="0000FF"/>
          <w:spacing w:val="-6"/>
          <w:lang w:eastAsia="zh-CN"/>
        </w:rPr>
        <w:t>NH</w:t>
      </w:r>
      <w:r>
        <w:rPr>
          <w:rFonts w:hint="default" w:ascii="Times New Roman" w:hAnsi="Times New Roman" w:eastAsia="宋体" w:cs="Times New Roman"/>
          <w:color w:val="0000FF"/>
          <w:spacing w:val="-6"/>
          <w:vertAlign w:val="subscript"/>
          <w:lang w:eastAsia="zh-CN"/>
        </w:rPr>
        <w:t>3</w:t>
      </w:r>
      <w:r>
        <w:rPr>
          <w:rFonts w:hint="default" w:ascii="Times New Roman" w:hAnsi="Times New Roman" w:eastAsia="宋体" w:cs="Times New Roman"/>
          <w:color w:val="0000FF"/>
          <w:spacing w:val="-6"/>
          <w:lang w:eastAsia="zh-CN"/>
        </w:rPr>
        <w:t>和H</w:t>
      </w:r>
      <w:r>
        <w:rPr>
          <w:rFonts w:hint="default" w:ascii="Times New Roman" w:hAnsi="Times New Roman" w:eastAsia="宋体" w:cs="Times New Roman"/>
          <w:color w:val="0000FF"/>
          <w:spacing w:val="-6"/>
          <w:vertAlign w:val="subscript"/>
          <w:lang w:eastAsia="zh-CN"/>
        </w:rPr>
        <w:t>2</w:t>
      </w:r>
      <w:r>
        <w:rPr>
          <w:rFonts w:hint="default" w:ascii="Times New Roman" w:hAnsi="Times New Roman" w:eastAsia="宋体" w:cs="Times New Roman"/>
          <w:color w:val="0000FF"/>
          <w:spacing w:val="-6"/>
          <w:lang w:eastAsia="zh-CN"/>
        </w:rPr>
        <w:t>S产生量及排放量见下表。</w:t>
      </w:r>
    </w:p>
    <w:p w14:paraId="1692C174">
      <w:pPr>
        <w:pStyle w:val="11"/>
        <w:adjustRightInd w:val="0"/>
        <w:snapToGrid w:val="0"/>
        <w:ind w:left="0" w:leftChars="0" w:firstLine="0" w:firstLineChars="0"/>
        <w:jc w:val="center"/>
        <w:rPr>
          <w:rFonts w:hint="default" w:ascii="Times New Roman" w:hAnsi="Times New Roman" w:eastAsia="宋体" w:cs="Times New Roman"/>
          <w:b/>
          <w:bCs/>
          <w:color w:val="0000FF"/>
          <w:spacing w:val="-6"/>
          <w:lang w:eastAsia="zh-CN"/>
        </w:rPr>
      </w:pPr>
      <w:r>
        <w:rPr>
          <w:rFonts w:hint="default" w:ascii="Times New Roman" w:hAnsi="Times New Roman" w:eastAsia="宋体" w:cs="Times New Roman"/>
          <w:b/>
          <w:bCs/>
          <w:color w:val="0000FF"/>
          <w:spacing w:val="-6"/>
          <w:lang w:eastAsia="zh-CN"/>
        </w:rPr>
        <w:t>表3.</w:t>
      </w:r>
      <w:r>
        <w:rPr>
          <w:rFonts w:hint="eastAsia" w:ascii="Times New Roman" w:hAnsi="Times New Roman" w:cs="Times New Roman"/>
          <w:b/>
          <w:bCs/>
          <w:color w:val="0000FF"/>
          <w:spacing w:val="-6"/>
          <w:lang w:val="en-US" w:eastAsia="zh-CN"/>
        </w:rPr>
        <w:t>3-6</w:t>
      </w:r>
      <w:r>
        <w:rPr>
          <w:rFonts w:hint="default" w:ascii="Times New Roman" w:hAnsi="Times New Roman" w:eastAsia="宋体" w:cs="Times New Roman"/>
          <w:b/>
          <w:bCs/>
          <w:color w:val="0000FF"/>
          <w:spacing w:val="-6"/>
          <w:lang w:eastAsia="zh-CN"/>
        </w:rPr>
        <w:t>氧化塘恶臭产生及排放情况一览表</w:t>
      </w:r>
    </w:p>
    <w:tbl>
      <w:tblPr>
        <w:tblStyle w:val="35"/>
        <w:tblW w:w="9071"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959"/>
        <w:gridCol w:w="980"/>
        <w:gridCol w:w="1125"/>
        <w:gridCol w:w="1340"/>
        <w:gridCol w:w="1398"/>
        <w:gridCol w:w="1398"/>
        <w:gridCol w:w="1871"/>
      </w:tblGrid>
      <w:tr w14:paraId="0E72F21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959" w:type="dxa"/>
            <w:vAlign w:val="center"/>
          </w:tcPr>
          <w:p w14:paraId="07473D22">
            <w:pPr>
              <w:pStyle w:val="11"/>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FF"/>
                <w:spacing w:val="-6"/>
                <w:sz w:val="21"/>
                <w:szCs w:val="21"/>
                <w:lang w:eastAsia="zh-CN"/>
              </w:rPr>
            </w:pPr>
            <w:r>
              <w:rPr>
                <w:rFonts w:hint="default" w:ascii="Times New Roman" w:hAnsi="Times New Roman" w:eastAsia="宋体" w:cs="Times New Roman"/>
                <w:color w:val="0000FF"/>
                <w:spacing w:val="-6"/>
                <w:sz w:val="21"/>
                <w:szCs w:val="21"/>
                <w:lang w:eastAsia="zh-CN"/>
              </w:rPr>
              <w:t>污染源</w:t>
            </w:r>
          </w:p>
          <w:p w14:paraId="4538C4EE">
            <w:pPr>
              <w:pStyle w:val="11"/>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FF"/>
                <w:spacing w:val="-6"/>
                <w:sz w:val="21"/>
                <w:szCs w:val="21"/>
                <w:lang w:eastAsia="zh-CN"/>
              </w:rPr>
            </w:pPr>
            <w:r>
              <w:rPr>
                <w:rFonts w:hint="default" w:ascii="Times New Roman" w:hAnsi="Times New Roman" w:eastAsia="宋体" w:cs="Times New Roman"/>
                <w:color w:val="0000FF"/>
                <w:spacing w:val="-6"/>
                <w:sz w:val="21"/>
                <w:szCs w:val="21"/>
                <w:lang w:eastAsia="zh-CN"/>
              </w:rPr>
              <w:t>位置</w:t>
            </w:r>
          </w:p>
        </w:tc>
        <w:tc>
          <w:tcPr>
            <w:tcW w:w="980" w:type="dxa"/>
            <w:vAlign w:val="center"/>
          </w:tcPr>
          <w:p w14:paraId="26DB4750">
            <w:pPr>
              <w:pStyle w:val="11"/>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FF"/>
                <w:spacing w:val="-6"/>
                <w:sz w:val="21"/>
                <w:szCs w:val="21"/>
                <w:lang w:eastAsia="zh-CN"/>
              </w:rPr>
            </w:pPr>
            <w:r>
              <w:rPr>
                <w:rFonts w:hint="default" w:ascii="Times New Roman" w:hAnsi="Times New Roman" w:eastAsia="宋体" w:cs="Times New Roman"/>
                <w:color w:val="0000FF"/>
                <w:spacing w:val="-6"/>
                <w:sz w:val="21"/>
                <w:szCs w:val="21"/>
                <w:lang w:eastAsia="zh-CN"/>
              </w:rPr>
              <w:t>污染物</w:t>
            </w:r>
          </w:p>
          <w:p w14:paraId="6F4F05A1">
            <w:pPr>
              <w:pStyle w:val="11"/>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FF"/>
                <w:spacing w:val="-6"/>
                <w:sz w:val="21"/>
                <w:szCs w:val="21"/>
                <w:lang w:eastAsia="zh-CN"/>
              </w:rPr>
            </w:pPr>
            <w:r>
              <w:rPr>
                <w:rFonts w:hint="default" w:ascii="Times New Roman" w:hAnsi="Times New Roman" w:eastAsia="宋体" w:cs="Times New Roman"/>
                <w:color w:val="0000FF"/>
                <w:spacing w:val="-6"/>
                <w:sz w:val="21"/>
                <w:szCs w:val="21"/>
                <w:lang w:eastAsia="zh-CN"/>
              </w:rPr>
              <w:t>名称</w:t>
            </w:r>
          </w:p>
        </w:tc>
        <w:tc>
          <w:tcPr>
            <w:tcW w:w="1125" w:type="dxa"/>
            <w:vAlign w:val="center"/>
          </w:tcPr>
          <w:p w14:paraId="6364BB25">
            <w:pPr>
              <w:pStyle w:val="11"/>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FF"/>
                <w:spacing w:val="-6"/>
                <w:sz w:val="21"/>
                <w:szCs w:val="21"/>
                <w:lang w:eastAsia="zh-CN"/>
              </w:rPr>
            </w:pPr>
            <w:r>
              <w:rPr>
                <w:rFonts w:hint="default" w:ascii="Times New Roman" w:hAnsi="Times New Roman" w:eastAsia="宋体" w:cs="Times New Roman"/>
                <w:color w:val="0000FF"/>
                <w:spacing w:val="-6"/>
                <w:sz w:val="21"/>
                <w:szCs w:val="21"/>
                <w:lang w:eastAsia="zh-CN"/>
              </w:rPr>
              <w:t>污染物产生量（t/a）</w:t>
            </w:r>
          </w:p>
        </w:tc>
        <w:tc>
          <w:tcPr>
            <w:tcW w:w="1340" w:type="dxa"/>
            <w:vAlign w:val="center"/>
          </w:tcPr>
          <w:p w14:paraId="387B68B7">
            <w:pPr>
              <w:pStyle w:val="11"/>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FF"/>
                <w:spacing w:val="-6"/>
                <w:sz w:val="21"/>
                <w:szCs w:val="21"/>
                <w:lang w:eastAsia="zh-CN"/>
              </w:rPr>
            </w:pPr>
            <w:r>
              <w:rPr>
                <w:rFonts w:hint="default" w:ascii="Times New Roman" w:hAnsi="Times New Roman" w:eastAsia="宋体" w:cs="Times New Roman"/>
                <w:color w:val="0000FF"/>
                <w:spacing w:val="-6"/>
                <w:sz w:val="21"/>
                <w:szCs w:val="21"/>
                <w:lang w:eastAsia="zh-CN"/>
              </w:rPr>
              <w:t>污染物产生速率（kg/h）</w:t>
            </w:r>
          </w:p>
        </w:tc>
        <w:tc>
          <w:tcPr>
            <w:tcW w:w="1398" w:type="dxa"/>
            <w:vAlign w:val="center"/>
          </w:tcPr>
          <w:p w14:paraId="40491555">
            <w:pPr>
              <w:pStyle w:val="11"/>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FF"/>
                <w:spacing w:val="-6"/>
                <w:sz w:val="21"/>
                <w:szCs w:val="21"/>
                <w:lang w:eastAsia="zh-CN"/>
              </w:rPr>
            </w:pPr>
            <w:r>
              <w:rPr>
                <w:rFonts w:hint="default" w:ascii="Times New Roman" w:hAnsi="Times New Roman" w:eastAsia="宋体" w:cs="Times New Roman"/>
                <w:color w:val="0000FF"/>
                <w:spacing w:val="-6"/>
                <w:sz w:val="21"/>
                <w:szCs w:val="21"/>
                <w:lang w:eastAsia="zh-CN"/>
              </w:rPr>
              <w:t>污染物排放量（t/a）</w:t>
            </w:r>
          </w:p>
        </w:tc>
        <w:tc>
          <w:tcPr>
            <w:tcW w:w="1398" w:type="dxa"/>
            <w:vAlign w:val="center"/>
          </w:tcPr>
          <w:p w14:paraId="07941DCB">
            <w:pPr>
              <w:pStyle w:val="11"/>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FF"/>
                <w:spacing w:val="-6"/>
                <w:sz w:val="21"/>
                <w:szCs w:val="21"/>
                <w:lang w:eastAsia="zh-CN"/>
              </w:rPr>
            </w:pPr>
            <w:r>
              <w:rPr>
                <w:rFonts w:hint="default" w:ascii="Times New Roman" w:hAnsi="Times New Roman" w:eastAsia="宋体" w:cs="Times New Roman"/>
                <w:color w:val="0000FF"/>
                <w:spacing w:val="-6"/>
                <w:sz w:val="21"/>
                <w:szCs w:val="21"/>
                <w:lang w:eastAsia="zh-CN"/>
              </w:rPr>
              <w:t>污染物排放速率（kg/h）</w:t>
            </w:r>
          </w:p>
        </w:tc>
        <w:tc>
          <w:tcPr>
            <w:tcW w:w="1871" w:type="dxa"/>
            <w:vAlign w:val="center"/>
          </w:tcPr>
          <w:p w14:paraId="73901989">
            <w:pPr>
              <w:pStyle w:val="11"/>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FF"/>
                <w:spacing w:val="-6"/>
                <w:sz w:val="21"/>
                <w:szCs w:val="21"/>
                <w:lang w:val="en-US" w:eastAsia="zh-CN"/>
              </w:rPr>
            </w:pPr>
            <w:r>
              <w:rPr>
                <w:rFonts w:hint="eastAsia" w:ascii="Times New Roman" w:hAnsi="Times New Roman" w:cs="Times New Roman"/>
                <w:color w:val="0000FF"/>
                <w:spacing w:val="-6"/>
                <w:sz w:val="21"/>
                <w:szCs w:val="21"/>
                <w:lang w:val="en-US" w:eastAsia="zh-CN"/>
              </w:rPr>
              <w:t>治理措施</w:t>
            </w:r>
          </w:p>
        </w:tc>
      </w:tr>
      <w:tr w14:paraId="3D88065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36" w:hRule="atLeast"/>
          <w:jc w:val="center"/>
        </w:trPr>
        <w:tc>
          <w:tcPr>
            <w:tcW w:w="959" w:type="dxa"/>
            <w:vMerge w:val="restart"/>
            <w:vAlign w:val="center"/>
          </w:tcPr>
          <w:p w14:paraId="49BF14DF">
            <w:pPr>
              <w:pStyle w:val="11"/>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FF"/>
                <w:spacing w:val="-6"/>
                <w:sz w:val="21"/>
                <w:szCs w:val="21"/>
                <w:lang w:eastAsia="zh-CN"/>
              </w:rPr>
            </w:pPr>
            <w:r>
              <w:rPr>
                <w:rFonts w:hint="default" w:ascii="Times New Roman" w:hAnsi="Times New Roman" w:eastAsia="宋体" w:cs="Times New Roman"/>
                <w:color w:val="0000FF"/>
                <w:spacing w:val="-6"/>
                <w:sz w:val="21"/>
                <w:szCs w:val="21"/>
                <w:lang w:eastAsia="zh-CN"/>
              </w:rPr>
              <w:t>氧化塘</w:t>
            </w:r>
          </w:p>
        </w:tc>
        <w:tc>
          <w:tcPr>
            <w:tcW w:w="980" w:type="dxa"/>
            <w:vAlign w:val="center"/>
          </w:tcPr>
          <w:p w14:paraId="271ED5DB">
            <w:pPr>
              <w:pStyle w:val="11"/>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FF"/>
                <w:spacing w:val="-6"/>
                <w:sz w:val="21"/>
                <w:szCs w:val="21"/>
                <w:lang w:eastAsia="zh-CN"/>
              </w:rPr>
            </w:pPr>
            <w:r>
              <w:rPr>
                <w:rFonts w:hint="default" w:ascii="Times New Roman" w:hAnsi="Times New Roman" w:eastAsia="宋体" w:cs="Times New Roman"/>
                <w:color w:val="0000FF"/>
                <w:spacing w:val="-6"/>
                <w:sz w:val="21"/>
                <w:szCs w:val="21"/>
                <w:lang w:eastAsia="zh-CN"/>
              </w:rPr>
              <w:t>NH</w:t>
            </w:r>
            <w:r>
              <w:rPr>
                <w:rFonts w:hint="default" w:ascii="Times New Roman" w:hAnsi="Times New Roman" w:eastAsia="宋体" w:cs="Times New Roman"/>
                <w:color w:val="0000FF"/>
                <w:spacing w:val="-6"/>
                <w:sz w:val="21"/>
                <w:szCs w:val="21"/>
                <w:vertAlign w:val="subscript"/>
                <w:lang w:eastAsia="zh-CN"/>
              </w:rPr>
              <w:t>3</w:t>
            </w:r>
          </w:p>
        </w:tc>
        <w:tc>
          <w:tcPr>
            <w:tcW w:w="1125" w:type="dxa"/>
            <w:shd w:val="clear" w:color="auto" w:fill="auto"/>
            <w:vAlign w:val="center"/>
          </w:tcPr>
          <w:p w14:paraId="6F965415">
            <w:pPr>
              <w:pStyle w:val="11"/>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0000FF"/>
                <w:spacing w:val="-6"/>
                <w:kern w:val="2"/>
                <w:sz w:val="21"/>
                <w:szCs w:val="21"/>
                <w:lang w:val="en-US" w:eastAsia="zh-CN" w:bidi="ar-SA"/>
              </w:rPr>
            </w:pPr>
            <w:r>
              <w:rPr>
                <w:rFonts w:hint="eastAsia" w:ascii="Times New Roman" w:hAnsi="Times New Roman" w:cs="Times New Roman"/>
                <w:color w:val="0000FF"/>
                <w:spacing w:val="-6"/>
                <w:sz w:val="21"/>
                <w:szCs w:val="21"/>
                <w:lang w:val="en-US" w:eastAsia="zh-CN"/>
              </w:rPr>
              <w:t>5.72*10</w:t>
            </w:r>
            <w:r>
              <w:rPr>
                <w:rFonts w:hint="eastAsia" w:ascii="Times New Roman" w:hAnsi="Times New Roman" w:cs="Times New Roman"/>
                <w:color w:val="0000FF"/>
                <w:spacing w:val="-6"/>
                <w:sz w:val="21"/>
                <w:szCs w:val="21"/>
                <w:vertAlign w:val="superscript"/>
                <w:lang w:val="en-US" w:eastAsia="zh-CN"/>
              </w:rPr>
              <w:t>-7</w:t>
            </w:r>
          </w:p>
        </w:tc>
        <w:tc>
          <w:tcPr>
            <w:tcW w:w="1340" w:type="dxa"/>
            <w:shd w:val="clear" w:color="auto" w:fill="auto"/>
            <w:vAlign w:val="center"/>
          </w:tcPr>
          <w:p w14:paraId="5BDAA632">
            <w:pPr>
              <w:pStyle w:val="11"/>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0000FF"/>
                <w:spacing w:val="-6"/>
                <w:kern w:val="2"/>
                <w:sz w:val="21"/>
                <w:szCs w:val="21"/>
                <w:lang w:val="en-US" w:eastAsia="zh-CN" w:bidi="ar-SA"/>
              </w:rPr>
            </w:pPr>
            <w:r>
              <w:rPr>
                <w:rFonts w:hint="eastAsia" w:ascii="Times New Roman" w:hAnsi="Times New Roman" w:cs="Times New Roman"/>
                <w:color w:val="0000FF"/>
                <w:spacing w:val="-6"/>
                <w:sz w:val="21"/>
                <w:szCs w:val="21"/>
                <w:lang w:val="en-US" w:eastAsia="zh-CN"/>
              </w:rPr>
              <w:t>6.25*10</w:t>
            </w:r>
            <w:r>
              <w:rPr>
                <w:rFonts w:hint="eastAsia" w:ascii="Times New Roman" w:hAnsi="Times New Roman" w:cs="Times New Roman"/>
                <w:color w:val="0000FF"/>
                <w:spacing w:val="-6"/>
                <w:sz w:val="21"/>
                <w:szCs w:val="21"/>
                <w:vertAlign w:val="superscript"/>
                <w:lang w:val="en-US" w:eastAsia="zh-CN"/>
              </w:rPr>
              <w:t>-9</w:t>
            </w:r>
          </w:p>
        </w:tc>
        <w:tc>
          <w:tcPr>
            <w:tcW w:w="1398" w:type="dxa"/>
            <w:vAlign w:val="center"/>
          </w:tcPr>
          <w:p w14:paraId="3C08C5EE">
            <w:pPr>
              <w:pStyle w:val="11"/>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FF"/>
                <w:spacing w:val="-6"/>
                <w:sz w:val="21"/>
                <w:szCs w:val="21"/>
                <w:lang w:val="en-US" w:eastAsia="zh-CN"/>
              </w:rPr>
            </w:pPr>
            <w:r>
              <w:rPr>
                <w:rFonts w:hint="eastAsia" w:ascii="Times New Roman" w:hAnsi="Times New Roman" w:cs="Times New Roman"/>
                <w:color w:val="0000FF"/>
                <w:spacing w:val="-6"/>
                <w:sz w:val="21"/>
                <w:szCs w:val="21"/>
                <w:lang w:val="en-US" w:eastAsia="zh-CN"/>
              </w:rPr>
              <w:t>1.14*10</w:t>
            </w:r>
            <w:r>
              <w:rPr>
                <w:rFonts w:hint="eastAsia" w:ascii="Times New Roman" w:hAnsi="Times New Roman" w:cs="Times New Roman"/>
                <w:color w:val="0000FF"/>
                <w:spacing w:val="-6"/>
                <w:sz w:val="21"/>
                <w:szCs w:val="21"/>
                <w:vertAlign w:val="superscript"/>
                <w:lang w:val="en-US" w:eastAsia="zh-CN"/>
              </w:rPr>
              <w:t>-9</w:t>
            </w:r>
          </w:p>
        </w:tc>
        <w:tc>
          <w:tcPr>
            <w:tcW w:w="1398" w:type="dxa"/>
            <w:vAlign w:val="center"/>
          </w:tcPr>
          <w:p w14:paraId="12D0CA1A">
            <w:pPr>
              <w:pStyle w:val="11"/>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FF"/>
                <w:spacing w:val="-6"/>
                <w:sz w:val="21"/>
                <w:szCs w:val="21"/>
                <w:lang w:val="en-US" w:eastAsia="zh-CN"/>
              </w:rPr>
            </w:pPr>
            <w:r>
              <w:rPr>
                <w:rFonts w:hint="eastAsia" w:ascii="Times New Roman" w:hAnsi="Times New Roman" w:cs="Times New Roman"/>
                <w:color w:val="0000FF"/>
                <w:spacing w:val="-6"/>
                <w:sz w:val="21"/>
                <w:szCs w:val="21"/>
                <w:lang w:val="en-US" w:eastAsia="zh-CN"/>
              </w:rPr>
              <w:t>1.25*10</w:t>
            </w:r>
            <w:r>
              <w:rPr>
                <w:rFonts w:hint="eastAsia" w:ascii="Times New Roman" w:hAnsi="Times New Roman" w:cs="Times New Roman"/>
                <w:color w:val="0000FF"/>
                <w:spacing w:val="-6"/>
                <w:sz w:val="21"/>
                <w:szCs w:val="21"/>
                <w:vertAlign w:val="superscript"/>
                <w:lang w:val="en-US" w:eastAsia="zh-CN"/>
              </w:rPr>
              <w:t>-11</w:t>
            </w:r>
          </w:p>
        </w:tc>
        <w:tc>
          <w:tcPr>
            <w:tcW w:w="1871" w:type="dxa"/>
            <w:vMerge w:val="restart"/>
            <w:vAlign w:val="center"/>
          </w:tcPr>
          <w:p w14:paraId="4005E616">
            <w:pPr>
              <w:pStyle w:val="11"/>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FF"/>
                <w:spacing w:val="-6"/>
                <w:sz w:val="21"/>
                <w:szCs w:val="21"/>
                <w:lang w:eastAsia="zh-CN"/>
              </w:rPr>
            </w:pPr>
            <w:r>
              <w:rPr>
                <w:rFonts w:hint="default" w:ascii="Times New Roman" w:hAnsi="Times New Roman" w:eastAsia="宋体" w:cs="Times New Roman"/>
                <w:color w:val="0000FF"/>
                <w:spacing w:val="-6"/>
                <w:sz w:val="21"/>
                <w:szCs w:val="21"/>
                <w:lang w:eastAsia="zh-CN"/>
              </w:rPr>
              <w:t>氧化塘周边喷洒植物型除臭剂、在各池体周边加强绿化，减轻臭气的排放，除臭效率为80%</w:t>
            </w:r>
          </w:p>
        </w:tc>
      </w:tr>
      <w:tr w14:paraId="08AC972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959" w:type="dxa"/>
            <w:vMerge w:val="continue"/>
            <w:vAlign w:val="center"/>
          </w:tcPr>
          <w:p w14:paraId="7DBDB18E">
            <w:pPr>
              <w:pStyle w:val="11"/>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FF"/>
                <w:spacing w:val="-6"/>
                <w:sz w:val="21"/>
                <w:szCs w:val="21"/>
                <w:lang w:eastAsia="zh-CN"/>
              </w:rPr>
            </w:pPr>
          </w:p>
        </w:tc>
        <w:tc>
          <w:tcPr>
            <w:tcW w:w="980" w:type="dxa"/>
            <w:shd w:val="clear" w:color="auto" w:fill="auto"/>
            <w:vAlign w:val="center"/>
          </w:tcPr>
          <w:p w14:paraId="53B32C6E">
            <w:pPr>
              <w:keepNext w:val="0"/>
              <w:keepLines w:val="0"/>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Times New Roman" w:cs="Times New Roman"/>
                <w:color w:val="0000FF"/>
                <w:kern w:val="2"/>
                <w:sz w:val="21"/>
                <w:szCs w:val="21"/>
                <w:lang w:val="en-US" w:eastAsia="zh-CN" w:bidi="ar-SA"/>
              </w:rPr>
            </w:pPr>
            <w:r>
              <w:rPr>
                <w:rFonts w:ascii="Times New Roman" w:hAnsi="Times New Roman" w:eastAsia="Times New Roman" w:cs="Times New Roman"/>
                <w:color w:val="0000FF"/>
                <w:spacing w:val="4"/>
                <w:sz w:val="21"/>
                <w:szCs w:val="21"/>
              </w:rPr>
              <w:t>H</w:t>
            </w:r>
            <w:r>
              <w:rPr>
                <w:rFonts w:ascii="Times New Roman" w:hAnsi="Times New Roman" w:eastAsia="Times New Roman" w:cs="Times New Roman"/>
                <w:color w:val="0000FF"/>
                <w:spacing w:val="4"/>
                <w:position w:val="-1"/>
                <w:sz w:val="21"/>
                <w:szCs w:val="21"/>
                <w:vertAlign w:val="subscript"/>
              </w:rPr>
              <w:t>2</w:t>
            </w:r>
            <w:r>
              <w:rPr>
                <w:rFonts w:ascii="Times New Roman" w:hAnsi="Times New Roman" w:eastAsia="Times New Roman" w:cs="Times New Roman"/>
                <w:color w:val="0000FF"/>
                <w:spacing w:val="4"/>
                <w:sz w:val="21"/>
                <w:szCs w:val="21"/>
              </w:rPr>
              <w:t>S</w:t>
            </w:r>
          </w:p>
        </w:tc>
        <w:tc>
          <w:tcPr>
            <w:tcW w:w="1125" w:type="dxa"/>
            <w:shd w:val="clear" w:color="auto" w:fill="auto"/>
            <w:vAlign w:val="center"/>
          </w:tcPr>
          <w:p w14:paraId="66A8827A">
            <w:pPr>
              <w:keepNext w:val="0"/>
              <w:keepLines w:val="0"/>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Times New Roman" w:cs="Times New Roman"/>
                <w:color w:val="0000FF"/>
                <w:kern w:val="2"/>
                <w:sz w:val="21"/>
                <w:szCs w:val="21"/>
                <w:lang w:val="en-US" w:eastAsia="zh-CN" w:bidi="ar-SA"/>
              </w:rPr>
            </w:pPr>
            <w:r>
              <w:rPr>
                <w:rFonts w:hint="eastAsia" w:ascii="Times New Roman" w:hAnsi="Times New Roman" w:eastAsia="Times New Roman" w:cs="Times New Roman"/>
                <w:color w:val="0000FF"/>
                <w:kern w:val="2"/>
                <w:sz w:val="21"/>
                <w:szCs w:val="21"/>
                <w:lang w:val="en-US" w:eastAsia="zh-CN" w:bidi="ar-SA"/>
              </w:rPr>
              <w:t>2.2*10</w:t>
            </w:r>
            <w:r>
              <w:rPr>
                <w:rFonts w:hint="eastAsia" w:ascii="Times New Roman" w:hAnsi="Times New Roman" w:eastAsia="Times New Roman" w:cs="Times New Roman"/>
                <w:color w:val="0000FF"/>
                <w:kern w:val="2"/>
                <w:sz w:val="21"/>
                <w:szCs w:val="21"/>
                <w:vertAlign w:val="superscript"/>
                <w:lang w:val="en-US" w:eastAsia="zh-CN" w:bidi="ar-SA"/>
              </w:rPr>
              <w:t>-8</w:t>
            </w:r>
          </w:p>
        </w:tc>
        <w:tc>
          <w:tcPr>
            <w:tcW w:w="1340" w:type="dxa"/>
            <w:shd w:val="clear" w:color="auto" w:fill="auto"/>
            <w:vAlign w:val="center"/>
          </w:tcPr>
          <w:p w14:paraId="52CE79C0">
            <w:pPr>
              <w:keepNext w:val="0"/>
              <w:keepLines w:val="0"/>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Times New Roman" w:cs="Times New Roman"/>
                <w:color w:val="0000FF"/>
                <w:kern w:val="2"/>
                <w:sz w:val="21"/>
                <w:szCs w:val="21"/>
                <w:lang w:val="en-US" w:eastAsia="zh-CN" w:bidi="ar-SA"/>
              </w:rPr>
            </w:pPr>
            <w:r>
              <w:rPr>
                <w:rFonts w:hint="eastAsia" w:ascii="Times New Roman" w:hAnsi="Times New Roman" w:eastAsia="Times New Roman" w:cs="Times New Roman"/>
                <w:color w:val="0000FF"/>
                <w:kern w:val="2"/>
                <w:sz w:val="21"/>
                <w:szCs w:val="21"/>
                <w:lang w:val="en-US" w:eastAsia="zh-CN" w:bidi="ar-SA"/>
              </w:rPr>
              <w:t>2.5*10</w:t>
            </w:r>
            <w:r>
              <w:rPr>
                <w:rFonts w:hint="eastAsia" w:ascii="Times New Roman" w:hAnsi="Times New Roman" w:eastAsia="Times New Roman" w:cs="Times New Roman"/>
                <w:color w:val="0000FF"/>
                <w:kern w:val="2"/>
                <w:sz w:val="21"/>
                <w:szCs w:val="21"/>
                <w:vertAlign w:val="superscript"/>
                <w:lang w:val="en-US" w:eastAsia="zh-CN" w:bidi="ar-SA"/>
              </w:rPr>
              <w:t>-10</w:t>
            </w:r>
          </w:p>
        </w:tc>
        <w:tc>
          <w:tcPr>
            <w:tcW w:w="1398" w:type="dxa"/>
            <w:shd w:val="clear" w:color="auto" w:fill="auto"/>
            <w:vAlign w:val="center"/>
          </w:tcPr>
          <w:p w14:paraId="4AF95C6B">
            <w:pPr>
              <w:keepNext w:val="0"/>
              <w:keepLines w:val="0"/>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Times New Roman" w:cs="Times New Roman"/>
                <w:color w:val="0000FF"/>
                <w:kern w:val="2"/>
                <w:sz w:val="21"/>
                <w:szCs w:val="21"/>
                <w:lang w:val="en-US" w:eastAsia="zh-CN" w:bidi="ar-SA"/>
              </w:rPr>
            </w:pPr>
            <w:r>
              <w:rPr>
                <w:rFonts w:hint="eastAsia" w:ascii="Times New Roman" w:hAnsi="Times New Roman" w:eastAsia="Times New Roman" w:cs="Times New Roman"/>
                <w:color w:val="0000FF"/>
                <w:kern w:val="2"/>
                <w:sz w:val="21"/>
                <w:szCs w:val="21"/>
                <w:lang w:val="en-US" w:eastAsia="zh-CN" w:bidi="ar-SA"/>
              </w:rPr>
              <w:t>4.4*10</w:t>
            </w:r>
            <w:r>
              <w:rPr>
                <w:rFonts w:hint="eastAsia" w:ascii="Times New Roman" w:hAnsi="Times New Roman" w:eastAsia="Times New Roman" w:cs="Times New Roman"/>
                <w:color w:val="0000FF"/>
                <w:kern w:val="2"/>
                <w:sz w:val="21"/>
                <w:szCs w:val="21"/>
                <w:vertAlign w:val="superscript"/>
                <w:lang w:val="en-US" w:eastAsia="zh-CN" w:bidi="ar-SA"/>
              </w:rPr>
              <w:t>-9</w:t>
            </w:r>
          </w:p>
        </w:tc>
        <w:tc>
          <w:tcPr>
            <w:tcW w:w="1398" w:type="dxa"/>
            <w:shd w:val="clear" w:color="auto" w:fill="auto"/>
            <w:vAlign w:val="center"/>
          </w:tcPr>
          <w:p w14:paraId="49B80610">
            <w:pPr>
              <w:keepNext w:val="0"/>
              <w:keepLines w:val="0"/>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Times New Roman" w:cs="Times New Roman"/>
                <w:color w:val="0000FF"/>
                <w:kern w:val="2"/>
                <w:sz w:val="21"/>
                <w:szCs w:val="21"/>
                <w:lang w:val="en-US" w:eastAsia="zh-CN" w:bidi="ar-SA"/>
              </w:rPr>
            </w:pPr>
            <w:r>
              <w:rPr>
                <w:rFonts w:hint="eastAsia" w:ascii="Times New Roman" w:hAnsi="Times New Roman" w:eastAsia="Times New Roman" w:cs="Times New Roman"/>
                <w:color w:val="0000FF"/>
                <w:kern w:val="2"/>
                <w:sz w:val="21"/>
                <w:szCs w:val="21"/>
                <w:lang w:val="en-US" w:eastAsia="zh-CN" w:bidi="ar-SA"/>
              </w:rPr>
              <w:t>5*10</w:t>
            </w:r>
            <w:r>
              <w:rPr>
                <w:rFonts w:hint="eastAsia" w:ascii="Times New Roman" w:hAnsi="Times New Roman" w:eastAsia="Times New Roman" w:cs="Times New Roman"/>
                <w:color w:val="0000FF"/>
                <w:kern w:val="2"/>
                <w:sz w:val="21"/>
                <w:szCs w:val="21"/>
                <w:vertAlign w:val="superscript"/>
                <w:lang w:val="en-US" w:eastAsia="zh-CN" w:bidi="ar-SA"/>
              </w:rPr>
              <w:t>-11</w:t>
            </w:r>
          </w:p>
        </w:tc>
        <w:tc>
          <w:tcPr>
            <w:tcW w:w="1871" w:type="dxa"/>
            <w:vMerge w:val="continue"/>
            <w:vAlign w:val="center"/>
          </w:tcPr>
          <w:p w14:paraId="218C17D8">
            <w:pPr>
              <w:pStyle w:val="11"/>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FF"/>
                <w:spacing w:val="-6"/>
                <w:sz w:val="21"/>
                <w:szCs w:val="21"/>
                <w:lang w:eastAsia="zh-CN"/>
              </w:rPr>
            </w:pPr>
          </w:p>
        </w:tc>
      </w:tr>
    </w:tbl>
    <w:p w14:paraId="478A110F">
      <w:pPr>
        <w:pStyle w:val="11"/>
        <w:adjustRightInd w:val="0"/>
        <w:snapToGrid w:val="0"/>
        <w:ind w:firstLine="456"/>
        <w:rPr>
          <w:rFonts w:hint="default" w:ascii="Times New Roman" w:hAnsi="Times New Roman" w:eastAsia="宋体" w:cs="Times New Roman"/>
          <w:color w:val="0000FF"/>
          <w:spacing w:val="-6"/>
          <w:lang w:eastAsia="zh-CN"/>
        </w:rPr>
      </w:pPr>
      <w:r>
        <w:rPr>
          <w:rFonts w:hint="default" w:ascii="Times New Roman" w:hAnsi="Times New Roman" w:eastAsia="宋体" w:cs="Times New Roman"/>
          <w:color w:val="0000FF"/>
          <w:spacing w:val="-6"/>
          <w:lang w:eastAsia="zh-CN"/>
        </w:rPr>
        <w:t>④青贮饲料加工恶臭</w:t>
      </w:r>
    </w:p>
    <w:p w14:paraId="1DAC3BC9">
      <w:pPr>
        <w:pStyle w:val="11"/>
        <w:adjustRightInd w:val="0"/>
        <w:snapToGrid w:val="0"/>
        <w:ind w:firstLine="456"/>
        <w:rPr>
          <w:rFonts w:hint="default" w:ascii="Times New Roman" w:hAnsi="Times New Roman" w:eastAsia="宋体" w:cs="Times New Roman"/>
          <w:color w:val="0000FF"/>
          <w:spacing w:val="-6"/>
          <w:lang w:eastAsia="zh-CN"/>
        </w:rPr>
      </w:pPr>
      <w:r>
        <w:rPr>
          <w:rFonts w:hint="default" w:ascii="Times New Roman" w:hAnsi="Times New Roman" w:eastAsia="宋体" w:cs="Times New Roman"/>
          <w:color w:val="0000FF"/>
          <w:spacing w:val="-6"/>
          <w:lang w:eastAsia="zh-CN"/>
        </w:rPr>
        <w:t>本项目奶牛场采用的青贮饲料是将青绿饲料经切碎后，在密闭缺氧的条件下，通过</w:t>
      </w:r>
      <w:r>
        <w:rPr>
          <w:rFonts w:hint="eastAsia" w:ascii="Times New Roman" w:hAnsi="Times New Roman" w:cs="Times New Roman"/>
          <w:color w:val="0000FF"/>
          <w:spacing w:val="-6"/>
          <w:lang w:val="en-US" w:eastAsia="zh-CN"/>
        </w:rPr>
        <w:t>好</w:t>
      </w:r>
      <w:r>
        <w:rPr>
          <w:rFonts w:hint="default" w:ascii="Times New Roman" w:hAnsi="Times New Roman" w:eastAsia="宋体" w:cs="Times New Roman"/>
          <w:color w:val="0000FF"/>
          <w:spacing w:val="-6"/>
          <w:lang w:eastAsia="zh-CN"/>
        </w:rPr>
        <w:t>氧乳酸菌的发酵作用，抑制各种杂菌的繁殖，而得到的一种粗饲料。青储饲料在青贮窖发酵过程中会产生少量臭气，由于该臭气无相关产排污系数及相关文献数据，无法核算排放量，本次青贮饲料恶臭定性分析。本项目对青贮窖采用黑膜覆盖密封，定期喷洒微生物除臭剂可有效减少青贮发酵恶臭的排放。</w:t>
      </w:r>
    </w:p>
    <w:p w14:paraId="03700ADA">
      <w:pPr>
        <w:pStyle w:val="11"/>
        <w:adjustRightInd w:val="0"/>
        <w:snapToGrid w:val="0"/>
        <w:ind w:firstLine="456"/>
        <w:rPr>
          <w:rFonts w:hint="default" w:ascii="Times New Roman" w:hAnsi="Times New Roman" w:eastAsia="宋体" w:cs="Times New Roman"/>
          <w:color w:val="0000FF"/>
          <w:spacing w:val="-6"/>
          <w:lang w:eastAsia="zh-CN"/>
        </w:rPr>
      </w:pPr>
      <w:r>
        <w:rPr>
          <w:rFonts w:hint="default" w:ascii="Times New Roman" w:hAnsi="Times New Roman" w:eastAsia="宋体" w:cs="Times New Roman"/>
          <w:color w:val="0000FF"/>
          <w:spacing w:val="-6"/>
          <w:lang w:eastAsia="zh-CN"/>
        </w:rPr>
        <w:t>根据《排污许可证申请与核发技术规范畜禽养殖行业》（HJ1029-2019）要求，本项目采取的无组织废气污染控制方法为：圈舍：（1）选用益生菌配方饲料，（2）及时清运粪污，（3）向粪便或舍内投（铺）放吸附剂减少臭气的散发，（4）投加或喷洒除臭剂，（5）集中通风排气经处理（喷淋法、生物洗涤法、吸收法等）后排放。</w:t>
      </w:r>
    </w:p>
    <w:p w14:paraId="64BB3059">
      <w:pPr>
        <w:pStyle w:val="11"/>
        <w:adjustRightInd w:val="0"/>
        <w:snapToGrid w:val="0"/>
        <w:ind w:firstLine="456"/>
        <w:rPr>
          <w:rFonts w:hint="default" w:ascii="Times New Roman" w:hAnsi="Times New Roman" w:eastAsia="宋体" w:cs="Times New Roman"/>
          <w:color w:val="0000FF"/>
          <w:spacing w:val="-6"/>
          <w:lang w:eastAsia="zh-CN"/>
        </w:rPr>
      </w:pPr>
      <w:r>
        <w:rPr>
          <w:rFonts w:hint="default" w:ascii="Times New Roman" w:hAnsi="Times New Roman" w:eastAsia="宋体" w:cs="Times New Roman"/>
          <w:color w:val="0000FF"/>
          <w:spacing w:val="-6"/>
          <w:lang w:eastAsia="zh-CN"/>
        </w:rPr>
        <w:t>堆粪场：（1）定期喷洒除臭剂，（2）及时清运固体粪污，（3）采用好氧或者厌氧堆肥方式。</w:t>
      </w:r>
    </w:p>
    <w:p w14:paraId="436D8F7A">
      <w:pPr>
        <w:pStyle w:val="11"/>
        <w:adjustRightInd w:val="0"/>
        <w:snapToGrid w:val="0"/>
        <w:ind w:firstLine="456"/>
        <w:rPr>
          <w:rFonts w:hint="default" w:ascii="Times New Roman" w:hAnsi="Times New Roman" w:eastAsia="宋体" w:cs="Times New Roman"/>
          <w:color w:val="0000FF"/>
          <w:spacing w:val="-6"/>
          <w:lang w:eastAsia="zh-CN"/>
        </w:rPr>
      </w:pPr>
      <w:r>
        <w:rPr>
          <w:rFonts w:hint="default" w:ascii="Times New Roman" w:hAnsi="Times New Roman" w:eastAsia="宋体" w:cs="Times New Roman"/>
          <w:color w:val="0000FF"/>
          <w:spacing w:val="-6"/>
          <w:lang w:eastAsia="zh-CN"/>
        </w:rPr>
        <w:t>收集池、固液分离间</w:t>
      </w:r>
      <w:r>
        <w:rPr>
          <w:rFonts w:hint="eastAsia" w:ascii="Times New Roman" w:hAnsi="Times New Roman" w:cs="Times New Roman"/>
          <w:color w:val="0000FF"/>
          <w:spacing w:val="-6"/>
          <w:lang w:eastAsia="zh-CN"/>
        </w:rPr>
        <w:t>：</w:t>
      </w:r>
      <w:r>
        <w:rPr>
          <w:rFonts w:hint="default" w:ascii="Times New Roman" w:hAnsi="Times New Roman" w:eastAsia="宋体" w:cs="Times New Roman"/>
          <w:color w:val="0000FF"/>
          <w:spacing w:val="-6"/>
          <w:lang w:eastAsia="zh-CN"/>
        </w:rPr>
        <w:t>（1）定期喷洒除臭剂，（2）废水处理设施加盖或加罩。</w:t>
      </w:r>
    </w:p>
    <w:p w14:paraId="53A1C12B">
      <w:pPr>
        <w:pStyle w:val="11"/>
        <w:adjustRightInd w:val="0"/>
        <w:snapToGrid w:val="0"/>
        <w:ind w:firstLine="456"/>
        <w:rPr>
          <w:rFonts w:hint="default" w:ascii="Times New Roman" w:hAnsi="Times New Roman" w:eastAsia="宋体" w:cs="Times New Roman"/>
          <w:color w:val="0000FF"/>
          <w:spacing w:val="-6"/>
          <w:lang w:eastAsia="zh-CN"/>
        </w:rPr>
      </w:pPr>
      <w:r>
        <w:rPr>
          <w:rFonts w:hint="default" w:ascii="Times New Roman" w:hAnsi="Times New Roman" w:eastAsia="宋体" w:cs="Times New Roman"/>
          <w:color w:val="0000FF"/>
          <w:spacing w:val="-6"/>
          <w:lang w:eastAsia="zh-CN"/>
        </w:rPr>
        <w:t>全场：（1）固体废物规范还田利用，（2）场区运输道路全硬化、及时清扫、无积灰扬尘、定期洒水抑尘。</w:t>
      </w:r>
    </w:p>
    <w:p w14:paraId="35E036AC">
      <w:pPr>
        <w:pStyle w:val="11"/>
        <w:adjustRightInd w:val="0"/>
        <w:snapToGrid w:val="0"/>
        <w:ind w:firstLine="456"/>
        <w:rPr>
          <w:rFonts w:hint="default" w:ascii="Times New Roman" w:hAnsi="Times New Roman" w:eastAsia="宋体" w:cs="Times New Roman"/>
          <w:color w:val="0000FF"/>
          <w:spacing w:val="-6"/>
          <w:lang w:eastAsia="zh-CN"/>
        </w:rPr>
      </w:pPr>
      <w:r>
        <w:rPr>
          <w:rFonts w:hint="default" w:ascii="Times New Roman" w:hAnsi="Times New Roman" w:eastAsia="宋体" w:cs="Times New Roman"/>
          <w:color w:val="0000FF"/>
          <w:spacing w:val="-6"/>
          <w:lang w:eastAsia="zh-CN"/>
        </w:rPr>
        <w:t>通过采取及时清理牛粪、加强圈舍通风、保持圈舍清洁、采用生物除臭措施、合理配置饲料成分，合理布局粪污区、采取好氧堆肥方式堆肥、定期喷洒除臭剂、及时清运固体粪污，废水处理设施加盖或加罩，加强圈舍周边绿化，场区运输道路全硬化、及时清扫、无积灰扬尘、定期洒水抑尘等措施，可有效减少恶臭的产生。</w:t>
      </w:r>
    </w:p>
    <w:p w14:paraId="47590A65">
      <w:pPr>
        <w:pStyle w:val="37"/>
        <w:tabs>
          <w:tab w:val="left" w:pos="1421"/>
        </w:tabs>
        <w:adjustRightInd w:val="0"/>
        <w:snapToGrid w:val="0"/>
        <w:ind w:left="0" w:firstLine="480"/>
        <w:rPr>
          <w:rFonts w:hint="eastAsia"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w:t>
      </w:r>
      <w:r>
        <w:rPr>
          <w:rFonts w:hint="eastAsia" w:cs="Times New Roman"/>
          <w:color w:val="000000" w:themeColor="text1"/>
          <w:lang w:val="en-US" w:eastAsia="zh-CN"/>
          <w14:textFill>
            <w14:solidFill>
              <w14:schemeClr w14:val="tx1"/>
            </w14:solidFill>
          </w14:textFill>
        </w:rPr>
        <w:t>3</w:t>
      </w:r>
      <w:r>
        <w:rPr>
          <w:rFonts w:hint="default" w:ascii="Times New Roman" w:hAnsi="Times New Roman" w:eastAsia="宋体" w:cs="Times New Roman"/>
          <w:color w:val="000000" w:themeColor="text1"/>
          <w14:textFill>
            <w14:solidFill>
              <w14:schemeClr w14:val="tx1"/>
            </w14:solidFill>
          </w14:textFill>
        </w:rPr>
        <w:t>）食堂油烟废气</w:t>
      </w:r>
      <w:r>
        <w:rPr>
          <w:rFonts w:hint="eastAsia" w:cs="Times New Roman"/>
          <w:color w:val="000000" w:themeColor="text1"/>
          <w:lang w:eastAsia="zh-CN"/>
          <w14:textFill>
            <w14:solidFill>
              <w14:schemeClr w14:val="tx1"/>
            </w14:solidFill>
          </w14:textFill>
        </w:rPr>
        <w:t>（</w:t>
      </w:r>
      <w:r>
        <w:rPr>
          <w:rFonts w:hint="eastAsia" w:cs="Times New Roman"/>
          <w:color w:val="000000" w:themeColor="text1"/>
          <w:lang w:val="en-US" w:eastAsia="zh-CN"/>
          <w14:textFill>
            <w14:solidFill>
              <w14:schemeClr w14:val="tx1"/>
            </w14:solidFill>
          </w14:textFill>
        </w:rPr>
        <w:t>G3</w:t>
      </w:r>
      <w:r>
        <w:rPr>
          <w:rFonts w:hint="eastAsia" w:cs="Times New Roman"/>
          <w:color w:val="000000" w:themeColor="text1"/>
          <w:lang w:eastAsia="zh-CN"/>
          <w14:textFill>
            <w14:solidFill>
              <w14:schemeClr w14:val="tx1"/>
            </w14:solidFill>
          </w14:textFill>
        </w:rPr>
        <w:t>）</w:t>
      </w:r>
    </w:p>
    <w:p w14:paraId="0DB4F89E">
      <w:pPr>
        <w:pStyle w:val="11"/>
        <w:adjustRightInd w:val="0"/>
        <w:snapToGrid w:val="0"/>
        <w:ind w:firstLine="480"/>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eastAsia="宋体" w:cs="Times New Roman"/>
          <w:color w:val="000000" w:themeColor="text1"/>
          <w:lang w:eastAsia="zh-CN"/>
          <w14:textFill>
            <w14:solidFill>
              <w14:schemeClr w14:val="tx1"/>
            </w14:solidFill>
          </w14:textFill>
        </w:rPr>
        <w:t>本项目设置1个食堂，食堂使用罐装石油液化气作为食堂燃料。石油液化气用量按0.2m</w:t>
      </w:r>
      <w:r>
        <w:rPr>
          <w:rFonts w:hint="default" w:ascii="Times New Roman" w:hAnsi="Times New Roman" w:eastAsia="宋体" w:cs="Times New Roman"/>
          <w:color w:val="000000" w:themeColor="text1"/>
          <w:vertAlign w:val="superscript"/>
          <w:lang w:eastAsia="zh-CN"/>
          <w14:textFill>
            <w14:solidFill>
              <w14:schemeClr w14:val="tx1"/>
            </w14:solidFill>
          </w14:textFill>
        </w:rPr>
        <w:t>3</w:t>
      </w:r>
      <w:r>
        <w:rPr>
          <w:rFonts w:hint="default" w:ascii="Times New Roman" w:hAnsi="Times New Roman" w:eastAsia="宋体" w:cs="Times New Roman"/>
          <w:color w:val="000000" w:themeColor="text1"/>
          <w:lang w:eastAsia="zh-CN"/>
          <w14:textFill>
            <w14:solidFill>
              <w14:schemeClr w14:val="tx1"/>
            </w14:solidFill>
          </w14:textFill>
        </w:rPr>
        <w:t>/人·d</w:t>
      </w:r>
      <w:r>
        <w:rPr>
          <w:rFonts w:hint="default" w:ascii="Times New Roman" w:hAnsi="Times New Roman" w:eastAsia="宋体" w:cs="Times New Roman"/>
          <w:color w:val="000000" w:themeColor="text1"/>
          <w:spacing w:val="-4"/>
          <w:lang w:eastAsia="zh-CN"/>
          <w14:textFill>
            <w14:solidFill>
              <w14:schemeClr w14:val="tx1"/>
            </w14:solidFill>
          </w14:textFill>
        </w:rPr>
        <w:t>计，本项目就餐人员按照</w:t>
      </w:r>
      <w:r>
        <w:rPr>
          <w:rFonts w:hint="default" w:ascii="Times New Roman" w:hAnsi="Times New Roman" w:eastAsia="宋体" w:cs="Times New Roman"/>
          <w:color w:val="000000" w:themeColor="text1"/>
          <w:lang w:eastAsia="zh-CN"/>
          <w14:textFill>
            <w14:solidFill>
              <w14:schemeClr w14:val="tx1"/>
            </w14:solidFill>
          </w14:textFill>
        </w:rPr>
        <w:t>30</w:t>
      </w:r>
      <w:r>
        <w:rPr>
          <w:rFonts w:hint="default" w:ascii="Times New Roman" w:hAnsi="Times New Roman" w:eastAsia="宋体" w:cs="Times New Roman"/>
          <w:color w:val="000000" w:themeColor="text1"/>
          <w:spacing w:val="-4"/>
          <w:lang w:eastAsia="zh-CN"/>
          <w14:textFill>
            <w14:solidFill>
              <w14:schemeClr w14:val="tx1"/>
            </w14:solidFill>
          </w14:textFill>
        </w:rPr>
        <w:t>人计算，每年工作天数按照</w:t>
      </w:r>
      <w:r>
        <w:rPr>
          <w:rFonts w:hint="default" w:ascii="Times New Roman" w:hAnsi="Times New Roman" w:eastAsia="宋体" w:cs="Times New Roman"/>
          <w:color w:val="000000" w:themeColor="text1"/>
          <w:lang w:eastAsia="zh-CN"/>
          <w14:textFill>
            <w14:solidFill>
              <w14:schemeClr w14:val="tx1"/>
            </w14:solidFill>
          </w14:textFill>
        </w:rPr>
        <w:t>365天计算，则每</w:t>
      </w:r>
      <w:r>
        <w:rPr>
          <w:rFonts w:hint="default" w:ascii="Times New Roman" w:hAnsi="Times New Roman" w:eastAsia="宋体" w:cs="Times New Roman"/>
          <w:color w:val="000000" w:themeColor="text1"/>
          <w:spacing w:val="-7"/>
          <w:lang w:eastAsia="zh-CN"/>
          <w14:textFill>
            <w14:solidFill>
              <w14:schemeClr w14:val="tx1"/>
            </w14:solidFill>
          </w14:textFill>
        </w:rPr>
        <w:t>年液化石油气用量约</w:t>
      </w:r>
      <w:r>
        <w:rPr>
          <w:rFonts w:hint="default" w:ascii="Times New Roman" w:hAnsi="Times New Roman" w:eastAsia="宋体" w:cs="Times New Roman"/>
          <w:color w:val="000000" w:themeColor="text1"/>
          <w:spacing w:val="-8"/>
          <w:lang w:eastAsia="zh-CN"/>
          <w14:textFill>
            <w14:solidFill>
              <w14:schemeClr w14:val="tx1"/>
            </w14:solidFill>
          </w14:textFill>
        </w:rPr>
        <w:t>3285m</w:t>
      </w:r>
      <w:r>
        <w:rPr>
          <w:rFonts w:hint="default" w:ascii="Times New Roman" w:hAnsi="Times New Roman" w:eastAsia="宋体" w:cs="Times New Roman"/>
          <w:color w:val="000000" w:themeColor="text1"/>
          <w:spacing w:val="-8"/>
          <w:vertAlign w:val="superscript"/>
          <w:lang w:eastAsia="zh-CN"/>
          <w14:textFill>
            <w14:solidFill>
              <w14:schemeClr w14:val="tx1"/>
            </w14:solidFill>
          </w14:textFill>
        </w:rPr>
        <w:t>3</w:t>
      </w:r>
      <w:r>
        <w:rPr>
          <w:rFonts w:hint="default" w:ascii="Times New Roman" w:hAnsi="Times New Roman" w:eastAsia="宋体" w:cs="Times New Roman"/>
          <w:color w:val="000000" w:themeColor="text1"/>
          <w:spacing w:val="-8"/>
          <w:lang w:eastAsia="zh-CN"/>
          <w14:textFill>
            <w14:solidFill>
              <w14:schemeClr w14:val="tx1"/>
            </w14:solidFill>
          </w14:textFill>
        </w:rPr>
        <w:t>/a</w:t>
      </w:r>
      <w:r>
        <w:rPr>
          <w:rFonts w:hint="default" w:ascii="Times New Roman" w:hAnsi="Times New Roman" w:eastAsia="宋体" w:cs="Times New Roman"/>
          <w:color w:val="000000" w:themeColor="text1"/>
          <w:spacing w:val="-19"/>
          <w:lang w:eastAsia="zh-CN"/>
          <w14:textFill>
            <w14:solidFill>
              <w14:schemeClr w14:val="tx1"/>
            </w14:solidFill>
          </w14:textFill>
        </w:rPr>
        <w:t>，</w:t>
      </w:r>
      <w:r>
        <w:rPr>
          <w:rFonts w:hint="default" w:ascii="Times New Roman" w:hAnsi="Times New Roman" w:eastAsia="宋体" w:cs="Times New Roman"/>
          <w:color w:val="000000" w:themeColor="text1"/>
          <w:lang w:eastAsia="zh-CN"/>
          <w14:textFill>
            <w14:solidFill>
              <w14:schemeClr w14:val="tx1"/>
            </w14:solidFill>
          </w14:textFill>
        </w:rPr>
        <w:t>其废气量、烟尘、二氧化硫、氮氧化物排污系数参考《生活源产排污系数及使用说明》（2010年修订）中管道煤气排污系数进行计算，则废气污染物产生情况见表</w:t>
      </w:r>
      <w:r>
        <w:rPr>
          <w:rFonts w:hint="default" w:ascii="Times New Roman" w:hAnsi="Times New Roman" w:eastAsia="宋体" w:cs="Times New Roman"/>
          <w:color w:val="000000" w:themeColor="text1"/>
          <w:lang w:val="zh-CN" w:eastAsia="zh-CN"/>
          <w14:textFill>
            <w14:solidFill>
              <w14:schemeClr w14:val="tx1"/>
            </w14:solidFill>
          </w14:textFill>
        </w:rPr>
        <w:t>3.3</w:t>
      </w:r>
      <w:r>
        <w:rPr>
          <w:rFonts w:hint="default" w:ascii="Times New Roman" w:hAnsi="Times New Roman" w:eastAsia="宋体" w:cs="Times New Roman"/>
          <w:color w:val="000000" w:themeColor="text1"/>
          <w:lang w:eastAsia="zh-CN"/>
          <w14:textFill>
            <w14:solidFill>
              <w14:schemeClr w14:val="tx1"/>
            </w14:solidFill>
          </w14:textFill>
        </w:rPr>
        <w:t>-7。</w:t>
      </w:r>
    </w:p>
    <w:p w14:paraId="78607F09">
      <w:pPr>
        <w:pStyle w:val="11"/>
        <w:adjustRightInd w:val="0"/>
        <w:snapToGrid w:val="0"/>
        <w:ind w:firstLine="458"/>
        <w:jc w:val="center"/>
        <w:rPr>
          <w:rFonts w:hint="default" w:ascii="Times New Roman" w:hAnsi="Times New Roman" w:eastAsia="宋体" w:cs="Times New Roman"/>
          <w:b/>
          <w:color w:val="000000" w:themeColor="text1"/>
          <w:sz w:val="9"/>
          <w:lang w:eastAsia="zh-CN"/>
          <w14:textFill>
            <w14:solidFill>
              <w14:schemeClr w14:val="tx1"/>
            </w14:solidFill>
          </w14:textFill>
        </w:rPr>
      </w:pPr>
      <w:r>
        <w:rPr>
          <w:rFonts w:hint="default" w:ascii="Times New Roman" w:hAnsi="Times New Roman" w:eastAsia="宋体" w:cs="Times New Roman"/>
          <w:b/>
          <w:color w:val="000000" w:themeColor="text1"/>
          <w:spacing w:val="-6"/>
          <w:lang w:eastAsia="zh-CN"/>
          <w14:textFill>
            <w14:solidFill>
              <w14:schemeClr w14:val="tx1"/>
            </w14:solidFill>
          </w14:textFill>
        </w:rPr>
        <w:t>表</w:t>
      </w:r>
      <w:r>
        <w:rPr>
          <w:rFonts w:hint="default" w:ascii="Times New Roman" w:hAnsi="Times New Roman" w:eastAsia="宋体" w:cs="Times New Roman"/>
          <w:b/>
          <w:color w:val="000000" w:themeColor="text1"/>
          <w:lang w:val="zh-CN" w:eastAsia="zh-CN"/>
          <w14:textFill>
            <w14:solidFill>
              <w14:schemeClr w14:val="tx1"/>
            </w14:solidFill>
          </w14:textFill>
        </w:rPr>
        <w:t>3.3</w:t>
      </w:r>
      <w:r>
        <w:rPr>
          <w:rFonts w:hint="default" w:ascii="Times New Roman" w:hAnsi="Times New Roman" w:eastAsia="宋体" w:cs="Times New Roman"/>
          <w:b/>
          <w:color w:val="000000" w:themeColor="text1"/>
          <w:lang w:eastAsia="zh-CN"/>
          <w14:textFill>
            <w14:solidFill>
              <w14:schemeClr w14:val="tx1"/>
            </w14:solidFill>
          </w14:textFill>
        </w:rPr>
        <w:t>-7</w:t>
      </w:r>
      <w:r>
        <w:rPr>
          <w:rFonts w:hint="default" w:ascii="Times New Roman" w:hAnsi="Times New Roman" w:eastAsia="宋体" w:cs="Times New Roman"/>
          <w:b/>
          <w:color w:val="000000" w:themeColor="text1"/>
          <w:spacing w:val="-6"/>
          <w:lang w:eastAsia="zh-CN"/>
          <w14:textFill>
            <w14:solidFill>
              <w14:schemeClr w14:val="tx1"/>
            </w14:solidFill>
          </w14:textFill>
        </w:rPr>
        <w:tab/>
      </w:r>
      <w:r>
        <w:rPr>
          <w:rFonts w:hint="default" w:ascii="Times New Roman" w:hAnsi="Times New Roman" w:eastAsia="宋体" w:cs="Times New Roman"/>
          <w:b/>
          <w:color w:val="000000" w:themeColor="text1"/>
          <w:spacing w:val="-6"/>
          <w:lang w:eastAsia="zh-CN"/>
          <w14:textFill>
            <w14:solidFill>
              <w14:schemeClr w14:val="tx1"/>
            </w14:solidFill>
          </w14:textFill>
        </w:rPr>
        <w:t>项目运营期食堂燃气废气产生量</w:t>
      </w:r>
    </w:p>
    <w:tbl>
      <w:tblPr>
        <w:tblStyle w:val="3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315"/>
        <w:gridCol w:w="1967"/>
        <w:gridCol w:w="1739"/>
        <w:gridCol w:w="1708"/>
        <w:gridCol w:w="1586"/>
      </w:tblGrid>
      <w:tr w14:paraId="1D1398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791" w:type="pct"/>
            <w:vAlign w:val="center"/>
          </w:tcPr>
          <w:p w14:paraId="3EA15AE3">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污染物</w:t>
            </w:r>
          </w:p>
        </w:tc>
        <w:tc>
          <w:tcPr>
            <w:tcW w:w="1183" w:type="pct"/>
            <w:vAlign w:val="center"/>
          </w:tcPr>
          <w:p w14:paraId="10484EBA">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烟气量m</w:t>
            </w:r>
            <w:r>
              <w:rPr>
                <w:rFonts w:hint="default" w:ascii="Times New Roman" w:hAnsi="Times New Roman" w:eastAsia="宋体" w:cs="Times New Roman"/>
                <w:color w:val="000000" w:themeColor="text1"/>
                <w:sz w:val="21"/>
                <w:vertAlign w:val="superscript"/>
                <w14:textFill>
                  <w14:solidFill>
                    <w14:schemeClr w14:val="tx1"/>
                  </w14:solidFill>
                </w14:textFill>
              </w:rPr>
              <w:t>3</w:t>
            </w:r>
            <w:r>
              <w:rPr>
                <w:rFonts w:hint="default" w:ascii="Times New Roman" w:hAnsi="Times New Roman" w:eastAsia="宋体" w:cs="Times New Roman"/>
                <w:color w:val="000000" w:themeColor="text1"/>
                <w:sz w:val="21"/>
                <w14:textFill>
                  <w14:solidFill>
                    <w14:schemeClr w14:val="tx1"/>
                  </w14:solidFill>
                </w14:textFill>
              </w:rPr>
              <w:t>/a</w:t>
            </w:r>
          </w:p>
        </w:tc>
        <w:tc>
          <w:tcPr>
            <w:tcW w:w="1046" w:type="pct"/>
            <w:vAlign w:val="center"/>
          </w:tcPr>
          <w:p w14:paraId="4DFBCD61">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二氧化硫kg/a</w:t>
            </w:r>
          </w:p>
        </w:tc>
        <w:tc>
          <w:tcPr>
            <w:tcW w:w="1027" w:type="pct"/>
            <w:vAlign w:val="center"/>
          </w:tcPr>
          <w:p w14:paraId="0A807FD2">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氮氧化物kg/a</w:t>
            </w:r>
          </w:p>
        </w:tc>
        <w:tc>
          <w:tcPr>
            <w:tcW w:w="953" w:type="pct"/>
            <w:vAlign w:val="center"/>
          </w:tcPr>
          <w:p w14:paraId="07C0637D">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烟尘kg/a</w:t>
            </w:r>
          </w:p>
        </w:tc>
      </w:tr>
      <w:tr w14:paraId="7AB4C2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791" w:type="pct"/>
            <w:vAlign w:val="center"/>
          </w:tcPr>
          <w:p w14:paraId="6E6A245B">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产物系数</w:t>
            </w:r>
          </w:p>
        </w:tc>
        <w:tc>
          <w:tcPr>
            <w:tcW w:w="1183" w:type="pct"/>
            <w:vAlign w:val="center"/>
          </w:tcPr>
          <w:p w14:paraId="3C14A2DC">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1.7×10</w:t>
            </w:r>
            <w:r>
              <w:rPr>
                <w:rFonts w:hint="default" w:ascii="Times New Roman" w:hAnsi="Times New Roman" w:eastAsia="宋体" w:cs="Times New Roman"/>
                <w:color w:val="000000" w:themeColor="text1"/>
                <w:sz w:val="21"/>
                <w:vertAlign w:val="superscript"/>
                <w14:textFill>
                  <w14:solidFill>
                    <w14:schemeClr w14:val="tx1"/>
                  </w14:solidFill>
                </w14:textFill>
              </w:rPr>
              <w:t>4</w:t>
            </w:r>
            <w:r>
              <w:rPr>
                <w:rFonts w:hint="default" w:ascii="Times New Roman" w:hAnsi="Times New Roman" w:eastAsia="宋体" w:cs="Times New Roman"/>
                <w:color w:val="000000" w:themeColor="text1"/>
                <w:sz w:val="21"/>
                <w14:textFill>
                  <w14:solidFill>
                    <w14:schemeClr w14:val="tx1"/>
                  </w14:solidFill>
                </w14:textFill>
              </w:rPr>
              <w:t>m</w:t>
            </w:r>
            <w:r>
              <w:rPr>
                <w:rFonts w:hint="default" w:ascii="Times New Roman" w:hAnsi="Times New Roman" w:eastAsia="宋体" w:cs="Times New Roman"/>
                <w:color w:val="000000" w:themeColor="text1"/>
                <w:sz w:val="21"/>
                <w:vertAlign w:val="superscript"/>
                <w14:textFill>
                  <w14:solidFill>
                    <w14:schemeClr w14:val="tx1"/>
                  </w14:solidFill>
                </w14:textFill>
              </w:rPr>
              <w:t>3</w:t>
            </w:r>
            <w:r>
              <w:rPr>
                <w:rFonts w:hint="default" w:ascii="Times New Roman" w:hAnsi="Times New Roman" w:eastAsia="宋体" w:cs="Times New Roman"/>
                <w:color w:val="000000" w:themeColor="text1"/>
                <w:sz w:val="21"/>
                <w14:textFill>
                  <w14:solidFill>
                    <w14:schemeClr w14:val="tx1"/>
                  </w14:solidFill>
                </w14:textFill>
              </w:rPr>
              <w:t>/10</w:t>
            </w:r>
            <w:r>
              <w:rPr>
                <w:rFonts w:hint="default" w:ascii="Times New Roman" w:hAnsi="Times New Roman" w:eastAsia="宋体" w:cs="Times New Roman"/>
                <w:color w:val="000000" w:themeColor="text1"/>
                <w:sz w:val="21"/>
                <w:vertAlign w:val="superscript"/>
                <w14:textFill>
                  <w14:solidFill>
                    <w14:schemeClr w14:val="tx1"/>
                  </w14:solidFill>
                </w14:textFill>
              </w:rPr>
              <w:t>4</w:t>
            </w:r>
            <w:r>
              <w:rPr>
                <w:rFonts w:hint="default" w:ascii="Times New Roman" w:hAnsi="Times New Roman" w:eastAsia="宋体" w:cs="Times New Roman"/>
                <w:color w:val="000000" w:themeColor="text1"/>
                <w:sz w:val="21"/>
                <w14:textFill>
                  <w14:solidFill>
                    <w14:schemeClr w14:val="tx1"/>
                  </w14:solidFill>
                </w14:textFill>
              </w:rPr>
              <w:t>m</w:t>
            </w:r>
            <w:r>
              <w:rPr>
                <w:rFonts w:hint="default" w:ascii="Times New Roman" w:hAnsi="Times New Roman" w:eastAsia="宋体" w:cs="Times New Roman"/>
                <w:color w:val="000000" w:themeColor="text1"/>
                <w:sz w:val="21"/>
                <w:vertAlign w:val="superscript"/>
                <w14:textFill>
                  <w14:solidFill>
                    <w14:schemeClr w14:val="tx1"/>
                  </w14:solidFill>
                </w14:textFill>
              </w:rPr>
              <w:t>3</w:t>
            </w:r>
          </w:p>
        </w:tc>
        <w:tc>
          <w:tcPr>
            <w:tcW w:w="1046" w:type="pct"/>
            <w:vAlign w:val="center"/>
          </w:tcPr>
          <w:p w14:paraId="56F94D2D">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0.0068kg/10</w:t>
            </w:r>
            <w:r>
              <w:rPr>
                <w:rFonts w:hint="default" w:ascii="Times New Roman" w:hAnsi="Times New Roman" w:eastAsia="宋体" w:cs="Times New Roman"/>
                <w:color w:val="000000" w:themeColor="text1"/>
                <w:sz w:val="21"/>
                <w:vertAlign w:val="superscript"/>
                <w14:textFill>
                  <w14:solidFill>
                    <w14:schemeClr w14:val="tx1"/>
                  </w14:solidFill>
                </w14:textFill>
              </w:rPr>
              <w:t>4</w:t>
            </w:r>
            <w:r>
              <w:rPr>
                <w:rFonts w:hint="default" w:ascii="Times New Roman" w:hAnsi="Times New Roman" w:eastAsia="宋体" w:cs="Times New Roman"/>
                <w:color w:val="000000" w:themeColor="text1"/>
                <w:sz w:val="21"/>
                <w14:textFill>
                  <w14:solidFill>
                    <w14:schemeClr w14:val="tx1"/>
                  </w14:solidFill>
                </w14:textFill>
              </w:rPr>
              <w:t>m</w:t>
            </w:r>
            <w:r>
              <w:rPr>
                <w:rFonts w:hint="default" w:ascii="Times New Roman" w:hAnsi="Times New Roman" w:eastAsia="宋体" w:cs="Times New Roman"/>
                <w:color w:val="000000" w:themeColor="text1"/>
                <w:sz w:val="21"/>
                <w:vertAlign w:val="superscript"/>
                <w14:textFill>
                  <w14:solidFill>
                    <w14:schemeClr w14:val="tx1"/>
                  </w14:solidFill>
                </w14:textFill>
              </w:rPr>
              <w:t>3</w:t>
            </w:r>
          </w:p>
        </w:tc>
        <w:tc>
          <w:tcPr>
            <w:tcW w:w="1027" w:type="pct"/>
            <w:vAlign w:val="center"/>
          </w:tcPr>
          <w:p w14:paraId="6A67E380">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29.9kg/10</w:t>
            </w:r>
            <w:r>
              <w:rPr>
                <w:rFonts w:hint="default" w:ascii="Times New Roman" w:hAnsi="Times New Roman" w:eastAsia="宋体" w:cs="Times New Roman"/>
                <w:color w:val="000000" w:themeColor="text1"/>
                <w:sz w:val="21"/>
                <w:vertAlign w:val="superscript"/>
                <w14:textFill>
                  <w14:solidFill>
                    <w14:schemeClr w14:val="tx1"/>
                  </w14:solidFill>
                </w14:textFill>
              </w:rPr>
              <w:t>4</w:t>
            </w:r>
            <w:r>
              <w:rPr>
                <w:rFonts w:hint="default" w:ascii="Times New Roman" w:hAnsi="Times New Roman" w:eastAsia="宋体" w:cs="Times New Roman"/>
                <w:color w:val="000000" w:themeColor="text1"/>
                <w:sz w:val="21"/>
                <w14:textFill>
                  <w14:solidFill>
                    <w14:schemeClr w14:val="tx1"/>
                  </w14:solidFill>
                </w14:textFill>
              </w:rPr>
              <w:t>m</w:t>
            </w:r>
            <w:r>
              <w:rPr>
                <w:rFonts w:hint="default" w:ascii="Times New Roman" w:hAnsi="Times New Roman" w:eastAsia="宋体" w:cs="Times New Roman"/>
                <w:color w:val="000000" w:themeColor="text1"/>
                <w:sz w:val="21"/>
                <w:vertAlign w:val="superscript"/>
                <w14:textFill>
                  <w14:solidFill>
                    <w14:schemeClr w14:val="tx1"/>
                  </w14:solidFill>
                </w14:textFill>
              </w:rPr>
              <w:t>3</w:t>
            </w:r>
          </w:p>
        </w:tc>
        <w:tc>
          <w:tcPr>
            <w:tcW w:w="953" w:type="pct"/>
            <w:vAlign w:val="center"/>
          </w:tcPr>
          <w:p w14:paraId="7ABD3073">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4.7g/10</w:t>
            </w:r>
            <w:r>
              <w:rPr>
                <w:rFonts w:hint="default" w:ascii="Times New Roman" w:hAnsi="Times New Roman" w:eastAsia="宋体" w:cs="Times New Roman"/>
                <w:color w:val="000000" w:themeColor="text1"/>
                <w:sz w:val="21"/>
                <w:vertAlign w:val="superscript"/>
                <w14:textFill>
                  <w14:solidFill>
                    <w14:schemeClr w14:val="tx1"/>
                  </w14:solidFill>
                </w14:textFill>
              </w:rPr>
              <w:t>4</w:t>
            </w:r>
            <w:r>
              <w:rPr>
                <w:rFonts w:hint="default" w:ascii="Times New Roman" w:hAnsi="Times New Roman" w:eastAsia="宋体" w:cs="Times New Roman"/>
                <w:color w:val="000000" w:themeColor="text1"/>
                <w:sz w:val="21"/>
                <w14:textFill>
                  <w14:solidFill>
                    <w14:schemeClr w14:val="tx1"/>
                  </w14:solidFill>
                </w14:textFill>
              </w:rPr>
              <w:t>m</w:t>
            </w:r>
            <w:r>
              <w:rPr>
                <w:rFonts w:hint="default" w:ascii="Times New Roman" w:hAnsi="Times New Roman" w:eastAsia="宋体" w:cs="Times New Roman"/>
                <w:color w:val="000000" w:themeColor="text1"/>
                <w:sz w:val="21"/>
                <w:vertAlign w:val="superscript"/>
                <w14:textFill>
                  <w14:solidFill>
                    <w14:schemeClr w14:val="tx1"/>
                  </w14:solidFill>
                </w14:textFill>
              </w:rPr>
              <w:t>3</w:t>
            </w:r>
          </w:p>
        </w:tc>
      </w:tr>
      <w:tr w14:paraId="74DC26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791" w:type="pct"/>
            <w:vAlign w:val="center"/>
          </w:tcPr>
          <w:p w14:paraId="2755DC33">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燃气废气</w:t>
            </w:r>
          </w:p>
        </w:tc>
        <w:tc>
          <w:tcPr>
            <w:tcW w:w="1183" w:type="pct"/>
            <w:vAlign w:val="center"/>
          </w:tcPr>
          <w:p w14:paraId="01860E20">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18615</w:t>
            </w:r>
          </w:p>
        </w:tc>
        <w:tc>
          <w:tcPr>
            <w:tcW w:w="1046" w:type="pct"/>
            <w:vAlign w:val="center"/>
          </w:tcPr>
          <w:p w14:paraId="43DC44A9">
            <w:pPr>
              <w:pStyle w:val="36"/>
              <w:adjustRightInd w:val="0"/>
              <w:snapToGrid w:val="0"/>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0.00745</w:t>
            </w:r>
          </w:p>
        </w:tc>
        <w:tc>
          <w:tcPr>
            <w:tcW w:w="1027" w:type="pct"/>
            <w:vAlign w:val="center"/>
          </w:tcPr>
          <w:p w14:paraId="432BC30F">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32.74</w:t>
            </w:r>
          </w:p>
        </w:tc>
        <w:tc>
          <w:tcPr>
            <w:tcW w:w="953" w:type="pct"/>
            <w:vAlign w:val="center"/>
          </w:tcPr>
          <w:p w14:paraId="26FEED1A">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0.018</w:t>
            </w:r>
          </w:p>
        </w:tc>
      </w:tr>
    </w:tbl>
    <w:p w14:paraId="3A29219D">
      <w:pPr>
        <w:pStyle w:val="11"/>
        <w:adjustRightInd w:val="0"/>
        <w:snapToGrid w:val="0"/>
        <w:ind w:firstLine="480"/>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eastAsia="宋体" w:cs="Times New Roman"/>
          <w:color w:val="000000" w:themeColor="text1"/>
          <w:lang w:eastAsia="zh-CN"/>
          <w14:textFill>
            <w14:solidFill>
              <w14:schemeClr w14:val="tx1"/>
            </w14:solidFill>
          </w14:textFill>
        </w:rPr>
        <w:t>根据类比调查，目前人均日食用油用量约30g/人·d，则本项目总人数按最大量30人计算，营运期耗油量为30×150×365=1.6t/a。根据产排污系数，一般油烟挥发量占总耗油量的2-4%，本项目取中值3%，则该项目油烟产生量为0.048t/a。</w:t>
      </w:r>
    </w:p>
    <w:p w14:paraId="4B8A4658">
      <w:pPr>
        <w:pStyle w:val="11"/>
        <w:adjustRightInd w:val="0"/>
        <w:snapToGrid w:val="0"/>
        <w:ind w:firstLine="452"/>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eastAsia="宋体" w:cs="Times New Roman"/>
          <w:color w:val="000000" w:themeColor="text1"/>
          <w:spacing w:val="-7"/>
          <w:lang w:eastAsia="zh-CN"/>
          <w14:textFill>
            <w14:solidFill>
              <w14:schemeClr w14:val="tx1"/>
            </w14:solidFill>
          </w14:textFill>
        </w:rPr>
        <w:t>本评价要求厨房安装油烟净化器，去除效率不得低于</w:t>
      </w:r>
      <w:r>
        <w:rPr>
          <w:rFonts w:hint="default" w:ascii="Times New Roman" w:hAnsi="Times New Roman" w:eastAsia="宋体" w:cs="Times New Roman"/>
          <w:color w:val="000000" w:themeColor="text1"/>
          <w:spacing w:val="-15"/>
          <w:lang w:eastAsia="zh-CN"/>
          <w14:textFill>
            <w14:solidFill>
              <w14:schemeClr w14:val="tx1"/>
            </w14:solidFill>
          </w14:textFill>
        </w:rPr>
        <w:t>75%</w:t>
      </w:r>
      <w:r>
        <w:rPr>
          <w:rFonts w:hint="default" w:ascii="Times New Roman" w:hAnsi="Times New Roman" w:eastAsia="宋体" w:cs="Times New Roman"/>
          <w:color w:val="000000" w:themeColor="text1"/>
          <w:spacing w:val="-4"/>
          <w:lang w:eastAsia="zh-CN"/>
          <w14:textFill>
            <w14:solidFill>
              <w14:schemeClr w14:val="tx1"/>
            </w14:solidFill>
          </w14:textFill>
        </w:rPr>
        <w:t>，则该项目油烟排放量为0.012t/a</w:t>
      </w:r>
      <w:r>
        <w:rPr>
          <w:rFonts w:hint="default" w:ascii="Times New Roman" w:hAnsi="Times New Roman" w:eastAsia="宋体" w:cs="Times New Roman"/>
          <w:color w:val="000000" w:themeColor="text1"/>
          <w:spacing w:val="3"/>
          <w:lang w:eastAsia="zh-CN"/>
          <w14:textFill>
            <w14:solidFill>
              <w14:schemeClr w14:val="tx1"/>
            </w14:solidFill>
          </w14:textFill>
        </w:rPr>
        <w:t>；项目设置</w:t>
      </w:r>
      <w:r>
        <w:rPr>
          <w:rFonts w:hint="default" w:ascii="Times New Roman" w:hAnsi="Times New Roman" w:eastAsia="宋体" w:cs="Times New Roman"/>
          <w:color w:val="000000" w:themeColor="text1"/>
          <w:lang w:eastAsia="zh-CN"/>
          <w14:textFill>
            <w14:solidFill>
              <w14:schemeClr w14:val="tx1"/>
            </w14:solidFill>
          </w14:textFill>
        </w:rPr>
        <w:t>2</w:t>
      </w:r>
      <w:r>
        <w:rPr>
          <w:rFonts w:hint="default" w:ascii="Times New Roman" w:hAnsi="Times New Roman" w:eastAsia="宋体" w:cs="Times New Roman"/>
          <w:color w:val="000000" w:themeColor="text1"/>
          <w:spacing w:val="5"/>
          <w:lang w:eastAsia="zh-CN"/>
          <w14:textFill>
            <w14:solidFill>
              <w14:schemeClr w14:val="tx1"/>
            </w14:solidFill>
          </w14:textFill>
        </w:rPr>
        <w:t>个基准灶头，风机排风量约为3000</w:t>
      </w:r>
      <w:r>
        <w:rPr>
          <w:rFonts w:hint="default" w:ascii="Times New Roman" w:hAnsi="Times New Roman" w:eastAsia="宋体" w:cs="Times New Roman"/>
          <w:color w:val="000000" w:themeColor="text1"/>
          <w:lang w:eastAsia="zh-CN"/>
          <w14:textFill>
            <w14:solidFill>
              <w14:schemeClr w14:val="tx1"/>
            </w14:solidFill>
          </w14:textFill>
        </w:rPr>
        <w:t>m</w:t>
      </w:r>
      <w:r>
        <w:rPr>
          <w:rFonts w:hint="default" w:ascii="Times New Roman" w:hAnsi="Times New Roman" w:eastAsia="宋体" w:cs="Times New Roman"/>
          <w:color w:val="000000" w:themeColor="text1"/>
          <w:vertAlign w:val="superscript"/>
          <w:lang w:eastAsia="zh-CN"/>
          <w14:textFill>
            <w14:solidFill>
              <w14:schemeClr w14:val="tx1"/>
            </w14:solidFill>
          </w14:textFill>
        </w:rPr>
        <w:t>3</w:t>
      </w:r>
      <w:r>
        <w:rPr>
          <w:rFonts w:hint="default" w:ascii="Times New Roman" w:hAnsi="Times New Roman" w:eastAsia="宋体" w:cs="Times New Roman"/>
          <w:color w:val="000000" w:themeColor="text1"/>
          <w:lang w:eastAsia="zh-CN"/>
          <w14:textFill>
            <w14:solidFill>
              <w14:schemeClr w14:val="tx1"/>
            </w14:solidFill>
          </w14:textFill>
        </w:rPr>
        <w:t>/h</w:t>
      </w:r>
      <w:r>
        <w:rPr>
          <w:rFonts w:hint="default" w:ascii="Times New Roman" w:hAnsi="Times New Roman" w:eastAsia="宋体" w:cs="Times New Roman"/>
          <w:color w:val="000000" w:themeColor="text1"/>
          <w:spacing w:val="4"/>
          <w:lang w:eastAsia="zh-CN"/>
          <w14:textFill>
            <w14:solidFill>
              <w14:schemeClr w14:val="tx1"/>
            </w14:solidFill>
          </w14:textFill>
        </w:rPr>
        <w:t>，则油烟排放浓度为</w:t>
      </w:r>
      <w:r>
        <w:rPr>
          <w:rFonts w:hint="default" w:ascii="Times New Roman" w:hAnsi="Times New Roman" w:eastAsia="宋体" w:cs="Times New Roman"/>
          <w:color w:val="000000" w:themeColor="text1"/>
          <w:lang w:eastAsia="zh-CN"/>
          <w14:textFill>
            <w14:solidFill>
              <w14:schemeClr w14:val="tx1"/>
            </w14:solidFill>
          </w14:textFill>
        </w:rPr>
        <w:t>0.24mg/Nm</w:t>
      </w:r>
      <w:r>
        <w:rPr>
          <w:rFonts w:hint="default" w:ascii="Times New Roman" w:hAnsi="Times New Roman" w:eastAsia="宋体" w:cs="Times New Roman"/>
          <w:color w:val="000000" w:themeColor="text1"/>
          <w:vertAlign w:val="superscript"/>
          <w:lang w:eastAsia="zh-CN"/>
          <w14:textFill>
            <w14:solidFill>
              <w14:schemeClr w14:val="tx1"/>
            </w14:solidFill>
          </w14:textFill>
        </w:rPr>
        <w:t>3</w:t>
      </w:r>
      <w:r>
        <w:rPr>
          <w:rFonts w:hint="default" w:ascii="Times New Roman" w:hAnsi="Times New Roman" w:eastAsia="宋体" w:cs="Times New Roman"/>
          <w:color w:val="000000" w:themeColor="text1"/>
          <w:lang w:eastAsia="zh-CN"/>
          <w14:textFill>
            <w14:solidFill>
              <w14:schemeClr w14:val="tx1"/>
            </w14:solidFill>
          </w14:textFill>
        </w:rPr>
        <w:t>，处理后引至食堂楼顶排放</w:t>
      </w:r>
      <w:r>
        <w:rPr>
          <w:rFonts w:hint="default" w:ascii="Times New Roman" w:hAnsi="Times New Roman" w:eastAsia="宋体" w:cs="Times New Roman"/>
          <w:color w:val="000000" w:themeColor="text1"/>
          <w:spacing w:val="-4"/>
          <w:lang w:eastAsia="zh-CN"/>
          <w14:textFill>
            <w14:solidFill>
              <w14:schemeClr w14:val="tx1"/>
            </w14:solidFill>
          </w14:textFill>
        </w:rPr>
        <w:t>，</w:t>
      </w:r>
      <w:r>
        <w:rPr>
          <w:rFonts w:hint="default" w:ascii="Times New Roman" w:hAnsi="Times New Roman" w:eastAsia="宋体" w:cs="Times New Roman"/>
          <w:color w:val="000000" w:themeColor="text1"/>
          <w:spacing w:val="-8"/>
          <w:lang w:eastAsia="zh-CN"/>
          <w14:textFill>
            <w14:solidFill>
              <w14:schemeClr w14:val="tx1"/>
            </w14:solidFill>
          </w14:textFill>
        </w:rPr>
        <w:t>符合《饮食业油烟排放标准》（GB18483-2001）</w:t>
      </w:r>
      <w:r>
        <w:rPr>
          <w:rFonts w:hint="default" w:ascii="Times New Roman" w:hAnsi="Times New Roman" w:eastAsia="宋体" w:cs="Times New Roman"/>
          <w:color w:val="000000" w:themeColor="text1"/>
          <w:spacing w:val="1"/>
          <w:lang w:eastAsia="zh-CN"/>
          <w14:textFill>
            <w14:solidFill>
              <w14:schemeClr w14:val="tx1"/>
            </w14:solidFill>
          </w14:textFill>
        </w:rPr>
        <w:t>中最高允许排放</w:t>
      </w:r>
      <w:r>
        <w:rPr>
          <w:rFonts w:hint="default" w:ascii="Times New Roman" w:hAnsi="Times New Roman" w:eastAsia="宋体" w:cs="Times New Roman"/>
          <w:color w:val="000000" w:themeColor="text1"/>
          <w:spacing w:val="-21"/>
          <w:lang w:eastAsia="zh-CN"/>
          <w14:textFill>
            <w14:solidFill>
              <w14:schemeClr w14:val="tx1"/>
            </w14:solidFill>
          </w14:textFill>
        </w:rPr>
        <w:t>浓度</w:t>
      </w:r>
      <w:r>
        <w:rPr>
          <w:rFonts w:hint="default" w:ascii="Times New Roman" w:hAnsi="Times New Roman" w:eastAsia="宋体" w:cs="Times New Roman"/>
          <w:color w:val="000000" w:themeColor="text1"/>
          <w:lang w:eastAsia="zh-CN"/>
          <w14:textFill>
            <w14:solidFill>
              <w14:schemeClr w14:val="tx1"/>
            </w14:solidFill>
          </w14:textFill>
        </w:rPr>
        <w:t>2.0mg/Nm</w:t>
      </w:r>
      <w:r>
        <w:rPr>
          <w:rFonts w:hint="default" w:ascii="Times New Roman" w:hAnsi="Times New Roman" w:eastAsia="宋体" w:cs="Times New Roman"/>
          <w:color w:val="000000" w:themeColor="text1"/>
          <w:vertAlign w:val="superscript"/>
          <w:lang w:eastAsia="zh-CN"/>
          <w14:textFill>
            <w14:solidFill>
              <w14:schemeClr w14:val="tx1"/>
            </w14:solidFill>
          </w14:textFill>
        </w:rPr>
        <w:t>3</w:t>
      </w:r>
      <w:r>
        <w:rPr>
          <w:rFonts w:hint="default" w:ascii="Times New Roman" w:hAnsi="Times New Roman" w:eastAsia="宋体" w:cs="Times New Roman"/>
          <w:color w:val="000000" w:themeColor="text1"/>
          <w:lang w:eastAsia="zh-CN"/>
          <w14:textFill>
            <w14:solidFill>
              <w14:schemeClr w14:val="tx1"/>
            </w14:solidFill>
          </w14:textFill>
        </w:rPr>
        <w:t>的规定。</w:t>
      </w:r>
    </w:p>
    <w:p w14:paraId="27554093">
      <w:pPr>
        <w:pStyle w:val="11"/>
        <w:adjustRightInd w:val="0"/>
        <w:snapToGrid w:val="0"/>
        <w:ind w:firstLine="482"/>
        <w:rPr>
          <w:rFonts w:hint="default" w:ascii="Times New Roman" w:hAnsi="Times New Roman" w:eastAsia="宋体" w:cs="Times New Roman"/>
          <w:b/>
          <w:color w:val="000000" w:themeColor="text1"/>
          <w:lang w:eastAsia="zh-CN"/>
          <w14:textFill>
            <w14:solidFill>
              <w14:schemeClr w14:val="tx1"/>
            </w14:solidFill>
          </w14:textFill>
        </w:rPr>
      </w:pPr>
      <w:r>
        <w:rPr>
          <w:rFonts w:hint="default" w:ascii="Times New Roman" w:hAnsi="Times New Roman" w:eastAsia="宋体" w:cs="Times New Roman"/>
          <w:b/>
          <w:color w:val="000000" w:themeColor="text1"/>
          <w:lang w:eastAsia="zh-CN"/>
          <w14:textFill>
            <w14:solidFill>
              <w14:schemeClr w14:val="tx1"/>
            </w14:solidFill>
          </w14:textFill>
        </w:rPr>
        <w:t>3.3.2.2废水</w:t>
      </w:r>
    </w:p>
    <w:p w14:paraId="11E56BCF">
      <w:pPr>
        <w:pStyle w:val="11"/>
        <w:adjustRightInd w:val="0"/>
        <w:snapToGrid w:val="0"/>
        <w:ind w:firstLine="452"/>
        <w:rPr>
          <w:rFonts w:hint="default" w:ascii="Times New Roman" w:hAnsi="Times New Roman" w:eastAsia="宋体" w:cs="Times New Roman"/>
          <w:color w:val="000000" w:themeColor="text1"/>
          <w:spacing w:val="-7"/>
          <w:lang w:eastAsia="zh-CN"/>
          <w14:textFill>
            <w14:solidFill>
              <w14:schemeClr w14:val="tx1"/>
            </w14:solidFill>
          </w14:textFill>
        </w:rPr>
      </w:pPr>
      <w:r>
        <w:rPr>
          <w:rFonts w:hint="default" w:ascii="Times New Roman" w:hAnsi="Times New Roman" w:eastAsia="宋体" w:cs="Times New Roman"/>
          <w:color w:val="000000" w:themeColor="text1"/>
          <w:spacing w:val="-7"/>
          <w:lang w:eastAsia="zh-CN"/>
          <w14:textFill>
            <w14:solidFill>
              <w14:schemeClr w14:val="tx1"/>
            </w14:solidFill>
          </w14:textFill>
        </w:rPr>
        <w:t>本项目废水主要来自于牛尿、牛粪固液分离、挤奶厅设备清洗水、奶厅冲洗用水及生活污水。</w:t>
      </w:r>
    </w:p>
    <w:p w14:paraId="74C2045E">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cs="Times New Roman"/>
          <w:color w:val="000000" w:themeColor="text1"/>
          <w:kern w:val="2"/>
          <w:sz w:val="24"/>
          <w:szCs w:val="24"/>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t>（1）</w:t>
      </w:r>
      <w:r>
        <w:rPr>
          <w:rFonts w:hint="eastAsia" w:cs="Times New Roman"/>
          <w:color w:val="000000" w:themeColor="text1"/>
          <w:kern w:val="2"/>
          <w:sz w:val="24"/>
          <w:szCs w:val="24"/>
          <w:lang w:val="en-US" w:eastAsia="zh-CN" w:bidi="ar-SA"/>
          <w14:textFill>
            <w14:solidFill>
              <w14:schemeClr w14:val="tx1"/>
            </w14:solidFill>
          </w14:textFill>
        </w:rPr>
        <w:t>源强核算</w:t>
      </w:r>
    </w:p>
    <w:p w14:paraId="6FA2B274">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cs="Times New Roman"/>
          <w:color w:val="000000" w:themeColor="text1"/>
          <w:lang w:eastAsia="zh-CN"/>
          <w14:textFill>
            <w14:solidFill>
              <w14:schemeClr w14:val="tx1"/>
            </w14:solidFill>
          </w14:textFill>
        </w:rPr>
      </w:pPr>
      <w:r>
        <w:rPr>
          <w:rFonts w:hint="eastAsia" w:cs="Times New Roman"/>
          <w:color w:val="000000" w:themeColor="text1"/>
          <w:lang w:eastAsia="zh-CN"/>
          <w14:textFill>
            <w14:solidFill>
              <w14:schemeClr w14:val="tx1"/>
            </w14:solidFill>
          </w14:textFill>
        </w:rPr>
        <w:t>①</w:t>
      </w:r>
      <w:r>
        <w:rPr>
          <w:rFonts w:hint="default" w:ascii="Times New Roman" w:hAnsi="Times New Roman" w:eastAsia="宋体" w:cs="Times New Roman"/>
          <w:color w:val="000000" w:themeColor="text1"/>
          <w14:textFill>
            <w14:solidFill>
              <w14:schemeClr w14:val="tx1"/>
            </w14:solidFill>
          </w14:textFill>
        </w:rPr>
        <w:t>牛尿</w:t>
      </w:r>
      <w:r>
        <w:rPr>
          <w:rFonts w:hint="eastAsia" w:cs="Times New Roman"/>
          <w:color w:val="000000" w:themeColor="text1"/>
          <w:lang w:eastAsia="zh-CN"/>
          <w14:textFill>
            <w14:solidFill>
              <w14:schemeClr w14:val="tx1"/>
            </w14:solidFill>
          </w14:textFill>
        </w:rPr>
        <w:t>（</w:t>
      </w:r>
      <w:r>
        <w:rPr>
          <w:rFonts w:hint="eastAsia" w:cs="Times New Roman"/>
          <w:color w:val="000000" w:themeColor="text1"/>
          <w:lang w:val="en-US" w:eastAsia="zh-CN"/>
          <w14:textFill>
            <w14:solidFill>
              <w14:schemeClr w14:val="tx1"/>
            </w14:solidFill>
          </w14:textFill>
        </w:rPr>
        <w:t>W1</w:t>
      </w:r>
      <w:r>
        <w:rPr>
          <w:rFonts w:hint="eastAsia" w:cs="Times New Roman"/>
          <w:color w:val="000000" w:themeColor="text1"/>
          <w:lang w:eastAsia="zh-CN"/>
          <w14:textFill>
            <w14:solidFill>
              <w14:schemeClr w14:val="tx1"/>
            </w14:solidFill>
          </w14:textFill>
        </w:rPr>
        <w:t>）</w:t>
      </w:r>
    </w:p>
    <w:p w14:paraId="1CF4AE32">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根据畜禽养殖业产污系数与排污系数手册中相关资料，并结合建设单位提供资料，本项目年存栏700头奶牛，其中泌乳牛400头，围产干奶牛100头，隔离牛200头。</w:t>
      </w:r>
      <w:r>
        <w:rPr>
          <w:rFonts w:hint="eastAsia" w:cs="Times New Roman"/>
          <w:color w:val="000000" w:themeColor="text1"/>
          <w:lang w:val="en-US" w:eastAsia="zh-CN"/>
          <w14:textFill>
            <w14:solidFill>
              <w14:schemeClr w14:val="tx1"/>
            </w14:solidFill>
          </w14:textFill>
        </w:rPr>
        <w:t>其中</w:t>
      </w:r>
      <w:r>
        <w:rPr>
          <w:rFonts w:hint="default" w:ascii="Times New Roman" w:hAnsi="Times New Roman" w:eastAsia="宋体" w:cs="Times New Roman"/>
          <w:color w:val="000000" w:themeColor="text1"/>
          <w14:textFill>
            <w14:solidFill>
              <w14:schemeClr w14:val="tx1"/>
            </w14:solidFill>
          </w14:textFill>
        </w:rPr>
        <w:t>泌乳牛牛尿产生量为</w:t>
      </w:r>
      <w:r>
        <w:rPr>
          <w:rFonts w:hint="eastAsia" w:cs="Times New Roman"/>
          <w:color w:val="000000" w:themeColor="text1"/>
          <w:lang w:val="en-US" w:eastAsia="zh-CN"/>
          <w14:textFill>
            <w14:solidFill>
              <w14:schemeClr w14:val="tx1"/>
            </w14:solidFill>
          </w14:textFill>
        </w:rPr>
        <w:t>28</w:t>
      </w:r>
      <w:r>
        <w:rPr>
          <w:rFonts w:hint="default" w:ascii="Times New Roman" w:hAnsi="Times New Roman" w:eastAsia="宋体" w:cs="Times New Roman"/>
          <w:color w:val="000000" w:themeColor="text1"/>
          <w14:textFill>
            <w14:solidFill>
              <w14:schemeClr w14:val="tx1"/>
            </w14:solidFill>
          </w14:textFill>
        </w:rPr>
        <w:t>m</w:t>
      </w:r>
      <w:r>
        <w:rPr>
          <w:rFonts w:hint="default" w:ascii="Times New Roman" w:hAnsi="Times New Roman" w:eastAsia="宋体" w:cs="Times New Roman"/>
          <w:color w:val="000000" w:themeColor="text1"/>
          <w:vertAlign w:val="superscript"/>
          <w14:textFill>
            <w14:solidFill>
              <w14:schemeClr w14:val="tx1"/>
            </w14:solidFill>
          </w14:textFill>
        </w:rPr>
        <w:t>3</w:t>
      </w:r>
      <w:r>
        <w:rPr>
          <w:rFonts w:hint="default" w:ascii="Times New Roman" w:hAnsi="Times New Roman" w:eastAsia="宋体" w:cs="Times New Roman"/>
          <w:color w:val="000000" w:themeColor="text1"/>
          <w14:textFill>
            <w14:solidFill>
              <w14:schemeClr w14:val="tx1"/>
            </w14:solidFill>
          </w14:textFill>
        </w:rPr>
        <w:t>/d；除泌乳牛以外其他牛产生的尿总量</w:t>
      </w:r>
      <w:r>
        <w:rPr>
          <w:rFonts w:hint="eastAsia" w:cs="Times New Roman"/>
          <w:color w:val="000000" w:themeColor="text1"/>
          <w:lang w:val="en-US" w:eastAsia="zh-CN"/>
          <w14:textFill>
            <w14:solidFill>
              <w14:schemeClr w14:val="tx1"/>
            </w14:solidFill>
          </w14:textFill>
        </w:rPr>
        <w:t>7.65</w:t>
      </w:r>
      <w:r>
        <w:rPr>
          <w:rFonts w:hint="default" w:ascii="Times New Roman" w:hAnsi="Times New Roman" w:eastAsia="宋体" w:cs="Times New Roman"/>
          <w:color w:val="000000" w:themeColor="text1"/>
          <w14:textFill>
            <w14:solidFill>
              <w14:schemeClr w14:val="tx1"/>
            </w14:solidFill>
          </w14:textFill>
        </w:rPr>
        <w:t>m</w:t>
      </w:r>
      <w:r>
        <w:rPr>
          <w:rFonts w:hint="default" w:ascii="Times New Roman" w:hAnsi="Times New Roman" w:eastAsia="宋体" w:cs="Times New Roman"/>
          <w:color w:val="000000" w:themeColor="text1"/>
          <w:vertAlign w:val="superscript"/>
          <w14:textFill>
            <w14:solidFill>
              <w14:schemeClr w14:val="tx1"/>
            </w14:solidFill>
          </w14:textFill>
        </w:rPr>
        <w:t>3</w:t>
      </w:r>
      <w:r>
        <w:rPr>
          <w:rFonts w:hint="default" w:ascii="Times New Roman" w:hAnsi="Times New Roman" w:eastAsia="宋体" w:cs="Times New Roman"/>
          <w:color w:val="000000" w:themeColor="text1"/>
          <w14:textFill>
            <w14:solidFill>
              <w14:schemeClr w14:val="tx1"/>
            </w14:solidFill>
          </w14:textFill>
        </w:rPr>
        <w:t>/d，</w:t>
      </w:r>
      <w:r>
        <w:rPr>
          <w:rFonts w:hint="eastAsia" w:ascii="Times New Roman" w:hAnsi="Times New Roman" w:cs="Times New Roman"/>
          <w:color w:val="000000" w:themeColor="text1"/>
          <w:lang w:val="en-US" w:eastAsia="zh-CN"/>
          <w14:textFill>
            <w14:solidFill>
              <w14:schemeClr w14:val="tx1"/>
            </w14:solidFill>
          </w14:textFill>
        </w:rPr>
        <w:t>故项目总</w:t>
      </w:r>
      <w:r>
        <w:rPr>
          <w:rFonts w:hint="default" w:ascii="Times New Roman" w:hAnsi="Times New Roman" w:eastAsia="宋体" w:cs="Times New Roman"/>
          <w:color w:val="000000" w:themeColor="text1"/>
          <w:lang w:val="en-US" w:eastAsia="zh-CN"/>
          <w14:textFill>
            <w14:solidFill>
              <w14:schemeClr w14:val="tx1"/>
            </w14:solidFill>
          </w14:textFill>
        </w:rPr>
        <w:t>产生尿液量</w:t>
      </w:r>
      <w:r>
        <w:rPr>
          <w:rFonts w:hint="eastAsia" w:cs="Times New Roman"/>
          <w:color w:val="000000" w:themeColor="text1"/>
          <w:lang w:val="en-US" w:eastAsia="zh-CN"/>
          <w14:textFill>
            <w14:solidFill>
              <w14:schemeClr w14:val="tx1"/>
            </w14:solidFill>
          </w14:textFill>
        </w:rPr>
        <w:t>35.65</w:t>
      </w:r>
      <w:r>
        <w:rPr>
          <w:rFonts w:hint="default" w:ascii="Times New Roman" w:hAnsi="Times New Roman" w:eastAsia="宋体" w:cs="Times New Roman"/>
          <w:color w:val="000000" w:themeColor="text1"/>
          <w:lang w:val="en-US" w:eastAsia="zh-CN"/>
          <w14:textFill>
            <w14:solidFill>
              <w14:schemeClr w14:val="tx1"/>
            </w14:solidFill>
          </w14:textFill>
        </w:rPr>
        <w:t>t/</w:t>
      </w:r>
      <w:r>
        <w:rPr>
          <w:rFonts w:hint="eastAsia" w:cs="Times New Roman"/>
          <w:color w:val="000000" w:themeColor="text1"/>
          <w:lang w:val="en-US" w:eastAsia="zh-CN"/>
          <w14:textFill>
            <w14:solidFill>
              <w14:schemeClr w14:val="tx1"/>
            </w14:solidFill>
          </w14:textFill>
        </w:rPr>
        <w:t>d（13012.25t/a）</w:t>
      </w:r>
      <w:r>
        <w:rPr>
          <w:rFonts w:hint="default" w:ascii="Times New Roman" w:hAnsi="Times New Roman" w:eastAsia="宋体" w:cs="Times New Roman"/>
          <w:color w:val="000000" w:themeColor="text1"/>
          <w:lang w:val="en-US" w:eastAsia="zh-CN"/>
          <w14:textFill>
            <w14:solidFill>
              <w14:schemeClr w14:val="tx1"/>
            </w14:solidFill>
          </w14:textFill>
        </w:rPr>
        <w:t>。牛尿排入</w:t>
      </w:r>
      <w:r>
        <w:rPr>
          <w:rFonts w:hint="eastAsia" w:cs="Times New Roman"/>
          <w:color w:val="000000" w:themeColor="text1"/>
          <w:lang w:val="en-US" w:eastAsia="zh-CN"/>
          <w14:textFill>
            <w14:solidFill>
              <w14:schemeClr w14:val="tx1"/>
            </w14:solidFill>
          </w14:textFill>
        </w:rPr>
        <w:t>氧化塘</w:t>
      </w:r>
      <w:r>
        <w:rPr>
          <w:rFonts w:hint="default" w:ascii="Times New Roman" w:hAnsi="Times New Roman" w:eastAsia="宋体" w:cs="Times New Roman"/>
          <w:color w:val="000000" w:themeColor="text1"/>
          <w:lang w:val="en-US" w:eastAsia="zh-CN"/>
          <w14:textFill>
            <w14:solidFill>
              <w14:schemeClr w14:val="tx1"/>
            </w14:solidFill>
          </w14:textFill>
        </w:rPr>
        <w:t>发酵处理后还田。</w:t>
      </w:r>
    </w:p>
    <w:p w14:paraId="6930FEC0">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firstLineChars="200"/>
        <w:textAlignment w:val="auto"/>
        <w:rPr>
          <w:rFonts w:hint="eastAsia" w:cs="Times New Roman"/>
          <w:color w:val="000000" w:themeColor="text1"/>
          <w:lang w:val="zh-CN" w:eastAsia="zh-CN"/>
          <w14:textFill>
            <w14:solidFill>
              <w14:schemeClr w14:val="tx1"/>
            </w14:solidFill>
          </w14:textFill>
        </w:rPr>
      </w:pPr>
      <w:r>
        <w:rPr>
          <w:rFonts w:hint="eastAsia" w:ascii="Times New Roman" w:hAnsi="Times New Roman" w:eastAsia="宋体" w:cs="Times New Roman"/>
          <w:color w:val="000000" w:themeColor="text1"/>
          <w:kern w:val="2"/>
          <w:sz w:val="24"/>
          <w:szCs w:val="24"/>
          <w:lang w:val="zh-CN" w:eastAsia="zh-CN" w:bidi="ar-SA"/>
          <w14:textFill>
            <w14:solidFill>
              <w14:schemeClr w14:val="tx1"/>
            </w14:solidFill>
          </w14:textFill>
        </w:rPr>
        <w:t>②</w:t>
      </w:r>
      <w:r>
        <w:rPr>
          <w:rFonts w:hint="eastAsia" w:cs="Times New Roman"/>
          <w:color w:val="000000" w:themeColor="text1"/>
          <w:lang w:val="en-US" w:eastAsia="zh-CN"/>
          <w14:textFill>
            <w14:solidFill>
              <w14:schemeClr w14:val="tx1"/>
            </w14:solidFill>
          </w14:textFill>
        </w:rPr>
        <w:t>挤</w:t>
      </w:r>
      <w:r>
        <w:rPr>
          <w:rFonts w:hint="eastAsia" w:cs="Times New Roman"/>
          <w:color w:val="000000" w:themeColor="text1"/>
          <w:lang w:val="zh-CN" w:eastAsia="zh-CN"/>
          <w14:textFill>
            <w14:solidFill>
              <w14:schemeClr w14:val="tx1"/>
            </w14:solidFill>
          </w14:textFill>
        </w:rPr>
        <w:t>奶厅冲洗废水</w:t>
      </w:r>
    </w:p>
    <w:p w14:paraId="0BE56AE5">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本项目挤奶厅</w:t>
      </w:r>
      <w:r>
        <w:rPr>
          <w:rFonts w:hint="eastAsia" w:cs="Times New Roman"/>
          <w:color w:val="000000" w:themeColor="text1"/>
          <w:lang w:val="en-US" w:eastAsia="zh-CN"/>
          <w14:textFill>
            <w14:solidFill>
              <w14:schemeClr w14:val="tx1"/>
            </w14:solidFill>
          </w14:textFill>
        </w:rPr>
        <w:t>总用水</w:t>
      </w:r>
      <w:r>
        <w:rPr>
          <w:rFonts w:hint="default" w:ascii="Times New Roman" w:hAnsi="Times New Roman" w:eastAsia="宋体" w:cs="Times New Roman"/>
          <w:color w:val="000000" w:themeColor="text1"/>
          <w14:textFill>
            <w14:solidFill>
              <w14:schemeClr w14:val="tx1"/>
            </w14:solidFill>
          </w14:textFill>
        </w:rPr>
        <w:t>量为</w:t>
      </w:r>
      <w:r>
        <w:rPr>
          <w:rFonts w:hint="eastAsia" w:cs="Times New Roman"/>
          <w:color w:val="000000" w:themeColor="text1"/>
          <w:lang w:val="en-US" w:eastAsia="zh-CN"/>
          <w14:textFill>
            <w14:solidFill>
              <w14:schemeClr w14:val="tx1"/>
            </w14:solidFill>
          </w14:textFill>
        </w:rPr>
        <w:t>3.5</w:t>
      </w:r>
      <w:r>
        <w:rPr>
          <w:rFonts w:hint="default" w:ascii="Times New Roman" w:hAnsi="Times New Roman" w:eastAsia="宋体" w:cs="Times New Roman"/>
          <w:color w:val="000000" w:themeColor="text1"/>
          <w14:textFill>
            <w14:solidFill>
              <w14:schemeClr w14:val="tx1"/>
            </w14:solidFill>
          </w14:textFill>
        </w:rPr>
        <w:t>m</w:t>
      </w:r>
      <w:r>
        <w:rPr>
          <w:rFonts w:hint="default" w:ascii="Times New Roman" w:hAnsi="Times New Roman" w:eastAsia="宋体" w:cs="Times New Roman"/>
          <w:color w:val="000000" w:themeColor="text1"/>
          <w:vertAlign w:val="superscript"/>
          <w14:textFill>
            <w14:solidFill>
              <w14:schemeClr w14:val="tx1"/>
            </w14:solidFill>
          </w14:textFill>
        </w:rPr>
        <w:t>3</w:t>
      </w:r>
      <w:r>
        <w:rPr>
          <w:rFonts w:hint="default" w:ascii="Times New Roman" w:hAnsi="Times New Roman" w:eastAsia="宋体" w:cs="Times New Roman"/>
          <w:color w:val="000000" w:themeColor="text1"/>
          <w14:textFill>
            <w14:solidFill>
              <w14:schemeClr w14:val="tx1"/>
            </w14:solidFill>
          </w14:textFill>
        </w:rPr>
        <w:t>/d，包括挤奶厅设备和地面冲洗水，设备冲洗废水</w:t>
      </w:r>
      <w:r>
        <w:rPr>
          <w:rFonts w:hint="eastAsia" w:cs="Times New Roman"/>
          <w:color w:val="000000" w:themeColor="text1"/>
          <w:lang w:val="en-US" w:eastAsia="zh-CN"/>
          <w14:textFill>
            <w14:solidFill>
              <w14:schemeClr w14:val="tx1"/>
            </w14:solidFill>
          </w14:textFill>
        </w:rPr>
        <w:t>全部回用于</w:t>
      </w:r>
      <w:r>
        <w:rPr>
          <w:rFonts w:hint="default" w:ascii="Times New Roman" w:hAnsi="Times New Roman" w:eastAsia="宋体" w:cs="Times New Roman"/>
          <w:color w:val="000000" w:themeColor="text1"/>
          <w14:textFill>
            <w14:solidFill>
              <w14:schemeClr w14:val="tx1"/>
            </w14:solidFill>
          </w14:textFill>
        </w:rPr>
        <w:t>地面冲洗</w:t>
      </w:r>
      <w:r>
        <w:rPr>
          <w:rFonts w:hint="eastAsia" w:cs="Times New Roman"/>
          <w:color w:val="000000" w:themeColor="text1"/>
          <w:lang w:eastAsia="zh-CN"/>
          <w14:textFill>
            <w14:solidFill>
              <w14:schemeClr w14:val="tx1"/>
            </w14:solidFill>
          </w14:textFill>
        </w:rPr>
        <w:t>，</w:t>
      </w:r>
      <w:r>
        <w:rPr>
          <w:rFonts w:hint="eastAsia" w:cs="Times New Roman"/>
          <w:color w:val="000000" w:themeColor="text1"/>
          <w:lang w:val="en-US" w:eastAsia="zh-CN"/>
          <w14:textFill>
            <w14:solidFill>
              <w14:schemeClr w14:val="tx1"/>
            </w14:solidFill>
          </w14:textFill>
        </w:rPr>
        <w:t>废水排放</w:t>
      </w:r>
      <w:r>
        <w:rPr>
          <w:rFonts w:hint="default" w:ascii="Times New Roman" w:hAnsi="Times New Roman" w:eastAsia="宋体" w:cs="Times New Roman"/>
          <w:color w:val="000000" w:themeColor="text1"/>
          <w14:textFill>
            <w14:solidFill>
              <w14:schemeClr w14:val="tx1"/>
            </w14:solidFill>
          </w14:textFill>
        </w:rPr>
        <w:t>量约为</w:t>
      </w:r>
      <w:r>
        <w:rPr>
          <w:rFonts w:hint="eastAsia" w:cs="Times New Roman"/>
          <w:color w:val="000000" w:themeColor="text1"/>
          <w:lang w:val="en-US" w:eastAsia="zh-CN"/>
          <w14:textFill>
            <w14:solidFill>
              <w14:schemeClr w14:val="tx1"/>
            </w14:solidFill>
          </w14:textFill>
        </w:rPr>
        <w:t>1.2</w:t>
      </w:r>
      <w:r>
        <w:rPr>
          <w:rFonts w:hint="default" w:ascii="Times New Roman" w:hAnsi="Times New Roman" w:eastAsia="宋体" w:cs="Times New Roman"/>
          <w:color w:val="000000" w:themeColor="text1"/>
          <w14:textFill>
            <w14:solidFill>
              <w14:schemeClr w14:val="tx1"/>
            </w14:solidFill>
          </w14:textFill>
        </w:rPr>
        <w:t>m</w:t>
      </w:r>
      <w:r>
        <w:rPr>
          <w:rFonts w:hint="default" w:ascii="Times New Roman" w:hAnsi="Times New Roman" w:eastAsia="宋体" w:cs="Times New Roman"/>
          <w:color w:val="000000" w:themeColor="text1"/>
          <w:vertAlign w:val="superscript"/>
          <w14:textFill>
            <w14:solidFill>
              <w14:schemeClr w14:val="tx1"/>
            </w14:solidFill>
          </w14:textFill>
        </w:rPr>
        <w:t>3</w:t>
      </w:r>
      <w:r>
        <w:rPr>
          <w:rFonts w:hint="default" w:ascii="Times New Roman" w:hAnsi="Times New Roman" w:eastAsia="宋体" w:cs="Times New Roman"/>
          <w:color w:val="000000" w:themeColor="text1"/>
          <w14:textFill>
            <w14:solidFill>
              <w14:schemeClr w14:val="tx1"/>
            </w14:solidFill>
          </w14:textFill>
        </w:rPr>
        <w:t>/d。</w:t>
      </w:r>
    </w:p>
    <w:p w14:paraId="0C143D87">
      <w:pPr>
        <w:keepNext w:val="0"/>
        <w:keepLines w:val="0"/>
        <w:pageBreakBefore w:val="0"/>
        <w:widowControl w:val="0"/>
        <w:kinsoku/>
        <w:wordWrap/>
        <w:overflowPunct/>
        <w:topLinePunct w:val="0"/>
        <w:autoSpaceDE/>
        <w:autoSpaceDN/>
        <w:bidi w:val="0"/>
        <w:adjustRightInd/>
        <w:snapToGrid/>
        <w:spacing w:line="360" w:lineRule="auto"/>
        <w:ind w:leftChars="0" w:firstLine="480" w:firstLineChars="200"/>
        <w:textAlignment w:val="auto"/>
        <w:rPr>
          <w:rFonts w:hint="eastAsia" w:cs="Times New Roman"/>
          <w:color w:val="000000" w:themeColor="text1"/>
          <w:lang w:eastAsia="zh-CN"/>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挤奶厅地面冲洗废水：排水量按用水量80%计算，则挤奶地面冲洗废水排放量1.2m</w:t>
      </w:r>
      <w:r>
        <w:rPr>
          <w:rFonts w:hint="default" w:ascii="Times New Roman" w:hAnsi="Times New Roman" w:eastAsia="宋体" w:cs="Times New Roman"/>
          <w:color w:val="000000" w:themeColor="text1"/>
          <w:vertAlign w:val="superscript"/>
          <w14:textFill>
            <w14:solidFill>
              <w14:schemeClr w14:val="tx1"/>
            </w14:solidFill>
          </w14:textFill>
        </w:rPr>
        <w:t>3</w:t>
      </w:r>
      <w:r>
        <w:rPr>
          <w:rFonts w:hint="default" w:ascii="Times New Roman" w:hAnsi="Times New Roman" w:eastAsia="宋体" w:cs="Times New Roman"/>
          <w:color w:val="000000" w:themeColor="text1"/>
          <w14:textFill>
            <w14:solidFill>
              <w14:schemeClr w14:val="tx1"/>
            </w14:solidFill>
          </w14:textFill>
        </w:rPr>
        <w:t>/d，即438m</w:t>
      </w:r>
      <w:r>
        <w:rPr>
          <w:rFonts w:hint="default" w:ascii="Times New Roman" w:hAnsi="Times New Roman" w:eastAsia="宋体" w:cs="Times New Roman"/>
          <w:color w:val="000000" w:themeColor="text1"/>
          <w:vertAlign w:val="superscript"/>
          <w14:textFill>
            <w14:solidFill>
              <w14:schemeClr w14:val="tx1"/>
            </w14:solidFill>
          </w14:textFill>
        </w:rPr>
        <w:t>3</w:t>
      </w:r>
      <w:r>
        <w:rPr>
          <w:rFonts w:hint="default" w:ascii="Times New Roman" w:hAnsi="Times New Roman" w:eastAsia="宋体" w:cs="Times New Roman"/>
          <w:color w:val="000000" w:themeColor="text1"/>
          <w14:textFill>
            <w14:solidFill>
              <w14:schemeClr w14:val="tx1"/>
            </w14:solidFill>
          </w14:textFill>
        </w:rPr>
        <w:t>/a</w:t>
      </w:r>
      <w:r>
        <w:rPr>
          <w:rFonts w:hint="eastAsia" w:cs="Times New Roman"/>
          <w:color w:val="000000" w:themeColor="text1"/>
          <w:lang w:eastAsia="zh-CN"/>
          <w14:textFill>
            <w14:solidFill>
              <w14:schemeClr w14:val="tx1"/>
            </w14:solidFill>
          </w14:textFill>
        </w:rPr>
        <w:t>。</w:t>
      </w:r>
    </w:p>
    <w:p w14:paraId="24018FDB">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s="Times New Roman"/>
          <w:color w:val="000000" w:themeColor="text1"/>
          <w14:textFill>
            <w14:solidFill>
              <w14:schemeClr w14:val="tx1"/>
            </w14:solidFill>
          </w14:textFill>
        </w:rPr>
      </w:pPr>
      <w:r>
        <w:rPr>
          <w:rFonts w:hint="eastAsia" w:cs="Times New Roman"/>
          <w:color w:val="000000" w:themeColor="text1"/>
          <w:kern w:val="2"/>
          <w:sz w:val="24"/>
          <w:szCs w:val="24"/>
          <w:lang w:val="en-US" w:eastAsia="zh-CN" w:bidi="ar-SA"/>
          <w14:textFill>
            <w14:solidFill>
              <w14:schemeClr w14:val="tx1"/>
            </w14:solidFill>
          </w14:textFill>
        </w:rPr>
        <w:t>③</w:t>
      </w:r>
      <w:r>
        <w:rPr>
          <w:rFonts w:hint="default" w:ascii="Times New Roman" w:hAnsi="Times New Roman" w:eastAsia="宋体" w:cs="Times New Roman"/>
          <w:color w:val="000000" w:themeColor="text1"/>
          <w14:textFill>
            <w14:solidFill>
              <w14:schemeClr w14:val="tx1"/>
            </w14:solidFill>
          </w14:textFill>
        </w:rPr>
        <w:t>生活污水</w:t>
      </w:r>
      <w:r>
        <w:rPr>
          <w:rFonts w:hint="eastAsia" w:cs="Times New Roman"/>
          <w:color w:val="000000" w:themeColor="text1"/>
          <w:lang w:eastAsia="zh-CN"/>
          <w14:textFill>
            <w14:solidFill>
              <w14:schemeClr w14:val="tx1"/>
            </w14:solidFill>
          </w14:textFill>
        </w:rPr>
        <w:t>（</w:t>
      </w:r>
      <w:r>
        <w:rPr>
          <w:rFonts w:hint="eastAsia" w:cs="Times New Roman"/>
          <w:color w:val="000000" w:themeColor="text1"/>
          <w:lang w:val="en-US" w:eastAsia="zh-CN"/>
          <w14:textFill>
            <w14:solidFill>
              <w14:schemeClr w14:val="tx1"/>
            </w14:solidFill>
          </w14:textFill>
        </w:rPr>
        <w:t>W3</w:t>
      </w:r>
      <w:r>
        <w:rPr>
          <w:rFonts w:hint="eastAsia" w:cs="Times New Roman"/>
          <w:color w:val="000000" w:themeColor="text1"/>
          <w:lang w:eastAsia="zh-CN"/>
          <w14:textFill>
            <w14:solidFill>
              <w14:schemeClr w14:val="tx1"/>
            </w14:solidFill>
          </w14:textFill>
        </w:rPr>
        <w:t>）</w:t>
      </w:r>
    </w:p>
    <w:p w14:paraId="3A6CED86">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本项目生活废水排水量按用水量80%计算，则生活污水排放量为1.44m</w:t>
      </w:r>
      <w:r>
        <w:rPr>
          <w:rFonts w:hint="default" w:ascii="Times New Roman" w:hAnsi="Times New Roman" w:eastAsia="宋体" w:cs="Times New Roman"/>
          <w:color w:val="000000" w:themeColor="text1"/>
          <w:vertAlign w:val="superscript"/>
          <w14:textFill>
            <w14:solidFill>
              <w14:schemeClr w14:val="tx1"/>
            </w14:solidFill>
          </w14:textFill>
        </w:rPr>
        <w:t>3</w:t>
      </w:r>
      <w:r>
        <w:rPr>
          <w:rFonts w:hint="default" w:ascii="Times New Roman" w:hAnsi="Times New Roman" w:eastAsia="宋体" w:cs="Times New Roman"/>
          <w:color w:val="000000" w:themeColor="text1"/>
          <w14:textFill>
            <w14:solidFill>
              <w14:schemeClr w14:val="tx1"/>
            </w14:solidFill>
          </w14:textFill>
        </w:rPr>
        <w:t>/d，即525.6m</w:t>
      </w:r>
      <w:r>
        <w:rPr>
          <w:rFonts w:hint="default" w:ascii="Times New Roman" w:hAnsi="Times New Roman" w:eastAsia="宋体" w:cs="Times New Roman"/>
          <w:color w:val="000000" w:themeColor="text1"/>
          <w:vertAlign w:val="superscript"/>
          <w14:textFill>
            <w14:solidFill>
              <w14:schemeClr w14:val="tx1"/>
            </w14:solidFill>
          </w14:textFill>
        </w:rPr>
        <w:t>3</w:t>
      </w:r>
      <w:r>
        <w:rPr>
          <w:rFonts w:hint="default" w:ascii="Times New Roman" w:hAnsi="Times New Roman" w:eastAsia="宋体" w:cs="Times New Roman"/>
          <w:color w:val="000000" w:themeColor="text1"/>
          <w14:textFill>
            <w14:solidFill>
              <w14:schemeClr w14:val="tx1"/>
            </w14:solidFill>
          </w14:textFill>
        </w:rPr>
        <w:t>/a</w:t>
      </w:r>
      <w:r>
        <w:rPr>
          <w:rFonts w:hint="default" w:ascii="Times New Roman" w:hAnsi="Times New Roman" w:eastAsia="宋体" w:cs="Times New Roman"/>
          <w:color w:val="000000" w:themeColor="text1"/>
          <w:szCs w:val="28"/>
          <w14:textFill>
            <w14:solidFill>
              <w14:schemeClr w14:val="tx1"/>
            </w14:solidFill>
          </w14:textFill>
        </w:rPr>
        <w:t>。</w:t>
      </w:r>
    </w:p>
    <w:p w14:paraId="4F2F2468">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color w:val="000000" w:themeColor="text1"/>
          <w14:textFill>
            <w14:solidFill>
              <w14:schemeClr w14:val="tx1"/>
            </w14:solidFill>
          </w14:textFill>
        </w:rPr>
      </w:pPr>
      <w:r>
        <w:rPr>
          <w:rFonts w:hint="eastAsia" w:cs="Times New Roman"/>
          <w:color w:val="000000" w:themeColor="text1"/>
          <w:lang w:eastAsia="zh-CN"/>
          <w14:textFill>
            <w14:solidFill>
              <w14:schemeClr w14:val="tx1"/>
            </w14:solidFill>
          </w14:textFill>
        </w:rPr>
        <w:t>（</w:t>
      </w:r>
      <w:r>
        <w:rPr>
          <w:rFonts w:hint="eastAsia" w:cs="Times New Roman"/>
          <w:color w:val="000000" w:themeColor="text1"/>
          <w:lang w:val="en-US" w:eastAsia="zh-CN"/>
          <w14:textFill>
            <w14:solidFill>
              <w14:schemeClr w14:val="tx1"/>
            </w14:solidFill>
          </w14:textFill>
        </w:rPr>
        <w:t>2</w:t>
      </w:r>
      <w:r>
        <w:rPr>
          <w:rFonts w:hint="eastAsia" w:cs="Times New Roman"/>
          <w:color w:val="000000" w:themeColor="text1"/>
          <w:lang w:eastAsia="zh-CN"/>
          <w14:textFill>
            <w14:solidFill>
              <w14:schemeClr w14:val="tx1"/>
            </w14:solidFill>
          </w14:textFill>
        </w:rPr>
        <w:t>）</w:t>
      </w:r>
      <w:r>
        <w:rPr>
          <w:rFonts w:hint="default" w:ascii="Times New Roman" w:hAnsi="Times New Roman" w:eastAsia="宋体" w:cs="Times New Roman"/>
          <w:color w:val="000000" w:themeColor="text1"/>
          <w14:textFill>
            <w14:solidFill>
              <w14:schemeClr w14:val="tx1"/>
            </w14:solidFill>
          </w14:textFill>
        </w:rPr>
        <w:t>废水处理工艺</w:t>
      </w:r>
    </w:p>
    <w:p w14:paraId="6FB8FAE9">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eastAsia" w:cs="Times New Roman"/>
          <w:color w:val="000000" w:themeColor="text1"/>
          <w:lang w:eastAsia="zh-CN"/>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生活污水全部排至生活区的防渗化粪池，定期清掏拉运至固液分离装置进行分离；设备冲洗废水和挤奶厅地面冲洗废水中COD、BOD</w:t>
      </w:r>
      <w:r>
        <w:rPr>
          <w:rFonts w:hint="default" w:ascii="Times New Roman" w:hAnsi="Times New Roman" w:eastAsia="宋体" w:cs="Times New Roman"/>
          <w:color w:val="000000" w:themeColor="text1"/>
          <w:vertAlign w:val="subscript"/>
          <w14:textFill>
            <w14:solidFill>
              <w14:schemeClr w14:val="tx1"/>
            </w14:solidFill>
          </w14:textFill>
        </w:rPr>
        <w:t>5</w:t>
      </w:r>
      <w:r>
        <w:rPr>
          <w:rFonts w:hint="default" w:ascii="Times New Roman" w:hAnsi="Times New Roman" w:eastAsia="宋体" w:cs="Times New Roman"/>
          <w:color w:val="000000" w:themeColor="text1"/>
          <w14:textFill>
            <w14:solidFill>
              <w14:schemeClr w14:val="tx1"/>
            </w14:solidFill>
          </w14:textFill>
        </w:rPr>
        <w:t>、氨氮等含量较高，项目拟在挤奶厅建设1座50m</w:t>
      </w:r>
      <w:r>
        <w:rPr>
          <w:rFonts w:hint="default" w:ascii="Times New Roman" w:hAnsi="Times New Roman" w:eastAsia="宋体" w:cs="Times New Roman"/>
          <w:color w:val="000000" w:themeColor="text1"/>
          <w:vertAlign w:val="superscript"/>
          <w14:textFill>
            <w14:solidFill>
              <w14:schemeClr w14:val="tx1"/>
            </w14:solidFill>
          </w14:textFill>
        </w:rPr>
        <w:t>3</w:t>
      </w:r>
      <w:r>
        <w:rPr>
          <w:rFonts w:hint="default" w:ascii="Times New Roman" w:hAnsi="Times New Roman" w:eastAsia="宋体" w:cs="Times New Roman"/>
          <w:color w:val="000000" w:themeColor="text1"/>
          <w14:textFill>
            <w14:solidFill>
              <w14:schemeClr w14:val="tx1"/>
            </w14:solidFill>
          </w14:textFill>
        </w:rPr>
        <w:t>废水收集池，用于收集挤奶厅设备冲洗水和挤奶厅地面冲洗水</w:t>
      </w:r>
      <w:r>
        <w:rPr>
          <w:rFonts w:hint="eastAsia" w:cs="Times New Roman"/>
          <w:color w:val="000000" w:themeColor="text1"/>
          <w:lang w:eastAsia="zh-CN"/>
          <w14:textFill>
            <w14:solidFill>
              <w14:schemeClr w14:val="tx1"/>
            </w14:solidFill>
          </w14:textFill>
        </w:rPr>
        <w:t>。</w:t>
      </w:r>
    </w:p>
    <w:p w14:paraId="04476DA9">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eastAsia"/>
          <w:lang w:eastAsia="zh-CN"/>
        </w:rPr>
      </w:pPr>
      <w:r>
        <w:rPr>
          <w:rFonts w:hint="eastAsia"/>
          <w:color w:val="0000FF"/>
          <w:lang w:eastAsia="zh-CN"/>
        </w:rPr>
        <w:t>挤奶设备的酸洗和碱洗的酸性清洗剂和碱性清洗剂是经过专业厂家配置的，本项目直接外购成品酸性清洗剂和碱性清洗剂。挤奶设备交替进行酸碱清洗，清洗完后酸碱清洗废水的Ph值在7~8.5略偏碱性，全部排入冲洗池进行酸碱中和后，排入</w:t>
      </w:r>
      <w:r>
        <w:rPr>
          <w:rFonts w:hint="eastAsia"/>
          <w:color w:val="0000FF"/>
          <w:lang w:val="en-US" w:eastAsia="zh-CN"/>
        </w:rPr>
        <w:t>固液分离车</w:t>
      </w:r>
      <w:r>
        <w:rPr>
          <w:rFonts w:hint="eastAsia"/>
          <w:color w:val="0000FF"/>
          <w:lang w:eastAsia="zh-CN"/>
        </w:rPr>
        <w:t>粪污收集池，与粪污统一处理。根据有关资料类比，待挤厅地面冲洗废水水质COD约500mg/L、BOD5约400mg/L、SS约320mg/L、氨氮约36mg/L。根据厂家提供数据，设备冲洗频次为3次/d，酸性清洗剂用量为2L/d，酸性物质含量550g/L，则酸性物质产生量为1100g/d；碱性清洗剂用量为2L/d，碱性物质含量650g/L，则碱性物质产生量为1300g/d，共计产生盐量为2400g/d。挤奶厅冲洗水用量为3.5m</w:t>
      </w:r>
      <w:r>
        <w:rPr>
          <w:rFonts w:hint="eastAsia"/>
          <w:color w:val="0000FF"/>
          <w:vertAlign w:val="superscript"/>
          <w:lang w:eastAsia="zh-CN"/>
        </w:rPr>
        <w:t>3</w:t>
      </w:r>
      <w:r>
        <w:rPr>
          <w:rFonts w:hint="eastAsia"/>
          <w:color w:val="0000FF"/>
          <w:lang w:eastAsia="zh-CN"/>
        </w:rPr>
        <w:t>/d，折算含盐浓度为685.71mg/L。全部回用于地面冲洗。挤奶厅冲洗废水中含盐量较低，对自然氧化塘废水处理及液肥还田不会产生影响。</w:t>
      </w:r>
    </w:p>
    <w:p w14:paraId="3CAF195B">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bCs/>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牛舍内采用干清粪工艺，</w:t>
      </w:r>
      <w:r>
        <w:rPr>
          <w:rFonts w:hint="eastAsia" w:cs="Times New Roman"/>
          <w:color w:val="000000" w:themeColor="text1"/>
          <w:lang w:val="en-US" w:eastAsia="zh-CN"/>
          <w14:textFill>
            <w14:solidFill>
              <w14:schemeClr w14:val="tx1"/>
            </w14:solidFill>
          </w14:textFill>
        </w:rPr>
        <w:t>牛粪尿通过</w:t>
      </w:r>
      <w:r>
        <w:rPr>
          <w:rFonts w:hint="default" w:ascii="Times New Roman" w:hAnsi="Times New Roman" w:eastAsia="宋体" w:cs="Times New Roman"/>
          <w:color w:val="000000" w:themeColor="text1"/>
          <w14:textFill>
            <w14:solidFill>
              <w14:schemeClr w14:val="tx1"/>
            </w14:solidFill>
          </w14:textFill>
        </w:rPr>
        <w:t>集粪沟</w:t>
      </w:r>
      <w:r>
        <w:rPr>
          <w:rFonts w:hint="eastAsia" w:cs="Times New Roman"/>
          <w:color w:val="000000" w:themeColor="text1"/>
          <w:lang w:val="en-US" w:eastAsia="zh-CN"/>
          <w14:textFill>
            <w14:solidFill>
              <w14:schemeClr w14:val="tx1"/>
            </w14:solidFill>
          </w14:textFill>
        </w:rPr>
        <w:t>流</w:t>
      </w:r>
      <w:r>
        <w:rPr>
          <w:rFonts w:hint="default" w:ascii="Times New Roman" w:hAnsi="Times New Roman" w:eastAsia="宋体" w:cs="Times New Roman"/>
          <w:color w:val="000000" w:themeColor="text1"/>
          <w14:textFill>
            <w14:solidFill>
              <w14:schemeClr w14:val="tx1"/>
            </w14:solidFill>
          </w14:textFill>
        </w:rPr>
        <w:t>至集粪池内，集粪池内粪污由泵经管道打入固液分离器，再经固液分离器分离后，液体（20%）排入发酵池处理，固体（80%）生产牛场垫料</w:t>
      </w:r>
      <w:r>
        <w:rPr>
          <w:rFonts w:hint="default" w:ascii="Times New Roman" w:hAnsi="Times New Roman" w:eastAsia="宋体" w:cs="Times New Roman"/>
          <w:bCs/>
          <w:color w:val="000000" w:themeColor="text1"/>
          <w14:textFill>
            <w14:solidFill>
              <w14:schemeClr w14:val="tx1"/>
            </w14:solidFill>
          </w14:textFill>
        </w:rPr>
        <w:t>。</w:t>
      </w:r>
    </w:p>
    <w:p w14:paraId="1E01B28F">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（3）废水排放情况</w:t>
      </w:r>
    </w:p>
    <w:p w14:paraId="24BA2BBA">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本项目采用干清粪工艺，废水采用氧化塘。根据企业提供</w:t>
      </w:r>
      <w:r>
        <w:rPr>
          <w:rFonts w:hint="eastAsia" w:cs="Times New Roman"/>
          <w:color w:val="000000" w:themeColor="text1"/>
          <w:lang w:val="en-US" w:eastAsia="zh-CN"/>
          <w14:textFill>
            <w14:solidFill>
              <w14:schemeClr w14:val="tx1"/>
            </w14:solidFill>
          </w14:textFill>
        </w:rPr>
        <w:t>氧化塘</w:t>
      </w:r>
      <w:r>
        <w:rPr>
          <w:rFonts w:hint="default" w:ascii="Times New Roman" w:hAnsi="Times New Roman" w:eastAsia="宋体" w:cs="Times New Roman"/>
          <w:color w:val="000000" w:themeColor="text1"/>
          <w14:textFill>
            <w14:solidFill>
              <w14:schemeClr w14:val="tx1"/>
            </w14:solidFill>
          </w14:textFill>
        </w:rPr>
        <w:t>设计处理效率分别为COD80%、BOD</w:t>
      </w:r>
      <w:r>
        <w:rPr>
          <w:rFonts w:hint="default" w:ascii="Times New Roman" w:hAnsi="Times New Roman" w:eastAsia="宋体" w:cs="Times New Roman"/>
          <w:color w:val="000000" w:themeColor="text1"/>
          <w:vertAlign w:val="subscript"/>
          <w14:textFill>
            <w14:solidFill>
              <w14:schemeClr w14:val="tx1"/>
            </w14:solidFill>
          </w14:textFill>
        </w:rPr>
        <w:t>5</w:t>
      </w:r>
      <w:r>
        <w:rPr>
          <w:rFonts w:hint="default" w:ascii="Times New Roman" w:hAnsi="Times New Roman" w:eastAsia="宋体" w:cs="Times New Roman"/>
          <w:color w:val="000000" w:themeColor="text1"/>
          <w14:textFill>
            <w14:solidFill>
              <w14:schemeClr w14:val="tx1"/>
            </w14:solidFill>
          </w14:textFill>
        </w:rPr>
        <w:t>75%、SS75%、氨氮10%，设计水力停留时间为45天，出水呈红棕色，腐化程度较高，</w:t>
      </w:r>
      <w:r>
        <w:rPr>
          <w:rFonts w:hint="default" w:ascii="Times New Roman" w:hAnsi="Times New Roman" w:eastAsia="宋体" w:cs="Times New Roman"/>
          <w:color w:val="000000" w:themeColor="text1"/>
          <w:lang w:eastAsia="zh-CN"/>
          <w14:textFill>
            <w14:solidFill>
              <w14:schemeClr w14:val="tx1"/>
            </w14:solidFill>
          </w14:textFill>
        </w:rPr>
        <w:t>粪污</w:t>
      </w:r>
      <w:r>
        <w:rPr>
          <w:rFonts w:hint="default" w:ascii="Times New Roman" w:hAnsi="Times New Roman" w:eastAsia="宋体" w:cs="Times New Roman"/>
          <w:color w:val="000000" w:themeColor="text1"/>
          <w14:textFill>
            <w14:solidFill>
              <w14:schemeClr w14:val="tx1"/>
            </w14:solidFill>
          </w14:textFill>
        </w:rPr>
        <w:t>异味小。</w:t>
      </w:r>
    </w:p>
    <w:p w14:paraId="279ADDDD">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由《&lt;畜禽养殖污染防治最佳可行技术指南&gt;（试行）编制说明》中表6.12可知，养牛场废水中COD浓度在6000~25000mg/L之间，BOD</w:t>
      </w:r>
      <w:r>
        <w:rPr>
          <w:rFonts w:hint="default" w:ascii="Times New Roman" w:hAnsi="Times New Roman" w:eastAsia="宋体" w:cs="Times New Roman"/>
          <w:color w:val="000000" w:themeColor="text1"/>
          <w:vertAlign w:val="subscript"/>
          <w14:textFill>
            <w14:solidFill>
              <w14:schemeClr w14:val="tx1"/>
            </w14:solidFill>
          </w14:textFill>
        </w:rPr>
        <w:t>5</w:t>
      </w:r>
      <w:r>
        <w:rPr>
          <w:rFonts w:hint="default" w:ascii="Times New Roman" w:hAnsi="Times New Roman" w:eastAsia="宋体" w:cs="Times New Roman"/>
          <w:color w:val="000000" w:themeColor="text1"/>
          <w14:textFill>
            <w14:solidFill>
              <w14:schemeClr w14:val="tx1"/>
            </w14:solidFill>
          </w14:textFill>
        </w:rPr>
        <w:t>浓度在3000~8000mg/L之间，NH</w:t>
      </w:r>
      <w:r>
        <w:rPr>
          <w:rFonts w:hint="default" w:ascii="Times New Roman" w:hAnsi="Times New Roman" w:eastAsia="宋体" w:cs="Times New Roman"/>
          <w:color w:val="000000" w:themeColor="text1"/>
          <w:vertAlign w:val="subscript"/>
          <w14:textFill>
            <w14:solidFill>
              <w14:schemeClr w14:val="tx1"/>
            </w14:solidFill>
          </w14:textFill>
        </w:rPr>
        <w:t>3</w:t>
      </w:r>
      <w:r>
        <w:rPr>
          <w:rFonts w:hint="default" w:ascii="Times New Roman" w:hAnsi="Times New Roman" w:eastAsia="宋体" w:cs="Times New Roman"/>
          <w:color w:val="000000" w:themeColor="text1"/>
          <w14:textFill>
            <w14:solidFill>
              <w14:schemeClr w14:val="tx1"/>
            </w14:solidFill>
          </w14:textFill>
        </w:rPr>
        <w:t>-N浓度在300~1400mg/L之间，清粪工艺不同，废水浓度相差较多。本项目采取干清粪工艺，牛粪尿经“固液分离+</w:t>
      </w:r>
      <w:r>
        <w:rPr>
          <w:rFonts w:hint="eastAsia" w:cs="Times New Roman"/>
          <w:color w:val="000000" w:themeColor="text1"/>
          <w:lang w:val="en-US" w:eastAsia="zh-CN"/>
          <w14:textFill>
            <w14:solidFill>
              <w14:schemeClr w14:val="tx1"/>
            </w14:solidFill>
          </w14:textFill>
        </w:rPr>
        <w:t>氧化塘</w:t>
      </w:r>
      <w:r>
        <w:rPr>
          <w:rFonts w:hint="default" w:ascii="Times New Roman" w:hAnsi="Times New Roman" w:eastAsia="宋体" w:cs="Times New Roman"/>
          <w:color w:val="000000" w:themeColor="text1"/>
          <w14:textFill>
            <w14:solidFill>
              <w14:schemeClr w14:val="tx1"/>
            </w14:solidFill>
          </w14:textFill>
        </w:rPr>
        <w:t>发酵”进行处理，本次评价同时参考相应文献，废水水质按COD：15000mg/L，BOD</w:t>
      </w:r>
      <w:r>
        <w:rPr>
          <w:rFonts w:hint="default" w:ascii="Times New Roman" w:hAnsi="Times New Roman" w:eastAsia="宋体" w:cs="Times New Roman"/>
          <w:color w:val="000000" w:themeColor="text1"/>
          <w:vertAlign w:val="subscript"/>
          <w14:textFill>
            <w14:solidFill>
              <w14:schemeClr w14:val="tx1"/>
            </w14:solidFill>
          </w14:textFill>
        </w:rPr>
        <w:t>5</w:t>
      </w:r>
      <w:r>
        <w:rPr>
          <w:rFonts w:hint="default" w:ascii="Times New Roman" w:hAnsi="Times New Roman" w:eastAsia="宋体" w:cs="Times New Roman"/>
          <w:color w:val="000000" w:themeColor="text1"/>
          <w14:textFill>
            <w14:solidFill>
              <w14:schemeClr w14:val="tx1"/>
            </w14:solidFill>
          </w14:textFill>
        </w:rPr>
        <w:t>：6000mg/L，NH</w:t>
      </w:r>
      <w:r>
        <w:rPr>
          <w:rFonts w:hint="default" w:ascii="Times New Roman" w:hAnsi="Times New Roman" w:eastAsia="宋体" w:cs="Times New Roman"/>
          <w:color w:val="000000" w:themeColor="text1"/>
          <w:vertAlign w:val="subscript"/>
          <w14:textFill>
            <w14:solidFill>
              <w14:schemeClr w14:val="tx1"/>
            </w14:solidFill>
          </w14:textFill>
        </w:rPr>
        <w:t>3</w:t>
      </w:r>
      <w:r>
        <w:rPr>
          <w:rFonts w:hint="default" w:ascii="Times New Roman" w:hAnsi="Times New Roman" w:eastAsia="宋体" w:cs="Times New Roman"/>
          <w:color w:val="000000" w:themeColor="text1"/>
          <w14:textFill>
            <w14:solidFill>
              <w14:schemeClr w14:val="tx1"/>
            </w14:solidFill>
          </w14:textFill>
        </w:rPr>
        <w:t>-N：1000mg/L进行考虑。</w:t>
      </w:r>
    </w:p>
    <w:p w14:paraId="6931661E">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根据《畜禽养殖业污染治理工程技术规范》（HJ497-2009）中“液态畜禽粪污宜采用厌氧进行无害化处理，无害化处理后的卫生指标应符合《粪便无害化卫生标准》（GB7959）的有关规定”，处理后的</w:t>
      </w:r>
      <w:r>
        <w:rPr>
          <w:rFonts w:hint="default" w:ascii="Times New Roman" w:hAnsi="Times New Roman" w:eastAsia="宋体" w:cs="Times New Roman"/>
          <w:bCs/>
          <w:color w:val="000000" w:themeColor="text1"/>
          <w:lang w:eastAsia="zh-CN"/>
          <w14:textFill>
            <w14:solidFill>
              <w14:schemeClr w14:val="tx1"/>
            </w14:solidFill>
          </w14:textFill>
        </w:rPr>
        <w:t>粪污</w:t>
      </w:r>
      <w:r>
        <w:rPr>
          <w:rFonts w:hint="default" w:ascii="Times New Roman" w:hAnsi="Times New Roman" w:eastAsia="宋体" w:cs="Times New Roman"/>
          <w:bCs/>
          <w:color w:val="000000" w:themeColor="text1"/>
          <w14:textFill>
            <w14:solidFill>
              <w14:schemeClr w14:val="tx1"/>
            </w14:solidFill>
          </w14:textFill>
        </w:rPr>
        <w:t>用于项目配置的种植基地及周边农田施肥</w:t>
      </w:r>
      <w:r>
        <w:rPr>
          <w:rFonts w:hint="default" w:ascii="Times New Roman" w:hAnsi="Times New Roman" w:eastAsia="宋体" w:cs="Times New Roman"/>
          <w:color w:val="000000" w:themeColor="text1"/>
          <w14:textFill>
            <w14:solidFill>
              <w14:schemeClr w14:val="tx1"/>
            </w14:solidFill>
          </w14:textFill>
        </w:rPr>
        <w:t>，全部综合利用，不外排</w:t>
      </w:r>
      <w:r>
        <w:rPr>
          <w:rFonts w:hint="eastAsia" w:cs="Times New Roman"/>
          <w:color w:val="000000" w:themeColor="text1"/>
          <w:lang w:eastAsia="zh-CN"/>
          <w14:textFill>
            <w14:solidFill>
              <w14:schemeClr w14:val="tx1"/>
            </w14:solidFill>
          </w14:textFill>
        </w:rPr>
        <w:t>。</w:t>
      </w:r>
    </w:p>
    <w:p w14:paraId="7C16CA19">
      <w:pPr>
        <w:pStyle w:val="11"/>
        <w:adjustRightInd w:val="0"/>
        <w:snapToGrid w:val="0"/>
        <w:ind w:firstLine="482"/>
        <w:rPr>
          <w:rFonts w:hint="default" w:ascii="Times New Roman" w:hAnsi="Times New Roman" w:eastAsia="宋体" w:cs="Times New Roman"/>
          <w:b/>
          <w:color w:val="000000" w:themeColor="text1"/>
          <w:lang w:eastAsia="zh-CN"/>
          <w14:textFill>
            <w14:solidFill>
              <w14:schemeClr w14:val="tx1"/>
            </w14:solidFill>
          </w14:textFill>
        </w:rPr>
      </w:pPr>
      <w:r>
        <w:rPr>
          <w:rFonts w:hint="default" w:ascii="Times New Roman" w:hAnsi="Times New Roman" w:eastAsia="宋体" w:cs="Times New Roman"/>
          <w:b/>
          <w:color w:val="000000" w:themeColor="text1"/>
          <w:lang w:eastAsia="zh-CN"/>
          <w14:textFill>
            <w14:solidFill>
              <w14:schemeClr w14:val="tx1"/>
            </w14:solidFill>
          </w14:textFill>
        </w:rPr>
        <w:t>3.3.2.3噪声</w:t>
      </w:r>
    </w:p>
    <w:p w14:paraId="2EDD5C6E">
      <w:pPr>
        <w:pStyle w:val="11"/>
        <w:adjustRightInd w:val="0"/>
        <w:snapToGrid w:val="0"/>
        <w:ind w:firstLine="480"/>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eastAsia="宋体" w:cs="Times New Roman"/>
          <w:color w:val="000000" w:themeColor="text1"/>
          <w:lang w:eastAsia="zh-CN"/>
          <w14:textFill>
            <w14:solidFill>
              <w14:schemeClr w14:val="tx1"/>
            </w14:solidFill>
          </w14:textFill>
        </w:rPr>
        <w:t>本项目噪声主要来自粉碎机、</w:t>
      </w:r>
      <w:r>
        <w:rPr>
          <w:rFonts w:hint="default" w:ascii="Times New Roman" w:hAnsi="Times New Roman" w:eastAsia="宋体" w:cs="Times New Roman"/>
          <w:color w:val="000000" w:themeColor="text1"/>
          <w:spacing w:val="-1"/>
          <w:lang w:eastAsia="zh-CN"/>
          <w14:textFill>
            <w14:solidFill>
              <w14:schemeClr w14:val="tx1"/>
            </w14:solidFill>
          </w14:textFill>
        </w:rPr>
        <w:t>饲料配料混合设备、污水处理设备</w:t>
      </w:r>
      <w:r>
        <w:rPr>
          <w:rFonts w:hint="default" w:ascii="Times New Roman" w:hAnsi="Times New Roman" w:eastAsia="宋体" w:cs="Times New Roman"/>
          <w:color w:val="000000" w:themeColor="text1"/>
          <w:spacing w:val="-5"/>
          <w:lang w:eastAsia="zh-CN"/>
          <w14:textFill>
            <w14:solidFill>
              <w14:schemeClr w14:val="tx1"/>
            </w14:solidFill>
          </w14:textFill>
        </w:rPr>
        <w:t>及牛群活动叫声等。噪声声级在</w:t>
      </w:r>
      <w:r>
        <w:rPr>
          <w:rFonts w:hint="default" w:ascii="Times New Roman" w:hAnsi="Times New Roman" w:eastAsia="宋体" w:cs="Times New Roman"/>
          <w:color w:val="000000" w:themeColor="text1"/>
          <w:lang w:eastAsia="zh-CN"/>
          <w14:textFill>
            <w14:solidFill>
              <w14:schemeClr w14:val="tx1"/>
            </w14:solidFill>
          </w14:textFill>
        </w:rPr>
        <w:t>60~85dB（A）</w:t>
      </w:r>
      <w:r>
        <w:rPr>
          <w:rFonts w:hint="default" w:ascii="Times New Roman" w:hAnsi="Times New Roman" w:eastAsia="宋体" w:cs="Times New Roman"/>
          <w:color w:val="000000" w:themeColor="text1"/>
          <w:spacing w:val="-1"/>
          <w:lang w:eastAsia="zh-CN"/>
          <w14:textFill>
            <w14:solidFill>
              <w14:schemeClr w14:val="tx1"/>
            </w14:solidFill>
          </w14:textFill>
        </w:rPr>
        <w:t>。为有效控制噪声污染，通过选择低噪</w:t>
      </w:r>
      <w:r>
        <w:rPr>
          <w:rFonts w:hint="default" w:ascii="Times New Roman" w:hAnsi="Times New Roman" w:eastAsia="宋体" w:cs="Times New Roman"/>
          <w:color w:val="000000" w:themeColor="text1"/>
          <w:spacing w:val="8"/>
          <w:lang w:eastAsia="zh-CN"/>
          <w14:textFill>
            <w14:solidFill>
              <w14:schemeClr w14:val="tx1"/>
            </w14:solidFill>
          </w14:textFill>
        </w:rPr>
        <w:t>声设备，对设备进行科学布置，将风机等设备安装于专用房间内，通过墙体隔声降</w:t>
      </w:r>
      <w:r>
        <w:rPr>
          <w:rFonts w:hint="default" w:ascii="Times New Roman" w:hAnsi="Times New Roman" w:eastAsia="宋体" w:cs="Times New Roman"/>
          <w:color w:val="000000" w:themeColor="text1"/>
          <w:spacing w:val="3"/>
          <w:lang w:eastAsia="zh-CN"/>
          <w14:textFill>
            <w14:solidFill>
              <w14:schemeClr w14:val="tx1"/>
            </w14:solidFill>
          </w14:textFill>
        </w:rPr>
        <w:t>噪，并对振动较大的设备安装减振垫圈等综合降噪措施，可有效降低机械噪声对项目</w:t>
      </w:r>
      <w:r>
        <w:rPr>
          <w:rFonts w:hint="default" w:ascii="Times New Roman" w:hAnsi="Times New Roman" w:eastAsia="宋体" w:cs="Times New Roman"/>
          <w:color w:val="000000" w:themeColor="text1"/>
          <w:lang w:eastAsia="zh-CN"/>
          <w14:textFill>
            <w14:solidFill>
              <w14:schemeClr w14:val="tx1"/>
            </w14:solidFill>
          </w14:textFill>
        </w:rPr>
        <w:t>区域及周围环境的影响。</w:t>
      </w:r>
    </w:p>
    <w:p w14:paraId="2BE084A2">
      <w:pPr>
        <w:pStyle w:val="11"/>
        <w:adjustRightInd w:val="0"/>
        <w:snapToGrid w:val="0"/>
        <w:ind w:firstLine="458"/>
        <w:jc w:val="center"/>
        <w:rPr>
          <w:rFonts w:hint="default" w:ascii="Times New Roman" w:hAnsi="Times New Roman" w:eastAsia="宋体" w:cs="Times New Roman"/>
          <w:b/>
          <w:color w:val="000000" w:themeColor="text1"/>
          <w:spacing w:val="-6"/>
          <w:lang w:eastAsia="zh-CN"/>
          <w14:textFill>
            <w14:solidFill>
              <w14:schemeClr w14:val="tx1"/>
            </w14:solidFill>
          </w14:textFill>
        </w:rPr>
      </w:pPr>
      <w:r>
        <w:rPr>
          <w:rFonts w:hint="default" w:ascii="Times New Roman" w:hAnsi="Times New Roman" w:eastAsia="宋体" w:cs="Times New Roman"/>
          <w:b/>
          <w:color w:val="000000" w:themeColor="text1"/>
          <w:spacing w:val="-6"/>
          <w:lang w:eastAsia="zh-CN"/>
          <w14:textFill>
            <w14:solidFill>
              <w14:schemeClr w14:val="tx1"/>
            </w14:solidFill>
          </w14:textFill>
        </w:rPr>
        <w:t>表3.3-</w:t>
      </w:r>
      <w:r>
        <w:rPr>
          <w:rFonts w:hint="eastAsia" w:ascii="Times New Roman" w:hAnsi="Times New Roman" w:cs="Times New Roman"/>
          <w:b/>
          <w:color w:val="000000" w:themeColor="text1"/>
          <w:spacing w:val="-6"/>
          <w:lang w:val="en-US" w:eastAsia="zh-CN"/>
          <w14:textFill>
            <w14:solidFill>
              <w14:schemeClr w14:val="tx1"/>
            </w14:solidFill>
          </w14:textFill>
        </w:rPr>
        <w:t>8</w:t>
      </w:r>
      <w:r>
        <w:rPr>
          <w:rFonts w:hint="default" w:ascii="Times New Roman" w:hAnsi="Times New Roman" w:eastAsia="宋体" w:cs="Times New Roman"/>
          <w:b/>
          <w:color w:val="000000" w:themeColor="text1"/>
          <w:spacing w:val="-6"/>
          <w:lang w:eastAsia="zh-CN"/>
          <w14:textFill>
            <w14:solidFill>
              <w14:schemeClr w14:val="tx1"/>
            </w14:solidFill>
          </w14:textFill>
        </w:rPr>
        <w:t>主要噪声设备源强及治理效果一览表</w:t>
      </w:r>
    </w:p>
    <w:tbl>
      <w:tblPr>
        <w:tblStyle w:val="35"/>
        <w:tblW w:w="850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671"/>
        <w:gridCol w:w="1694"/>
        <w:gridCol w:w="1435"/>
        <w:gridCol w:w="1359"/>
        <w:gridCol w:w="1834"/>
        <w:gridCol w:w="1511"/>
      </w:tblGrid>
      <w:tr w14:paraId="38EE47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671" w:type="dxa"/>
            <w:vAlign w:val="center"/>
          </w:tcPr>
          <w:p w14:paraId="0A4DD1C6">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序号</w:t>
            </w:r>
          </w:p>
        </w:tc>
        <w:tc>
          <w:tcPr>
            <w:tcW w:w="1694" w:type="dxa"/>
            <w:vAlign w:val="center"/>
          </w:tcPr>
          <w:p w14:paraId="42457D4C">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声源名称</w:t>
            </w:r>
          </w:p>
        </w:tc>
        <w:tc>
          <w:tcPr>
            <w:tcW w:w="1435" w:type="dxa"/>
            <w:vAlign w:val="center"/>
          </w:tcPr>
          <w:p w14:paraId="5378BADC">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声级</w:t>
            </w:r>
          </w:p>
          <w:p w14:paraId="7B6C0F96">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dB（A）</w:t>
            </w:r>
          </w:p>
        </w:tc>
        <w:tc>
          <w:tcPr>
            <w:tcW w:w="1359" w:type="dxa"/>
            <w:vAlign w:val="center"/>
          </w:tcPr>
          <w:p w14:paraId="4565CA09">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数量（台）</w:t>
            </w:r>
          </w:p>
        </w:tc>
        <w:tc>
          <w:tcPr>
            <w:tcW w:w="1834" w:type="dxa"/>
            <w:vAlign w:val="center"/>
          </w:tcPr>
          <w:p w14:paraId="1178B37C">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降噪措施</w:t>
            </w:r>
          </w:p>
        </w:tc>
        <w:tc>
          <w:tcPr>
            <w:tcW w:w="1511" w:type="dxa"/>
            <w:vAlign w:val="center"/>
          </w:tcPr>
          <w:p w14:paraId="6AC35BAC">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降噪效果dB（A）</w:t>
            </w:r>
          </w:p>
        </w:tc>
      </w:tr>
      <w:tr w14:paraId="687156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671" w:type="dxa"/>
            <w:vAlign w:val="center"/>
          </w:tcPr>
          <w:p w14:paraId="21B86D65">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1</w:t>
            </w:r>
          </w:p>
        </w:tc>
        <w:tc>
          <w:tcPr>
            <w:tcW w:w="1694" w:type="dxa"/>
            <w:vAlign w:val="center"/>
          </w:tcPr>
          <w:p w14:paraId="3E2F1FD4">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粉碎机</w:t>
            </w:r>
          </w:p>
        </w:tc>
        <w:tc>
          <w:tcPr>
            <w:tcW w:w="1435" w:type="dxa"/>
            <w:vAlign w:val="center"/>
          </w:tcPr>
          <w:p w14:paraId="303B38DE">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85</w:t>
            </w:r>
          </w:p>
        </w:tc>
        <w:tc>
          <w:tcPr>
            <w:tcW w:w="1359" w:type="dxa"/>
            <w:vAlign w:val="center"/>
          </w:tcPr>
          <w:p w14:paraId="26E807DD">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2</w:t>
            </w:r>
          </w:p>
        </w:tc>
        <w:tc>
          <w:tcPr>
            <w:tcW w:w="1834" w:type="dxa"/>
            <w:vAlign w:val="center"/>
          </w:tcPr>
          <w:p w14:paraId="2E9318D4">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厂房隔声</w:t>
            </w:r>
          </w:p>
        </w:tc>
        <w:tc>
          <w:tcPr>
            <w:tcW w:w="1511" w:type="dxa"/>
            <w:vAlign w:val="center"/>
          </w:tcPr>
          <w:p w14:paraId="0F75E983">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75</w:t>
            </w:r>
          </w:p>
        </w:tc>
      </w:tr>
      <w:tr w14:paraId="0F8A8B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671" w:type="dxa"/>
            <w:vAlign w:val="center"/>
          </w:tcPr>
          <w:p w14:paraId="2FB2E609">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2</w:t>
            </w:r>
          </w:p>
        </w:tc>
        <w:tc>
          <w:tcPr>
            <w:tcW w:w="1694" w:type="dxa"/>
            <w:vAlign w:val="center"/>
          </w:tcPr>
          <w:p w14:paraId="389B5087">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饲料计量搅拌机</w:t>
            </w:r>
          </w:p>
        </w:tc>
        <w:tc>
          <w:tcPr>
            <w:tcW w:w="1435" w:type="dxa"/>
            <w:vAlign w:val="center"/>
          </w:tcPr>
          <w:p w14:paraId="0D1C391C">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85</w:t>
            </w:r>
          </w:p>
        </w:tc>
        <w:tc>
          <w:tcPr>
            <w:tcW w:w="1359" w:type="dxa"/>
            <w:vAlign w:val="center"/>
          </w:tcPr>
          <w:p w14:paraId="37DB3F7E">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2</w:t>
            </w:r>
          </w:p>
        </w:tc>
        <w:tc>
          <w:tcPr>
            <w:tcW w:w="1834" w:type="dxa"/>
            <w:vAlign w:val="center"/>
          </w:tcPr>
          <w:p w14:paraId="1C70673B">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厂房隔声</w:t>
            </w:r>
          </w:p>
        </w:tc>
        <w:tc>
          <w:tcPr>
            <w:tcW w:w="1511" w:type="dxa"/>
            <w:vAlign w:val="center"/>
          </w:tcPr>
          <w:p w14:paraId="18644BD0">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75</w:t>
            </w:r>
          </w:p>
        </w:tc>
      </w:tr>
      <w:tr w14:paraId="22A8F1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671" w:type="dxa"/>
            <w:vAlign w:val="center"/>
          </w:tcPr>
          <w:p w14:paraId="6B7057A4">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3</w:t>
            </w:r>
          </w:p>
        </w:tc>
        <w:tc>
          <w:tcPr>
            <w:tcW w:w="1694" w:type="dxa"/>
            <w:vAlign w:val="center"/>
          </w:tcPr>
          <w:p w14:paraId="46E63557">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污水处理泵类</w:t>
            </w:r>
          </w:p>
        </w:tc>
        <w:tc>
          <w:tcPr>
            <w:tcW w:w="1435" w:type="dxa"/>
            <w:vAlign w:val="center"/>
          </w:tcPr>
          <w:p w14:paraId="0BC0EA30">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80</w:t>
            </w:r>
          </w:p>
        </w:tc>
        <w:tc>
          <w:tcPr>
            <w:tcW w:w="1359" w:type="dxa"/>
            <w:vAlign w:val="center"/>
          </w:tcPr>
          <w:p w14:paraId="0BCB763A">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2</w:t>
            </w:r>
          </w:p>
        </w:tc>
        <w:tc>
          <w:tcPr>
            <w:tcW w:w="1834" w:type="dxa"/>
            <w:vAlign w:val="center"/>
          </w:tcPr>
          <w:p w14:paraId="1E72C531">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厂房隔声</w:t>
            </w:r>
          </w:p>
        </w:tc>
        <w:tc>
          <w:tcPr>
            <w:tcW w:w="1511" w:type="dxa"/>
            <w:vAlign w:val="center"/>
          </w:tcPr>
          <w:p w14:paraId="6CA2907E">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70</w:t>
            </w:r>
          </w:p>
        </w:tc>
      </w:tr>
      <w:tr w14:paraId="021853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671" w:type="dxa"/>
            <w:vAlign w:val="center"/>
          </w:tcPr>
          <w:p w14:paraId="0B5001A5">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4</w:t>
            </w:r>
          </w:p>
        </w:tc>
        <w:tc>
          <w:tcPr>
            <w:tcW w:w="1694" w:type="dxa"/>
            <w:vAlign w:val="center"/>
          </w:tcPr>
          <w:p w14:paraId="5D2BCDBF">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牛叫声</w:t>
            </w:r>
          </w:p>
        </w:tc>
        <w:tc>
          <w:tcPr>
            <w:tcW w:w="1435" w:type="dxa"/>
            <w:vAlign w:val="center"/>
          </w:tcPr>
          <w:p w14:paraId="6C10009F">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60</w:t>
            </w:r>
          </w:p>
        </w:tc>
        <w:tc>
          <w:tcPr>
            <w:tcW w:w="1359" w:type="dxa"/>
            <w:vAlign w:val="center"/>
          </w:tcPr>
          <w:p w14:paraId="5DA62FAA">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w:t>
            </w:r>
          </w:p>
        </w:tc>
        <w:tc>
          <w:tcPr>
            <w:tcW w:w="1834" w:type="dxa"/>
            <w:vAlign w:val="center"/>
          </w:tcPr>
          <w:p w14:paraId="163BB408">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牛舍隔声</w:t>
            </w:r>
          </w:p>
        </w:tc>
        <w:tc>
          <w:tcPr>
            <w:tcW w:w="1511" w:type="dxa"/>
            <w:vAlign w:val="center"/>
          </w:tcPr>
          <w:p w14:paraId="0C74DD77">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70</w:t>
            </w:r>
          </w:p>
        </w:tc>
      </w:tr>
      <w:tr w14:paraId="42C5B6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671" w:type="dxa"/>
            <w:vAlign w:val="center"/>
          </w:tcPr>
          <w:p w14:paraId="42728B83">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5</w:t>
            </w:r>
          </w:p>
        </w:tc>
        <w:tc>
          <w:tcPr>
            <w:tcW w:w="1694" w:type="dxa"/>
            <w:vAlign w:val="center"/>
          </w:tcPr>
          <w:p w14:paraId="2AA2AF4D">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清粪车等车辆</w:t>
            </w:r>
          </w:p>
        </w:tc>
        <w:tc>
          <w:tcPr>
            <w:tcW w:w="1435" w:type="dxa"/>
            <w:vAlign w:val="center"/>
          </w:tcPr>
          <w:p w14:paraId="793994F9">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85</w:t>
            </w:r>
          </w:p>
        </w:tc>
        <w:tc>
          <w:tcPr>
            <w:tcW w:w="1359" w:type="dxa"/>
            <w:vAlign w:val="center"/>
          </w:tcPr>
          <w:p w14:paraId="6B98C495">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10</w:t>
            </w:r>
          </w:p>
        </w:tc>
        <w:tc>
          <w:tcPr>
            <w:tcW w:w="1834" w:type="dxa"/>
            <w:vAlign w:val="center"/>
          </w:tcPr>
          <w:p w14:paraId="27D79054">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禁止鸣笛、限速行驶</w:t>
            </w:r>
          </w:p>
        </w:tc>
        <w:tc>
          <w:tcPr>
            <w:tcW w:w="1511" w:type="dxa"/>
            <w:vAlign w:val="center"/>
          </w:tcPr>
          <w:p w14:paraId="4F5E39F2">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75</w:t>
            </w:r>
          </w:p>
        </w:tc>
      </w:tr>
      <w:tr w14:paraId="10E87A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671" w:type="dxa"/>
            <w:vAlign w:val="center"/>
          </w:tcPr>
          <w:p w14:paraId="6564F30C">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6</w:t>
            </w:r>
          </w:p>
        </w:tc>
        <w:tc>
          <w:tcPr>
            <w:tcW w:w="1694" w:type="dxa"/>
            <w:vAlign w:val="center"/>
          </w:tcPr>
          <w:p w14:paraId="67C4CBB8">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水泵</w:t>
            </w:r>
          </w:p>
        </w:tc>
        <w:tc>
          <w:tcPr>
            <w:tcW w:w="1435" w:type="dxa"/>
            <w:vAlign w:val="center"/>
          </w:tcPr>
          <w:p w14:paraId="3A0200CC">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85</w:t>
            </w:r>
          </w:p>
        </w:tc>
        <w:tc>
          <w:tcPr>
            <w:tcW w:w="1359" w:type="dxa"/>
            <w:vAlign w:val="center"/>
          </w:tcPr>
          <w:p w14:paraId="7A93F3EE">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w:t>
            </w:r>
          </w:p>
        </w:tc>
        <w:tc>
          <w:tcPr>
            <w:tcW w:w="1834" w:type="dxa"/>
            <w:vAlign w:val="center"/>
          </w:tcPr>
          <w:p w14:paraId="558B813E">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减振基础、厂房隔声</w:t>
            </w:r>
          </w:p>
        </w:tc>
        <w:tc>
          <w:tcPr>
            <w:tcW w:w="1511" w:type="dxa"/>
            <w:vAlign w:val="center"/>
          </w:tcPr>
          <w:p w14:paraId="469AC8E2">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65</w:t>
            </w:r>
          </w:p>
        </w:tc>
      </w:tr>
    </w:tbl>
    <w:p w14:paraId="2D8DA7D8">
      <w:pPr>
        <w:pStyle w:val="11"/>
        <w:adjustRightInd w:val="0"/>
        <w:snapToGrid w:val="0"/>
        <w:ind w:firstLine="482"/>
        <w:rPr>
          <w:rFonts w:hint="default" w:ascii="Times New Roman" w:hAnsi="Times New Roman" w:eastAsia="宋体" w:cs="Times New Roman"/>
          <w:b/>
          <w:color w:val="000000" w:themeColor="text1"/>
          <w14:textFill>
            <w14:solidFill>
              <w14:schemeClr w14:val="tx1"/>
            </w14:solidFill>
          </w14:textFill>
        </w:rPr>
      </w:pPr>
      <w:r>
        <w:rPr>
          <w:rFonts w:hint="default" w:ascii="Times New Roman" w:hAnsi="Times New Roman" w:eastAsia="宋体" w:cs="Times New Roman"/>
          <w:b/>
          <w:color w:val="000000" w:themeColor="text1"/>
          <w:lang w:eastAsia="zh-CN"/>
          <w14:textFill>
            <w14:solidFill>
              <w14:schemeClr w14:val="tx1"/>
            </w14:solidFill>
          </w14:textFill>
        </w:rPr>
        <w:t>3.3.2.4</w:t>
      </w:r>
      <w:r>
        <w:rPr>
          <w:rFonts w:hint="default" w:ascii="Times New Roman" w:hAnsi="Times New Roman" w:eastAsia="宋体" w:cs="Times New Roman"/>
          <w:b/>
          <w:color w:val="000000" w:themeColor="text1"/>
          <w14:textFill>
            <w14:solidFill>
              <w14:schemeClr w14:val="tx1"/>
            </w14:solidFill>
          </w14:textFill>
        </w:rPr>
        <w:t>固体废物</w:t>
      </w:r>
    </w:p>
    <w:p w14:paraId="3BEC4A37">
      <w:pPr>
        <w:pStyle w:val="11"/>
        <w:adjustRightInd w:val="0"/>
        <w:snapToGrid w:val="0"/>
        <w:ind w:firstLine="480"/>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eastAsia="宋体" w:cs="Times New Roman"/>
          <w:color w:val="000000" w:themeColor="text1"/>
          <w:lang w:eastAsia="zh-CN"/>
          <w14:textFill>
            <w14:solidFill>
              <w14:schemeClr w14:val="tx1"/>
            </w14:solidFill>
          </w14:textFill>
        </w:rPr>
        <w:t>本项目运营后，固体废物主要有牛粪、病死牛尸体、医疗废物、废机油</w:t>
      </w:r>
      <w:r>
        <w:rPr>
          <w:rFonts w:hint="eastAsia" w:ascii="Times New Roman" w:hAnsi="Times New Roman" w:cs="Times New Roman"/>
          <w:color w:val="000000" w:themeColor="text1"/>
          <w:lang w:eastAsia="zh-CN"/>
          <w14:textFill>
            <w14:solidFill>
              <w14:schemeClr w14:val="tx1"/>
            </w14:solidFill>
          </w14:textFill>
        </w:rPr>
        <w:t>、</w:t>
      </w:r>
      <w:r>
        <w:rPr>
          <w:rFonts w:hint="eastAsia" w:ascii="Times New Roman" w:hAnsi="Times New Roman" w:cs="Times New Roman"/>
          <w:color w:val="0000FF"/>
          <w:lang w:val="en-US" w:eastAsia="zh-CN"/>
        </w:rPr>
        <w:t>废酸碱洗剂包装桶</w:t>
      </w:r>
      <w:r>
        <w:rPr>
          <w:rFonts w:hint="default" w:ascii="Times New Roman" w:hAnsi="Times New Roman" w:eastAsia="宋体" w:cs="Times New Roman"/>
          <w:color w:val="000000" w:themeColor="text1"/>
          <w:lang w:eastAsia="zh-CN"/>
          <w14:textFill>
            <w14:solidFill>
              <w14:schemeClr w14:val="tx1"/>
            </w14:solidFill>
          </w14:textFill>
        </w:rPr>
        <w:t>及生活垃圾。</w:t>
      </w:r>
    </w:p>
    <w:p w14:paraId="0FD15249">
      <w:pPr>
        <w:pStyle w:val="37"/>
        <w:tabs>
          <w:tab w:val="left" w:pos="1321"/>
        </w:tabs>
        <w:adjustRightInd w:val="0"/>
        <w:snapToGrid w:val="0"/>
        <w:ind w:left="0"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（1）牛粪（S</w:t>
      </w:r>
      <w:r>
        <w:rPr>
          <w:rFonts w:hint="default" w:ascii="Times New Roman" w:hAnsi="Times New Roman" w:eastAsia="宋体" w:cs="Times New Roman"/>
          <w:color w:val="000000" w:themeColor="text1"/>
          <w:vertAlign w:val="subscript"/>
          <w14:textFill>
            <w14:solidFill>
              <w14:schemeClr w14:val="tx1"/>
            </w14:solidFill>
          </w14:textFill>
        </w:rPr>
        <w:t>1</w:t>
      </w:r>
      <w:r>
        <w:rPr>
          <w:rFonts w:hint="default" w:ascii="Times New Roman" w:hAnsi="Times New Roman" w:eastAsia="宋体" w:cs="Times New Roman"/>
          <w:color w:val="000000" w:themeColor="text1"/>
          <w14:textFill>
            <w14:solidFill>
              <w14:schemeClr w14:val="tx1"/>
            </w14:solidFill>
          </w14:textFill>
        </w:rPr>
        <w:t>）</w:t>
      </w:r>
    </w:p>
    <w:p w14:paraId="16FD433F">
      <w:pPr>
        <w:pStyle w:val="11"/>
        <w:adjustRightInd w:val="0"/>
        <w:snapToGrid w:val="0"/>
        <w:ind w:firstLine="480"/>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eastAsia="宋体" w:cs="Times New Roman"/>
          <w:color w:val="000000" w:themeColor="text1"/>
          <w:lang w:eastAsia="zh-CN"/>
          <w14:textFill>
            <w14:solidFill>
              <w14:schemeClr w14:val="tx1"/>
            </w14:solidFill>
          </w14:textFill>
        </w:rPr>
        <w:t>本项目采取干清粪工艺，采取人工机械+人工干法清粪方式将粪便及时、单独清出，做到日产日清。</w:t>
      </w:r>
    </w:p>
    <w:p w14:paraId="3944F763">
      <w:pPr>
        <w:pStyle w:val="11"/>
        <w:adjustRightInd w:val="0"/>
        <w:snapToGrid w:val="0"/>
        <w:ind w:firstLine="480"/>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根据畜《排污许可证申请与核发技术规范畜禽养殖行业》（HJ1029-2019）表9各类畜禽污染物产生量奶牛粪便产生量可知，奶牛粪便产生量为25.71（kg/d·头/只）。项目年存栏奶牛700头，则粪便产生量为18t/d（含水率80%）</w:t>
      </w:r>
      <w:r>
        <w:rPr>
          <w:rFonts w:hint="eastAsia" w:ascii="Times New Roman" w:hAnsi="Times New Roman" w:cs="Times New Roman"/>
          <w:color w:val="000000" w:themeColor="text1"/>
          <w:lang w:val="en-US" w:eastAsia="zh-CN"/>
          <w14:textFill>
            <w14:solidFill>
              <w14:schemeClr w14:val="tx1"/>
            </w14:solidFill>
          </w14:textFill>
        </w:rPr>
        <w:t>，</w:t>
      </w:r>
      <w:r>
        <w:rPr>
          <w:rFonts w:hint="default" w:ascii="Times New Roman" w:hAnsi="Times New Roman" w:eastAsia="宋体" w:cs="Times New Roman"/>
          <w:color w:val="000000" w:themeColor="text1"/>
          <w:lang w:eastAsia="zh-CN"/>
          <w14:textFill>
            <w14:solidFill>
              <w14:schemeClr w14:val="tx1"/>
            </w14:solidFill>
          </w14:textFill>
        </w:rPr>
        <w:t>经清粪铲车直接运送至堆粪场堆肥还田。</w:t>
      </w:r>
    </w:p>
    <w:p w14:paraId="287FE864">
      <w:pPr>
        <w:pStyle w:val="11"/>
        <w:adjustRightInd w:val="0"/>
        <w:snapToGrid w:val="0"/>
        <w:ind w:firstLine="480"/>
        <w:rPr>
          <w:rFonts w:hint="default" w:ascii="Times New Roman" w:hAnsi="Times New Roman" w:eastAsia="宋体" w:cs="Times New Roman"/>
          <w:color w:val="000000" w:themeColor="text1"/>
          <w:lang w:eastAsia="zh-CN"/>
          <w14:textFill>
            <w14:solidFill>
              <w14:schemeClr w14:val="tx1"/>
            </w14:solidFill>
          </w14:textFill>
        </w:rPr>
      </w:pPr>
      <w:r>
        <w:rPr>
          <w:rFonts w:hint="eastAsia" w:ascii="Times New Roman" w:hAnsi="Times New Roman" w:cs="Times New Roman"/>
          <w:color w:val="000000" w:themeColor="text1"/>
          <w:lang w:eastAsia="zh-CN"/>
          <w14:textFill>
            <w14:solidFill>
              <w14:schemeClr w14:val="tx1"/>
            </w14:solidFill>
          </w14:textFill>
        </w:rPr>
        <w:t>（</w:t>
      </w:r>
      <w:r>
        <w:rPr>
          <w:rFonts w:hint="default" w:ascii="Times New Roman" w:hAnsi="Times New Roman" w:eastAsia="宋体" w:cs="Times New Roman"/>
          <w:color w:val="000000" w:themeColor="text1"/>
          <w:lang w:eastAsia="zh-CN"/>
          <w14:textFill>
            <w14:solidFill>
              <w14:schemeClr w14:val="tx1"/>
            </w14:solidFill>
          </w14:textFill>
        </w:rPr>
        <w:t>2）氧化塘污泥（S</w:t>
      </w:r>
      <w:r>
        <w:rPr>
          <w:rFonts w:hint="default" w:ascii="Times New Roman" w:hAnsi="Times New Roman" w:eastAsia="宋体" w:cs="Times New Roman"/>
          <w:color w:val="000000" w:themeColor="text1"/>
          <w:vertAlign w:val="subscript"/>
          <w:lang w:eastAsia="zh-CN"/>
          <w14:textFill>
            <w14:solidFill>
              <w14:schemeClr w14:val="tx1"/>
            </w14:solidFill>
          </w14:textFill>
        </w:rPr>
        <w:t>2</w:t>
      </w:r>
      <w:r>
        <w:rPr>
          <w:rFonts w:hint="default" w:ascii="Times New Roman" w:hAnsi="Times New Roman" w:eastAsia="宋体" w:cs="Times New Roman"/>
          <w:color w:val="000000" w:themeColor="text1"/>
          <w:lang w:eastAsia="zh-CN"/>
          <w14:textFill>
            <w14:solidFill>
              <w14:schemeClr w14:val="tx1"/>
            </w14:solidFill>
          </w14:textFill>
        </w:rPr>
        <w:t>）</w:t>
      </w:r>
    </w:p>
    <w:p w14:paraId="624C5A1C">
      <w:pPr>
        <w:pStyle w:val="11"/>
        <w:adjustRightInd w:val="0"/>
        <w:snapToGrid w:val="0"/>
        <w:ind w:firstLine="480"/>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eastAsia="宋体" w:cs="Times New Roman"/>
          <w:color w:val="000000" w:themeColor="text1"/>
          <w:lang w:eastAsia="zh-CN"/>
          <w14:textFill>
            <w14:solidFill>
              <w14:schemeClr w14:val="tx1"/>
            </w14:solidFill>
          </w14:textFill>
        </w:rPr>
        <w:t>项目运营期，由于氧化塘不断蓄积污泥，导致氧化塘容积减小，净化效率降低，甚至不能正常运行。因此，氧化塘需要定期排空并进行清塘，将产生污泥清除。经查阅有关资料可知，氧化塘具有产生污泥量小的特点，其污泥产生量仅为活性污泥法所产生污泥量的1/10。本项目按氧化塘处理污水量的0.2%计，约为42.59t/a。氧化塘污泥中无有毒有害物质，属一般固废。污泥通过渣浆泵抽出后送往固液分离</w:t>
      </w:r>
      <w:r>
        <w:rPr>
          <w:rFonts w:hint="eastAsia" w:ascii="Times New Roman" w:hAnsi="Times New Roman" w:cs="Times New Roman"/>
          <w:color w:val="000000" w:themeColor="text1"/>
          <w:lang w:val="en-US" w:eastAsia="zh-CN"/>
          <w14:textFill>
            <w14:solidFill>
              <w14:schemeClr w14:val="tx1"/>
            </w14:solidFill>
          </w14:textFill>
        </w:rPr>
        <w:t>车间</w:t>
      </w:r>
      <w:r>
        <w:rPr>
          <w:rFonts w:hint="default" w:ascii="Times New Roman" w:hAnsi="Times New Roman" w:eastAsia="宋体" w:cs="Times New Roman"/>
          <w:color w:val="000000" w:themeColor="text1"/>
          <w:lang w:eastAsia="zh-CN"/>
          <w14:textFill>
            <w14:solidFill>
              <w14:schemeClr w14:val="tx1"/>
            </w14:solidFill>
          </w14:textFill>
        </w:rPr>
        <w:t>分离后，固体物质同粪污一同处理。</w:t>
      </w:r>
    </w:p>
    <w:p w14:paraId="6CAAADF7">
      <w:pPr>
        <w:pStyle w:val="37"/>
        <w:tabs>
          <w:tab w:val="left" w:pos="1321"/>
        </w:tabs>
        <w:adjustRightInd w:val="0"/>
        <w:snapToGrid w:val="0"/>
        <w:ind w:left="0"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（3）病死牛尸体（S</w:t>
      </w:r>
      <w:r>
        <w:rPr>
          <w:rFonts w:hint="default" w:ascii="Times New Roman" w:hAnsi="Times New Roman" w:eastAsia="宋体" w:cs="Times New Roman"/>
          <w:color w:val="000000" w:themeColor="text1"/>
          <w:vertAlign w:val="subscript"/>
          <w14:textFill>
            <w14:solidFill>
              <w14:schemeClr w14:val="tx1"/>
            </w14:solidFill>
          </w14:textFill>
        </w:rPr>
        <w:t>3</w:t>
      </w:r>
      <w:r>
        <w:rPr>
          <w:rFonts w:hint="default" w:ascii="Times New Roman" w:hAnsi="Times New Roman" w:eastAsia="宋体" w:cs="Times New Roman"/>
          <w:color w:val="000000" w:themeColor="text1"/>
          <w14:textFill>
            <w14:solidFill>
              <w14:schemeClr w14:val="tx1"/>
            </w14:solidFill>
          </w14:textFill>
        </w:rPr>
        <w:t>）</w:t>
      </w:r>
    </w:p>
    <w:p w14:paraId="78770A75">
      <w:pPr>
        <w:pStyle w:val="11"/>
        <w:adjustRightInd w:val="0"/>
        <w:snapToGrid w:val="0"/>
        <w:ind w:firstLine="480"/>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eastAsia="宋体" w:cs="Times New Roman"/>
          <w:color w:val="000000" w:themeColor="text1"/>
          <w:lang w:eastAsia="zh-CN"/>
          <w14:textFill>
            <w14:solidFill>
              <w14:schemeClr w14:val="tx1"/>
            </w14:solidFill>
          </w14:textFill>
        </w:rPr>
        <w:t>根据国内有关奶牛养殖的统计资料，奶牛饲养全过程死亡率约0.5%，死亡的主要</w:t>
      </w:r>
      <w:r>
        <w:rPr>
          <w:rFonts w:hint="default" w:ascii="Times New Roman" w:hAnsi="Times New Roman" w:eastAsia="宋体" w:cs="Times New Roman"/>
          <w:color w:val="000000" w:themeColor="text1"/>
          <w:spacing w:val="-4"/>
          <w:lang w:eastAsia="zh-CN"/>
          <w14:textFill>
            <w14:solidFill>
              <w14:schemeClr w14:val="tx1"/>
            </w14:solidFill>
          </w14:textFill>
        </w:rPr>
        <w:t>原因是死胎、难产及出生后</w:t>
      </w:r>
      <w:r>
        <w:rPr>
          <w:rFonts w:hint="default" w:ascii="Times New Roman" w:hAnsi="Times New Roman" w:eastAsia="宋体" w:cs="Times New Roman"/>
          <w:color w:val="000000" w:themeColor="text1"/>
          <w:lang w:eastAsia="zh-CN"/>
          <w14:textFill>
            <w14:solidFill>
              <w14:schemeClr w14:val="tx1"/>
            </w14:solidFill>
          </w14:textFill>
        </w:rPr>
        <w:t>3～100天内因营养不良、管理不善造成的犊牛夭折，约占</w:t>
      </w:r>
      <w:r>
        <w:rPr>
          <w:rFonts w:hint="default" w:ascii="Times New Roman" w:hAnsi="Times New Roman" w:eastAsia="宋体" w:cs="Times New Roman"/>
          <w:color w:val="000000" w:themeColor="text1"/>
          <w:spacing w:val="-7"/>
          <w:lang w:eastAsia="zh-CN"/>
          <w14:textFill>
            <w14:solidFill>
              <w14:schemeClr w14:val="tx1"/>
            </w14:solidFill>
          </w14:textFill>
        </w:rPr>
        <w:t>总死亡数的</w:t>
      </w:r>
      <w:r>
        <w:rPr>
          <w:rFonts w:hint="default" w:ascii="Times New Roman" w:hAnsi="Times New Roman" w:eastAsia="宋体" w:cs="Times New Roman"/>
          <w:color w:val="000000" w:themeColor="text1"/>
          <w:lang w:eastAsia="zh-CN"/>
          <w14:textFill>
            <w14:solidFill>
              <w14:schemeClr w14:val="tx1"/>
            </w14:solidFill>
          </w14:textFill>
        </w:rPr>
        <w:t>80%</w:t>
      </w:r>
      <w:r>
        <w:rPr>
          <w:rFonts w:hint="default" w:ascii="Times New Roman" w:hAnsi="Times New Roman" w:eastAsia="宋体" w:cs="Times New Roman"/>
          <w:color w:val="000000" w:themeColor="text1"/>
          <w:spacing w:val="-2"/>
          <w:lang w:eastAsia="zh-CN"/>
          <w14:textFill>
            <w14:solidFill>
              <w14:schemeClr w14:val="tx1"/>
            </w14:solidFill>
          </w14:textFill>
        </w:rPr>
        <w:t>。本次评价病死牛的产生量按常年存栏量的</w:t>
      </w:r>
      <w:r>
        <w:rPr>
          <w:rFonts w:hint="default" w:ascii="Times New Roman" w:hAnsi="Times New Roman" w:eastAsia="宋体" w:cs="Times New Roman"/>
          <w:color w:val="000000" w:themeColor="text1"/>
          <w:lang w:eastAsia="zh-CN"/>
          <w14:textFill>
            <w14:solidFill>
              <w14:schemeClr w14:val="tx1"/>
            </w14:solidFill>
          </w14:textFill>
        </w:rPr>
        <w:t>0.2%计，即年病（死）亡</w:t>
      </w:r>
      <w:r>
        <w:rPr>
          <w:rFonts w:hint="default" w:ascii="Times New Roman" w:hAnsi="Times New Roman" w:eastAsia="宋体" w:cs="Times New Roman"/>
          <w:color w:val="000000" w:themeColor="text1"/>
          <w:spacing w:val="-20"/>
          <w:lang w:eastAsia="zh-CN"/>
          <w14:textFill>
            <w14:solidFill>
              <w14:schemeClr w14:val="tx1"/>
            </w14:solidFill>
          </w14:textFill>
        </w:rPr>
        <w:t>数</w:t>
      </w:r>
      <w:r>
        <w:rPr>
          <w:rFonts w:hint="default" w:ascii="Times New Roman" w:hAnsi="Times New Roman" w:eastAsia="宋体" w:cs="Times New Roman"/>
          <w:color w:val="000000" w:themeColor="text1"/>
          <w:lang w:eastAsia="zh-CN"/>
          <w14:textFill>
            <w14:solidFill>
              <w14:schemeClr w14:val="tx1"/>
            </w14:solidFill>
          </w14:textFill>
        </w:rPr>
        <w:t>1.4</w:t>
      </w:r>
      <w:r>
        <w:rPr>
          <w:rFonts w:hint="default" w:ascii="Times New Roman" w:hAnsi="Times New Roman" w:eastAsia="宋体" w:cs="Times New Roman"/>
          <w:color w:val="000000" w:themeColor="text1"/>
          <w:spacing w:val="-7"/>
          <w:lang w:eastAsia="zh-CN"/>
          <w14:textFill>
            <w14:solidFill>
              <w14:schemeClr w14:val="tx1"/>
            </w14:solidFill>
          </w14:textFill>
        </w:rPr>
        <w:t>头，重量约</w:t>
      </w:r>
      <w:r>
        <w:rPr>
          <w:rFonts w:hint="default" w:ascii="Times New Roman" w:hAnsi="Times New Roman" w:eastAsia="宋体" w:cs="Times New Roman"/>
          <w:color w:val="000000" w:themeColor="text1"/>
          <w:lang w:eastAsia="zh-CN"/>
          <w14:textFill>
            <w14:solidFill>
              <w14:schemeClr w14:val="tx1"/>
            </w14:solidFill>
          </w14:textFill>
        </w:rPr>
        <w:t>1.75t/a。根据《国家危险废物名录》（2016版），动物病体属于为防</w:t>
      </w:r>
      <w:r>
        <w:rPr>
          <w:rFonts w:hint="default" w:ascii="Times New Roman" w:hAnsi="Times New Roman" w:eastAsia="宋体" w:cs="Times New Roman"/>
          <w:color w:val="000000" w:themeColor="text1"/>
          <w:spacing w:val="17"/>
          <w:lang w:eastAsia="zh-CN"/>
          <w14:textFill>
            <w14:solidFill>
              <w14:schemeClr w14:val="tx1"/>
            </w14:solidFill>
          </w14:textFill>
        </w:rPr>
        <w:t>治动物传染病而需要收集和处置的医疗废物，废物类别为</w:t>
      </w:r>
      <w:r>
        <w:rPr>
          <w:rFonts w:hint="default" w:ascii="Times New Roman" w:hAnsi="Times New Roman" w:eastAsia="宋体" w:cs="Times New Roman"/>
          <w:color w:val="000000" w:themeColor="text1"/>
          <w:lang w:eastAsia="zh-CN"/>
          <w14:textFill>
            <w14:solidFill>
              <w14:schemeClr w14:val="tx1"/>
            </w14:solidFill>
          </w14:textFill>
        </w:rPr>
        <w:t>HW01</w:t>
      </w:r>
      <w:r>
        <w:rPr>
          <w:rFonts w:hint="default" w:ascii="Times New Roman" w:hAnsi="Times New Roman" w:eastAsia="宋体" w:cs="Times New Roman"/>
          <w:color w:val="000000" w:themeColor="text1"/>
          <w:spacing w:val="26"/>
          <w:lang w:eastAsia="zh-CN"/>
          <w14:textFill>
            <w14:solidFill>
              <w14:schemeClr w14:val="tx1"/>
            </w14:solidFill>
          </w14:textFill>
        </w:rPr>
        <w:t>，废物代码为</w:t>
      </w:r>
      <w:r>
        <w:rPr>
          <w:rFonts w:hint="default" w:ascii="Times New Roman" w:hAnsi="Times New Roman" w:eastAsia="宋体" w:cs="Times New Roman"/>
          <w:color w:val="000000" w:themeColor="text1"/>
          <w:lang w:eastAsia="zh-CN"/>
          <w14:textFill>
            <w14:solidFill>
              <w14:schemeClr w14:val="tx1"/>
            </w14:solidFill>
          </w14:textFill>
        </w:rPr>
        <w:t>900-001-01。依照管理部门要求，食药监部门的为了加强管理规定养殖单位将病死牛全部委托有资质单位进行处理，不得私自处理。</w:t>
      </w:r>
    </w:p>
    <w:p w14:paraId="240522C7">
      <w:pPr>
        <w:pStyle w:val="37"/>
        <w:tabs>
          <w:tab w:val="left" w:pos="1321"/>
        </w:tabs>
        <w:adjustRightInd w:val="0"/>
        <w:snapToGrid w:val="0"/>
        <w:ind w:left="0"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（4）医疗废物（S</w:t>
      </w:r>
      <w:r>
        <w:rPr>
          <w:rFonts w:hint="default" w:ascii="Times New Roman" w:hAnsi="Times New Roman" w:eastAsia="宋体" w:cs="Times New Roman"/>
          <w:color w:val="000000" w:themeColor="text1"/>
          <w:vertAlign w:val="subscript"/>
          <w14:textFill>
            <w14:solidFill>
              <w14:schemeClr w14:val="tx1"/>
            </w14:solidFill>
          </w14:textFill>
        </w:rPr>
        <w:t>4</w:t>
      </w:r>
      <w:r>
        <w:rPr>
          <w:rFonts w:hint="default" w:ascii="Times New Roman" w:hAnsi="Times New Roman" w:eastAsia="宋体" w:cs="Times New Roman"/>
          <w:color w:val="000000" w:themeColor="text1"/>
          <w14:textFill>
            <w14:solidFill>
              <w14:schemeClr w14:val="tx1"/>
            </w14:solidFill>
          </w14:textFill>
        </w:rPr>
        <w:t>）</w:t>
      </w:r>
    </w:p>
    <w:p w14:paraId="44A70A80">
      <w:pPr>
        <w:pStyle w:val="11"/>
        <w:adjustRightInd w:val="0"/>
        <w:snapToGrid w:val="0"/>
        <w:ind w:firstLine="480"/>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eastAsia="宋体" w:cs="Times New Roman"/>
          <w:color w:val="000000" w:themeColor="text1"/>
          <w:lang w:eastAsia="zh-CN"/>
          <w14:textFill>
            <w14:solidFill>
              <w14:schemeClr w14:val="tx1"/>
            </w14:solidFill>
          </w14:textFill>
        </w:rPr>
        <w:t>项目产生的医疗废物主要为废一次性注射器以及废弃的药品等，根据建设单位提供的资料及类比同类养殖场就诊规模，项目建成后，在防治传染病医治过程中产生的</w:t>
      </w:r>
      <w:bookmarkStart w:id="119" w:name="3.3.4污染物源强汇总"/>
      <w:bookmarkEnd w:id="119"/>
      <w:r>
        <w:rPr>
          <w:rFonts w:hint="default" w:ascii="Times New Roman" w:hAnsi="Times New Roman" w:eastAsia="宋体" w:cs="Times New Roman"/>
          <w:color w:val="000000" w:themeColor="text1"/>
          <w:spacing w:val="-9"/>
          <w:lang w:eastAsia="zh-CN"/>
          <w14:textFill>
            <w14:solidFill>
              <w14:schemeClr w14:val="tx1"/>
            </w14:solidFill>
          </w14:textFill>
        </w:rPr>
        <w:t>医疗废物约为</w:t>
      </w:r>
      <w:r>
        <w:rPr>
          <w:rFonts w:hint="default" w:ascii="Times New Roman" w:hAnsi="Times New Roman" w:eastAsia="宋体" w:cs="Times New Roman"/>
          <w:color w:val="000000" w:themeColor="text1"/>
          <w:lang w:eastAsia="zh-CN"/>
          <w14:textFill>
            <w14:solidFill>
              <w14:schemeClr w14:val="tx1"/>
            </w14:solidFill>
          </w14:textFill>
        </w:rPr>
        <w:t>2t/a</w:t>
      </w:r>
      <w:r>
        <w:rPr>
          <w:rFonts w:hint="default" w:ascii="Times New Roman" w:hAnsi="Times New Roman" w:eastAsia="宋体" w:cs="Times New Roman"/>
          <w:color w:val="000000" w:themeColor="text1"/>
          <w:spacing w:val="-5"/>
          <w:lang w:eastAsia="zh-CN"/>
          <w14:textFill>
            <w14:solidFill>
              <w14:schemeClr w14:val="tx1"/>
            </w14:solidFill>
          </w14:textFill>
        </w:rPr>
        <w:t>。根据《国家危险废物名录》</w:t>
      </w:r>
      <w:r>
        <w:rPr>
          <w:rFonts w:hint="default" w:ascii="Times New Roman" w:hAnsi="Times New Roman" w:eastAsia="宋体" w:cs="Times New Roman"/>
          <w:color w:val="000000" w:themeColor="text1"/>
          <w:lang w:eastAsia="zh-CN"/>
          <w14:textFill>
            <w14:solidFill>
              <w14:schemeClr w14:val="tx1"/>
            </w14:solidFill>
          </w14:textFill>
        </w:rPr>
        <w:t>（2016版</w:t>
      </w:r>
      <w:r>
        <w:rPr>
          <w:rFonts w:hint="default" w:ascii="Times New Roman" w:hAnsi="Times New Roman" w:eastAsia="宋体" w:cs="Times New Roman"/>
          <w:color w:val="000000" w:themeColor="text1"/>
          <w:spacing w:val="-5"/>
          <w:lang w:eastAsia="zh-CN"/>
          <w14:textFill>
            <w14:solidFill>
              <w14:schemeClr w14:val="tx1"/>
            </w14:solidFill>
          </w14:textFill>
        </w:rPr>
        <w:t>）</w:t>
      </w:r>
      <w:r>
        <w:rPr>
          <w:rFonts w:hint="default" w:ascii="Times New Roman" w:hAnsi="Times New Roman" w:eastAsia="宋体" w:cs="Times New Roman"/>
          <w:color w:val="000000" w:themeColor="text1"/>
          <w:spacing w:val="-4"/>
          <w:lang w:eastAsia="zh-CN"/>
          <w14:textFill>
            <w14:solidFill>
              <w14:schemeClr w14:val="tx1"/>
            </w14:solidFill>
          </w14:textFill>
        </w:rPr>
        <w:t>，这部分医疗废物废物类</w:t>
      </w:r>
      <w:r>
        <w:rPr>
          <w:rFonts w:hint="default" w:ascii="Times New Roman" w:hAnsi="Times New Roman" w:eastAsia="宋体" w:cs="Times New Roman"/>
          <w:color w:val="000000" w:themeColor="text1"/>
          <w:spacing w:val="16"/>
          <w:lang w:eastAsia="zh-CN"/>
          <w14:textFill>
            <w14:solidFill>
              <w14:schemeClr w14:val="tx1"/>
            </w14:solidFill>
          </w14:textFill>
        </w:rPr>
        <w:t>别为</w:t>
      </w:r>
      <w:r>
        <w:rPr>
          <w:rFonts w:hint="default" w:ascii="Times New Roman" w:hAnsi="Times New Roman" w:eastAsia="宋体" w:cs="Times New Roman"/>
          <w:color w:val="000000" w:themeColor="text1"/>
          <w:lang w:eastAsia="zh-CN"/>
          <w14:textFill>
            <w14:solidFill>
              <w14:schemeClr w14:val="tx1"/>
            </w14:solidFill>
          </w14:textFill>
        </w:rPr>
        <w:t>HW01</w:t>
      </w:r>
      <w:r>
        <w:rPr>
          <w:rFonts w:hint="default" w:ascii="Times New Roman" w:hAnsi="Times New Roman" w:eastAsia="宋体" w:cs="Times New Roman"/>
          <w:color w:val="000000" w:themeColor="text1"/>
          <w:spacing w:val="5"/>
          <w:lang w:eastAsia="zh-CN"/>
          <w14:textFill>
            <w14:solidFill>
              <w14:schemeClr w14:val="tx1"/>
            </w14:solidFill>
          </w14:textFill>
        </w:rPr>
        <w:t>，废物代码为</w:t>
      </w:r>
      <w:r>
        <w:rPr>
          <w:rFonts w:hint="default" w:ascii="Times New Roman" w:hAnsi="Times New Roman" w:eastAsia="宋体" w:cs="Times New Roman"/>
          <w:color w:val="000000" w:themeColor="text1"/>
          <w:lang w:eastAsia="zh-CN"/>
          <w14:textFill>
            <w14:solidFill>
              <w14:schemeClr w14:val="tx1"/>
            </w14:solidFill>
          </w14:textFill>
        </w:rPr>
        <w:t>900-001-01</w:t>
      </w:r>
      <w:r>
        <w:rPr>
          <w:rFonts w:hint="default" w:ascii="Times New Roman" w:hAnsi="Times New Roman" w:eastAsia="宋体" w:cs="Times New Roman"/>
          <w:color w:val="000000" w:themeColor="text1"/>
          <w:spacing w:val="-1"/>
          <w:lang w:eastAsia="zh-CN"/>
          <w14:textFill>
            <w14:solidFill>
              <w14:schemeClr w14:val="tx1"/>
            </w14:solidFill>
          </w14:textFill>
        </w:rPr>
        <w:t>。本项目兽医室、医疗垃圾暂存间、都为砖混钢构屋面，占地面积及分别为192m</w:t>
      </w:r>
      <w:r>
        <w:rPr>
          <w:rFonts w:hint="default" w:ascii="Times New Roman" w:hAnsi="Times New Roman" w:eastAsia="宋体" w:cs="Times New Roman"/>
          <w:color w:val="000000" w:themeColor="text1"/>
          <w:spacing w:val="-1"/>
          <w:vertAlign w:val="superscript"/>
          <w:lang w:eastAsia="zh-CN"/>
          <w14:textFill>
            <w14:solidFill>
              <w14:schemeClr w14:val="tx1"/>
            </w14:solidFill>
          </w14:textFill>
        </w:rPr>
        <w:t>2</w:t>
      </w:r>
      <w:r>
        <w:rPr>
          <w:rFonts w:hint="default" w:ascii="Times New Roman" w:hAnsi="Times New Roman" w:eastAsia="宋体" w:cs="Times New Roman"/>
          <w:color w:val="000000" w:themeColor="text1"/>
          <w:spacing w:val="-1"/>
          <w:lang w:eastAsia="zh-CN"/>
          <w14:textFill>
            <w14:solidFill>
              <w14:schemeClr w14:val="tx1"/>
            </w14:solidFill>
          </w14:textFill>
        </w:rPr>
        <w:t>、20m</w:t>
      </w:r>
      <w:r>
        <w:rPr>
          <w:rFonts w:hint="default" w:ascii="Times New Roman" w:hAnsi="Times New Roman" w:eastAsia="宋体" w:cs="Times New Roman"/>
          <w:color w:val="000000" w:themeColor="text1"/>
          <w:spacing w:val="-1"/>
          <w:vertAlign w:val="superscript"/>
          <w:lang w:eastAsia="zh-CN"/>
          <w14:textFill>
            <w14:solidFill>
              <w14:schemeClr w14:val="tx1"/>
            </w14:solidFill>
          </w14:textFill>
        </w:rPr>
        <w:t>2</w:t>
      </w:r>
      <w:r>
        <w:rPr>
          <w:rFonts w:hint="default" w:ascii="Times New Roman" w:hAnsi="Times New Roman" w:eastAsia="宋体" w:cs="Times New Roman"/>
          <w:color w:val="000000" w:themeColor="text1"/>
          <w:spacing w:val="-1"/>
          <w:lang w:eastAsia="zh-CN"/>
          <w14:textFill>
            <w14:solidFill>
              <w14:schemeClr w14:val="tx1"/>
            </w14:solidFill>
          </w14:textFill>
        </w:rPr>
        <w:t>；危废间为砖混结构，占地面积为9m</w:t>
      </w:r>
      <w:r>
        <w:rPr>
          <w:rFonts w:hint="default" w:ascii="Times New Roman" w:hAnsi="Times New Roman" w:eastAsia="宋体" w:cs="Times New Roman"/>
          <w:color w:val="000000" w:themeColor="text1"/>
          <w:spacing w:val="-1"/>
          <w:vertAlign w:val="superscript"/>
          <w:lang w:eastAsia="zh-CN"/>
          <w14:textFill>
            <w14:solidFill>
              <w14:schemeClr w14:val="tx1"/>
            </w14:solidFill>
          </w14:textFill>
        </w:rPr>
        <w:t>2</w:t>
      </w:r>
      <w:r>
        <w:rPr>
          <w:rFonts w:hint="default" w:ascii="Times New Roman" w:hAnsi="Times New Roman" w:eastAsia="宋体" w:cs="Times New Roman"/>
          <w:color w:val="000000" w:themeColor="text1"/>
          <w:spacing w:val="-1"/>
          <w:lang w:eastAsia="zh-CN"/>
          <w14:textFill>
            <w14:solidFill>
              <w14:schemeClr w14:val="tx1"/>
            </w14:solidFill>
          </w14:textFill>
        </w:rPr>
        <w:t>。医疗废物集中收集后暂存于</w:t>
      </w:r>
      <w:r>
        <w:rPr>
          <w:rFonts w:hint="eastAsia" w:ascii="Times New Roman" w:hAnsi="Times New Roman" w:cs="Times New Roman"/>
          <w:color w:val="000000" w:themeColor="text1"/>
          <w:spacing w:val="-1"/>
          <w:lang w:val="en-US" w:eastAsia="zh-CN"/>
          <w14:textFill>
            <w14:solidFill>
              <w14:schemeClr w14:val="tx1"/>
            </w14:solidFill>
          </w14:textFill>
        </w:rPr>
        <w:t>医疗废物暂</w:t>
      </w:r>
      <w:r>
        <w:rPr>
          <w:rFonts w:hint="default" w:ascii="Times New Roman" w:hAnsi="Times New Roman" w:eastAsia="宋体" w:cs="Times New Roman"/>
          <w:color w:val="000000" w:themeColor="text1"/>
          <w:spacing w:val="-1"/>
          <w:lang w:eastAsia="zh-CN"/>
          <w14:textFill>
            <w14:solidFill>
              <w14:schemeClr w14:val="tx1"/>
            </w14:solidFill>
          </w14:textFill>
        </w:rPr>
        <w:t>存间，委托有医疗废物处理资质的</w:t>
      </w:r>
      <w:r>
        <w:rPr>
          <w:rFonts w:hint="default" w:ascii="Times New Roman" w:hAnsi="Times New Roman" w:eastAsia="宋体" w:cs="Times New Roman"/>
          <w:color w:val="000000" w:themeColor="text1"/>
          <w:lang w:eastAsia="zh-CN"/>
          <w14:textFill>
            <w14:solidFill>
              <w14:schemeClr w14:val="tx1"/>
            </w14:solidFill>
          </w14:textFill>
        </w:rPr>
        <w:t>单位集中处理。</w:t>
      </w:r>
    </w:p>
    <w:p w14:paraId="721F31BE">
      <w:pPr>
        <w:pStyle w:val="11"/>
        <w:adjustRightInd w:val="0"/>
        <w:snapToGrid w:val="0"/>
        <w:ind w:firstLine="480"/>
        <w:rPr>
          <w:rFonts w:hint="default" w:ascii="Times New Roman" w:hAnsi="Times New Roman" w:eastAsia="宋体" w:cs="Times New Roman"/>
          <w:color w:val="0000FF"/>
          <w:lang w:eastAsia="zh-CN"/>
        </w:rPr>
      </w:pPr>
      <w:r>
        <w:rPr>
          <w:rFonts w:hint="default" w:ascii="Times New Roman" w:hAnsi="Times New Roman" w:eastAsia="宋体" w:cs="Times New Roman"/>
          <w:color w:val="0000FF"/>
          <w:lang w:eastAsia="zh-CN"/>
        </w:rPr>
        <w:t>（5）</w:t>
      </w:r>
      <w:r>
        <w:rPr>
          <w:rFonts w:hint="default" w:ascii="Times New Roman" w:hAnsi="Times New Roman" w:eastAsia="宋体" w:cs="Times New Roman"/>
          <w:color w:val="0000FF"/>
          <w:lang w:val="zh-CN" w:eastAsia="zh-CN"/>
        </w:rPr>
        <w:t>酸碱液桶</w:t>
      </w:r>
      <w:r>
        <w:rPr>
          <w:rFonts w:hint="eastAsia" w:ascii="Times New Roman" w:hAnsi="Times New Roman" w:cs="Times New Roman"/>
          <w:color w:val="0000FF"/>
          <w:lang w:val="zh-CN" w:eastAsia="zh-CN"/>
        </w:rPr>
        <w:t>（</w:t>
      </w:r>
      <w:r>
        <w:rPr>
          <w:rFonts w:hint="eastAsia" w:ascii="Times New Roman" w:hAnsi="Times New Roman" w:cs="Times New Roman"/>
          <w:color w:val="0000FF"/>
          <w:lang w:val="en-US" w:eastAsia="zh-CN"/>
        </w:rPr>
        <w:t>S</w:t>
      </w:r>
      <w:r>
        <w:rPr>
          <w:rFonts w:hint="eastAsia" w:ascii="Times New Roman" w:hAnsi="Times New Roman" w:cs="Times New Roman"/>
          <w:color w:val="0000FF"/>
          <w:vertAlign w:val="subscript"/>
          <w:lang w:val="en-US" w:eastAsia="zh-CN"/>
        </w:rPr>
        <w:t>5</w:t>
      </w:r>
      <w:r>
        <w:rPr>
          <w:rFonts w:hint="eastAsia" w:ascii="Times New Roman" w:hAnsi="Times New Roman" w:cs="Times New Roman"/>
          <w:color w:val="0000FF"/>
          <w:lang w:val="zh-CN" w:eastAsia="zh-CN"/>
        </w:rPr>
        <w:t>）</w:t>
      </w:r>
    </w:p>
    <w:p w14:paraId="2B83B6C4">
      <w:pPr>
        <w:pStyle w:val="11"/>
        <w:adjustRightInd w:val="0"/>
        <w:snapToGrid w:val="0"/>
        <w:ind w:firstLine="480"/>
        <w:rPr>
          <w:rFonts w:hint="default" w:ascii="Times New Roman" w:hAnsi="Times New Roman" w:eastAsia="宋体" w:cs="Times New Roman"/>
          <w:color w:val="0000FF"/>
          <w:lang w:val="en-US" w:eastAsia="zh-CN"/>
        </w:rPr>
      </w:pPr>
      <w:r>
        <w:rPr>
          <w:rFonts w:hint="default" w:ascii="Times New Roman" w:hAnsi="Times New Roman" w:eastAsia="宋体" w:cs="Times New Roman"/>
          <w:color w:val="0000FF"/>
          <w:lang w:eastAsia="zh-CN"/>
        </w:rPr>
        <w:t>根据《国家危险废物名录》（20</w:t>
      </w:r>
      <w:r>
        <w:rPr>
          <w:rFonts w:hint="eastAsia" w:ascii="Times New Roman" w:hAnsi="Times New Roman" w:cs="Times New Roman"/>
          <w:color w:val="0000FF"/>
          <w:lang w:val="en-US" w:eastAsia="zh-CN"/>
        </w:rPr>
        <w:t>21</w:t>
      </w:r>
      <w:r>
        <w:rPr>
          <w:rFonts w:hint="default" w:ascii="Times New Roman" w:hAnsi="Times New Roman" w:eastAsia="宋体" w:cs="Times New Roman"/>
          <w:color w:val="0000FF"/>
          <w:lang w:eastAsia="zh-CN"/>
        </w:rPr>
        <w:t>版），含有或沾染毒性、感染性危险废物的废弃包装物、容器、过滤吸附介质为危险废物，归类HW49，废物代码：900-041-49。</w:t>
      </w:r>
      <w:r>
        <w:rPr>
          <w:rFonts w:hint="eastAsia" w:ascii="Times New Roman" w:hAnsi="Times New Roman" w:cs="Times New Roman"/>
          <w:color w:val="0000FF"/>
          <w:lang w:val="en-US" w:eastAsia="zh-CN"/>
        </w:rPr>
        <w:t>本项目挤奶厅设备冲洗采用酸碱液进行冲洗，酸碱液年用量为0.3t，采用塑料桶装，每桶50kg，共6桶。废桶暂存于危废暂存间内，定期送往有资质的单位处理。</w:t>
      </w:r>
    </w:p>
    <w:p w14:paraId="5C44B1D9">
      <w:pPr>
        <w:pStyle w:val="11"/>
        <w:adjustRightInd w:val="0"/>
        <w:snapToGrid w:val="0"/>
        <w:ind w:firstLine="480"/>
        <w:rPr>
          <w:rFonts w:hint="default" w:ascii="Times New Roman" w:hAnsi="Times New Roman" w:eastAsia="宋体" w:cs="Times New Roman"/>
          <w:color w:val="000000" w:themeColor="text1"/>
          <w:lang w:eastAsia="zh-CN"/>
          <w14:textFill>
            <w14:solidFill>
              <w14:schemeClr w14:val="tx1"/>
            </w14:solidFill>
          </w14:textFill>
        </w:rPr>
      </w:pPr>
      <w:r>
        <w:rPr>
          <w:rFonts w:hint="eastAsia" w:ascii="Times New Roman" w:hAnsi="Times New Roman" w:cs="Times New Roman"/>
          <w:color w:val="000000" w:themeColor="text1"/>
          <w:lang w:eastAsia="zh-CN"/>
          <w14:textFill>
            <w14:solidFill>
              <w14:schemeClr w14:val="tx1"/>
            </w14:solidFill>
          </w14:textFill>
        </w:rPr>
        <w:t>（</w:t>
      </w:r>
      <w:r>
        <w:rPr>
          <w:rFonts w:hint="eastAsia" w:ascii="Times New Roman" w:hAnsi="Times New Roman" w:cs="Times New Roman"/>
          <w:color w:val="000000" w:themeColor="text1"/>
          <w:lang w:val="en-US" w:eastAsia="zh-CN"/>
          <w14:textFill>
            <w14:solidFill>
              <w14:schemeClr w14:val="tx1"/>
            </w14:solidFill>
          </w14:textFill>
        </w:rPr>
        <w:t>6</w:t>
      </w:r>
      <w:r>
        <w:rPr>
          <w:rFonts w:hint="eastAsia" w:ascii="Times New Roman" w:hAnsi="Times New Roman" w:cs="Times New Roman"/>
          <w:color w:val="000000" w:themeColor="text1"/>
          <w:lang w:eastAsia="zh-CN"/>
          <w14:textFill>
            <w14:solidFill>
              <w14:schemeClr w14:val="tx1"/>
            </w14:solidFill>
          </w14:textFill>
        </w:rPr>
        <w:t>）</w:t>
      </w:r>
      <w:r>
        <w:rPr>
          <w:rFonts w:hint="default" w:ascii="Times New Roman" w:hAnsi="Times New Roman" w:eastAsia="宋体" w:cs="Times New Roman"/>
          <w:color w:val="000000" w:themeColor="text1"/>
          <w:lang w:eastAsia="zh-CN"/>
          <w14:textFill>
            <w14:solidFill>
              <w14:schemeClr w14:val="tx1"/>
            </w14:solidFill>
          </w14:textFill>
        </w:rPr>
        <w:t>废机油（S</w:t>
      </w:r>
      <w:r>
        <w:rPr>
          <w:rFonts w:hint="eastAsia" w:ascii="Times New Roman" w:hAnsi="Times New Roman" w:cs="Times New Roman"/>
          <w:color w:val="000000" w:themeColor="text1"/>
          <w:lang w:val="en-US" w:eastAsia="zh-CN"/>
          <w14:textFill>
            <w14:solidFill>
              <w14:schemeClr w14:val="tx1"/>
            </w14:solidFill>
          </w14:textFill>
        </w:rPr>
        <w:t>6</w:t>
      </w:r>
      <w:r>
        <w:rPr>
          <w:rFonts w:hint="default" w:ascii="Times New Roman" w:hAnsi="Times New Roman" w:eastAsia="宋体" w:cs="Times New Roman"/>
          <w:color w:val="000000" w:themeColor="text1"/>
          <w:lang w:eastAsia="zh-CN"/>
          <w14:textFill>
            <w14:solidFill>
              <w14:schemeClr w14:val="tx1"/>
            </w14:solidFill>
          </w14:textFill>
        </w:rPr>
        <w:t>）</w:t>
      </w:r>
    </w:p>
    <w:p w14:paraId="6289791F">
      <w:pPr>
        <w:pStyle w:val="11"/>
        <w:adjustRightInd w:val="0"/>
        <w:snapToGrid w:val="0"/>
        <w:ind w:firstLine="480"/>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eastAsia="宋体" w:cs="Times New Roman"/>
          <w:color w:val="000000" w:themeColor="text1"/>
          <w:lang w:eastAsia="zh-CN"/>
          <w14:textFill>
            <w14:solidFill>
              <w14:schemeClr w14:val="tx1"/>
            </w14:solidFill>
          </w14:textFill>
        </w:rPr>
        <w:t>场内车辆在维护和维修时不可避免的会产生废机油，产生量约为0.5t/a。经查阅《国家危险废物名录（2016年版）》，废机油属于危险废物，废物类别为HW08（废矿物油与含矿物油废物），废物代码为900-214-08（车辆、机械维修和拆解过程中产生的废发动机油、制动器油、自动变速器油、齿轮油等废润滑油），养殖场产生的废机油经桶装后暂存于危废暂存间内，定期送往有资质的单位处理。</w:t>
      </w:r>
    </w:p>
    <w:p w14:paraId="621140B1">
      <w:pPr>
        <w:pStyle w:val="37"/>
        <w:tabs>
          <w:tab w:val="left" w:pos="1321"/>
        </w:tabs>
        <w:adjustRightInd w:val="0"/>
        <w:snapToGrid w:val="0"/>
        <w:ind w:left="0"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（6）生活垃圾（S</w:t>
      </w:r>
      <w:r>
        <w:rPr>
          <w:rFonts w:hint="eastAsia" w:cs="Times New Roman"/>
          <w:color w:val="000000" w:themeColor="text1"/>
          <w:vertAlign w:val="subscript"/>
          <w:lang w:val="en-US" w:eastAsia="zh-CN"/>
          <w14:textFill>
            <w14:solidFill>
              <w14:schemeClr w14:val="tx1"/>
            </w14:solidFill>
          </w14:textFill>
        </w:rPr>
        <w:t>7</w:t>
      </w:r>
      <w:r>
        <w:rPr>
          <w:rFonts w:hint="default" w:ascii="Times New Roman" w:hAnsi="Times New Roman" w:eastAsia="宋体" w:cs="Times New Roman"/>
          <w:color w:val="000000" w:themeColor="text1"/>
          <w14:textFill>
            <w14:solidFill>
              <w14:schemeClr w14:val="tx1"/>
            </w14:solidFill>
          </w14:textFill>
        </w:rPr>
        <w:t>）</w:t>
      </w:r>
    </w:p>
    <w:p w14:paraId="0AD58F42">
      <w:pPr>
        <w:pStyle w:val="11"/>
        <w:adjustRightInd w:val="0"/>
        <w:snapToGrid w:val="0"/>
        <w:ind w:firstLine="480"/>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eastAsia="宋体" w:cs="Times New Roman"/>
          <w:color w:val="000000" w:themeColor="text1"/>
          <w:lang w:eastAsia="zh-CN"/>
          <w14:textFill>
            <w14:solidFill>
              <w14:schemeClr w14:val="tx1"/>
            </w14:solidFill>
          </w14:textFill>
        </w:rPr>
        <w:t>本项目劳动定员30人，人均生活垃圾产生量按照0.5kg/d计算，则生活垃圾的产生量为5.475t/a，场区设垃圾箱，收集后交由当地环卫部门统一处理。</w:t>
      </w:r>
    </w:p>
    <w:p w14:paraId="7FA0BAC0">
      <w:pPr>
        <w:pStyle w:val="11"/>
        <w:adjustRightInd w:val="0"/>
        <w:snapToGrid w:val="0"/>
        <w:ind w:firstLine="480"/>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本项目产生固体废物情况见表3.</w:t>
      </w:r>
      <w:r>
        <w:rPr>
          <w:rFonts w:hint="eastAsia" w:ascii="Times New Roman" w:hAnsi="Times New Roman" w:cs="Times New Roman"/>
          <w:color w:val="000000" w:themeColor="text1"/>
          <w:lang w:val="en-US" w:eastAsia="zh-CN"/>
          <w14:textFill>
            <w14:solidFill>
              <w14:schemeClr w14:val="tx1"/>
            </w14:solidFill>
          </w14:textFill>
        </w:rPr>
        <w:t>3</w:t>
      </w:r>
      <w:r>
        <w:rPr>
          <w:rFonts w:hint="default" w:ascii="Times New Roman" w:hAnsi="Times New Roman" w:eastAsia="宋体" w:cs="Times New Roman"/>
          <w:color w:val="000000" w:themeColor="text1"/>
          <w:lang w:val="en-US" w:eastAsia="zh-CN"/>
          <w14:textFill>
            <w14:solidFill>
              <w14:schemeClr w14:val="tx1"/>
            </w14:solidFill>
          </w14:textFill>
        </w:rPr>
        <w:t>-9。</w:t>
      </w:r>
    </w:p>
    <w:p w14:paraId="2E452F91">
      <w:pPr>
        <w:pStyle w:val="11"/>
        <w:adjustRightInd w:val="0"/>
        <w:snapToGrid w:val="0"/>
        <w:ind w:left="0" w:leftChars="0" w:firstLine="0" w:firstLineChars="0"/>
        <w:jc w:val="center"/>
        <w:rPr>
          <w:rFonts w:hint="default" w:ascii="Times New Roman" w:hAnsi="Times New Roman" w:eastAsia="宋体" w:cs="Times New Roman"/>
          <w:b/>
          <w:bCs/>
          <w:color w:val="000000" w:themeColor="text1"/>
          <w:lang w:eastAsia="zh-CN"/>
          <w14:textFill>
            <w14:solidFill>
              <w14:schemeClr w14:val="tx1"/>
            </w14:solidFill>
          </w14:textFill>
        </w:rPr>
      </w:pPr>
      <w:r>
        <w:rPr>
          <w:rFonts w:hint="default" w:ascii="Times New Roman" w:hAnsi="Times New Roman" w:eastAsia="宋体" w:cs="Times New Roman"/>
          <w:b/>
          <w:bCs/>
          <w:color w:val="000000" w:themeColor="text1"/>
          <w:lang w:val="en-US" w:eastAsia="zh-CN"/>
          <w14:textFill>
            <w14:solidFill>
              <w14:schemeClr w14:val="tx1"/>
            </w14:solidFill>
          </w14:textFill>
        </w:rPr>
        <w:t>表3.</w:t>
      </w:r>
      <w:r>
        <w:rPr>
          <w:rFonts w:hint="eastAsia" w:ascii="Times New Roman" w:hAnsi="Times New Roman" w:cs="Times New Roman"/>
          <w:b/>
          <w:bCs/>
          <w:color w:val="000000" w:themeColor="text1"/>
          <w:lang w:val="en-US" w:eastAsia="zh-CN"/>
          <w14:textFill>
            <w14:solidFill>
              <w14:schemeClr w14:val="tx1"/>
            </w14:solidFill>
          </w14:textFill>
        </w:rPr>
        <w:t>3</w:t>
      </w:r>
      <w:r>
        <w:rPr>
          <w:rFonts w:hint="default" w:ascii="Times New Roman" w:hAnsi="Times New Roman" w:eastAsia="宋体" w:cs="Times New Roman"/>
          <w:b/>
          <w:bCs/>
          <w:color w:val="000000" w:themeColor="text1"/>
          <w:lang w:val="en-US" w:eastAsia="zh-CN"/>
          <w14:textFill>
            <w14:solidFill>
              <w14:schemeClr w14:val="tx1"/>
            </w14:solidFill>
          </w14:textFill>
        </w:rPr>
        <w:t>-9本项目固体废物污染源源强核算一览表</w:t>
      </w:r>
    </w:p>
    <w:tbl>
      <w:tblPr>
        <w:tblStyle w:val="35"/>
        <w:tblW w:w="87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203"/>
        <w:gridCol w:w="1485"/>
        <w:gridCol w:w="1680"/>
        <w:gridCol w:w="4410"/>
      </w:tblGrid>
      <w:tr w14:paraId="71A90A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1203" w:type="dxa"/>
            <w:vMerge w:val="restart"/>
            <w:vAlign w:val="center"/>
          </w:tcPr>
          <w:p w14:paraId="66230E39">
            <w:pPr>
              <w:widowControl w:val="0"/>
              <w:adjustRightInd w:val="0"/>
              <w:snapToGrid w:val="0"/>
              <w:spacing w:line="240" w:lineRule="auto"/>
              <w:ind w:firstLine="0" w:firstLineChars="0"/>
              <w:jc w:val="center"/>
              <w:rPr>
                <w:rFonts w:hint="default" w:ascii="Times New Roman" w:hAnsi="Times New Roman" w:eastAsia="宋体" w:cs="Times New Roman"/>
                <w:b/>
                <w:bCs/>
                <w:color w:val="000000" w:themeColor="text1"/>
                <w:kern w:val="2"/>
                <w:sz w:val="21"/>
                <w:szCs w:val="24"/>
                <w:lang w:val="zh-CN" w:eastAsia="zh-CN" w:bidi="zh-CN"/>
                <w14:textFill>
                  <w14:solidFill>
                    <w14:schemeClr w14:val="tx1"/>
                  </w14:solidFill>
                </w14:textFill>
              </w:rPr>
            </w:pPr>
            <w:r>
              <w:rPr>
                <w:rFonts w:hint="default" w:ascii="Times New Roman" w:hAnsi="Times New Roman" w:eastAsia="宋体" w:cs="Times New Roman"/>
                <w:b/>
                <w:bCs/>
                <w:color w:val="000000" w:themeColor="text1"/>
                <w:kern w:val="2"/>
                <w:sz w:val="21"/>
                <w:szCs w:val="24"/>
                <w:lang w:val="zh-CN" w:eastAsia="zh-CN" w:bidi="zh-CN"/>
                <w14:textFill>
                  <w14:solidFill>
                    <w14:schemeClr w14:val="tx1"/>
                  </w14:solidFill>
                </w14:textFill>
              </w:rPr>
              <w:t>污染源</w:t>
            </w:r>
          </w:p>
        </w:tc>
        <w:tc>
          <w:tcPr>
            <w:tcW w:w="1485" w:type="dxa"/>
            <w:vMerge w:val="restart"/>
            <w:vAlign w:val="center"/>
          </w:tcPr>
          <w:p w14:paraId="21C8D745">
            <w:pPr>
              <w:widowControl w:val="0"/>
              <w:adjustRightInd w:val="0"/>
              <w:snapToGrid w:val="0"/>
              <w:spacing w:line="240" w:lineRule="auto"/>
              <w:ind w:firstLine="0" w:firstLineChars="0"/>
              <w:jc w:val="center"/>
              <w:rPr>
                <w:rFonts w:hint="default" w:ascii="Times New Roman" w:hAnsi="Times New Roman" w:eastAsia="宋体" w:cs="Times New Roman"/>
                <w:b/>
                <w:bCs/>
                <w:color w:val="000000" w:themeColor="text1"/>
                <w:kern w:val="2"/>
                <w:sz w:val="21"/>
                <w:szCs w:val="24"/>
                <w:lang w:val="zh-CN" w:eastAsia="zh-CN" w:bidi="zh-CN"/>
                <w14:textFill>
                  <w14:solidFill>
                    <w14:schemeClr w14:val="tx1"/>
                  </w14:solidFill>
                </w14:textFill>
              </w:rPr>
            </w:pPr>
            <w:r>
              <w:rPr>
                <w:rFonts w:hint="default" w:ascii="Times New Roman" w:hAnsi="Times New Roman" w:eastAsia="宋体" w:cs="Times New Roman"/>
                <w:b/>
                <w:bCs/>
                <w:color w:val="000000" w:themeColor="text1"/>
                <w:kern w:val="2"/>
                <w:sz w:val="21"/>
                <w:szCs w:val="24"/>
                <w:lang w:val="zh-CN" w:eastAsia="zh-CN" w:bidi="zh-CN"/>
                <w14:textFill>
                  <w14:solidFill>
                    <w14:schemeClr w14:val="tx1"/>
                  </w14:solidFill>
                </w14:textFill>
              </w:rPr>
              <w:t>主要污染源</w:t>
            </w:r>
          </w:p>
        </w:tc>
        <w:tc>
          <w:tcPr>
            <w:tcW w:w="1680" w:type="dxa"/>
            <w:vMerge w:val="restart"/>
            <w:vAlign w:val="center"/>
          </w:tcPr>
          <w:p w14:paraId="380AD6A9">
            <w:pPr>
              <w:widowControl w:val="0"/>
              <w:adjustRightInd w:val="0"/>
              <w:snapToGrid w:val="0"/>
              <w:spacing w:line="240" w:lineRule="auto"/>
              <w:ind w:firstLine="0" w:firstLineChars="0"/>
              <w:jc w:val="center"/>
              <w:rPr>
                <w:rFonts w:hint="eastAsia" w:ascii="Times New Roman" w:hAnsi="Times New Roman" w:eastAsia="宋体" w:cs="Times New Roman"/>
                <w:b/>
                <w:bCs/>
                <w:color w:val="000000" w:themeColor="text1"/>
                <w:kern w:val="2"/>
                <w:sz w:val="21"/>
                <w:szCs w:val="24"/>
                <w:lang w:val="en-US" w:eastAsia="zh-CN" w:bidi="zh-CN"/>
                <w14:textFill>
                  <w14:solidFill>
                    <w14:schemeClr w14:val="tx1"/>
                  </w14:solidFill>
                </w14:textFill>
              </w:rPr>
            </w:pPr>
            <w:r>
              <w:rPr>
                <w:rFonts w:hint="eastAsia" w:ascii="Times New Roman" w:hAnsi="Times New Roman" w:eastAsia="宋体" w:cs="Times New Roman"/>
                <w:b/>
                <w:bCs/>
                <w:color w:val="000000" w:themeColor="text1"/>
                <w:kern w:val="2"/>
                <w:sz w:val="21"/>
                <w:szCs w:val="24"/>
                <w:lang w:val="en-US" w:eastAsia="zh-CN" w:bidi="zh-CN"/>
                <w14:textFill>
                  <w14:solidFill>
                    <w14:schemeClr w14:val="tx1"/>
                  </w14:solidFill>
                </w14:textFill>
              </w:rPr>
              <w:t>产生量</w:t>
            </w:r>
          </w:p>
        </w:tc>
        <w:tc>
          <w:tcPr>
            <w:tcW w:w="4410" w:type="dxa"/>
            <w:vMerge w:val="restart"/>
            <w:vAlign w:val="center"/>
          </w:tcPr>
          <w:p w14:paraId="4C1C8A0A">
            <w:pPr>
              <w:widowControl w:val="0"/>
              <w:adjustRightInd w:val="0"/>
              <w:snapToGrid w:val="0"/>
              <w:spacing w:line="240" w:lineRule="auto"/>
              <w:ind w:firstLine="0" w:firstLineChars="0"/>
              <w:jc w:val="center"/>
              <w:rPr>
                <w:rFonts w:hint="default" w:ascii="Times New Roman" w:hAnsi="Times New Roman" w:eastAsia="宋体" w:cs="Times New Roman"/>
                <w:b/>
                <w:bCs/>
                <w:color w:val="000000" w:themeColor="text1"/>
                <w:kern w:val="2"/>
                <w:sz w:val="21"/>
                <w:szCs w:val="24"/>
                <w:lang w:val="en-US" w:eastAsia="zh-CN" w:bidi="zh-CN"/>
                <w14:textFill>
                  <w14:solidFill>
                    <w14:schemeClr w14:val="tx1"/>
                  </w14:solidFill>
                </w14:textFill>
              </w:rPr>
            </w:pPr>
            <w:r>
              <w:rPr>
                <w:rFonts w:hint="eastAsia" w:ascii="Times New Roman" w:hAnsi="Times New Roman" w:eastAsia="宋体" w:cs="Times New Roman"/>
                <w:b/>
                <w:bCs/>
                <w:color w:val="000000" w:themeColor="text1"/>
                <w:kern w:val="2"/>
                <w:sz w:val="21"/>
                <w:szCs w:val="24"/>
                <w:lang w:val="en-US" w:eastAsia="zh-CN" w:bidi="zh-CN"/>
                <w14:textFill>
                  <w14:solidFill>
                    <w14:schemeClr w14:val="tx1"/>
                  </w14:solidFill>
                </w14:textFill>
              </w:rPr>
              <w:t>排放去向</w:t>
            </w:r>
          </w:p>
        </w:tc>
      </w:tr>
      <w:tr w14:paraId="293C5A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1203" w:type="dxa"/>
            <w:vMerge w:val="continue"/>
            <w:vAlign w:val="center"/>
          </w:tcPr>
          <w:p w14:paraId="18B9D04B">
            <w:pPr>
              <w:adjustRightInd w:val="0"/>
              <w:snapToGrid w:val="0"/>
              <w:spacing w:line="240" w:lineRule="auto"/>
              <w:ind w:firstLine="0" w:firstLineChars="0"/>
              <w:jc w:val="center"/>
              <w:rPr>
                <w:rFonts w:hint="default" w:ascii="Times New Roman" w:hAnsi="Times New Roman" w:eastAsia="宋体" w:cs="Times New Roman"/>
                <w:color w:val="000000" w:themeColor="text1"/>
                <w:sz w:val="2"/>
                <w:szCs w:val="2"/>
                <w14:textFill>
                  <w14:solidFill>
                    <w14:schemeClr w14:val="tx1"/>
                  </w14:solidFill>
                </w14:textFill>
              </w:rPr>
            </w:pPr>
          </w:p>
        </w:tc>
        <w:tc>
          <w:tcPr>
            <w:tcW w:w="1485" w:type="dxa"/>
            <w:vMerge w:val="continue"/>
            <w:vAlign w:val="center"/>
          </w:tcPr>
          <w:p w14:paraId="5868AECC">
            <w:pPr>
              <w:adjustRightInd w:val="0"/>
              <w:snapToGrid w:val="0"/>
              <w:spacing w:line="240" w:lineRule="auto"/>
              <w:ind w:firstLine="0" w:firstLineChars="0"/>
              <w:jc w:val="center"/>
              <w:rPr>
                <w:rFonts w:hint="default" w:ascii="Times New Roman" w:hAnsi="Times New Roman" w:eastAsia="宋体" w:cs="Times New Roman"/>
                <w:color w:val="000000" w:themeColor="text1"/>
                <w:sz w:val="2"/>
                <w:szCs w:val="2"/>
                <w14:textFill>
                  <w14:solidFill>
                    <w14:schemeClr w14:val="tx1"/>
                  </w14:solidFill>
                </w14:textFill>
              </w:rPr>
            </w:pPr>
          </w:p>
        </w:tc>
        <w:tc>
          <w:tcPr>
            <w:tcW w:w="1680" w:type="dxa"/>
            <w:vMerge w:val="continue"/>
            <w:vAlign w:val="center"/>
          </w:tcPr>
          <w:p w14:paraId="378DBDE9">
            <w:pPr>
              <w:widowControl w:val="0"/>
              <w:adjustRightInd w:val="0"/>
              <w:snapToGrid w:val="0"/>
              <w:spacing w:line="240" w:lineRule="auto"/>
              <w:ind w:firstLine="0" w:firstLineChars="0"/>
              <w:jc w:val="center"/>
              <w:rPr>
                <w:rFonts w:hint="default" w:ascii="Times New Roman" w:hAnsi="Times New Roman" w:eastAsia="宋体" w:cs="Times New Roman"/>
                <w:color w:val="000000" w:themeColor="text1"/>
                <w:kern w:val="2"/>
                <w:sz w:val="21"/>
                <w:szCs w:val="24"/>
                <w:lang w:val="zh-CN" w:eastAsia="zh-CN" w:bidi="zh-CN"/>
                <w14:textFill>
                  <w14:solidFill>
                    <w14:schemeClr w14:val="tx1"/>
                  </w14:solidFill>
                </w14:textFill>
              </w:rPr>
            </w:pPr>
          </w:p>
        </w:tc>
        <w:tc>
          <w:tcPr>
            <w:tcW w:w="4410" w:type="dxa"/>
            <w:vMerge w:val="continue"/>
            <w:vAlign w:val="center"/>
          </w:tcPr>
          <w:p w14:paraId="42B657EA">
            <w:pPr>
              <w:adjustRightInd w:val="0"/>
              <w:snapToGrid w:val="0"/>
              <w:spacing w:line="240" w:lineRule="auto"/>
              <w:ind w:firstLine="0" w:firstLineChars="0"/>
              <w:jc w:val="center"/>
              <w:rPr>
                <w:rFonts w:hint="default" w:ascii="Times New Roman" w:hAnsi="Times New Roman" w:eastAsia="宋体" w:cs="Times New Roman"/>
                <w:color w:val="000000" w:themeColor="text1"/>
                <w:sz w:val="2"/>
                <w:szCs w:val="2"/>
                <w14:textFill>
                  <w14:solidFill>
                    <w14:schemeClr w14:val="tx1"/>
                  </w14:solidFill>
                </w14:textFill>
              </w:rPr>
            </w:pPr>
          </w:p>
        </w:tc>
      </w:tr>
      <w:tr w14:paraId="3A49F3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203" w:type="dxa"/>
            <w:vMerge w:val="restart"/>
            <w:vAlign w:val="center"/>
          </w:tcPr>
          <w:p w14:paraId="083ABCAD">
            <w:pPr>
              <w:widowControl w:val="0"/>
              <w:adjustRightInd w:val="0"/>
              <w:snapToGrid w:val="0"/>
              <w:spacing w:line="240" w:lineRule="auto"/>
              <w:ind w:firstLine="0" w:firstLineChars="0"/>
              <w:jc w:val="center"/>
              <w:rPr>
                <w:rFonts w:hint="default" w:ascii="Times New Roman" w:hAnsi="Times New Roman" w:eastAsia="宋体" w:cs="Times New Roman"/>
                <w:color w:val="000000" w:themeColor="text1"/>
                <w:kern w:val="2"/>
                <w:sz w:val="21"/>
                <w:szCs w:val="24"/>
                <w:lang w:val="zh-CN" w:eastAsia="zh-CN" w:bidi="zh-CN"/>
                <w14:textFill>
                  <w14:solidFill>
                    <w14:schemeClr w14:val="tx1"/>
                  </w14:solidFill>
                </w14:textFill>
              </w:rPr>
            </w:pPr>
            <w:r>
              <w:rPr>
                <w:rFonts w:hint="default" w:ascii="Times New Roman" w:hAnsi="Times New Roman" w:eastAsia="宋体" w:cs="Times New Roman"/>
                <w:color w:val="000000" w:themeColor="text1"/>
                <w:kern w:val="2"/>
                <w:sz w:val="21"/>
                <w:szCs w:val="21"/>
                <w:lang w:val="zh-CN" w:eastAsia="zh-CN" w:bidi="zh-CN"/>
                <w14:textFill>
                  <w14:solidFill>
                    <w14:schemeClr w14:val="tx1"/>
                  </w14:solidFill>
                </w14:textFill>
              </w:rPr>
              <w:t>养殖区</w:t>
            </w:r>
          </w:p>
        </w:tc>
        <w:tc>
          <w:tcPr>
            <w:tcW w:w="1485" w:type="dxa"/>
            <w:vAlign w:val="center"/>
          </w:tcPr>
          <w:p w14:paraId="41B1A1D3">
            <w:pPr>
              <w:widowControl w:val="0"/>
              <w:adjustRightInd w:val="0"/>
              <w:snapToGrid w:val="0"/>
              <w:spacing w:line="240" w:lineRule="auto"/>
              <w:ind w:firstLine="0" w:firstLineChars="0"/>
              <w:jc w:val="center"/>
              <w:rPr>
                <w:rFonts w:hint="default" w:ascii="Times New Roman" w:hAnsi="Times New Roman" w:eastAsia="宋体" w:cs="Times New Roman"/>
                <w:color w:val="0000FF"/>
                <w:kern w:val="2"/>
                <w:sz w:val="21"/>
                <w:szCs w:val="24"/>
                <w:lang w:val="zh-CN" w:eastAsia="zh-CN" w:bidi="zh-CN"/>
              </w:rPr>
            </w:pPr>
            <w:r>
              <w:rPr>
                <w:rFonts w:hint="default" w:ascii="Times New Roman" w:hAnsi="Times New Roman" w:eastAsia="宋体" w:cs="Times New Roman"/>
                <w:color w:val="0000FF"/>
                <w:kern w:val="2"/>
                <w:sz w:val="21"/>
                <w:szCs w:val="24"/>
                <w:lang w:val="zh-CN" w:eastAsia="zh-CN" w:bidi="zh-CN"/>
              </w:rPr>
              <w:t>牛粪</w:t>
            </w:r>
          </w:p>
        </w:tc>
        <w:tc>
          <w:tcPr>
            <w:tcW w:w="1680" w:type="dxa"/>
            <w:vAlign w:val="center"/>
          </w:tcPr>
          <w:p w14:paraId="02FAD0D7">
            <w:pPr>
              <w:widowControl w:val="0"/>
              <w:adjustRightInd w:val="0"/>
              <w:snapToGrid w:val="0"/>
              <w:spacing w:line="240" w:lineRule="auto"/>
              <w:ind w:firstLine="0" w:firstLineChars="0"/>
              <w:jc w:val="center"/>
              <w:rPr>
                <w:rFonts w:hint="default" w:ascii="Times New Roman" w:hAnsi="Times New Roman" w:eastAsia="宋体" w:cs="Times New Roman"/>
                <w:color w:val="0000FF"/>
                <w:kern w:val="2"/>
                <w:sz w:val="21"/>
                <w:szCs w:val="24"/>
                <w:lang w:val="zh-CN" w:eastAsia="zh-CN" w:bidi="zh-CN"/>
              </w:rPr>
            </w:pPr>
            <w:r>
              <w:rPr>
                <w:rFonts w:hint="eastAsia" w:cs="Times New Roman"/>
                <w:color w:val="0000FF"/>
                <w:kern w:val="2"/>
                <w:sz w:val="21"/>
                <w:szCs w:val="24"/>
                <w:lang w:val="zh-CN" w:eastAsia="zh-CN" w:bidi="zh-CN"/>
              </w:rPr>
              <w:t>18t/a</w:t>
            </w:r>
          </w:p>
        </w:tc>
        <w:tc>
          <w:tcPr>
            <w:tcW w:w="4410" w:type="dxa"/>
            <w:vMerge w:val="restart"/>
            <w:vAlign w:val="center"/>
          </w:tcPr>
          <w:p w14:paraId="53EE572D">
            <w:pPr>
              <w:widowControl w:val="0"/>
              <w:adjustRightInd w:val="0"/>
              <w:snapToGrid w:val="0"/>
              <w:spacing w:line="240" w:lineRule="auto"/>
              <w:ind w:firstLine="0" w:firstLineChars="0"/>
              <w:jc w:val="center"/>
              <w:rPr>
                <w:rFonts w:hint="default" w:ascii="Times New Roman" w:hAnsi="Times New Roman" w:eastAsia="宋体" w:cs="Times New Roman"/>
                <w:color w:val="000000" w:themeColor="text1"/>
                <w:kern w:val="2"/>
                <w:sz w:val="21"/>
                <w:szCs w:val="24"/>
                <w:lang w:val="zh-CN" w:eastAsia="zh-CN" w:bidi="zh-CN"/>
                <w14:textFill>
                  <w14:solidFill>
                    <w14:schemeClr w14:val="tx1"/>
                  </w14:solidFill>
                </w14:textFill>
              </w:rPr>
            </w:pPr>
            <w:r>
              <w:rPr>
                <w:rFonts w:hint="default" w:ascii="Times New Roman" w:hAnsi="Times New Roman" w:eastAsia="宋体" w:cs="Times New Roman"/>
                <w:color w:val="000000" w:themeColor="text1"/>
                <w:kern w:val="2"/>
                <w:sz w:val="21"/>
                <w:szCs w:val="24"/>
                <w:lang w:val="zh-CN" w:eastAsia="zh-CN" w:bidi="zh-CN"/>
                <w14:textFill>
                  <w14:solidFill>
                    <w14:schemeClr w14:val="tx1"/>
                  </w14:solidFill>
                </w14:textFill>
              </w:rPr>
              <w:t>堆肥发酵</w:t>
            </w:r>
            <w:r>
              <w:rPr>
                <w:rFonts w:hint="eastAsia" w:ascii="Times New Roman" w:hAnsi="Times New Roman" w:eastAsia="宋体" w:cs="Times New Roman"/>
                <w:color w:val="000000" w:themeColor="text1"/>
                <w:kern w:val="2"/>
                <w:sz w:val="21"/>
                <w:szCs w:val="24"/>
                <w:lang w:val="en-US" w:eastAsia="zh-CN" w:bidi="zh-CN"/>
                <w14:textFill>
                  <w14:solidFill>
                    <w14:schemeClr w14:val="tx1"/>
                  </w14:solidFill>
                </w14:textFill>
              </w:rPr>
              <w:t>后</w:t>
            </w:r>
            <w:r>
              <w:rPr>
                <w:rFonts w:hint="default" w:ascii="Times New Roman" w:hAnsi="Times New Roman" w:eastAsia="宋体" w:cs="Times New Roman"/>
                <w:color w:val="000000" w:themeColor="text1"/>
                <w:kern w:val="2"/>
                <w:sz w:val="21"/>
                <w:szCs w:val="24"/>
                <w:lang w:val="zh-CN" w:eastAsia="zh-CN" w:bidi="zh-CN"/>
                <w14:textFill>
                  <w14:solidFill>
                    <w14:schemeClr w14:val="tx1"/>
                  </w14:solidFill>
                </w14:textFill>
              </w:rPr>
              <w:t>还田</w:t>
            </w:r>
          </w:p>
        </w:tc>
      </w:tr>
      <w:tr w14:paraId="7A443F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203" w:type="dxa"/>
            <w:vMerge w:val="continue"/>
            <w:vAlign w:val="center"/>
          </w:tcPr>
          <w:p w14:paraId="35208D7C">
            <w:pPr>
              <w:widowControl w:val="0"/>
              <w:adjustRightInd w:val="0"/>
              <w:snapToGrid w:val="0"/>
              <w:spacing w:line="240" w:lineRule="auto"/>
              <w:ind w:firstLine="0" w:firstLineChars="0"/>
              <w:jc w:val="center"/>
              <w:rPr>
                <w:rFonts w:hint="default" w:ascii="Times New Roman" w:hAnsi="Times New Roman" w:eastAsia="宋体" w:cs="Times New Roman"/>
                <w:color w:val="000000" w:themeColor="text1"/>
                <w:kern w:val="2"/>
                <w:sz w:val="21"/>
                <w:szCs w:val="21"/>
                <w:lang w:val="zh-CN" w:eastAsia="zh-CN" w:bidi="zh-CN"/>
                <w14:textFill>
                  <w14:solidFill>
                    <w14:schemeClr w14:val="tx1"/>
                  </w14:solidFill>
                </w14:textFill>
              </w:rPr>
            </w:pPr>
          </w:p>
        </w:tc>
        <w:tc>
          <w:tcPr>
            <w:tcW w:w="1485" w:type="dxa"/>
            <w:vAlign w:val="center"/>
          </w:tcPr>
          <w:p w14:paraId="7595B6B4">
            <w:pPr>
              <w:widowControl w:val="0"/>
              <w:adjustRightInd w:val="0"/>
              <w:snapToGrid w:val="0"/>
              <w:spacing w:line="240" w:lineRule="auto"/>
              <w:ind w:firstLine="0" w:firstLineChars="0"/>
              <w:jc w:val="center"/>
              <w:rPr>
                <w:rFonts w:hint="default" w:ascii="Times New Roman" w:hAnsi="Times New Roman" w:eastAsia="宋体" w:cs="Times New Roman"/>
                <w:color w:val="000000" w:themeColor="text1"/>
                <w:kern w:val="2"/>
                <w:sz w:val="21"/>
                <w:szCs w:val="24"/>
                <w:lang w:val="zh-CN" w:eastAsia="zh-CN" w:bidi="zh-CN"/>
                <w14:textFill>
                  <w14:solidFill>
                    <w14:schemeClr w14:val="tx1"/>
                  </w14:solidFill>
                </w14:textFill>
              </w:rPr>
            </w:pPr>
            <w:r>
              <w:rPr>
                <w:rFonts w:hint="default" w:ascii="Times New Roman" w:hAnsi="Times New Roman" w:eastAsia="宋体" w:cs="Times New Roman"/>
                <w:color w:val="000000" w:themeColor="text1"/>
                <w:kern w:val="2"/>
                <w:sz w:val="21"/>
                <w:szCs w:val="24"/>
                <w:lang w:val="zh-CN" w:eastAsia="zh-CN" w:bidi="zh-CN"/>
                <w14:textFill>
                  <w14:solidFill>
                    <w14:schemeClr w14:val="tx1"/>
                  </w14:solidFill>
                </w14:textFill>
              </w:rPr>
              <w:t>氧化塘污泥</w:t>
            </w:r>
          </w:p>
        </w:tc>
        <w:tc>
          <w:tcPr>
            <w:tcW w:w="1680" w:type="dxa"/>
            <w:vAlign w:val="center"/>
          </w:tcPr>
          <w:p w14:paraId="17C4DB0D">
            <w:pPr>
              <w:widowControl w:val="0"/>
              <w:adjustRightInd w:val="0"/>
              <w:snapToGrid w:val="0"/>
              <w:spacing w:line="240" w:lineRule="auto"/>
              <w:ind w:firstLine="0" w:firstLineChars="0"/>
              <w:jc w:val="center"/>
              <w:rPr>
                <w:rFonts w:hint="default" w:ascii="Times New Roman" w:hAnsi="Times New Roman" w:eastAsia="宋体" w:cs="Times New Roman"/>
                <w:color w:val="000000" w:themeColor="text1"/>
                <w:kern w:val="2"/>
                <w:sz w:val="21"/>
                <w:szCs w:val="24"/>
                <w:lang w:val="zh-CN" w:eastAsia="zh-CN" w:bidi="zh-CN"/>
                <w14:textFill>
                  <w14:solidFill>
                    <w14:schemeClr w14:val="tx1"/>
                  </w14:solidFill>
                </w14:textFill>
              </w:rPr>
            </w:pPr>
            <w:r>
              <w:rPr>
                <w:rFonts w:hint="default" w:ascii="Times New Roman" w:hAnsi="Times New Roman" w:eastAsia="宋体" w:cs="Times New Roman"/>
                <w:color w:val="000000" w:themeColor="text1"/>
                <w:kern w:val="2"/>
                <w:sz w:val="21"/>
                <w:szCs w:val="24"/>
                <w:lang w:val="zh-CN" w:eastAsia="zh-CN" w:bidi="zh-CN"/>
                <w14:textFill>
                  <w14:solidFill>
                    <w14:schemeClr w14:val="tx1"/>
                  </w14:solidFill>
                </w14:textFill>
              </w:rPr>
              <w:t>42.59t/a</w:t>
            </w:r>
          </w:p>
        </w:tc>
        <w:tc>
          <w:tcPr>
            <w:tcW w:w="4410" w:type="dxa"/>
            <w:vMerge w:val="continue"/>
            <w:vAlign w:val="center"/>
          </w:tcPr>
          <w:p w14:paraId="1B7F2A5D">
            <w:pPr>
              <w:widowControl w:val="0"/>
              <w:adjustRightInd w:val="0"/>
              <w:snapToGrid w:val="0"/>
              <w:spacing w:line="240" w:lineRule="auto"/>
              <w:ind w:firstLine="0" w:firstLineChars="0"/>
              <w:jc w:val="center"/>
              <w:rPr>
                <w:rFonts w:hint="default" w:ascii="Times New Roman" w:hAnsi="Times New Roman" w:eastAsia="宋体" w:cs="Times New Roman"/>
                <w:color w:val="000000" w:themeColor="text1"/>
                <w:kern w:val="2"/>
                <w:sz w:val="21"/>
                <w:szCs w:val="24"/>
                <w:lang w:val="zh-CN" w:eastAsia="zh-CN" w:bidi="zh-CN"/>
                <w14:textFill>
                  <w14:solidFill>
                    <w14:schemeClr w14:val="tx1"/>
                  </w14:solidFill>
                </w14:textFill>
              </w:rPr>
            </w:pPr>
          </w:p>
        </w:tc>
      </w:tr>
      <w:tr w14:paraId="557A68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203" w:type="dxa"/>
            <w:vMerge w:val="continue"/>
            <w:vAlign w:val="center"/>
          </w:tcPr>
          <w:p w14:paraId="0582FDF2">
            <w:pPr>
              <w:widowControl w:val="0"/>
              <w:adjustRightInd w:val="0"/>
              <w:snapToGrid w:val="0"/>
              <w:spacing w:line="240" w:lineRule="auto"/>
              <w:ind w:firstLine="0" w:firstLineChars="0"/>
              <w:jc w:val="center"/>
              <w:rPr>
                <w:rFonts w:hint="default" w:ascii="Times New Roman" w:hAnsi="Times New Roman" w:eastAsia="宋体" w:cs="Times New Roman"/>
                <w:color w:val="000000" w:themeColor="text1"/>
                <w:kern w:val="2"/>
                <w:sz w:val="21"/>
                <w:szCs w:val="21"/>
                <w:lang w:val="zh-CN" w:eastAsia="zh-CN" w:bidi="zh-CN"/>
                <w14:textFill>
                  <w14:solidFill>
                    <w14:schemeClr w14:val="tx1"/>
                  </w14:solidFill>
                </w14:textFill>
              </w:rPr>
            </w:pPr>
          </w:p>
        </w:tc>
        <w:tc>
          <w:tcPr>
            <w:tcW w:w="1485" w:type="dxa"/>
            <w:shd w:val="clear" w:color="auto" w:fill="auto"/>
            <w:vAlign w:val="center"/>
          </w:tcPr>
          <w:p w14:paraId="73883B05">
            <w:pPr>
              <w:widowControl w:val="0"/>
              <w:adjustRightInd w:val="0"/>
              <w:snapToGrid w:val="0"/>
              <w:spacing w:line="240" w:lineRule="auto"/>
              <w:ind w:firstLine="0" w:firstLineChars="0"/>
              <w:jc w:val="center"/>
              <w:rPr>
                <w:rFonts w:hint="default" w:ascii="Times New Roman" w:hAnsi="Times New Roman" w:eastAsia="宋体" w:cs="Times New Roman"/>
                <w:color w:val="000000" w:themeColor="text1"/>
                <w:kern w:val="2"/>
                <w:sz w:val="21"/>
                <w:szCs w:val="24"/>
                <w:lang w:val="zh-CN" w:eastAsia="zh-CN" w:bidi="zh-CN"/>
                <w14:textFill>
                  <w14:solidFill>
                    <w14:schemeClr w14:val="tx1"/>
                  </w14:solidFill>
                </w14:textFill>
              </w:rPr>
            </w:pPr>
            <w:r>
              <w:rPr>
                <w:rFonts w:hint="default" w:ascii="Times New Roman" w:hAnsi="Times New Roman" w:eastAsia="宋体" w:cs="Times New Roman"/>
                <w:color w:val="000000" w:themeColor="text1"/>
                <w:kern w:val="2"/>
                <w:sz w:val="21"/>
                <w:szCs w:val="24"/>
                <w:lang w:val="zh-CN" w:eastAsia="zh-CN" w:bidi="zh-CN"/>
                <w14:textFill>
                  <w14:solidFill>
                    <w14:schemeClr w14:val="tx1"/>
                  </w14:solidFill>
                </w14:textFill>
              </w:rPr>
              <w:t>病死牛尸体</w:t>
            </w:r>
          </w:p>
        </w:tc>
        <w:tc>
          <w:tcPr>
            <w:tcW w:w="1680" w:type="dxa"/>
            <w:shd w:val="clear" w:color="auto" w:fill="auto"/>
            <w:vAlign w:val="center"/>
          </w:tcPr>
          <w:p w14:paraId="0CF6E2B5">
            <w:pPr>
              <w:widowControl w:val="0"/>
              <w:adjustRightInd w:val="0"/>
              <w:snapToGrid w:val="0"/>
              <w:spacing w:line="240" w:lineRule="auto"/>
              <w:ind w:firstLine="0" w:firstLineChars="0"/>
              <w:jc w:val="center"/>
              <w:rPr>
                <w:rFonts w:hint="default" w:ascii="Times New Roman" w:hAnsi="Times New Roman" w:eastAsia="宋体" w:cs="Times New Roman"/>
                <w:color w:val="000000" w:themeColor="text1"/>
                <w:kern w:val="2"/>
                <w:sz w:val="21"/>
                <w:szCs w:val="24"/>
                <w:lang w:val="zh-CN" w:eastAsia="zh-CN" w:bidi="zh-CN"/>
                <w14:textFill>
                  <w14:solidFill>
                    <w14:schemeClr w14:val="tx1"/>
                  </w14:solidFill>
                </w14:textFill>
              </w:rPr>
            </w:pPr>
            <w:r>
              <w:rPr>
                <w:rFonts w:hint="default" w:ascii="Times New Roman" w:hAnsi="Times New Roman" w:eastAsia="宋体" w:cs="Times New Roman"/>
                <w:color w:val="000000" w:themeColor="text1"/>
                <w:kern w:val="2"/>
                <w:sz w:val="21"/>
                <w:szCs w:val="24"/>
                <w:lang w:val="zh-CN" w:eastAsia="zh-CN" w:bidi="zh-CN"/>
                <w14:textFill>
                  <w14:solidFill>
                    <w14:schemeClr w14:val="tx1"/>
                  </w14:solidFill>
                </w14:textFill>
              </w:rPr>
              <w:t>1.4头（1.75t/a）</w:t>
            </w:r>
          </w:p>
        </w:tc>
        <w:tc>
          <w:tcPr>
            <w:tcW w:w="4410" w:type="dxa"/>
            <w:shd w:val="clear" w:color="auto" w:fill="auto"/>
            <w:vAlign w:val="center"/>
          </w:tcPr>
          <w:p w14:paraId="290C419F">
            <w:pPr>
              <w:widowControl w:val="0"/>
              <w:adjustRightInd w:val="0"/>
              <w:snapToGrid w:val="0"/>
              <w:spacing w:line="240" w:lineRule="auto"/>
              <w:ind w:firstLine="0" w:firstLineChars="0"/>
              <w:jc w:val="center"/>
              <w:rPr>
                <w:rFonts w:hint="default" w:ascii="Times New Roman" w:hAnsi="Times New Roman" w:eastAsia="宋体" w:cs="Times New Roman"/>
                <w:color w:val="000000" w:themeColor="text1"/>
                <w:kern w:val="2"/>
                <w:sz w:val="21"/>
                <w:szCs w:val="24"/>
                <w:lang w:val="zh-CN" w:eastAsia="zh-CN" w:bidi="zh-CN"/>
                <w14:textFill>
                  <w14:solidFill>
                    <w14:schemeClr w14:val="tx1"/>
                  </w14:solidFill>
                </w14:textFill>
              </w:rPr>
            </w:pPr>
            <w:r>
              <w:rPr>
                <w:rFonts w:hint="default" w:ascii="Times New Roman" w:hAnsi="Times New Roman" w:eastAsia="宋体" w:cs="Times New Roman"/>
                <w:color w:val="000000" w:themeColor="text1"/>
                <w:kern w:val="2"/>
                <w:sz w:val="21"/>
                <w:szCs w:val="24"/>
                <w:lang w:val="zh-CN" w:eastAsia="zh-CN" w:bidi="zh-CN"/>
                <w14:textFill>
                  <w14:solidFill>
                    <w14:schemeClr w14:val="tx1"/>
                  </w14:solidFill>
                </w14:textFill>
              </w:rPr>
              <w:t>委托处理</w:t>
            </w:r>
          </w:p>
        </w:tc>
      </w:tr>
      <w:tr w14:paraId="1CEF81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203" w:type="dxa"/>
            <w:vMerge w:val="continue"/>
            <w:vAlign w:val="center"/>
          </w:tcPr>
          <w:p w14:paraId="1238A147">
            <w:pPr>
              <w:adjustRightInd w:val="0"/>
              <w:snapToGrid w:val="0"/>
              <w:spacing w:line="240" w:lineRule="auto"/>
              <w:ind w:firstLine="0" w:firstLineChars="0"/>
              <w:jc w:val="center"/>
              <w:rPr>
                <w:rFonts w:hint="default" w:ascii="Times New Roman" w:hAnsi="Times New Roman" w:eastAsia="宋体" w:cs="Times New Roman"/>
                <w:color w:val="000000" w:themeColor="text1"/>
                <w:sz w:val="2"/>
                <w:szCs w:val="2"/>
                <w14:textFill>
                  <w14:solidFill>
                    <w14:schemeClr w14:val="tx1"/>
                  </w14:solidFill>
                </w14:textFill>
              </w:rPr>
            </w:pPr>
          </w:p>
        </w:tc>
        <w:tc>
          <w:tcPr>
            <w:tcW w:w="1485" w:type="dxa"/>
            <w:vAlign w:val="center"/>
          </w:tcPr>
          <w:p w14:paraId="6705F9D3">
            <w:pPr>
              <w:widowControl w:val="0"/>
              <w:adjustRightInd w:val="0"/>
              <w:snapToGrid w:val="0"/>
              <w:spacing w:line="240" w:lineRule="auto"/>
              <w:ind w:firstLine="0" w:firstLineChars="0"/>
              <w:jc w:val="center"/>
              <w:rPr>
                <w:rFonts w:hint="default" w:ascii="Times New Roman" w:hAnsi="Times New Roman" w:eastAsia="宋体" w:cs="Times New Roman"/>
                <w:color w:val="000000" w:themeColor="text1"/>
                <w:kern w:val="2"/>
                <w:sz w:val="21"/>
                <w:szCs w:val="24"/>
                <w:lang w:val="zh-CN" w:eastAsia="zh-CN" w:bidi="zh-CN"/>
                <w14:textFill>
                  <w14:solidFill>
                    <w14:schemeClr w14:val="tx1"/>
                  </w14:solidFill>
                </w14:textFill>
              </w:rPr>
            </w:pPr>
            <w:r>
              <w:rPr>
                <w:rFonts w:hint="default" w:ascii="Times New Roman" w:hAnsi="Times New Roman" w:eastAsia="宋体" w:cs="Times New Roman"/>
                <w:color w:val="000000" w:themeColor="text1"/>
                <w:kern w:val="2"/>
                <w:sz w:val="21"/>
                <w:szCs w:val="24"/>
                <w:lang w:val="zh-CN" w:eastAsia="zh-CN" w:bidi="zh-CN"/>
                <w14:textFill>
                  <w14:solidFill>
                    <w14:schemeClr w14:val="tx1"/>
                  </w14:solidFill>
                </w14:textFill>
              </w:rPr>
              <w:t>医疗废物</w:t>
            </w:r>
          </w:p>
        </w:tc>
        <w:tc>
          <w:tcPr>
            <w:tcW w:w="1680" w:type="dxa"/>
            <w:vAlign w:val="center"/>
          </w:tcPr>
          <w:p w14:paraId="725DF25A">
            <w:pPr>
              <w:widowControl w:val="0"/>
              <w:adjustRightInd w:val="0"/>
              <w:snapToGrid w:val="0"/>
              <w:spacing w:line="240" w:lineRule="auto"/>
              <w:ind w:firstLine="0" w:firstLineChars="0"/>
              <w:jc w:val="center"/>
              <w:rPr>
                <w:rFonts w:hint="default" w:ascii="Times New Roman" w:hAnsi="Times New Roman" w:eastAsia="宋体" w:cs="Times New Roman"/>
                <w:color w:val="000000" w:themeColor="text1"/>
                <w:kern w:val="2"/>
                <w:sz w:val="21"/>
                <w:szCs w:val="24"/>
                <w:lang w:val="zh-CN" w:eastAsia="zh-CN" w:bidi="zh-CN"/>
                <w14:textFill>
                  <w14:solidFill>
                    <w14:schemeClr w14:val="tx1"/>
                  </w14:solidFill>
                </w14:textFill>
              </w:rPr>
            </w:pPr>
            <w:r>
              <w:rPr>
                <w:rFonts w:hint="default" w:ascii="Times New Roman" w:hAnsi="Times New Roman" w:eastAsia="宋体" w:cs="Times New Roman"/>
                <w:color w:val="000000" w:themeColor="text1"/>
                <w:kern w:val="2"/>
                <w:sz w:val="21"/>
                <w:szCs w:val="24"/>
                <w:lang w:val="zh-CN" w:eastAsia="zh-CN" w:bidi="zh-CN"/>
                <w14:textFill>
                  <w14:solidFill>
                    <w14:schemeClr w14:val="tx1"/>
                  </w14:solidFill>
                </w14:textFill>
              </w:rPr>
              <w:t>2t/a</w:t>
            </w:r>
          </w:p>
        </w:tc>
        <w:tc>
          <w:tcPr>
            <w:tcW w:w="4410" w:type="dxa"/>
            <w:vAlign w:val="center"/>
          </w:tcPr>
          <w:p w14:paraId="2C03249B">
            <w:pPr>
              <w:widowControl w:val="0"/>
              <w:adjustRightInd w:val="0"/>
              <w:snapToGrid w:val="0"/>
              <w:spacing w:line="240" w:lineRule="auto"/>
              <w:ind w:firstLine="0" w:firstLineChars="0"/>
              <w:jc w:val="center"/>
              <w:rPr>
                <w:rFonts w:hint="default" w:ascii="Times New Roman" w:hAnsi="Times New Roman" w:eastAsia="宋体" w:cs="Times New Roman"/>
                <w:color w:val="000000" w:themeColor="text1"/>
                <w:kern w:val="2"/>
                <w:sz w:val="21"/>
                <w:szCs w:val="24"/>
                <w:lang w:val="zh-CN" w:eastAsia="zh-CN" w:bidi="zh-CN"/>
                <w14:textFill>
                  <w14:solidFill>
                    <w14:schemeClr w14:val="tx1"/>
                  </w14:solidFill>
                </w14:textFill>
              </w:rPr>
            </w:pPr>
            <w:r>
              <w:rPr>
                <w:rFonts w:hint="default" w:ascii="Times New Roman" w:hAnsi="Times New Roman" w:eastAsia="宋体" w:cs="Times New Roman"/>
                <w:color w:val="000000" w:themeColor="text1"/>
                <w:kern w:val="2"/>
                <w:sz w:val="21"/>
                <w:szCs w:val="24"/>
                <w:lang w:val="zh-CN" w:eastAsia="zh-CN" w:bidi="zh-CN"/>
                <w14:textFill>
                  <w14:solidFill>
                    <w14:schemeClr w14:val="tx1"/>
                  </w14:solidFill>
                </w14:textFill>
              </w:rPr>
              <w:t>集中收集后暂存于医疗废物暂存间，委托有医疗废物处理资质的单位集中处理。</w:t>
            </w:r>
          </w:p>
        </w:tc>
      </w:tr>
      <w:tr w14:paraId="270516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203" w:type="dxa"/>
            <w:vMerge w:val="continue"/>
            <w:vAlign w:val="center"/>
          </w:tcPr>
          <w:p w14:paraId="43F7FD3D">
            <w:pPr>
              <w:adjustRightInd w:val="0"/>
              <w:snapToGrid w:val="0"/>
              <w:spacing w:line="240" w:lineRule="auto"/>
              <w:ind w:firstLine="0" w:firstLineChars="0"/>
              <w:jc w:val="center"/>
              <w:rPr>
                <w:rFonts w:hint="default" w:ascii="Times New Roman" w:hAnsi="Times New Roman" w:eastAsia="宋体" w:cs="Times New Roman"/>
                <w:color w:val="000000" w:themeColor="text1"/>
                <w:sz w:val="2"/>
                <w:szCs w:val="2"/>
                <w14:textFill>
                  <w14:solidFill>
                    <w14:schemeClr w14:val="tx1"/>
                  </w14:solidFill>
                </w14:textFill>
              </w:rPr>
            </w:pPr>
          </w:p>
        </w:tc>
        <w:tc>
          <w:tcPr>
            <w:tcW w:w="1485" w:type="dxa"/>
            <w:vAlign w:val="center"/>
          </w:tcPr>
          <w:p w14:paraId="3F387A26">
            <w:pPr>
              <w:widowControl w:val="0"/>
              <w:adjustRightInd w:val="0"/>
              <w:snapToGrid w:val="0"/>
              <w:spacing w:line="240" w:lineRule="auto"/>
              <w:ind w:firstLine="0" w:firstLineChars="0"/>
              <w:jc w:val="center"/>
              <w:rPr>
                <w:rFonts w:hint="default" w:ascii="Times New Roman" w:hAnsi="Times New Roman" w:eastAsia="宋体" w:cs="Times New Roman"/>
                <w:color w:val="0000FF"/>
                <w:kern w:val="2"/>
                <w:sz w:val="21"/>
                <w:szCs w:val="24"/>
                <w:lang w:val="zh-CN" w:eastAsia="zh-CN" w:bidi="zh-CN"/>
              </w:rPr>
            </w:pPr>
            <w:r>
              <w:rPr>
                <w:rFonts w:hint="default" w:ascii="Times New Roman" w:hAnsi="Times New Roman" w:eastAsia="宋体" w:cs="Times New Roman"/>
                <w:color w:val="0000FF"/>
                <w:kern w:val="2"/>
                <w:sz w:val="21"/>
                <w:szCs w:val="24"/>
                <w:lang w:val="zh-CN" w:eastAsia="zh-CN" w:bidi="zh-CN"/>
              </w:rPr>
              <w:t>酸碱液桶</w:t>
            </w:r>
          </w:p>
        </w:tc>
        <w:tc>
          <w:tcPr>
            <w:tcW w:w="1680" w:type="dxa"/>
            <w:vAlign w:val="center"/>
          </w:tcPr>
          <w:p w14:paraId="755760D1">
            <w:pPr>
              <w:widowControl w:val="0"/>
              <w:adjustRightInd w:val="0"/>
              <w:snapToGrid w:val="0"/>
              <w:spacing w:line="240" w:lineRule="auto"/>
              <w:ind w:firstLine="0" w:firstLineChars="0"/>
              <w:jc w:val="center"/>
              <w:rPr>
                <w:rFonts w:hint="default" w:ascii="Times New Roman" w:hAnsi="Times New Roman" w:eastAsia="宋体" w:cs="Times New Roman"/>
                <w:color w:val="0000FF"/>
                <w:kern w:val="2"/>
                <w:sz w:val="21"/>
                <w:szCs w:val="24"/>
                <w:lang w:val="en-US" w:eastAsia="zh-CN" w:bidi="zh-CN"/>
              </w:rPr>
            </w:pPr>
            <w:r>
              <w:rPr>
                <w:rFonts w:hint="eastAsia" w:cs="Times New Roman"/>
                <w:color w:val="0000FF"/>
                <w:kern w:val="2"/>
                <w:sz w:val="21"/>
                <w:szCs w:val="24"/>
                <w:lang w:val="en-US" w:eastAsia="zh-CN" w:bidi="zh-CN"/>
              </w:rPr>
              <w:t>6个/a</w:t>
            </w:r>
          </w:p>
        </w:tc>
        <w:tc>
          <w:tcPr>
            <w:tcW w:w="4410" w:type="dxa"/>
            <w:vMerge w:val="restart"/>
            <w:vAlign w:val="center"/>
          </w:tcPr>
          <w:p w14:paraId="0CFBB115">
            <w:pPr>
              <w:widowControl w:val="0"/>
              <w:adjustRightInd w:val="0"/>
              <w:snapToGrid w:val="0"/>
              <w:spacing w:line="240" w:lineRule="auto"/>
              <w:ind w:firstLine="0" w:firstLineChars="0"/>
              <w:jc w:val="center"/>
              <w:rPr>
                <w:rFonts w:hint="default" w:ascii="Times New Roman" w:hAnsi="Times New Roman" w:eastAsia="宋体" w:cs="Times New Roman"/>
                <w:color w:val="000000" w:themeColor="text1"/>
                <w:kern w:val="2"/>
                <w:sz w:val="21"/>
                <w:szCs w:val="24"/>
                <w:lang w:val="zh-CN" w:eastAsia="zh-CN" w:bidi="zh-CN"/>
                <w14:textFill>
                  <w14:solidFill>
                    <w14:schemeClr w14:val="tx1"/>
                  </w14:solidFill>
                </w14:textFill>
              </w:rPr>
            </w:pPr>
            <w:r>
              <w:rPr>
                <w:rFonts w:hint="default" w:ascii="Times New Roman" w:hAnsi="Times New Roman" w:eastAsia="宋体" w:cs="Times New Roman"/>
                <w:color w:val="000000" w:themeColor="text1"/>
                <w:kern w:val="2"/>
                <w:sz w:val="21"/>
                <w:szCs w:val="24"/>
                <w:lang w:val="zh-CN" w:eastAsia="zh-CN" w:bidi="zh-CN"/>
                <w14:textFill>
                  <w14:solidFill>
                    <w14:schemeClr w14:val="tx1"/>
                  </w14:solidFill>
                </w14:textFill>
              </w:rPr>
              <w:t>暂存危废暂存间，交由有资质的单位处理</w:t>
            </w:r>
          </w:p>
        </w:tc>
      </w:tr>
      <w:tr w14:paraId="15F6A6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203" w:type="dxa"/>
            <w:vMerge w:val="continue"/>
            <w:vAlign w:val="center"/>
          </w:tcPr>
          <w:p w14:paraId="4929043B">
            <w:pPr>
              <w:widowControl w:val="0"/>
              <w:adjustRightInd w:val="0"/>
              <w:snapToGrid w:val="0"/>
              <w:spacing w:line="240" w:lineRule="auto"/>
              <w:ind w:firstLine="0" w:firstLineChars="0"/>
              <w:jc w:val="center"/>
              <w:rPr>
                <w:rFonts w:hint="default" w:ascii="Times New Roman" w:hAnsi="Times New Roman" w:eastAsia="宋体" w:cs="Times New Roman"/>
                <w:color w:val="000000" w:themeColor="text1"/>
                <w:kern w:val="2"/>
                <w:sz w:val="21"/>
                <w:szCs w:val="24"/>
                <w:lang w:val="zh-CN" w:eastAsia="zh-CN" w:bidi="zh-CN"/>
                <w14:textFill>
                  <w14:solidFill>
                    <w14:schemeClr w14:val="tx1"/>
                  </w14:solidFill>
                </w14:textFill>
              </w:rPr>
            </w:pPr>
          </w:p>
        </w:tc>
        <w:tc>
          <w:tcPr>
            <w:tcW w:w="1485" w:type="dxa"/>
            <w:vAlign w:val="center"/>
          </w:tcPr>
          <w:p w14:paraId="465B02CF">
            <w:pPr>
              <w:widowControl w:val="0"/>
              <w:adjustRightInd w:val="0"/>
              <w:snapToGrid w:val="0"/>
              <w:spacing w:line="240" w:lineRule="auto"/>
              <w:ind w:firstLine="0" w:firstLineChars="0"/>
              <w:jc w:val="center"/>
              <w:rPr>
                <w:rFonts w:hint="default" w:ascii="Times New Roman" w:hAnsi="Times New Roman" w:eastAsia="宋体" w:cs="Times New Roman"/>
                <w:color w:val="000000" w:themeColor="text1"/>
                <w:kern w:val="2"/>
                <w:sz w:val="21"/>
                <w:szCs w:val="24"/>
                <w:lang w:val="zh-CN" w:eastAsia="zh-CN" w:bidi="zh-CN"/>
                <w14:textFill>
                  <w14:solidFill>
                    <w14:schemeClr w14:val="tx1"/>
                  </w14:solidFill>
                </w14:textFill>
              </w:rPr>
            </w:pPr>
            <w:r>
              <w:rPr>
                <w:rFonts w:hint="default" w:ascii="Times New Roman" w:hAnsi="Times New Roman" w:eastAsia="宋体" w:cs="Times New Roman"/>
                <w:color w:val="000000" w:themeColor="text1"/>
                <w:kern w:val="2"/>
                <w:sz w:val="21"/>
                <w:szCs w:val="24"/>
                <w:lang w:val="zh-CN" w:eastAsia="zh-CN" w:bidi="zh-CN"/>
                <w14:textFill>
                  <w14:solidFill>
                    <w14:schemeClr w14:val="tx1"/>
                  </w14:solidFill>
                </w14:textFill>
              </w:rPr>
              <w:t>废机油</w:t>
            </w:r>
          </w:p>
        </w:tc>
        <w:tc>
          <w:tcPr>
            <w:tcW w:w="1680" w:type="dxa"/>
            <w:vAlign w:val="center"/>
          </w:tcPr>
          <w:p w14:paraId="68D213CF">
            <w:pPr>
              <w:widowControl w:val="0"/>
              <w:adjustRightInd w:val="0"/>
              <w:snapToGrid w:val="0"/>
              <w:spacing w:line="240" w:lineRule="auto"/>
              <w:ind w:firstLine="0" w:firstLineChars="0"/>
              <w:jc w:val="center"/>
              <w:rPr>
                <w:rFonts w:hint="default" w:ascii="Times New Roman" w:hAnsi="Times New Roman" w:eastAsia="宋体" w:cs="Times New Roman"/>
                <w:color w:val="000000" w:themeColor="text1"/>
                <w:kern w:val="2"/>
                <w:sz w:val="21"/>
                <w:szCs w:val="24"/>
                <w:lang w:val="zh-CN" w:eastAsia="zh-CN" w:bidi="zh-CN"/>
                <w14:textFill>
                  <w14:solidFill>
                    <w14:schemeClr w14:val="tx1"/>
                  </w14:solidFill>
                </w14:textFill>
              </w:rPr>
            </w:pPr>
            <w:r>
              <w:rPr>
                <w:rFonts w:hint="default" w:ascii="Times New Roman" w:hAnsi="Times New Roman" w:eastAsia="宋体" w:cs="Times New Roman"/>
                <w:color w:val="000000" w:themeColor="text1"/>
                <w:kern w:val="2"/>
                <w:sz w:val="21"/>
                <w:szCs w:val="24"/>
                <w:lang w:val="zh-CN" w:eastAsia="zh-CN" w:bidi="zh-CN"/>
                <w14:textFill>
                  <w14:solidFill>
                    <w14:schemeClr w14:val="tx1"/>
                  </w14:solidFill>
                </w14:textFill>
              </w:rPr>
              <w:t>0.5t/a</w:t>
            </w:r>
          </w:p>
        </w:tc>
        <w:tc>
          <w:tcPr>
            <w:tcW w:w="4410" w:type="dxa"/>
            <w:vMerge w:val="continue"/>
            <w:vAlign w:val="center"/>
          </w:tcPr>
          <w:p w14:paraId="0BEE1275">
            <w:pPr>
              <w:widowControl w:val="0"/>
              <w:adjustRightInd w:val="0"/>
              <w:snapToGrid w:val="0"/>
              <w:spacing w:line="240" w:lineRule="auto"/>
              <w:ind w:firstLine="0" w:firstLineChars="0"/>
              <w:jc w:val="center"/>
              <w:rPr>
                <w:rFonts w:hint="default" w:ascii="Times New Roman" w:hAnsi="Times New Roman" w:eastAsia="宋体" w:cs="Times New Roman"/>
                <w:color w:val="000000" w:themeColor="text1"/>
                <w:kern w:val="2"/>
                <w:sz w:val="21"/>
                <w:szCs w:val="24"/>
                <w:lang w:val="zh-CN" w:eastAsia="zh-CN" w:bidi="zh-CN"/>
                <w14:textFill>
                  <w14:solidFill>
                    <w14:schemeClr w14:val="tx1"/>
                  </w14:solidFill>
                </w14:textFill>
              </w:rPr>
            </w:pPr>
          </w:p>
        </w:tc>
      </w:tr>
      <w:tr w14:paraId="0883BF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203" w:type="dxa"/>
            <w:vAlign w:val="center"/>
          </w:tcPr>
          <w:p w14:paraId="7DA541F9">
            <w:pPr>
              <w:widowControl w:val="0"/>
              <w:adjustRightInd w:val="0"/>
              <w:snapToGrid w:val="0"/>
              <w:spacing w:line="240" w:lineRule="auto"/>
              <w:ind w:firstLine="0" w:firstLineChars="0"/>
              <w:jc w:val="center"/>
              <w:rPr>
                <w:rFonts w:hint="default" w:ascii="Times New Roman" w:hAnsi="Times New Roman" w:eastAsia="宋体" w:cs="Times New Roman"/>
                <w:color w:val="000000" w:themeColor="text1"/>
                <w:kern w:val="2"/>
                <w:sz w:val="21"/>
                <w:szCs w:val="24"/>
                <w:lang w:val="zh-CN" w:eastAsia="zh-CN" w:bidi="zh-CN"/>
                <w14:textFill>
                  <w14:solidFill>
                    <w14:schemeClr w14:val="tx1"/>
                  </w14:solidFill>
                </w14:textFill>
              </w:rPr>
            </w:pPr>
            <w:r>
              <w:rPr>
                <w:rFonts w:hint="default" w:ascii="Times New Roman" w:hAnsi="Times New Roman" w:eastAsia="宋体" w:cs="Times New Roman"/>
                <w:color w:val="000000" w:themeColor="text1"/>
                <w:kern w:val="2"/>
                <w:sz w:val="21"/>
                <w:szCs w:val="24"/>
                <w:lang w:val="zh-CN" w:eastAsia="zh-CN" w:bidi="zh-CN"/>
                <w14:textFill>
                  <w14:solidFill>
                    <w14:schemeClr w14:val="tx1"/>
                  </w14:solidFill>
                </w14:textFill>
              </w:rPr>
              <w:t>生活办公区</w:t>
            </w:r>
          </w:p>
        </w:tc>
        <w:tc>
          <w:tcPr>
            <w:tcW w:w="1485" w:type="dxa"/>
            <w:vAlign w:val="center"/>
          </w:tcPr>
          <w:p w14:paraId="07AEFD55">
            <w:pPr>
              <w:widowControl w:val="0"/>
              <w:adjustRightInd w:val="0"/>
              <w:snapToGrid w:val="0"/>
              <w:spacing w:line="240" w:lineRule="auto"/>
              <w:ind w:firstLine="0" w:firstLineChars="0"/>
              <w:jc w:val="center"/>
              <w:rPr>
                <w:rFonts w:hint="default" w:ascii="Times New Roman" w:hAnsi="Times New Roman" w:eastAsia="宋体" w:cs="Times New Roman"/>
                <w:color w:val="000000" w:themeColor="text1"/>
                <w:kern w:val="2"/>
                <w:sz w:val="21"/>
                <w:szCs w:val="24"/>
                <w:lang w:val="zh-CN" w:eastAsia="zh-CN" w:bidi="zh-CN"/>
                <w14:textFill>
                  <w14:solidFill>
                    <w14:schemeClr w14:val="tx1"/>
                  </w14:solidFill>
                </w14:textFill>
              </w:rPr>
            </w:pPr>
            <w:r>
              <w:rPr>
                <w:rFonts w:hint="default" w:ascii="Times New Roman" w:hAnsi="Times New Roman" w:eastAsia="宋体" w:cs="Times New Roman"/>
                <w:color w:val="000000" w:themeColor="text1"/>
                <w:kern w:val="2"/>
                <w:sz w:val="21"/>
                <w:szCs w:val="24"/>
                <w:lang w:val="zh-CN" w:eastAsia="zh-CN" w:bidi="zh-CN"/>
                <w14:textFill>
                  <w14:solidFill>
                    <w14:schemeClr w14:val="tx1"/>
                  </w14:solidFill>
                </w14:textFill>
              </w:rPr>
              <w:t>生活垃圾</w:t>
            </w:r>
          </w:p>
        </w:tc>
        <w:tc>
          <w:tcPr>
            <w:tcW w:w="1680" w:type="dxa"/>
            <w:vAlign w:val="center"/>
          </w:tcPr>
          <w:p w14:paraId="35F1D5C8">
            <w:pPr>
              <w:widowControl w:val="0"/>
              <w:adjustRightInd w:val="0"/>
              <w:snapToGrid w:val="0"/>
              <w:spacing w:line="240" w:lineRule="auto"/>
              <w:ind w:firstLine="0" w:firstLineChars="0"/>
              <w:jc w:val="center"/>
              <w:rPr>
                <w:rFonts w:hint="default" w:ascii="Times New Roman" w:hAnsi="Times New Roman" w:eastAsia="宋体" w:cs="Times New Roman"/>
                <w:color w:val="000000" w:themeColor="text1"/>
                <w:kern w:val="2"/>
                <w:sz w:val="21"/>
                <w:szCs w:val="24"/>
                <w:lang w:val="zh-CN" w:eastAsia="zh-CN" w:bidi="zh-CN"/>
                <w14:textFill>
                  <w14:solidFill>
                    <w14:schemeClr w14:val="tx1"/>
                  </w14:solidFill>
                </w14:textFill>
              </w:rPr>
            </w:pPr>
            <w:r>
              <w:rPr>
                <w:rFonts w:hint="default" w:ascii="Times New Roman" w:hAnsi="Times New Roman" w:eastAsia="宋体" w:cs="Times New Roman"/>
                <w:color w:val="000000" w:themeColor="text1"/>
                <w:kern w:val="2"/>
                <w:sz w:val="21"/>
                <w:szCs w:val="24"/>
                <w:lang w:val="zh-CN" w:eastAsia="zh-CN" w:bidi="zh-CN"/>
                <w14:textFill>
                  <w14:solidFill>
                    <w14:schemeClr w14:val="tx1"/>
                  </w14:solidFill>
                </w14:textFill>
              </w:rPr>
              <w:t>5.475t/a</w:t>
            </w:r>
          </w:p>
        </w:tc>
        <w:tc>
          <w:tcPr>
            <w:tcW w:w="4410" w:type="dxa"/>
            <w:vAlign w:val="center"/>
          </w:tcPr>
          <w:p w14:paraId="2EA7D6D5">
            <w:pPr>
              <w:widowControl w:val="0"/>
              <w:adjustRightInd w:val="0"/>
              <w:snapToGrid w:val="0"/>
              <w:spacing w:line="240" w:lineRule="auto"/>
              <w:ind w:firstLine="0" w:firstLineChars="0"/>
              <w:jc w:val="center"/>
              <w:rPr>
                <w:rFonts w:hint="default" w:ascii="Times New Roman" w:hAnsi="Times New Roman" w:eastAsia="宋体" w:cs="Times New Roman"/>
                <w:color w:val="000000" w:themeColor="text1"/>
                <w:kern w:val="2"/>
                <w:sz w:val="21"/>
                <w:szCs w:val="24"/>
                <w:lang w:val="zh-CN" w:eastAsia="zh-CN" w:bidi="zh-CN"/>
                <w14:textFill>
                  <w14:solidFill>
                    <w14:schemeClr w14:val="tx1"/>
                  </w14:solidFill>
                </w14:textFill>
              </w:rPr>
            </w:pPr>
            <w:r>
              <w:rPr>
                <w:rFonts w:hint="default" w:ascii="Times New Roman" w:hAnsi="Times New Roman" w:eastAsia="宋体" w:cs="Times New Roman"/>
                <w:color w:val="000000" w:themeColor="text1"/>
                <w:kern w:val="2"/>
                <w:sz w:val="21"/>
                <w:szCs w:val="24"/>
                <w:lang w:val="zh-CN" w:eastAsia="zh-CN" w:bidi="zh-CN"/>
                <w14:textFill>
                  <w14:solidFill>
                    <w14:schemeClr w14:val="tx1"/>
                  </w14:solidFill>
                </w14:textFill>
              </w:rPr>
              <w:t>运到环卫部门指定地点处理</w:t>
            </w:r>
          </w:p>
        </w:tc>
      </w:tr>
    </w:tbl>
    <w:p w14:paraId="12B34340">
      <w:pPr>
        <w:ind w:firstLine="0" w:firstLineChars="0"/>
        <w:outlineLvl w:val="1"/>
        <w:rPr>
          <w:rFonts w:hint="default" w:ascii="Times New Roman" w:hAnsi="Times New Roman" w:eastAsia="宋体" w:cs="Times New Roman"/>
          <w:b/>
          <w:bCs/>
          <w:color w:val="000000" w:themeColor="text1"/>
          <w:sz w:val="28"/>
          <w:szCs w:val="28"/>
          <w14:textFill>
            <w14:solidFill>
              <w14:schemeClr w14:val="tx1"/>
            </w14:solidFill>
          </w14:textFill>
        </w:rPr>
      </w:pPr>
      <w:bookmarkStart w:id="120" w:name="_TOC_250126"/>
      <w:bookmarkEnd w:id="120"/>
      <w:bookmarkStart w:id="121" w:name="_Toc26377"/>
      <w:r>
        <w:rPr>
          <w:rFonts w:hint="default" w:ascii="Times New Roman" w:hAnsi="Times New Roman" w:eastAsia="宋体" w:cs="Times New Roman"/>
          <w:b/>
          <w:bCs/>
          <w:color w:val="000000" w:themeColor="text1"/>
          <w:sz w:val="28"/>
          <w:szCs w:val="28"/>
          <w14:textFill>
            <w14:solidFill>
              <w14:schemeClr w14:val="tx1"/>
            </w14:solidFill>
          </w14:textFill>
        </w:rPr>
        <w:t>3.4污染物排放总量控制</w:t>
      </w:r>
      <w:bookmarkEnd w:id="121"/>
    </w:p>
    <w:p w14:paraId="1A6E4072">
      <w:pPr>
        <w:widowControl/>
        <w:ind w:firstLine="480"/>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lang w:bidi="ar"/>
          <w14:textFill>
            <w14:solidFill>
              <w14:schemeClr w14:val="tx1"/>
            </w14:solidFill>
          </w14:textFill>
        </w:rPr>
        <w:t>我国目前实行的是区域污染物排放总量目标控制，即区域排污量在一定时期内不得突破分配的污染物排放总量。通过对污染物排放总量及浓度控制，最大限度地减少各类污染物进入环境，以确保区域环境质量目标能得以实现，实现区域经济的可持续发展。因此，项目外排主要污染物必须满足达标排放和总量指标要求。</w:t>
      </w:r>
    </w:p>
    <w:p w14:paraId="78027D92">
      <w:pPr>
        <w:widowControl/>
        <w:ind w:firstLine="480"/>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lang w:bidi="ar"/>
          <w14:textFill>
            <w14:solidFill>
              <w14:schemeClr w14:val="tx1"/>
            </w14:solidFill>
          </w14:textFill>
        </w:rPr>
        <w:t>我国实行污染物排放总量控制的污染物有4种：NO</w:t>
      </w:r>
      <w:r>
        <w:rPr>
          <w:rFonts w:hint="default" w:ascii="Times New Roman" w:hAnsi="Times New Roman" w:eastAsia="宋体" w:cs="Times New Roman"/>
          <w:color w:val="000000" w:themeColor="text1"/>
          <w:kern w:val="0"/>
          <w:sz w:val="15"/>
          <w:szCs w:val="15"/>
          <w:lang w:bidi="ar"/>
          <w14:textFill>
            <w14:solidFill>
              <w14:schemeClr w14:val="tx1"/>
            </w14:solidFill>
          </w14:textFill>
        </w:rPr>
        <w:t>x</w:t>
      </w:r>
      <w:r>
        <w:rPr>
          <w:rFonts w:hint="default" w:ascii="Times New Roman" w:hAnsi="Times New Roman" w:eastAsia="宋体" w:cs="Times New Roman"/>
          <w:color w:val="000000" w:themeColor="text1"/>
          <w:kern w:val="0"/>
          <w:lang w:bidi="ar"/>
          <w14:textFill>
            <w14:solidFill>
              <w14:schemeClr w14:val="tx1"/>
            </w14:solidFill>
          </w14:textFill>
        </w:rPr>
        <w:t>、VOCs、COD、NH</w:t>
      </w:r>
      <w:r>
        <w:rPr>
          <w:rFonts w:hint="default" w:ascii="Times New Roman" w:hAnsi="Times New Roman" w:eastAsia="宋体" w:cs="Times New Roman"/>
          <w:color w:val="000000" w:themeColor="text1"/>
          <w:kern w:val="0"/>
          <w:sz w:val="15"/>
          <w:szCs w:val="15"/>
          <w:lang w:bidi="ar"/>
          <w14:textFill>
            <w14:solidFill>
              <w14:schemeClr w14:val="tx1"/>
            </w14:solidFill>
          </w14:textFill>
        </w:rPr>
        <w:t>3</w:t>
      </w:r>
      <w:r>
        <w:rPr>
          <w:rFonts w:hint="default" w:ascii="Times New Roman" w:hAnsi="Times New Roman" w:eastAsia="宋体" w:cs="Times New Roman"/>
          <w:color w:val="000000" w:themeColor="text1"/>
          <w:kern w:val="0"/>
          <w:lang w:bidi="ar"/>
          <w14:textFill>
            <w14:solidFill>
              <w14:schemeClr w14:val="tx1"/>
            </w14:solidFill>
          </w14:textFill>
        </w:rPr>
        <w:t>-N。</w:t>
      </w:r>
    </w:p>
    <w:p w14:paraId="1770BAE7">
      <w:pPr>
        <w:widowControl/>
        <w:ind w:firstLine="480"/>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lang w:bidi="ar"/>
          <w14:textFill>
            <w14:solidFill>
              <w14:schemeClr w14:val="tx1"/>
            </w14:solidFill>
          </w14:textFill>
        </w:rPr>
        <w:t>本项目为五类畜禽规模化养殖场（小区）规模化养殖场，且本项目建设治污设施，无污水排放口，可认定COD去除率100%，氨氮去除率100%，结合本项目的排污特征：本项目的养殖废水、生活污水经处理后用做液肥，施用于当地农田，全部进行资源化利用，且有足够土地消纳，因此认定COD去除率100%，氨氮去除率100%，因此，本项目不设置水污染物总量控制指标。</w:t>
      </w:r>
    </w:p>
    <w:p w14:paraId="23FDCBDF">
      <w:pPr>
        <w:widowControl/>
        <w:ind w:firstLine="480"/>
        <w:jc w:val="left"/>
        <w:rPr>
          <w:rFonts w:hint="default" w:ascii="Times New Roman" w:hAnsi="Times New Roman" w:eastAsia="宋体" w:cs="Times New Roman"/>
          <w:color w:val="000000" w:themeColor="text1"/>
          <w:kern w:val="0"/>
          <w:lang w:bidi="ar"/>
          <w14:textFill>
            <w14:solidFill>
              <w14:schemeClr w14:val="tx1"/>
            </w14:solidFill>
          </w14:textFill>
        </w:rPr>
      </w:pPr>
      <w:r>
        <w:rPr>
          <w:rFonts w:hint="default" w:ascii="Times New Roman" w:hAnsi="Times New Roman" w:eastAsia="宋体" w:cs="Times New Roman"/>
          <w:color w:val="000000" w:themeColor="text1"/>
          <w:kern w:val="0"/>
          <w:lang w:bidi="ar"/>
          <w14:textFill>
            <w14:solidFill>
              <w14:schemeClr w14:val="tx1"/>
            </w14:solidFill>
          </w14:textFill>
        </w:rPr>
        <w:t>本项目供暖采用电锅炉取暖。</w:t>
      </w:r>
    </w:p>
    <w:p w14:paraId="433356F7">
      <w:pPr>
        <w:widowControl/>
        <w:ind w:firstLine="480"/>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lang w:bidi="ar"/>
          <w14:textFill>
            <w14:solidFill>
              <w14:schemeClr w14:val="tx1"/>
            </w14:solidFill>
          </w14:textFill>
        </w:rPr>
        <w:t>因此，本项目不设置大气污染物总量控制指标。</w:t>
      </w:r>
    </w:p>
    <w:p w14:paraId="7AA03C2B">
      <w:pPr>
        <w:pStyle w:val="8"/>
        <w:ind w:left="0" w:leftChars="0" w:firstLine="0" w:firstLineChars="0"/>
        <w:rPr>
          <w:rFonts w:hint="default" w:ascii="Times New Roman" w:hAnsi="Times New Roman" w:eastAsia="宋体" w:cs="Times New Roman"/>
          <w:color w:val="000000" w:themeColor="text1"/>
          <w14:textFill>
            <w14:solidFill>
              <w14:schemeClr w14:val="tx1"/>
            </w14:solidFill>
          </w14:textFill>
        </w:rPr>
      </w:pPr>
    </w:p>
    <w:p w14:paraId="0B2A216A">
      <w:pPr>
        <w:ind w:firstLine="602"/>
        <w:rPr>
          <w:rFonts w:hint="default" w:ascii="Times New Roman" w:hAnsi="Times New Roman" w:eastAsia="宋体" w:cs="Times New Roman"/>
          <w:b/>
          <w:bCs/>
          <w:color w:val="000000" w:themeColor="text1"/>
          <w:sz w:val="30"/>
          <w:szCs w:val="30"/>
          <w14:textFill>
            <w14:solidFill>
              <w14:schemeClr w14:val="tx1"/>
            </w14:solidFill>
          </w14:textFill>
        </w:rPr>
        <w:sectPr>
          <w:footerReference r:id="rId13" w:type="default"/>
          <w:pgSz w:w="11911" w:h="16838"/>
          <w:pgMar w:top="1440" w:right="1803" w:bottom="1440" w:left="1803" w:header="896" w:footer="998" w:gutter="0"/>
          <w:pgNumType w:fmt="decimal"/>
          <w:cols w:space="0" w:num="1"/>
          <w:titlePg/>
          <w:docGrid w:linePitch="312" w:charSpace="0"/>
        </w:sectPr>
      </w:pPr>
    </w:p>
    <w:p w14:paraId="5F0C7F74">
      <w:pPr>
        <w:ind w:firstLine="0" w:firstLineChars="0"/>
        <w:outlineLvl w:val="0"/>
        <w:rPr>
          <w:rFonts w:hint="default" w:ascii="Times New Roman" w:hAnsi="Times New Roman" w:eastAsia="宋体" w:cs="Times New Roman"/>
          <w:b/>
          <w:bCs/>
          <w:color w:val="000000" w:themeColor="text1"/>
          <w:sz w:val="30"/>
          <w:szCs w:val="30"/>
          <w14:textFill>
            <w14:solidFill>
              <w14:schemeClr w14:val="tx1"/>
            </w14:solidFill>
          </w14:textFill>
        </w:rPr>
      </w:pPr>
      <w:bookmarkStart w:id="122" w:name="_Toc9798"/>
      <w:r>
        <w:rPr>
          <w:rFonts w:hint="default" w:ascii="Times New Roman" w:hAnsi="Times New Roman" w:eastAsia="宋体" w:cs="Times New Roman"/>
          <w:b/>
          <w:bCs/>
          <w:color w:val="000000" w:themeColor="text1"/>
          <w:sz w:val="30"/>
          <w:szCs w:val="30"/>
          <w14:textFill>
            <w14:solidFill>
              <w14:schemeClr w14:val="tx1"/>
            </w14:solidFill>
          </w14:textFill>
        </w:rPr>
        <w:t>4区域环境概况及环境质量现状评价</w:t>
      </w:r>
      <w:bookmarkEnd w:id="122"/>
    </w:p>
    <w:p w14:paraId="7364A0F3">
      <w:pPr>
        <w:ind w:firstLine="0" w:firstLineChars="0"/>
        <w:outlineLvl w:val="1"/>
        <w:rPr>
          <w:rFonts w:hint="default" w:ascii="Times New Roman" w:hAnsi="Times New Roman" w:eastAsia="宋体" w:cs="Times New Roman"/>
          <w:b/>
          <w:bCs/>
          <w:color w:val="000000" w:themeColor="text1"/>
          <w:sz w:val="28"/>
          <w:szCs w:val="28"/>
          <w14:textFill>
            <w14:solidFill>
              <w14:schemeClr w14:val="tx1"/>
            </w14:solidFill>
          </w14:textFill>
        </w:rPr>
      </w:pPr>
      <w:bookmarkStart w:id="123" w:name="_Toc24643"/>
      <w:r>
        <w:rPr>
          <w:rFonts w:hint="default" w:ascii="Times New Roman" w:hAnsi="Times New Roman" w:eastAsia="宋体" w:cs="Times New Roman"/>
          <w:b/>
          <w:bCs/>
          <w:color w:val="000000" w:themeColor="text1"/>
          <w:sz w:val="28"/>
          <w:szCs w:val="28"/>
          <w14:textFill>
            <w14:solidFill>
              <w14:schemeClr w14:val="tx1"/>
            </w14:solidFill>
          </w14:textFill>
        </w:rPr>
        <w:t>4.1自然环境概况</w:t>
      </w:r>
      <w:bookmarkEnd w:id="123"/>
    </w:p>
    <w:p w14:paraId="09721913">
      <w:pPr>
        <w:widowControl/>
        <w:ind w:firstLine="482"/>
        <w:outlineLvl w:val="2"/>
        <w:rPr>
          <w:rFonts w:hint="default" w:ascii="Times New Roman" w:hAnsi="Times New Roman" w:eastAsia="宋体" w:cs="Times New Roman"/>
          <w:color w:val="000000" w:themeColor="text1"/>
          <w14:textFill>
            <w14:solidFill>
              <w14:schemeClr w14:val="tx1"/>
            </w14:solidFill>
          </w14:textFill>
        </w:rPr>
      </w:pPr>
      <w:bookmarkStart w:id="124" w:name="_Toc23710"/>
      <w:r>
        <w:rPr>
          <w:rFonts w:hint="default" w:ascii="Times New Roman" w:hAnsi="Times New Roman" w:eastAsia="宋体" w:cs="Times New Roman"/>
          <w:b/>
          <w:bCs/>
          <w:color w:val="000000" w:themeColor="text1"/>
          <w:kern w:val="0"/>
          <w:lang w:bidi="ar"/>
          <w14:textFill>
            <w14:solidFill>
              <w14:schemeClr w14:val="tx1"/>
            </w14:solidFill>
          </w14:textFill>
        </w:rPr>
        <w:t>4.1.1地理位置</w:t>
      </w:r>
      <w:bookmarkEnd w:id="124"/>
    </w:p>
    <w:p w14:paraId="2EC92452">
      <w:pPr>
        <w:widowControl/>
        <w:ind w:firstLine="480"/>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lang w:bidi="ar"/>
          <w14:textFill>
            <w14:solidFill>
              <w14:schemeClr w14:val="tx1"/>
            </w14:solidFill>
          </w14:textFill>
        </w:rPr>
        <w:t>科尔沁右翼前旗地处内蒙古自治区东北部，大兴安岭南麓，向松嫩平原过渡地带。东经119°31'51＂～122°52'07＂，北纬45°42'07＂～47°1'36＂，东与扎赉特旗毗邻，南和吉林省白城市相接，西同锡林郭勒盟东乌珠穆沁旗相连，北靠本盟阿尔山市，西北与蒙古国接壤，国境线长32.5km，是自治区19个边境旗县之一。</w:t>
      </w:r>
    </w:p>
    <w:p w14:paraId="5799D7C2">
      <w:pPr>
        <w:widowControl/>
        <w:ind w:firstLine="482"/>
        <w:outlineLvl w:val="2"/>
        <w:rPr>
          <w:rFonts w:hint="default" w:ascii="Times New Roman" w:hAnsi="Times New Roman" w:eastAsia="宋体" w:cs="Times New Roman"/>
          <w:b/>
          <w:bCs/>
          <w:color w:val="000000" w:themeColor="text1"/>
          <w:kern w:val="0"/>
          <w:lang w:bidi="ar"/>
          <w14:textFill>
            <w14:solidFill>
              <w14:schemeClr w14:val="tx1"/>
            </w14:solidFill>
          </w14:textFill>
        </w:rPr>
      </w:pPr>
      <w:bookmarkStart w:id="125" w:name="_Toc29775"/>
      <w:r>
        <w:rPr>
          <w:rFonts w:hint="default" w:ascii="Times New Roman" w:hAnsi="Times New Roman" w:eastAsia="宋体" w:cs="Times New Roman"/>
          <w:b/>
          <w:bCs/>
          <w:color w:val="000000" w:themeColor="text1"/>
          <w:kern w:val="0"/>
          <w:lang w:bidi="ar"/>
          <w14:textFill>
            <w14:solidFill>
              <w14:schemeClr w14:val="tx1"/>
            </w14:solidFill>
          </w14:textFill>
        </w:rPr>
        <w:t>4.1.2地形地貌</w:t>
      </w:r>
      <w:bookmarkEnd w:id="125"/>
    </w:p>
    <w:p w14:paraId="24ADB55F">
      <w:pPr>
        <w:widowControl/>
        <w:ind w:firstLine="480"/>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lang w:bidi="ar"/>
          <w14:textFill>
            <w14:solidFill>
              <w14:schemeClr w14:val="tx1"/>
            </w14:solidFill>
          </w14:textFill>
        </w:rPr>
        <w:t>科尔沁右翼前旗地处大兴安岭东南坡，为低山丘陵区，山脉总体走势呈西南东北向展布，地势呈西北高南东低。山脊有向松辽平原渐趋低矮的趋势，海拔在900～400m之间，相对高差在100～500m之间。该区域独特的地貌景观是山势较陡峻。河谷两侧分布有不对称的漫滩、一级阶地及山前斜地。</w:t>
      </w:r>
    </w:p>
    <w:p w14:paraId="715AA4DD">
      <w:pPr>
        <w:widowControl/>
        <w:ind w:firstLine="480"/>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lang w:bidi="ar"/>
          <w14:textFill>
            <w14:solidFill>
              <w14:schemeClr w14:val="tx1"/>
            </w14:solidFill>
          </w14:textFill>
        </w:rPr>
        <w:t>根据科尔沁右翼前旗抗旱水文地质报告及相关地质资料，自中生代以来，西北部山前地带相继隆起抬升，东南部沉降地区接受了巨厚的白垩系、第三系沉积层，特别是第四纪以来，全区广泛沉积了较厚的多种成因类型的松散堆积层。</w:t>
      </w:r>
    </w:p>
    <w:p w14:paraId="229C19AF">
      <w:pPr>
        <w:widowControl/>
        <w:ind w:firstLine="480"/>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lang w:bidi="ar"/>
          <w14:textFill>
            <w14:solidFill>
              <w14:schemeClr w14:val="tx1"/>
            </w14:solidFill>
          </w14:textFill>
        </w:rPr>
        <w:t>根据《中国地震动峰值加速度规划》（GB18306-2001），工作区的设计抗震设防烈度为Ⅵ度。</w:t>
      </w:r>
    </w:p>
    <w:p w14:paraId="2933CC1D">
      <w:pPr>
        <w:widowControl/>
        <w:ind w:firstLine="480"/>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lang w:bidi="ar"/>
          <w14:textFill>
            <w14:solidFill>
              <w14:schemeClr w14:val="tx1"/>
            </w14:solidFill>
          </w14:textFill>
        </w:rPr>
        <w:t>科尔沁右翼前旗的地形特征是西北高、东南低，属于浅山丘陵区。地处大兴安岭东南坡，为低山丘陵区，山脉总体走势呈西南东北向展布，地势呈西北高南东低。山脊有向松辽平原渐趋低矮的趋势，海拔在300～900m之间，相对高差变化较大。</w:t>
      </w:r>
    </w:p>
    <w:p w14:paraId="4AD29423">
      <w:pPr>
        <w:widowControl/>
        <w:ind w:firstLine="482"/>
        <w:outlineLvl w:val="2"/>
        <w:rPr>
          <w:rFonts w:hint="default" w:ascii="Times New Roman" w:hAnsi="Times New Roman" w:eastAsia="宋体" w:cs="Times New Roman"/>
          <w:b/>
          <w:bCs/>
          <w:color w:val="000000" w:themeColor="text1"/>
          <w:kern w:val="0"/>
          <w:lang w:bidi="ar"/>
          <w14:textFill>
            <w14:solidFill>
              <w14:schemeClr w14:val="tx1"/>
            </w14:solidFill>
          </w14:textFill>
        </w:rPr>
      </w:pPr>
      <w:bookmarkStart w:id="126" w:name="_Toc9187"/>
      <w:r>
        <w:rPr>
          <w:rFonts w:hint="default" w:ascii="Times New Roman" w:hAnsi="Times New Roman" w:eastAsia="宋体" w:cs="Times New Roman"/>
          <w:b/>
          <w:bCs/>
          <w:color w:val="000000" w:themeColor="text1"/>
          <w:kern w:val="0"/>
          <w:lang w:bidi="ar"/>
          <w14:textFill>
            <w14:solidFill>
              <w14:schemeClr w14:val="tx1"/>
            </w14:solidFill>
          </w14:textFill>
        </w:rPr>
        <w:t>4.1.3气候气象</w:t>
      </w:r>
      <w:bookmarkEnd w:id="126"/>
    </w:p>
    <w:p w14:paraId="5C3B30B2">
      <w:pPr>
        <w:widowControl/>
        <w:ind w:firstLine="480"/>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lang w:bidi="ar"/>
          <w14:textFill>
            <w14:solidFill>
              <w14:schemeClr w14:val="tx1"/>
            </w14:solidFill>
          </w14:textFill>
        </w:rPr>
        <w:t>科尔沁右翼前旗地区属于温带大陆性季风气候区。主要特征是：冬季严寒干燥，时间长达6～7个月；春季升温快，蒸发量大，湿度小，多风沙；夏季炎热而短促；秋季降温急骤历时短。年均气温5℃，年平均风速2.8m/s，年平均相对湿度53%，年均降水量442.6mm，一次最大降水量为120.8mm，年日照时长2901.7h。</w:t>
      </w:r>
    </w:p>
    <w:p w14:paraId="7286C6E5">
      <w:pPr>
        <w:widowControl/>
        <w:ind w:firstLine="482"/>
        <w:outlineLvl w:val="2"/>
        <w:rPr>
          <w:rFonts w:hint="default" w:ascii="Times New Roman" w:hAnsi="Times New Roman" w:eastAsia="宋体" w:cs="Times New Roman"/>
          <w:b/>
          <w:bCs/>
          <w:color w:val="000000" w:themeColor="text1"/>
          <w:kern w:val="0"/>
          <w:lang w:bidi="ar"/>
          <w14:textFill>
            <w14:solidFill>
              <w14:schemeClr w14:val="tx1"/>
            </w14:solidFill>
          </w14:textFill>
        </w:rPr>
      </w:pPr>
      <w:bookmarkStart w:id="127" w:name="_Toc11194"/>
      <w:r>
        <w:rPr>
          <w:rFonts w:hint="default" w:ascii="Times New Roman" w:hAnsi="Times New Roman" w:eastAsia="宋体" w:cs="Times New Roman"/>
          <w:b/>
          <w:bCs/>
          <w:color w:val="000000" w:themeColor="text1"/>
          <w:kern w:val="0"/>
          <w:lang w:bidi="ar"/>
          <w14:textFill>
            <w14:solidFill>
              <w14:schemeClr w14:val="tx1"/>
            </w14:solidFill>
          </w14:textFill>
        </w:rPr>
        <w:t>4.1.4水文地质</w:t>
      </w:r>
      <w:bookmarkEnd w:id="127"/>
    </w:p>
    <w:p w14:paraId="2BAFAA61">
      <w:pPr>
        <w:widowControl/>
        <w:ind w:firstLine="480"/>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lang w:bidi="ar"/>
          <w14:textFill>
            <w14:solidFill>
              <w14:schemeClr w14:val="tx1"/>
            </w14:solidFill>
          </w14:textFill>
        </w:rPr>
        <w:t>科尔沁右翼前旗地下水类型为基岩裂隙水，含水层厚度为18～25m之间，渗透系数在8.1～10.1m/s之间，水力坡降在1.42～4.35%之间，项目实施地水源井为100～120m的管井，单井涌水量在20-32m³/h。以下河流是流径旗内的主要河流：</w:t>
      </w:r>
    </w:p>
    <w:p w14:paraId="06E2F12D">
      <w:pPr>
        <w:widowControl/>
        <w:ind w:firstLine="480"/>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lang w:bidi="ar"/>
          <w14:textFill>
            <w14:solidFill>
              <w14:schemeClr w14:val="tx1"/>
            </w14:solidFill>
          </w14:textFill>
        </w:rPr>
        <w:t>（1）洮儿河：洮儿河发源于阿尔山市大九道沟东北山顶，海拔高程1500m，</w:t>
      </w:r>
    </w:p>
    <w:p w14:paraId="4D5B8E83">
      <w:pPr>
        <w:widowControl/>
        <w:ind w:firstLine="480"/>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lang w:bidi="ar"/>
          <w14:textFill>
            <w14:solidFill>
              <w14:schemeClr w14:val="tx1"/>
            </w14:solidFill>
          </w14:textFill>
        </w:rPr>
        <w:t>河流总长595km，集水面积10294.10km</w:t>
      </w:r>
      <w:r>
        <w:rPr>
          <w:rFonts w:hint="default" w:ascii="Times New Roman" w:hAnsi="Times New Roman" w:eastAsia="宋体" w:cs="Times New Roman"/>
          <w:color w:val="000000" w:themeColor="text1"/>
          <w:kern w:val="0"/>
          <w:sz w:val="16"/>
          <w:szCs w:val="16"/>
          <w:lang w:bidi="ar"/>
          <w14:textFill>
            <w14:solidFill>
              <w14:schemeClr w14:val="tx1"/>
            </w14:solidFill>
          </w14:textFill>
        </w:rPr>
        <w:t>2</w:t>
      </w:r>
      <w:r>
        <w:rPr>
          <w:rFonts w:hint="default" w:ascii="Times New Roman" w:hAnsi="Times New Roman" w:eastAsia="宋体" w:cs="Times New Roman"/>
          <w:color w:val="000000" w:themeColor="text1"/>
          <w:kern w:val="0"/>
          <w:lang w:bidi="ar"/>
          <w14:textFill>
            <w14:solidFill>
              <w14:schemeClr w14:val="tx1"/>
            </w14:solidFill>
          </w14:textFill>
        </w:rPr>
        <w:t>。洮儿河在旗内流域面积为8030.7km</w:t>
      </w:r>
      <w:r>
        <w:rPr>
          <w:rFonts w:hint="default" w:ascii="Times New Roman" w:hAnsi="Times New Roman" w:eastAsia="宋体" w:cs="Times New Roman"/>
          <w:color w:val="000000" w:themeColor="text1"/>
          <w:kern w:val="0"/>
          <w:sz w:val="16"/>
          <w:szCs w:val="16"/>
          <w:lang w:bidi="ar"/>
          <w14:textFill>
            <w14:solidFill>
              <w14:schemeClr w14:val="tx1"/>
            </w14:solidFill>
          </w14:textFill>
        </w:rPr>
        <w:t>2</w:t>
      </w:r>
      <w:r>
        <w:rPr>
          <w:rFonts w:hint="default" w:ascii="Times New Roman" w:hAnsi="Times New Roman" w:eastAsia="宋体" w:cs="Times New Roman"/>
          <w:color w:val="000000" w:themeColor="text1"/>
          <w:kern w:val="0"/>
          <w:lang w:bidi="ar"/>
          <w14:textFill>
            <w14:solidFill>
              <w14:schemeClr w14:val="tx1"/>
            </w14:solidFill>
          </w14:textFill>
        </w:rPr>
        <w:t>，在旗境内河长293km，河道比降3.5‰，多年平均径流量8.92亿m</w:t>
      </w:r>
      <w:r>
        <w:rPr>
          <w:rFonts w:hint="default" w:ascii="Times New Roman" w:hAnsi="Times New Roman" w:eastAsia="宋体" w:cs="Times New Roman"/>
          <w:color w:val="000000" w:themeColor="text1"/>
          <w:kern w:val="0"/>
          <w:sz w:val="16"/>
          <w:szCs w:val="16"/>
          <w:lang w:bidi="ar"/>
          <w14:textFill>
            <w14:solidFill>
              <w14:schemeClr w14:val="tx1"/>
            </w14:solidFill>
          </w14:textFill>
        </w:rPr>
        <w:t>3</w:t>
      </w:r>
      <w:r>
        <w:rPr>
          <w:rFonts w:hint="default" w:ascii="Times New Roman" w:hAnsi="Times New Roman" w:eastAsia="宋体" w:cs="Times New Roman"/>
          <w:color w:val="000000" w:themeColor="text1"/>
          <w:kern w:val="0"/>
          <w:lang w:bidi="ar"/>
          <w14:textFill>
            <w14:solidFill>
              <w14:schemeClr w14:val="tx1"/>
            </w14:solidFill>
          </w14:textFill>
        </w:rPr>
        <w:t>，是科右前旗最大的河流。</w:t>
      </w:r>
    </w:p>
    <w:p w14:paraId="0B378853">
      <w:pPr>
        <w:widowControl/>
        <w:ind w:firstLine="480"/>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lang w:bidi="ar"/>
          <w14:textFill>
            <w14:solidFill>
              <w14:schemeClr w14:val="tx1"/>
            </w14:solidFill>
          </w14:textFill>
        </w:rPr>
        <w:t>（2）归流河：归流河发源于</w:t>
      </w:r>
      <w:r>
        <w:rPr>
          <w:rFonts w:hint="default" w:ascii="Times New Roman" w:hAnsi="Times New Roman" w:eastAsia="宋体" w:cs="Times New Roman"/>
          <w:color w:val="000000" w:themeColor="text1"/>
          <w:kern w:val="0"/>
          <w:lang w:bidi="ar"/>
          <w14:textFill>
            <w14:solidFill>
              <w14:schemeClr w14:val="tx1"/>
            </w14:solidFill>
          </w14:textFill>
        </w:rPr>
        <w:fldChar w:fldCharType="begin"/>
      </w:r>
      <w:r>
        <w:rPr>
          <w:rFonts w:hint="default" w:ascii="Times New Roman" w:hAnsi="Times New Roman" w:eastAsia="宋体" w:cs="Times New Roman"/>
          <w:color w:val="000000" w:themeColor="text1"/>
          <w:kern w:val="0"/>
          <w:lang w:bidi="ar"/>
          <w14:textFill>
            <w14:solidFill>
              <w14:schemeClr w14:val="tx1"/>
            </w14:solidFill>
          </w14:textFill>
        </w:rPr>
        <w:instrText xml:space="preserve"> HYPERLINK "https://baike.so.com/doc/3029809-3194579.html" \t "https://baike.so.com/doc/_blank" </w:instrText>
      </w:r>
      <w:r>
        <w:rPr>
          <w:rFonts w:hint="default" w:ascii="Times New Roman" w:hAnsi="Times New Roman" w:eastAsia="宋体" w:cs="Times New Roman"/>
          <w:color w:val="000000" w:themeColor="text1"/>
          <w:kern w:val="0"/>
          <w:lang w:bidi="ar"/>
          <w14:textFill>
            <w14:solidFill>
              <w14:schemeClr w14:val="tx1"/>
            </w14:solidFill>
          </w14:textFill>
        </w:rPr>
        <w:fldChar w:fldCharType="separate"/>
      </w:r>
      <w:r>
        <w:rPr>
          <w:rFonts w:hint="default" w:ascii="Times New Roman" w:hAnsi="Times New Roman" w:eastAsia="宋体" w:cs="Times New Roman"/>
          <w:color w:val="000000" w:themeColor="text1"/>
          <w:kern w:val="0"/>
          <w:lang w:bidi="ar"/>
          <w14:textFill>
            <w14:solidFill>
              <w14:schemeClr w14:val="tx1"/>
            </w14:solidFill>
          </w14:textFill>
        </w:rPr>
        <w:t>大兴安岭</w:t>
      </w:r>
      <w:r>
        <w:rPr>
          <w:rFonts w:hint="default" w:ascii="Times New Roman" w:hAnsi="Times New Roman" w:eastAsia="宋体" w:cs="Times New Roman"/>
          <w:color w:val="000000" w:themeColor="text1"/>
          <w:kern w:val="0"/>
          <w:lang w:bidi="ar"/>
          <w14:textFill>
            <w14:solidFill>
              <w14:schemeClr w14:val="tx1"/>
            </w14:solidFill>
          </w14:textFill>
        </w:rPr>
        <w:fldChar w:fldCharType="end"/>
      </w:r>
      <w:r>
        <w:rPr>
          <w:rFonts w:hint="default" w:ascii="Times New Roman" w:hAnsi="Times New Roman" w:eastAsia="宋体" w:cs="Times New Roman"/>
          <w:color w:val="000000" w:themeColor="text1"/>
          <w:kern w:val="0"/>
          <w:lang w:bidi="ar"/>
          <w14:textFill>
            <w14:solidFill>
              <w14:schemeClr w14:val="tx1"/>
            </w14:solidFill>
          </w14:textFill>
        </w:rPr>
        <w:t>西麓宝格达山，河源海拔高程1150m，由西北流向东南，河流总长277.3km，集水面积为9522.65km</w:t>
      </w:r>
      <w:r>
        <w:rPr>
          <w:rFonts w:hint="default" w:ascii="Times New Roman" w:hAnsi="Times New Roman" w:eastAsia="宋体" w:cs="Times New Roman"/>
          <w:color w:val="000000" w:themeColor="text1"/>
          <w:kern w:val="0"/>
          <w:sz w:val="16"/>
          <w:szCs w:val="16"/>
          <w:lang w:bidi="ar"/>
          <w14:textFill>
            <w14:solidFill>
              <w14:schemeClr w14:val="tx1"/>
            </w14:solidFill>
          </w14:textFill>
        </w:rPr>
        <w:t>2</w:t>
      </w:r>
      <w:r>
        <w:rPr>
          <w:rFonts w:hint="default" w:ascii="Times New Roman" w:hAnsi="Times New Roman" w:eastAsia="宋体" w:cs="Times New Roman"/>
          <w:color w:val="000000" w:themeColor="text1"/>
          <w:kern w:val="0"/>
          <w:lang w:bidi="ar"/>
          <w14:textFill>
            <w14:solidFill>
              <w14:schemeClr w14:val="tx1"/>
            </w14:solidFill>
          </w14:textFill>
        </w:rPr>
        <w:t>。归流河在旗境内的流域面积为8932.8km</w:t>
      </w:r>
      <w:r>
        <w:rPr>
          <w:rFonts w:hint="default" w:ascii="Times New Roman" w:hAnsi="Times New Roman" w:eastAsia="宋体" w:cs="Times New Roman"/>
          <w:color w:val="000000" w:themeColor="text1"/>
          <w:kern w:val="0"/>
          <w:sz w:val="16"/>
          <w:szCs w:val="16"/>
          <w:lang w:bidi="ar"/>
          <w14:textFill>
            <w14:solidFill>
              <w14:schemeClr w14:val="tx1"/>
            </w14:solidFill>
          </w14:textFill>
        </w:rPr>
        <w:t>2</w:t>
      </w:r>
      <w:r>
        <w:rPr>
          <w:rFonts w:hint="default" w:ascii="Times New Roman" w:hAnsi="Times New Roman" w:eastAsia="宋体" w:cs="Times New Roman"/>
          <w:color w:val="000000" w:themeColor="text1"/>
          <w:kern w:val="0"/>
          <w:lang w:bidi="ar"/>
          <w14:textFill>
            <w14:solidFill>
              <w14:schemeClr w14:val="tx1"/>
            </w14:solidFill>
          </w14:textFill>
        </w:rPr>
        <w:t>。旗境内河长218km。河道比降4.9‰，多年平均径流量5.01亿m</w:t>
      </w:r>
      <w:r>
        <w:rPr>
          <w:rFonts w:hint="default" w:ascii="Times New Roman" w:hAnsi="Times New Roman" w:eastAsia="宋体" w:cs="Times New Roman"/>
          <w:color w:val="000000" w:themeColor="text1"/>
          <w:kern w:val="0"/>
          <w:sz w:val="16"/>
          <w:szCs w:val="16"/>
          <w:lang w:bidi="ar"/>
          <w14:textFill>
            <w14:solidFill>
              <w14:schemeClr w14:val="tx1"/>
            </w14:solidFill>
          </w14:textFill>
        </w:rPr>
        <w:t>3</w:t>
      </w:r>
      <w:r>
        <w:rPr>
          <w:rFonts w:hint="default" w:ascii="Times New Roman" w:hAnsi="Times New Roman" w:eastAsia="宋体" w:cs="Times New Roman"/>
          <w:color w:val="000000" w:themeColor="text1"/>
          <w:kern w:val="0"/>
          <w:lang w:bidi="ar"/>
          <w14:textFill>
            <w14:solidFill>
              <w14:schemeClr w14:val="tx1"/>
            </w14:solidFill>
          </w14:textFill>
        </w:rPr>
        <w:t>，是洮儿河主要的支流。</w:t>
      </w:r>
    </w:p>
    <w:p w14:paraId="196570E2">
      <w:pPr>
        <w:widowControl/>
        <w:ind w:firstLine="480"/>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lang w:bidi="ar"/>
          <w14:textFill>
            <w14:solidFill>
              <w14:schemeClr w14:val="tx1"/>
            </w14:solidFill>
          </w14:textFill>
        </w:rPr>
        <w:t>（3）巴拉格歹河：巴拉格歹河是归流河的一级支流，属嫩江水系。发源于哈图莫河，河源海拔高程992.9m，由西南流向东北，河流全长为72.3km，流域集水面积为702.2km</w:t>
      </w:r>
      <w:r>
        <w:rPr>
          <w:rFonts w:hint="default" w:ascii="Times New Roman" w:hAnsi="Times New Roman" w:eastAsia="宋体" w:cs="Times New Roman"/>
          <w:color w:val="000000" w:themeColor="text1"/>
          <w:kern w:val="0"/>
          <w:sz w:val="16"/>
          <w:szCs w:val="16"/>
          <w:lang w:bidi="ar"/>
          <w14:textFill>
            <w14:solidFill>
              <w14:schemeClr w14:val="tx1"/>
            </w14:solidFill>
          </w14:textFill>
        </w:rPr>
        <w:t>2</w:t>
      </w:r>
      <w:r>
        <w:rPr>
          <w:rFonts w:hint="default" w:ascii="Times New Roman" w:hAnsi="Times New Roman" w:eastAsia="宋体" w:cs="Times New Roman"/>
          <w:color w:val="000000" w:themeColor="text1"/>
          <w:kern w:val="0"/>
          <w:lang w:bidi="ar"/>
          <w14:textFill>
            <w14:solidFill>
              <w14:schemeClr w14:val="tx1"/>
            </w14:solidFill>
          </w14:textFill>
        </w:rPr>
        <w:t>，在科右前旗赵家沟村东南汇入归流河。该河上游地形属低山区，流域内植被覆盖率较好，上游段以柞树、黑桦和山杨等阔叶为多，中游山势平缓，以蒙古杏树、羊草为主，下游段近年农垦开发较多，两岸多为农田。流域内漫滩较多，地下水较浅，泉水出露较多。</w:t>
      </w:r>
    </w:p>
    <w:p w14:paraId="0024283B">
      <w:pPr>
        <w:widowControl/>
        <w:ind w:firstLine="482"/>
        <w:outlineLvl w:val="2"/>
        <w:rPr>
          <w:rFonts w:hint="default" w:ascii="Times New Roman" w:hAnsi="Times New Roman" w:eastAsia="宋体" w:cs="Times New Roman"/>
          <w:b/>
          <w:bCs/>
          <w:color w:val="000000" w:themeColor="text1"/>
          <w:kern w:val="0"/>
          <w:lang w:bidi="ar"/>
          <w14:textFill>
            <w14:solidFill>
              <w14:schemeClr w14:val="tx1"/>
            </w14:solidFill>
          </w14:textFill>
        </w:rPr>
      </w:pPr>
      <w:bookmarkStart w:id="128" w:name="_Toc19440"/>
      <w:r>
        <w:rPr>
          <w:rFonts w:hint="default" w:ascii="Times New Roman" w:hAnsi="Times New Roman" w:eastAsia="宋体" w:cs="Times New Roman"/>
          <w:b/>
          <w:bCs/>
          <w:color w:val="000000" w:themeColor="text1"/>
          <w:kern w:val="0"/>
          <w:lang w:bidi="ar"/>
          <w14:textFill>
            <w14:solidFill>
              <w14:schemeClr w14:val="tx1"/>
            </w14:solidFill>
          </w14:textFill>
        </w:rPr>
        <w:t>4.1.5土壤条件</w:t>
      </w:r>
      <w:bookmarkEnd w:id="128"/>
    </w:p>
    <w:p w14:paraId="64F0C039">
      <w:pPr>
        <w:widowControl/>
        <w:ind w:firstLine="480"/>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lang w:bidi="ar"/>
          <w14:textFill>
            <w14:solidFill>
              <w14:schemeClr w14:val="tx1"/>
            </w14:solidFill>
          </w14:textFill>
        </w:rPr>
        <w:t>项目区所占地土壤多为沙壤土和栗钙土。</w:t>
      </w:r>
    </w:p>
    <w:p w14:paraId="6FE5C20F">
      <w:pPr>
        <w:widowControl/>
        <w:ind w:firstLine="482"/>
        <w:outlineLvl w:val="2"/>
        <w:rPr>
          <w:rFonts w:hint="default" w:ascii="Times New Roman" w:hAnsi="Times New Roman" w:eastAsia="宋体" w:cs="Times New Roman"/>
          <w:b/>
          <w:bCs/>
          <w:color w:val="000000" w:themeColor="text1"/>
          <w:kern w:val="0"/>
          <w:lang w:bidi="ar"/>
          <w14:textFill>
            <w14:solidFill>
              <w14:schemeClr w14:val="tx1"/>
            </w14:solidFill>
          </w14:textFill>
        </w:rPr>
      </w:pPr>
      <w:bookmarkStart w:id="129" w:name="_Toc5729"/>
      <w:r>
        <w:rPr>
          <w:rFonts w:hint="default" w:ascii="Times New Roman" w:hAnsi="Times New Roman" w:eastAsia="宋体" w:cs="Times New Roman"/>
          <w:b/>
          <w:bCs/>
          <w:color w:val="000000" w:themeColor="text1"/>
          <w:kern w:val="0"/>
          <w:lang w:bidi="ar"/>
          <w14:textFill>
            <w14:solidFill>
              <w14:schemeClr w14:val="tx1"/>
            </w14:solidFill>
          </w14:textFill>
        </w:rPr>
        <w:t>4.1.6交通运输条件</w:t>
      </w:r>
      <w:bookmarkEnd w:id="129"/>
    </w:p>
    <w:p w14:paraId="5E2714B9">
      <w:pPr>
        <w:widowControl/>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lang w:bidi="ar"/>
          <w14:textFill>
            <w14:solidFill>
              <w14:schemeClr w14:val="tx1"/>
            </w14:solidFill>
          </w14:textFill>
        </w:rPr>
        <w:t>科尔沁右翼前旗道路交通以公路为主，公路网比较发达，全旗有各等级公路1587公里。全旗有8个镇、1个民族乡、2个苏木，5个国营农牧场、10个国营林场、站、1个种畜场。下设241个嘎查（村）、710个自然屯。其中大部分嘎查（村）都通了公路，通村公路达1138.7公里，街巷硬化997.4公里，道路运输服务保障水平进一步提升。项目选址周边交通便利。</w:t>
      </w:r>
    </w:p>
    <w:p w14:paraId="27226214">
      <w:pPr>
        <w:ind w:firstLine="0" w:firstLineChars="0"/>
        <w:outlineLvl w:val="1"/>
        <w:rPr>
          <w:rFonts w:hint="default" w:ascii="Times New Roman" w:hAnsi="Times New Roman" w:eastAsia="宋体" w:cs="Times New Roman"/>
          <w:b/>
          <w:bCs/>
          <w:color w:val="000000" w:themeColor="text1"/>
          <w:sz w:val="28"/>
          <w:szCs w:val="28"/>
          <w14:textFill>
            <w14:solidFill>
              <w14:schemeClr w14:val="tx1"/>
            </w14:solidFill>
          </w14:textFill>
        </w:rPr>
      </w:pPr>
      <w:bookmarkStart w:id="130" w:name="_Toc32256"/>
      <w:r>
        <w:rPr>
          <w:rFonts w:hint="default" w:ascii="Times New Roman" w:hAnsi="Times New Roman" w:eastAsia="宋体" w:cs="Times New Roman"/>
          <w:b/>
          <w:bCs/>
          <w:color w:val="000000" w:themeColor="text1"/>
          <w:sz w:val="28"/>
          <w:szCs w:val="28"/>
          <w14:textFill>
            <w14:solidFill>
              <w14:schemeClr w14:val="tx1"/>
            </w14:solidFill>
          </w14:textFill>
        </w:rPr>
        <w:t>4.2环境质量现状监测与评价</w:t>
      </w:r>
      <w:bookmarkEnd w:id="130"/>
    </w:p>
    <w:p w14:paraId="0DADD183">
      <w:pPr>
        <w:pStyle w:val="11"/>
        <w:ind w:firstLine="478"/>
        <w:outlineLvl w:val="2"/>
        <w:rPr>
          <w:rFonts w:hint="default" w:ascii="Times New Roman" w:hAnsi="Times New Roman" w:eastAsia="宋体" w:cs="Times New Roman"/>
          <w:b/>
          <w:bCs/>
          <w:color w:val="000000" w:themeColor="text1"/>
          <w:lang w:eastAsia="zh-CN"/>
          <w14:textFill>
            <w14:solidFill>
              <w14:schemeClr w14:val="tx1"/>
            </w14:solidFill>
          </w14:textFill>
        </w:rPr>
      </w:pPr>
      <w:bookmarkStart w:id="131" w:name="_Toc22971"/>
      <w:r>
        <w:rPr>
          <w:rFonts w:hint="default" w:ascii="Times New Roman" w:hAnsi="Times New Roman" w:eastAsia="宋体" w:cs="Times New Roman"/>
          <w:b/>
          <w:bCs/>
          <w:color w:val="000000" w:themeColor="text1"/>
          <w:spacing w:val="-1"/>
          <w:lang w:eastAsia="zh-CN"/>
          <w14:textFill>
            <w14:solidFill>
              <w14:schemeClr w14:val="tx1"/>
            </w14:solidFill>
          </w14:textFill>
        </w:rPr>
        <w:t>4.2.1生态环境现状调查与评价</w:t>
      </w:r>
      <w:bookmarkEnd w:id="131"/>
    </w:p>
    <w:p w14:paraId="4D9D6756">
      <w:pPr>
        <w:pStyle w:val="11"/>
        <w:ind w:firstLine="456"/>
        <w:rPr>
          <w:rFonts w:hint="default" w:ascii="Times New Roman" w:hAnsi="Times New Roman" w:eastAsia="宋体" w:cs="Times New Roman"/>
          <w:color w:val="000000" w:themeColor="text1"/>
          <w:spacing w:val="-6"/>
          <w:lang w:eastAsia="zh-CN"/>
          <w14:textFill>
            <w14:solidFill>
              <w14:schemeClr w14:val="tx1"/>
            </w14:solidFill>
          </w14:textFill>
        </w:rPr>
      </w:pPr>
      <w:r>
        <w:rPr>
          <w:rFonts w:hint="default" w:ascii="Times New Roman" w:hAnsi="Times New Roman" w:eastAsia="宋体" w:cs="Times New Roman"/>
          <w:color w:val="000000" w:themeColor="text1"/>
          <w:spacing w:val="-6"/>
          <w:lang w:eastAsia="zh-CN"/>
          <w14:textFill>
            <w14:solidFill>
              <w14:schemeClr w14:val="tx1"/>
            </w14:solidFill>
          </w14:textFill>
        </w:rPr>
        <w:t>4.2.1.1基础信息获取过程</w:t>
      </w:r>
    </w:p>
    <w:p w14:paraId="1C654F59">
      <w:pPr>
        <w:pStyle w:val="2"/>
        <w:keepNext w:val="0"/>
        <w:keepLines w:val="0"/>
        <w:pageBreakBefore w:val="0"/>
        <w:kinsoku/>
        <w:wordWrap/>
        <w:overflowPunct/>
        <w:topLinePunct w:val="0"/>
        <w:autoSpaceDE/>
        <w:autoSpaceDN/>
        <w:bidi w:val="0"/>
        <w:ind w:firstLine="480" w:firstLineChars="200"/>
        <w:outlineLvl w:val="9"/>
        <w:rPr>
          <w:rFonts w:hint="default" w:ascii="Times New Roman" w:hAnsi="Times New Roman" w:eastAsia="宋体" w:cs="Times New Roman"/>
          <w:color w:val="000000" w:themeColor="text1"/>
          <w14:textFill>
            <w14:solidFill>
              <w14:schemeClr w14:val="tx1"/>
            </w14:solidFill>
          </w14:textFill>
        </w:rPr>
      </w:pPr>
      <w:bookmarkStart w:id="132" w:name="_Toc27566"/>
      <w:bookmarkStart w:id="133" w:name="_Toc14970"/>
      <w:bookmarkStart w:id="134" w:name="_Toc7853"/>
      <w:bookmarkStart w:id="135" w:name="_Toc13735"/>
      <w:r>
        <w:rPr>
          <w:rFonts w:hint="default" w:ascii="Times New Roman" w:hAnsi="Times New Roman" w:eastAsia="宋体" w:cs="Times New Roman"/>
          <w:color w:val="000000" w:themeColor="text1"/>
          <w14:textFill>
            <w14:solidFill>
              <w14:schemeClr w14:val="tx1"/>
            </w14:solidFill>
          </w14:textFill>
        </w:rPr>
        <w:t>1</w:t>
      </w:r>
      <w:r>
        <w:rPr>
          <w:rFonts w:hint="eastAsia" w:ascii="Times New Roman" w:hAnsi="Times New Roman" w:cs="Times New Roman"/>
          <w:color w:val="000000" w:themeColor="text1"/>
          <w:lang w:eastAsia="zh-CN"/>
          <w14:textFill>
            <w14:solidFill>
              <w14:schemeClr w14:val="tx1"/>
            </w14:solidFill>
          </w14:textFill>
        </w:rPr>
        <w:t>）</w:t>
      </w:r>
      <w:r>
        <w:rPr>
          <w:rFonts w:hint="default" w:ascii="Times New Roman" w:hAnsi="Times New Roman" w:eastAsia="宋体" w:cs="Times New Roman"/>
          <w:color w:val="000000" w:themeColor="text1"/>
          <w14:textFill>
            <w14:solidFill>
              <w14:schemeClr w14:val="tx1"/>
            </w14:solidFill>
          </w14:textFill>
        </w:rPr>
        <w:t>遥感数据源的选择与解译</w:t>
      </w:r>
      <w:bookmarkEnd w:id="132"/>
      <w:bookmarkEnd w:id="133"/>
      <w:bookmarkEnd w:id="134"/>
      <w:bookmarkEnd w:id="135"/>
    </w:p>
    <w:p w14:paraId="04C38FAE">
      <w:pPr>
        <w:pStyle w:val="2"/>
        <w:keepNext w:val="0"/>
        <w:keepLines w:val="0"/>
        <w:pageBreakBefore w:val="0"/>
        <w:kinsoku/>
        <w:wordWrap/>
        <w:overflowPunct/>
        <w:topLinePunct w:val="0"/>
        <w:autoSpaceDE/>
        <w:autoSpaceDN/>
        <w:bidi w:val="0"/>
        <w:ind w:firstLine="480" w:firstLineChars="200"/>
        <w:outlineLvl w:val="9"/>
        <w:rPr>
          <w:rFonts w:hint="default" w:ascii="Times New Roman" w:hAnsi="Times New Roman" w:eastAsia="宋体" w:cs="Times New Roman"/>
          <w:color w:val="000000" w:themeColor="text1"/>
          <w14:textFill>
            <w14:solidFill>
              <w14:schemeClr w14:val="tx1"/>
            </w14:solidFill>
          </w14:textFill>
        </w:rPr>
      </w:pPr>
      <w:bookmarkStart w:id="136" w:name="_Toc31777"/>
      <w:bookmarkStart w:id="137" w:name="_Toc28992"/>
      <w:r>
        <w:rPr>
          <w:rFonts w:hint="default" w:ascii="Times New Roman" w:hAnsi="Times New Roman" w:eastAsia="宋体" w:cs="Times New Roman"/>
          <w:color w:val="000000" w:themeColor="text1"/>
          <w14:textFill>
            <w14:solidFill>
              <w14:schemeClr w14:val="tx1"/>
            </w14:solidFill>
          </w14:textFill>
        </w:rPr>
        <w:t>①解译数据源</w:t>
      </w:r>
      <w:bookmarkEnd w:id="136"/>
      <w:bookmarkEnd w:id="137"/>
    </w:p>
    <w:p w14:paraId="3ADA1EF3">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pPr>
      <w:bookmarkStart w:id="138" w:name="bookmark4"/>
      <w:bookmarkEnd w:id="138"/>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生态环境现状调查采用卫星遥感解译及现场调查相结合方法，解译使用的信息源为中国资源三号卫星，轨道高度505.948km，携带多光谱相机包括4个波段，空间分辨率为</w:t>
      </w:r>
      <w:r>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t>5.8</w:t>
      </w: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m，成像宽幅为51×51km。本次评价利用4个波段进行融合，得到了5.8m分辨率的</w:t>
      </w:r>
      <w:r>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t>真</w:t>
      </w: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彩色合成影像进行解译分析。该数据接收时间为202</w:t>
      </w:r>
      <w:r>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t>4</w:t>
      </w: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年6月，时间段具有植被发育较好、地表信息丰富的特点，有利于各生态环境因子的研判。遥感影像见图4-1。</w:t>
      </w:r>
    </w:p>
    <w:p w14:paraId="09251F38">
      <w:pPr>
        <w:keepNext w:val="0"/>
        <w:keepLines w:val="0"/>
        <w:pageBreakBefore w:val="0"/>
        <w:widowControl w:val="0"/>
        <w:kinsoku/>
        <w:wordWrap/>
        <w:overflowPunct/>
        <w:topLinePunct w:val="0"/>
        <w:autoSpaceDE/>
        <w:autoSpaceDN/>
        <w:bidi w:val="0"/>
        <w:spacing w:line="360" w:lineRule="auto"/>
        <w:ind w:firstLine="0" w:firstLineChars="0"/>
        <w:jc w:val="left"/>
        <w:outlineLvl w:val="9"/>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drawing>
          <wp:inline distT="0" distB="0" distL="114300" distR="114300">
            <wp:extent cx="5615940" cy="3526790"/>
            <wp:effectExtent l="0" t="0" r="3810" b="6985"/>
            <wp:docPr id="34" name="图片 34" descr="遥感影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遥感影像"/>
                    <pic:cNvPicPr>
                      <a:picLocks noChangeAspect="1"/>
                    </pic:cNvPicPr>
                  </pic:nvPicPr>
                  <pic:blipFill>
                    <a:blip r:embed="rId41"/>
                    <a:stretch>
                      <a:fillRect/>
                    </a:stretch>
                  </pic:blipFill>
                  <pic:spPr>
                    <a:xfrm>
                      <a:off x="0" y="0"/>
                      <a:ext cx="5615940" cy="3526790"/>
                    </a:xfrm>
                    <a:prstGeom prst="rect">
                      <a:avLst/>
                    </a:prstGeom>
                  </pic:spPr>
                </pic:pic>
              </a:graphicData>
            </a:graphic>
          </wp:inline>
        </w:drawing>
      </w:r>
    </w:p>
    <w:p w14:paraId="230803C2">
      <w:pPr>
        <w:keepNext w:val="0"/>
        <w:keepLines w:val="0"/>
        <w:pageBreakBefore w:val="0"/>
        <w:widowControl w:val="0"/>
        <w:kinsoku/>
        <w:wordWrap/>
        <w:overflowPunct/>
        <w:topLinePunct w:val="0"/>
        <w:autoSpaceDE/>
        <w:autoSpaceDN/>
        <w:bidi w:val="0"/>
        <w:spacing w:line="360" w:lineRule="auto"/>
        <w:ind w:firstLine="0" w:firstLineChars="0"/>
        <w:jc w:val="center"/>
        <w:outlineLvl w:val="9"/>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图4-1遥感影像图</w:t>
      </w:r>
    </w:p>
    <w:p w14:paraId="1F963362">
      <w:pPr>
        <w:keepNext w:val="0"/>
        <w:keepLines w:val="0"/>
        <w:pageBreakBefore w:val="0"/>
        <w:widowControl w:val="0"/>
        <w:kinsoku/>
        <w:wordWrap/>
        <w:overflowPunct/>
        <w:topLinePunct w:val="0"/>
        <w:autoSpaceDE/>
        <w:autoSpaceDN/>
        <w:bidi w:val="0"/>
        <w:spacing w:line="360" w:lineRule="auto"/>
        <w:ind w:firstLine="480" w:firstLineChars="200"/>
        <w:jc w:val="left"/>
        <w:outlineLvl w:val="9"/>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pPr>
      <w:bookmarkStart w:id="139" w:name="_Toc19156"/>
      <w:bookmarkStart w:id="140" w:name="_Toc32221"/>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②植被覆盖度数据源</w:t>
      </w:r>
      <w:bookmarkEnd w:id="139"/>
      <w:bookmarkEnd w:id="140"/>
    </w:p>
    <w:p w14:paraId="6BA273F0">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植被覆盖度现状调查采用卫星遥感监测方法，使用的信息源为美国陆地卫星（Landsat8），轨道高度705km，携带OLI运营性陆地成像仪，OLI陆地成像仪包括9个波段，空间分辨率为30m，其中包括一个15m的全色波段，成像宽幅为185×185km。本次评价区植被覆盖度利用近红外5波段与红外4波段进行栅格计算。该数据接收时间为202</w:t>
      </w:r>
      <w:r>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t>4</w:t>
      </w: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年9月，时间段具有植被发育较好、地表信息丰富的特点，有利于植被覆盖度的研判。见图4-2、图4-3。</w:t>
      </w:r>
    </w:p>
    <w:p w14:paraId="68462CE8">
      <w:pPr>
        <w:keepNext w:val="0"/>
        <w:keepLines w:val="0"/>
        <w:pageBreakBefore w:val="0"/>
        <w:widowControl w:val="0"/>
        <w:kinsoku/>
        <w:wordWrap/>
        <w:overflowPunct/>
        <w:topLinePunct w:val="0"/>
        <w:autoSpaceDE/>
        <w:autoSpaceDN/>
        <w:bidi w:val="0"/>
        <w:spacing w:line="360" w:lineRule="auto"/>
        <w:ind w:firstLine="0" w:firstLineChars="0"/>
        <w:jc w:val="center"/>
        <w:outlineLvl w:val="9"/>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drawing>
          <wp:inline distT="0" distB="0" distL="114300" distR="114300">
            <wp:extent cx="5426075" cy="3540760"/>
            <wp:effectExtent l="0" t="0" r="3175" b="2540"/>
            <wp:docPr id="50" name="图片 50" descr="5波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5波段"/>
                    <pic:cNvPicPr>
                      <a:picLocks noChangeAspect="1"/>
                    </pic:cNvPicPr>
                  </pic:nvPicPr>
                  <pic:blipFill>
                    <a:blip r:embed="rId42"/>
                    <a:stretch>
                      <a:fillRect/>
                    </a:stretch>
                  </pic:blipFill>
                  <pic:spPr>
                    <a:xfrm>
                      <a:off x="0" y="0"/>
                      <a:ext cx="5426075" cy="3540760"/>
                    </a:xfrm>
                    <a:prstGeom prst="rect">
                      <a:avLst/>
                    </a:prstGeom>
                  </pic:spPr>
                </pic:pic>
              </a:graphicData>
            </a:graphic>
          </wp:inline>
        </w:drawing>
      </w:r>
    </w:p>
    <w:p w14:paraId="1490D7FE">
      <w:pPr>
        <w:keepNext w:val="0"/>
        <w:keepLines w:val="0"/>
        <w:pageBreakBefore w:val="0"/>
        <w:widowControl w:val="0"/>
        <w:kinsoku/>
        <w:wordWrap/>
        <w:overflowPunct/>
        <w:topLinePunct w:val="0"/>
        <w:autoSpaceDE/>
        <w:autoSpaceDN/>
        <w:bidi w:val="0"/>
        <w:spacing w:line="360" w:lineRule="auto"/>
        <w:ind w:firstLine="0" w:firstLineChars="0"/>
        <w:jc w:val="center"/>
        <w:outlineLvl w:val="9"/>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图4-2</w:t>
      </w:r>
      <w:r>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t>　</w:t>
      </w: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5波段遥感影像图</w:t>
      </w:r>
    </w:p>
    <w:p w14:paraId="0D2706B2">
      <w:pPr>
        <w:keepNext w:val="0"/>
        <w:keepLines w:val="0"/>
        <w:pageBreakBefore w:val="0"/>
        <w:widowControl w:val="0"/>
        <w:kinsoku/>
        <w:wordWrap/>
        <w:overflowPunct/>
        <w:topLinePunct w:val="0"/>
        <w:autoSpaceDE/>
        <w:autoSpaceDN/>
        <w:bidi w:val="0"/>
        <w:spacing w:line="360" w:lineRule="auto"/>
        <w:ind w:firstLine="0" w:firstLineChars="0"/>
        <w:jc w:val="left"/>
        <w:outlineLvl w:val="9"/>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drawing>
          <wp:inline distT="0" distB="0" distL="114300" distR="114300">
            <wp:extent cx="5615940" cy="3422650"/>
            <wp:effectExtent l="0" t="0" r="3810" b="6350"/>
            <wp:docPr id="35" name="图片 35" descr="4波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4波段"/>
                    <pic:cNvPicPr>
                      <a:picLocks noChangeAspect="1"/>
                    </pic:cNvPicPr>
                  </pic:nvPicPr>
                  <pic:blipFill>
                    <a:blip r:embed="rId43"/>
                    <a:stretch>
                      <a:fillRect/>
                    </a:stretch>
                  </pic:blipFill>
                  <pic:spPr>
                    <a:xfrm>
                      <a:off x="0" y="0"/>
                      <a:ext cx="5615940" cy="3422650"/>
                    </a:xfrm>
                    <a:prstGeom prst="rect">
                      <a:avLst/>
                    </a:prstGeom>
                  </pic:spPr>
                </pic:pic>
              </a:graphicData>
            </a:graphic>
          </wp:inline>
        </w:drawing>
      </w:r>
    </w:p>
    <w:p w14:paraId="7DFCB599">
      <w:pPr>
        <w:keepNext w:val="0"/>
        <w:keepLines w:val="0"/>
        <w:pageBreakBefore w:val="0"/>
        <w:widowControl w:val="0"/>
        <w:kinsoku/>
        <w:wordWrap/>
        <w:overflowPunct/>
        <w:topLinePunct w:val="0"/>
        <w:autoSpaceDE/>
        <w:autoSpaceDN/>
        <w:bidi w:val="0"/>
        <w:spacing w:line="360" w:lineRule="auto"/>
        <w:ind w:firstLine="0" w:firstLineChars="0"/>
        <w:jc w:val="center"/>
        <w:outlineLvl w:val="9"/>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图4-3</w:t>
      </w:r>
      <w:r>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t>　</w:t>
      </w: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4波段遥感影像图</w:t>
      </w:r>
    </w:p>
    <w:p w14:paraId="2A4B448B">
      <w:pPr>
        <w:keepNext w:val="0"/>
        <w:keepLines w:val="0"/>
        <w:pageBreakBefore w:val="0"/>
        <w:widowControl w:val="0"/>
        <w:kinsoku/>
        <w:wordWrap/>
        <w:overflowPunct/>
        <w:topLinePunct w:val="0"/>
        <w:autoSpaceDE/>
        <w:autoSpaceDN/>
        <w:bidi w:val="0"/>
        <w:spacing w:line="360" w:lineRule="auto"/>
        <w:ind w:firstLine="480" w:firstLineChars="200"/>
        <w:jc w:val="left"/>
        <w:outlineLvl w:val="9"/>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pPr>
      <w:bookmarkStart w:id="141" w:name="_Toc3476"/>
      <w:bookmarkStart w:id="142" w:name="_Toc628"/>
      <w:bookmarkStart w:id="143" w:name="_Toc32537"/>
      <w:bookmarkStart w:id="144" w:name="_Toc2936"/>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2</w:t>
      </w:r>
      <w:r>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t>）</w:t>
      </w: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现状调查</w:t>
      </w:r>
      <w:bookmarkEnd w:id="141"/>
      <w:bookmarkEnd w:id="142"/>
      <w:bookmarkEnd w:id="143"/>
      <w:bookmarkEnd w:id="144"/>
    </w:p>
    <w:p w14:paraId="148629A9">
      <w:pPr>
        <w:keepNext w:val="0"/>
        <w:keepLines w:val="0"/>
        <w:pageBreakBefore w:val="0"/>
        <w:widowControl w:val="0"/>
        <w:kinsoku/>
        <w:wordWrap/>
        <w:overflowPunct/>
        <w:topLinePunct w:val="0"/>
        <w:autoSpaceDE/>
        <w:autoSpaceDN/>
        <w:bidi w:val="0"/>
        <w:spacing w:line="360" w:lineRule="auto"/>
        <w:ind w:firstLine="480" w:firstLineChars="200"/>
        <w:jc w:val="left"/>
        <w:outlineLvl w:val="9"/>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采取以实地调查为主，结合对当地技术人员、政府管理部门、农民等访问调查，了解评价范围内自然生态环境现状及近几年评价区土地利用、水土流失、生态环境建设的规划等，在卫星影像图的基础上，结合实地调查，取得地形地貌、土地利用现状、植被组成和植被盖度等资料，最后绘制评价区相关生态图件和数据统计表。调查方法与步骤见4-4。</w:t>
      </w:r>
    </w:p>
    <w:p w14:paraId="3283426B">
      <w:pPr>
        <w:keepNext w:val="0"/>
        <w:keepLines w:val="0"/>
        <w:pageBreakBefore w:val="0"/>
        <w:kinsoku/>
        <w:wordWrap/>
        <w:overflowPunct/>
        <w:topLinePunct w:val="0"/>
        <w:autoSpaceDE/>
        <w:autoSpaceDN/>
        <w:bidi w:val="0"/>
        <w:adjustRightInd w:val="0"/>
        <w:snapToGrid w:val="0"/>
        <w:ind w:firstLine="480"/>
        <w:jc w:val="center"/>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mc:AlternateContent>
          <mc:Choice Requires="wpg">
            <w:drawing>
              <wp:inline distT="0" distB="0" distL="114300" distR="114300">
                <wp:extent cx="3893820" cy="2723515"/>
                <wp:effectExtent l="4445" t="4445" r="6985" b="5715"/>
                <wp:docPr id="24" name="组合 24"/>
                <wp:cNvGraphicFramePr/>
                <a:graphic xmlns:a="http://schemas.openxmlformats.org/drawingml/2006/main">
                  <a:graphicData uri="http://schemas.microsoft.com/office/word/2010/wordprocessingGroup">
                    <wpg:wgp>
                      <wpg:cNvGrpSpPr>
                        <a:grpSpLocks noRot="1"/>
                      </wpg:cNvGrpSpPr>
                      <wpg:grpSpPr>
                        <a:xfrm>
                          <a:off x="0" y="0"/>
                          <a:ext cx="3893820" cy="2723515"/>
                          <a:chOff x="3622" y="2580"/>
                          <a:chExt cx="5093" cy="4128"/>
                        </a:xfrm>
                        <a:effectLst/>
                      </wpg:grpSpPr>
                      <wps:wsp>
                        <wps:cNvPr id="40" name="文本框 2"/>
                        <wps:cNvSpPr txBox="1"/>
                        <wps:spPr>
                          <a:xfrm>
                            <a:off x="3622" y="2580"/>
                            <a:ext cx="5093" cy="477"/>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14:paraId="5DEB720F">
                              <w:pPr>
                                <w:ind w:left="0" w:leftChars="0" w:firstLine="0" w:firstLineChars="0"/>
                                <w:jc w:val="center"/>
                                <w:rPr>
                                  <w:rFonts w:ascii="Times New Roman" w:hAnsi="Times New Roman" w:eastAsia="宋体"/>
                                </w:rPr>
                              </w:pPr>
                              <w:r>
                                <w:rPr>
                                  <w:rFonts w:hint="eastAsia" w:ascii="Times New Roman" w:hAnsi="Times New Roman" w:eastAsia="宋体"/>
                                  <w:szCs w:val="21"/>
                                </w:rPr>
                                <w:t>信息源：202</w:t>
                              </w:r>
                              <w:r>
                                <w:rPr>
                                  <w:rFonts w:hint="eastAsia" w:ascii="Times New Roman" w:hAnsi="Times New Roman" w:eastAsia="宋体"/>
                                  <w:szCs w:val="21"/>
                                  <w:lang w:val="en-US" w:eastAsia="zh-CN"/>
                                </w:rPr>
                                <w:t>4</w:t>
                              </w:r>
                              <w:r>
                                <w:rPr>
                                  <w:rFonts w:hint="eastAsia" w:ascii="Times New Roman" w:hAnsi="Times New Roman" w:eastAsia="宋体"/>
                                  <w:szCs w:val="21"/>
                                </w:rPr>
                                <w:t>年</w:t>
                              </w:r>
                              <w:r>
                                <w:rPr>
                                  <w:rFonts w:ascii="Times New Roman" w:hAnsi="Times New Roman" w:eastAsia="宋体"/>
                                  <w:szCs w:val="21"/>
                                </w:rPr>
                                <w:t>卫星遥感</w:t>
                              </w:r>
                              <w:r>
                                <w:rPr>
                                  <w:rFonts w:hint="eastAsia" w:ascii="Times New Roman" w:hAnsi="Times New Roman" w:eastAsia="宋体"/>
                                </w:rPr>
                                <w:t>影像图</w:t>
                              </w:r>
                            </w:p>
                          </w:txbxContent>
                        </wps:txbx>
                        <wps:bodyPr upright="1"/>
                      </wps:wsp>
                      <wps:wsp>
                        <wps:cNvPr id="41" name="文本框 3"/>
                        <wps:cNvSpPr txBox="1"/>
                        <wps:spPr>
                          <a:xfrm>
                            <a:off x="4412" y="3356"/>
                            <a:ext cx="3513" cy="422"/>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14:paraId="1E9FF033">
                              <w:pPr>
                                <w:ind w:left="0" w:leftChars="0" w:firstLine="0" w:firstLineChars="0"/>
                                <w:jc w:val="center"/>
                                <w:rPr>
                                  <w:rFonts w:ascii="Times New Roman" w:hAnsi="Times New Roman" w:eastAsia="宋体"/>
                                  <w:szCs w:val="21"/>
                                </w:rPr>
                              </w:pPr>
                              <w:r>
                                <w:rPr>
                                  <w:rFonts w:hint="eastAsia" w:ascii="Times New Roman" w:hAnsi="Times New Roman" w:eastAsia="宋体"/>
                                  <w:szCs w:val="21"/>
                                </w:rPr>
                                <w:t>室内预解译及解译标志的确定</w:t>
                              </w:r>
                            </w:p>
                          </w:txbxContent>
                        </wps:txbx>
                        <wps:bodyPr upright="1"/>
                      </wps:wsp>
                      <wps:wsp>
                        <wps:cNvPr id="42" name="文本框 4"/>
                        <wps:cNvSpPr txBox="1"/>
                        <wps:spPr>
                          <a:xfrm>
                            <a:off x="4321" y="4095"/>
                            <a:ext cx="3733" cy="422"/>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14:paraId="460BBDD9">
                              <w:pPr>
                                <w:ind w:left="0" w:leftChars="0" w:firstLine="0" w:firstLineChars="0"/>
                                <w:jc w:val="center"/>
                                <w:rPr>
                                  <w:rFonts w:ascii="Times New Roman" w:hAnsi="Times New Roman" w:eastAsia="宋体"/>
                                  <w:szCs w:val="21"/>
                                </w:rPr>
                              </w:pPr>
                              <w:r>
                                <w:rPr>
                                  <w:rFonts w:hint="eastAsia" w:ascii="Times New Roman" w:hAnsi="Times New Roman" w:eastAsia="宋体"/>
                                  <w:szCs w:val="21"/>
                                </w:rPr>
                                <w:t>野外调查、建立解译标志，勾绘草图</w:t>
                              </w:r>
                            </w:p>
                          </w:txbxContent>
                        </wps:txbx>
                        <wps:bodyPr upright="1"/>
                      </wps:wsp>
                      <wps:wsp>
                        <wps:cNvPr id="43" name="文本框 5"/>
                        <wps:cNvSpPr txBox="1"/>
                        <wps:spPr>
                          <a:xfrm>
                            <a:off x="4849" y="4846"/>
                            <a:ext cx="2622" cy="422"/>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14:paraId="2E1024E7">
                              <w:pPr>
                                <w:ind w:left="0" w:leftChars="0" w:firstLine="0" w:firstLineChars="0"/>
                                <w:jc w:val="center"/>
                                <w:rPr>
                                  <w:rFonts w:ascii="Times New Roman" w:hAnsi="Times New Roman" w:eastAsia="宋体"/>
                                </w:rPr>
                              </w:pPr>
                              <w:r>
                                <w:rPr>
                                  <w:rFonts w:hint="eastAsia" w:ascii="Times New Roman" w:hAnsi="Times New Roman" w:eastAsia="宋体"/>
                                  <w:szCs w:val="21"/>
                                </w:rPr>
                                <w:t>多图层综合分析</w:t>
                              </w:r>
                              <w:r>
                                <w:rPr>
                                  <w:rFonts w:hint="eastAsia" w:ascii="Times New Roman" w:hAnsi="Times New Roman" w:eastAsia="宋体"/>
                                </w:rPr>
                                <w:t>，</w:t>
                              </w:r>
                              <w:r>
                                <w:rPr>
                                  <w:rFonts w:hint="eastAsia" w:ascii="Times New Roman" w:hAnsi="Times New Roman" w:eastAsia="宋体"/>
                                  <w:szCs w:val="21"/>
                                </w:rPr>
                                <w:t>转绘</w:t>
                              </w:r>
                            </w:p>
                          </w:txbxContent>
                        </wps:txbx>
                        <wps:bodyPr upright="1"/>
                      </wps:wsp>
                      <wps:wsp>
                        <wps:cNvPr id="44" name="文本框 6"/>
                        <wps:cNvSpPr txBox="1"/>
                        <wps:spPr>
                          <a:xfrm>
                            <a:off x="4719" y="5575"/>
                            <a:ext cx="2908" cy="422"/>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14:paraId="05DF7414">
                              <w:pPr>
                                <w:ind w:left="0" w:leftChars="0" w:firstLine="0" w:firstLineChars="0"/>
                                <w:jc w:val="center"/>
                                <w:rPr>
                                  <w:rFonts w:ascii="Times New Roman" w:hAnsi="Times New Roman" w:eastAsia="宋体"/>
                                </w:rPr>
                              </w:pPr>
                              <w:r>
                                <w:rPr>
                                  <w:rFonts w:hint="eastAsia" w:ascii="Times New Roman" w:hAnsi="Times New Roman" w:eastAsia="宋体"/>
                                  <w:szCs w:val="21"/>
                                </w:rPr>
                                <w:t>建立数据库，GIS数</w:t>
                              </w:r>
                              <w:r>
                                <w:rPr>
                                  <w:rFonts w:hint="eastAsia" w:ascii="Times New Roman" w:hAnsi="Times New Roman" w:eastAsia="宋体"/>
                                </w:rPr>
                                <w:t>据</w:t>
                              </w:r>
                              <w:r>
                                <w:rPr>
                                  <w:rFonts w:hint="eastAsia" w:ascii="Times New Roman" w:hAnsi="Times New Roman" w:eastAsia="宋体"/>
                                  <w:szCs w:val="21"/>
                                </w:rPr>
                                <w:t>采集</w:t>
                              </w:r>
                            </w:p>
                          </w:txbxContent>
                        </wps:txbx>
                        <wps:bodyPr upright="1"/>
                      </wps:wsp>
                      <wps:wsp>
                        <wps:cNvPr id="45" name="文本框 7"/>
                        <wps:cNvSpPr txBox="1"/>
                        <wps:spPr>
                          <a:xfrm>
                            <a:off x="5404" y="6286"/>
                            <a:ext cx="1529" cy="422"/>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14:paraId="256DC602">
                              <w:pPr>
                                <w:ind w:left="0" w:leftChars="0" w:firstLine="0" w:firstLineChars="0"/>
                                <w:jc w:val="center"/>
                                <w:rPr>
                                  <w:rFonts w:ascii="Times New Roman" w:hAnsi="Times New Roman" w:eastAsia="宋体"/>
                                </w:rPr>
                              </w:pPr>
                              <w:r>
                                <w:rPr>
                                  <w:rFonts w:hint="eastAsia" w:ascii="Times New Roman" w:hAnsi="Times New Roman" w:eastAsia="宋体"/>
                                </w:rPr>
                                <w:t>结果输出</w:t>
                              </w:r>
                            </w:p>
                          </w:txbxContent>
                        </wps:txbx>
                        <wps:bodyPr upright="1"/>
                      </wps:wsp>
                      <wps:wsp>
                        <wps:cNvPr id="46" name="直接箭头连接符 8"/>
                        <wps:cNvCnPr/>
                        <wps:spPr>
                          <a:xfrm>
                            <a:off x="6160" y="3057"/>
                            <a:ext cx="0" cy="299"/>
                          </a:xfrm>
                          <a:prstGeom prst="straightConnector1">
                            <a:avLst/>
                          </a:prstGeom>
                          <a:ln w="9525" cap="flat" cmpd="sng">
                            <a:solidFill>
                              <a:srgbClr val="000000"/>
                            </a:solidFill>
                            <a:prstDash val="solid"/>
                            <a:headEnd type="none" w="med" len="med"/>
                            <a:tailEnd type="triangle" w="med" len="med"/>
                          </a:ln>
                          <a:effectLst/>
                        </wps:spPr>
                        <wps:bodyPr/>
                      </wps:wsp>
                      <wps:wsp>
                        <wps:cNvPr id="47" name="直接箭头连接符 9"/>
                        <wps:cNvCnPr/>
                        <wps:spPr>
                          <a:xfrm>
                            <a:off x="6160" y="3778"/>
                            <a:ext cx="0" cy="317"/>
                          </a:xfrm>
                          <a:prstGeom prst="straightConnector1">
                            <a:avLst/>
                          </a:prstGeom>
                          <a:ln w="9525" cap="flat" cmpd="sng">
                            <a:solidFill>
                              <a:srgbClr val="000000"/>
                            </a:solidFill>
                            <a:prstDash val="solid"/>
                            <a:headEnd type="none" w="med" len="med"/>
                            <a:tailEnd type="triangle" w="med" len="med"/>
                          </a:ln>
                          <a:effectLst/>
                        </wps:spPr>
                        <wps:bodyPr/>
                      </wps:wsp>
                      <wps:wsp>
                        <wps:cNvPr id="48" name="直接箭头连接符 10"/>
                        <wps:cNvCnPr/>
                        <wps:spPr>
                          <a:xfrm>
                            <a:off x="6160" y="4517"/>
                            <a:ext cx="0" cy="329"/>
                          </a:xfrm>
                          <a:prstGeom prst="straightConnector1">
                            <a:avLst/>
                          </a:prstGeom>
                          <a:ln w="9525" cap="flat" cmpd="sng">
                            <a:solidFill>
                              <a:srgbClr val="000000"/>
                            </a:solidFill>
                            <a:prstDash val="solid"/>
                            <a:headEnd type="none" w="med" len="med"/>
                            <a:tailEnd type="triangle" w="med" len="med"/>
                          </a:ln>
                          <a:effectLst/>
                        </wps:spPr>
                        <wps:bodyPr/>
                      </wps:wsp>
                      <wps:wsp>
                        <wps:cNvPr id="49" name="直接箭头连接符 11"/>
                        <wps:cNvCnPr/>
                        <wps:spPr>
                          <a:xfrm>
                            <a:off x="6159" y="5270"/>
                            <a:ext cx="1" cy="260"/>
                          </a:xfrm>
                          <a:prstGeom prst="straightConnector1">
                            <a:avLst/>
                          </a:prstGeom>
                          <a:ln w="9525" cap="flat" cmpd="sng">
                            <a:solidFill>
                              <a:srgbClr val="000000"/>
                            </a:solidFill>
                            <a:prstDash val="solid"/>
                            <a:headEnd type="none" w="med" len="med"/>
                            <a:tailEnd type="triangle" w="med" len="med"/>
                          </a:ln>
                          <a:effectLst/>
                        </wps:spPr>
                        <wps:bodyPr/>
                      </wps:wsp>
                      <wps:wsp>
                        <wps:cNvPr id="51" name="直接箭头连接符 12"/>
                        <wps:cNvCnPr/>
                        <wps:spPr>
                          <a:xfrm>
                            <a:off x="6177" y="5985"/>
                            <a:ext cx="0" cy="301"/>
                          </a:xfrm>
                          <a:prstGeom prst="straightConnector1">
                            <a:avLst/>
                          </a:prstGeom>
                          <a:ln w="9525" cap="flat" cmpd="sng">
                            <a:solidFill>
                              <a:srgbClr val="000000"/>
                            </a:solidFill>
                            <a:prstDash val="solid"/>
                            <a:headEnd type="none" w="med" len="med"/>
                            <a:tailEnd type="triangle" w="med" len="med"/>
                          </a:ln>
                          <a:effectLst/>
                        </wps:spPr>
                        <wps:bodyPr/>
                      </wps:wsp>
                    </wpg:wgp>
                  </a:graphicData>
                </a:graphic>
              </wp:inline>
            </w:drawing>
          </mc:Choice>
          <mc:Fallback>
            <w:pict>
              <v:group id="_x0000_s1026" o:spid="_x0000_s1026" o:spt="203" style="height:214.45pt;width:306.6pt;" coordorigin="3622,2580" coordsize="5093,4128" o:gfxdata="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">
                <o:lock v:ext="edit" rotation="t" aspectratio="f"/>
                <v:shape id="文本框 2" o:spid="_x0000_s1026" o:spt="202" type="#_x0000_t202" style="position:absolute;left:3622;top:2580;height:477;width:5093;" fillcolor="#FFFFFF" filled="t" stroked="t" coordsize="21600,21600" o:gfxdata="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q9/DEugAAANsA&#10;AAAPAAAAAAAAAAEAIAAAACIAAABkcnMvZG93bnJldi54bWxQSwECFAAUAAAACACHTuJAMy8FnjsA&#10;AAA5AAAAEAAAAAAAAAABACAAAAAJAQAAZHJzL3NoYXBleG1sLnhtbFBLBQYAAAAABgAGAFsBAACz&#10;AwAAAAA=&#10;">
                  <v:fill on="t" focussize="0,0"/>
                  <v:stroke color="#000000" joinstyle="miter"/>
                  <v:imagedata o:title=""/>
                  <o:lock v:ext="edit" aspectratio="f"/>
                  <v:textbox>
                    <w:txbxContent>
                      <w:p w14:paraId="5DEB720F">
                        <w:pPr>
                          <w:ind w:left="0" w:leftChars="0" w:firstLine="0" w:firstLineChars="0"/>
                          <w:jc w:val="center"/>
                          <w:rPr>
                            <w:rFonts w:ascii="Times New Roman" w:hAnsi="Times New Roman" w:eastAsia="宋体"/>
                          </w:rPr>
                        </w:pPr>
                        <w:r>
                          <w:rPr>
                            <w:rFonts w:hint="eastAsia" w:ascii="Times New Roman" w:hAnsi="Times New Roman" w:eastAsia="宋体"/>
                            <w:szCs w:val="21"/>
                          </w:rPr>
                          <w:t>信息源：202</w:t>
                        </w:r>
                        <w:r>
                          <w:rPr>
                            <w:rFonts w:hint="eastAsia" w:ascii="Times New Roman" w:hAnsi="Times New Roman" w:eastAsia="宋体"/>
                            <w:szCs w:val="21"/>
                            <w:lang w:val="en-US" w:eastAsia="zh-CN"/>
                          </w:rPr>
                          <w:t>4</w:t>
                        </w:r>
                        <w:r>
                          <w:rPr>
                            <w:rFonts w:hint="eastAsia" w:ascii="Times New Roman" w:hAnsi="Times New Roman" w:eastAsia="宋体"/>
                            <w:szCs w:val="21"/>
                          </w:rPr>
                          <w:t>年</w:t>
                        </w:r>
                        <w:r>
                          <w:rPr>
                            <w:rFonts w:ascii="Times New Roman" w:hAnsi="Times New Roman" w:eastAsia="宋体"/>
                            <w:szCs w:val="21"/>
                          </w:rPr>
                          <w:t>卫星遥感</w:t>
                        </w:r>
                        <w:r>
                          <w:rPr>
                            <w:rFonts w:hint="eastAsia" w:ascii="Times New Roman" w:hAnsi="Times New Roman" w:eastAsia="宋体"/>
                          </w:rPr>
                          <w:t>影像图</w:t>
                        </w:r>
                      </w:p>
                    </w:txbxContent>
                  </v:textbox>
                </v:shape>
                <v:shape id="文本框 3" o:spid="_x0000_s1026" o:spt="202" type="#_x0000_t202" style="position:absolute;left:4412;top:3356;height:422;width:3513;" fillcolor="#FFFFFF" filled="t" stroked="t" coordsize="21600,21600" o:gfxdata="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Fu1Vf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14:paraId="1E9FF033">
                        <w:pPr>
                          <w:ind w:left="0" w:leftChars="0" w:firstLine="0" w:firstLineChars="0"/>
                          <w:jc w:val="center"/>
                          <w:rPr>
                            <w:rFonts w:ascii="Times New Roman" w:hAnsi="Times New Roman" w:eastAsia="宋体"/>
                            <w:szCs w:val="21"/>
                          </w:rPr>
                        </w:pPr>
                        <w:r>
                          <w:rPr>
                            <w:rFonts w:hint="eastAsia" w:ascii="Times New Roman" w:hAnsi="Times New Roman" w:eastAsia="宋体"/>
                            <w:szCs w:val="21"/>
                          </w:rPr>
                          <w:t>室内预解译及解译标志的确定</w:t>
                        </w:r>
                      </w:p>
                    </w:txbxContent>
                  </v:textbox>
                </v:shape>
                <v:shape id="文本框 4" o:spid="_x0000_s1026" o:spt="202" type="#_x0000_t202" style="position:absolute;left:4321;top:4095;height:422;width:3733;" fillcolor="#FFFFFF" filled="t" stroked="t" coordsize="21600,21600" o:gfxdata="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Vpyyi/&#10;AAAA2wAAAA8AAAAAAAAAAQAgAAAAIgAAAGRycy9kb3ducmV2LnhtbFBLAQIUABQAAAAIAIdO4kAz&#10;LwWeOwAAADkAAAAQAAAAAAAAAAEAIAAAAA4BAABkcnMvc2hhcGV4bWwueG1sUEsFBgAAAAAGAAYA&#10;WwEAALgDAAAAAA==&#10;">
                  <v:fill on="t" focussize="0,0"/>
                  <v:stroke color="#000000" joinstyle="miter"/>
                  <v:imagedata o:title=""/>
                  <o:lock v:ext="edit" aspectratio="f"/>
                  <v:textbox>
                    <w:txbxContent>
                      <w:p w14:paraId="460BBDD9">
                        <w:pPr>
                          <w:ind w:left="0" w:leftChars="0" w:firstLine="0" w:firstLineChars="0"/>
                          <w:jc w:val="center"/>
                          <w:rPr>
                            <w:rFonts w:ascii="Times New Roman" w:hAnsi="Times New Roman" w:eastAsia="宋体"/>
                            <w:szCs w:val="21"/>
                          </w:rPr>
                        </w:pPr>
                        <w:r>
                          <w:rPr>
                            <w:rFonts w:hint="eastAsia" w:ascii="Times New Roman" w:hAnsi="Times New Roman" w:eastAsia="宋体"/>
                            <w:szCs w:val="21"/>
                          </w:rPr>
                          <w:t>野外调查、建立解译标志，勾绘草图</w:t>
                        </w:r>
                      </w:p>
                    </w:txbxContent>
                  </v:textbox>
                </v:shape>
                <v:shape id="文本框 5" o:spid="_x0000_s1026" o:spt="202" type="#_x0000_t202" style="position:absolute;left:4849;top:4846;height:422;width:2622;" fillcolor="#FFFFFF" filled="t" stroked="t" coordsize="21600,21600" o:gfxdata="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aJW6z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14:paraId="2E1024E7">
                        <w:pPr>
                          <w:ind w:left="0" w:leftChars="0" w:firstLine="0" w:firstLineChars="0"/>
                          <w:jc w:val="center"/>
                          <w:rPr>
                            <w:rFonts w:ascii="Times New Roman" w:hAnsi="Times New Roman" w:eastAsia="宋体"/>
                          </w:rPr>
                        </w:pPr>
                        <w:r>
                          <w:rPr>
                            <w:rFonts w:hint="eastAsia" w:ascii="Times New Roman" w:hAnsi="Times New Roman" w:eastAsia="宋体"/>
                            <w:szCs w:val="21"/>
                          </w:rPr>
                          <w:t>多图层综合分析</w:t>
                        </w:r>
                        <w:r>
                          <w:rPr>
                            <w:rFonts w:hint="eastAsia" w:ascii="Times New Roman" w:hAnsi="Times New Roman" w:eastAsia="宋体"/>
                          </w:rPr>
                          <w:t>，</w:t>
                        </w:r>
                        <w:r>
                          <w:rPr>
                            <w:rFonts w:hint="eastAsia" w:ascii="Times New Roman" w:hAnsi="Times New Roman" w:eastAsia="宋体"/>
                            <w:szCs w:val="21"/>
                          </w:rPr>
                          <w:t>转绘</w:t>
                        </w:r>
                      </w:p>
                    </w:txbxContent>
                  </v:textbox>
                </v:shape>
                <v:shape id="文本框 6" o:spid="_x0000_s1026" o:spt="202" type="#_x0000_t202" style="position:absolute;left:4719;top:5575;height:422;width:2908;" fillcolor="#FFFFFF" filled="t" stroked="t" coordsize="21600,21600" o:gfxdata="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cz2x74A&#10;AADb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14:paraId="05DF7414">
                        <w:pPr>
                          <w:ind w:left="0" w:leftChars="0" w:firstLine="0" w:firstLineChars="0"/>
                          <w:jc w:val="center"/>
                          <w:rPr>
                            <w:rFonts w:ascii="Times New Roman" w:hAnsi="Times New Roman" w:eastAsia="宋体"/>
                          </w:rPr>
                        </w:pPr>
                        <w:r>
                          <w:rPr>
                            <w:rFonts w:hint="eastAsia" w:ascii="Times New Roman" w:hAnsi="Times New Roman" w:eastAsia="宋体"/>
                            <w:szCs w:val="21"/>
                          </w:rPr>
                          <w:t>建立数据库，GIS数</w:t>
                        </w:r>
                        <w:r>
                          <w:rPr>
                            <w:rFonts w:hint="eastAsia" w:ascii="Times New Roman" w:hAnsi="Times New Roman" w:eastAsia="宋体"/>
                          </w:rPr>
                          <w:t>据</w:t>
                        </w:r>
                        <w:r>
                          <w:rPr>
                            <w:rFonts w:hint="eastAsia" w:ascii="Times New Roman" w:hAnsi="Times New Roman" w:eastAsia="宋体"/>
                            <w:szCs w:val="21"/>
                          </w:rPr>
                          <w:t>采集</w:t>
                        </w:r>
                      </w:p>
                    </w:txbxContent>
                  </v:textbox>
                </v:shape>
                <v:shape id="文本框 7" o:spid="_x0000_s1026" o:spt="202" type="#_x0000_t202" style="position:absolute;left:5404;top:6286;height:422;width:1529;" fillcolor="#FFFFFF" filled="t" stroked="t" coordsize="21600,21600" o:gfxdata="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oBTXL4A&#10;AADb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14:paraId="256DC602">
                        <w:pPr>
                          <w:ind w:left="0" w:leftChars="0" w:firstLine="0" w:firstLineChars="0"/>
                          <w:jc w:val="center"/>
                          <w:rPr>
                            <w:rFonts w:ascii="Times New Roman" w:hAnsi="Times New Roman" w:eastAsia="宋体"/>
                          </w:rPr>
                        </w:pPr>
                        <w:r>
                          <w:rPr>
                            <w:rFonts w:hint="eastAsia" w:ascii="Times New Roman" w:hAnsi="Times New Roman" w:eastAsia="宋体"/>
                          </w:rPr>
                          <w:t>结果输出</w:t>
                        </w:r>
                      </w:p>
                    </w:txbxContent>
                  </v:textbox>
                </v:shape>
                <v:shape id="直接箭头连接符 8" o:spid="_x0000_s1026" o:spt="32" type="#_x0000_t32" style="position:absolute;left:6160;top:3057;height:299;width:0;" filled="f" stroked="t" coordsize="21600,21600" o:gfxdata="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ya+wi/&#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shape>
                <v:shape id="直接箭头连接符 9" o:spid="_x0000_s1026" o:spt="32" type="#_x0000_t32" style="position:absolute;left:6160;top:3778;height:317;width:0;" filled="f" stroked="t" coordsize="21600,21600" o:gfxdata="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9Zek74A&#10;AADb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shape>
                <v:shape id="直接箭头连接符 10" o:spid="_x0000_s1026" o:spt="32" type="#_x0000_t32" style="position:absolute;left:6160;top:4517;height:329;width:0;" filled="f" stroked="t" coordsize="21600,21600" o:gfxdata="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8knK4bsAAADb&#10;AAAADwAAAAAAAAABACAAAAAiAAAAZHJzL2Rvd25yZXYueG1sUEsBAhQAFAAAAAgAh07iQDMvBZ47&#10;AAAAOQAAABAAAAAAAAAAAQAgAAAACgEAAGRycy9zaGFwZXhtbC54bWxQSwUGAAAAAAYABgBbAQAA&#10;tAMAAAAA&#10;">
                  <v:fill on="f" focussize="0,0"/>
                  <v:stroke color="#000000" joinstyle="round" endarrow="block"/>
                  <v:imagedata o:title=""/>
                  <o:lock v:ext="edit" aspectratio="f"/>
                </v:shape>
                <v:shape id="直接箭头连接符 11" o:spid="_x0000_s1026" o:spt="32" type="#_x0000_t32" style="position:absolute;left:6159;top:5270;height:260;width:1;" filled="f" stroked="t" coordsize="21600,21600" o:gfxdata="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QVver4A&#10;AADb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shape>
                <v:shape id="直接箭头连接符 12" o:spid="_x0000_s1026" o:spt="32" type="#_x0000_t32" style="position:absolute;left:6177;top:5985;height:301;width:0;" filled="f" stroked="t" coordsize="21600,21600" o:gfxdata="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5qr1ob4A&#10;AADb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shape>
                <w10:wrap type="none"/>
                <w10:anchorlock/>
              </v:group>
            </w:pict>
          </mc:Fallback>
        </mc:AlternateContent>
      </w:r>
    </w:p>
    <w:p w14:paraId="48349316">
      <w:pPr>
        <w:keepNext w:val="0"/>
        <w:keepLines w:val="0"/>
        <w:pageBreakBefore w:val="0"/>
        <w:widowControl w:val="0"/>
        <w:kinsoku/>
        <w:wordWrap/>
        <w:overflowPunct/>
        <w:topLinePunct w:val="0"/>
        <w:autoSpaceDE/>
        <w:autoSpaceDN/>
        <w:bidi w:val="0"/>
        <w:spacing w:line="360" w:lineRule="auto"/>
        <w:ind w:firstLine="482" w:firstLineChars="200"/>
        <w:jc w:val="center"/>
        <w:outlineLvl w:val="9"/>
        <w:rPr>
          <w:rFonts w:hint="default" w:ascii="Times New Roman" w:hAnsi="Times New Roman" w:eastAsia="宋体" w:cs="Times New Roman"/>
          <w:color w:val="000000" w:themeColor="text1"/>
          <w:spacing w:val="-6"/>
          <w:kern w:val="2"/>
          <w:sz w:val="24"/>
          <w:szCs w:val="24"/>
          <w:lang w:val="en-US" w:eastAsia="zh-CN" w:bidi="ar-SA"/>
          <w14:textFill>
            <w14:solidFill>
              <w14:schemeClr w14:val="tx1"/>
            </w14:solidFill>
          </w14:textFill>
        </w:rPr>
      </w:pPr>
      <w:r>
        <w:rPr>
          <w:rFonts w:hint="default" w:ascii="Times New Roman" w:hAnsi="Times New Roman" w:eastAsia="宋体" w:cs="Times New Roman"/>
          <w:b/>
          <w:color w:val="000000" w:themeColor="text1"/>
          <w:kern w:val="2"/>
          <w:sz w:val="24"/>
          <w:szCs w:val="21"/>
          <w:lang w:val="en-US" w:eastAsia="zh-CN" w:bidi="ar-SA"/>
          <w14:textFill>
            <w14:solidFill>
              <w14:schemeClr w14:val="tx1"/>
            </w14:solidFill>
          </w14:textFill>
        </w:rPr>
        <w:t>图4-4调查方法与技术路线框图</w:t>
      </w:r>
    </w:p>
    <w:p w14:paraId="798511A1">
      <w:pPr>
        <w:keepNext w:val="0"/>
        <w:keepLines w:val="0"/>
        <w:pageBreakBefore w:val="0"/>
        <w:widowControl w:val="0"/>
        <w:kinsoku/>
        <w:wordWrap/>
        <w:overflowPunct/>
        <w:topLinePunct w:val="0"/>
        <w:autoSpaceDE/>
        <w:autoSpaceDN/>
        <w:bidi w:val="0"/>
        <w:spacing w:line="360" w:lineRule="auto"/>
        <w:ind w:firstLine="456" w:firstLineChars="200"/>
        <w:jc w:val="both"/>
        <w:outlineLvl w:val="9"/>
        <w:rPr>
          <w:rFonts w:hint="default" w:ascii="Times New Roman" w:hAnsi="Times New Roman" w:eastAsia="宋体" w:cs="Times New Roman"/>
          <w:color w:val="000000" w:themeColor="text1"/>
          <w:spacing w:val="-6"/>
          <w:kern w:val="2"/>
          <w:sz w:val="24"/>
          <w:szCs w:val="24"/>
          <w:lang w:val="en-US" w:eastAsia="zh-CN" w:bidi="ar-SA"/>
          <w14:textFill>
            <w14:solidFill>
              <w14:schemeClr w14:val="tx1"/>
            </w14:solidFill>
          </w14:textFill>
        </w:rPr>
      </w:pPr>
      <w:bookmarkStart w:id="145" w:name="_Toc5211"/>
      <w:bookmarkStart w:id="146" w:name="_Toc18183"/>
      <w:r>
        <w:rPr>
          <w:rFonts w:hint="default" w:ascii="Times New Roman" w:hAnsi="Times New Roman" w:eastAsia="宋体" w:cs="Times New Roman"/>
          <w:color w:val="000000" w:themeColor="text1"/>
          <w:spacing w:val="-6"/>
          <w:kern w:val="2"/>
          <w:sz w:val="24"/>
          <w:szCs w:val="24"/>
          <w:lang w:val="en-US" w:eastAsia="zh-CN" w:bidi="ar-SA"/>
          <w14:textFill>
            <w14:solidFill>
              <w14:schemeClr w14:val="tx1"/>
            </w14:solidFill>
          </w14:textFill>
        </w:rPr>
        <w:t>4.2.1.2植被现状调查</w:t>
      </w:r>
      <w:bookmarkEnd w:id="145"/>
      <w:bookmarkEnd w:id="146"/>
    </w:p>
    <w:p w14:paraId="1DC43AC8">
      <w:pPr>
        <w:keepNext w:val="0"/>
        <w:keepLines w:val="0"/>
        <w:pageBreakBefore w:val="0"/>
        <w:widowControl w:val="0"/>
        <w:kinsoku/>
        <w:wordWrap/>
        <w:overflowPunct/>
        <w:topLinePunct w:val="0"/>
        <w:autoSpaceDE/>
        <w:autoSpaceDN/>
        <w:bidi w:val="0"/>
        <w:spacing w:line="360" w:lineRule="auto"/>
        <w:ind w:firstLine="480" w:firstLineChars="200"/>
        <w:jc w:val="left"/>
        <w:outlineLvl w:val="9"/>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pPr>
      <w:bookmarkStart w:id="147" w:name="_Toc19160"/>
      <w:bookmarkStart w:id="148" w:name="_Toc11047"/>
      <w:bookmarkStart w:id="149" w:name="_Toc2176"/>
      <w:bookmarkStart w:id="150" w:name="_Toc8544"/>
      <w:r>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t>1）</w:t>
      </w: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评价范围内植被类型特征调查</w:t>
      </w:r>
      <w:bookmarkEnd w:id="147"/>
      <w:bookmarkEnd w:id="148"/>
      <w:bookmarkEnd w:id="149"/>
      <w:bookmarkEnd w:id="150"/>
    </w:p>
    <w:p w14:paraId="2E4DD40F">
      <w:pPr>
        <w:keepNext w:val="0"/>
        <w:keepLines w:val="0"/>
        <w:pageBreakBefore w:val="0"/>
        <w:widowControl w:val="0"/>
        <w:kinsoku/>
        <w:wordWrap/>
        <w:overflowPunct/>
        <w:topLinePunct w:val="0"/>
        <w:autoSpaceDE/>
        <w:autoSpaceDN/>
        <w:bidi w:val="0"/>
        <w:spacing w:line="360" w:lineRule="auto"/>
        <w:ind w:firstLine="480" w:firstLineChars="200"/>
        <w:jc w:val="both"/>
        <w:outlineLvl w:val="9"/>
        <w:rPr>
          <w:rFonts w:hint="default" w:ascii="Times New Roman" w:hAnsi="Times New Roman" w:eastAsia="宋体" w:cs="Times New Roman"/>
          <w:color w:val="000000" w:themeColor="text1"/>
          <w:kern w:val="0"/>
          <w:sz w:val="24"/>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4"/>
          <w:szCs w:val="24"/>
          <w:lang w:val="en-US" w:eastAsia="zh-CN" w:bidi="ar-SA"/>
          <w14:textFill>
            <w14:solidFill>
              <w14:schemeClr w14:val="tx1"/>
            </w14:solidFill>
          </w14:textFill>
        </w:rPr>
        <w:t>利用卫星遥感及地理信息系统技术并结合地面实际调查，对项目占地1km范围内的植被分布现状进行调查，评价区内植被为阔叶林、草</w:t>
      </w:r>
      <w:r>
        <w:rPr>
          <w:rFonts w:hint="eastAsia" w:ascii="宋体" w:hAnsi="宋体" w:eastAsia="宋体" w:cs="Times New Roman"/>
          <w:color w:val="000000" w:themeColor="text1"/>
          <w:kern w:val="0"/>
          <w:sz w:val="21"/>
          <w:szCs w:val="21"/>
          <w:lang w:val="en-US" w:eastAsia="zh-CN" w:bidi="ar"/>
          <w14:textFill>
            <w14:solidFill>
              <w14:schemeClr w14:val="tx1"/>
            </w14:solidFill>
          </w14:textFill>
        </w:rPr>
        <w:t>原</w:t>
      </w:r>
      <w:r>
        <w:rPr>
          <w:rFonts w:hint="default" w:ascii="Times New Roman" w:hAnsi="Times New Roman" w:eastAsia="宋体" w:cs="Times New Roman"/>
          <w:color w:val="000000" w:themeColor="text1"/>
          <w:kern w:val="0"/>
          <w:sz w:val="24"/>
          <w:szCs w:val="24"/>
          <w:lang w:val="en-US" w:eastAsia="zh-CN" w:bidi="ar-SA"/>
          <w14:textFill>
            <w14:solidFill>
              <w14:schemeClr w14:val="tx1"/>
            </w14:solidFill>
          </w14:textFill>
        </w:rPr>
        <w:t>植被和灌丛植被。本项目评价区内未发现有珍稀濒危植物的分布，根据《中国植被》（中国植被编辑委员会，1980年），本项目评价区内植被包括羊草草</w:t>
      </w:r>
      <w:r>
        <w:rPr>
          <w:rFonts w:hint="eastAsia" w:ascii="宋体" w:hAnsi="宋体" w:eastAsia="宋体" w:cs="Times New Roman"/>
          <w:color w:val="000000" w:themeColor="text1"/>
          <w:kern w:val="0"/>
          <w:sz w:val="21"/>
          <w:szCs w:val="21"/>
          <w:lang w:val="en-US" w:eastAsia="zh-CN" w:bidi="ar"/>
          <w14:textFill>
            <w14:solidFill>
              <w14:schemeClr w14:val="tx1"/>
            </w14:solidFill>
          </w14:textFill>
        </w:rPr>
        <w:t>原</w:t>
      </w:r>
      <w:r>
        <w:rPr>
          <w:rFonts w:hint="default" w:ascii="Times New Roman" w:hAnsi="Times New Roman" w:eastAsia="宋体" w:cs="Times New Roman"/>
          <w:color w:val="000000" w:themeColor="text1"/>
          <w:kern w:val="0"/>
          <w:sz w:val="24"/>
          <w:szCs w:val="24"/>
          <w:lang w:val="en-US" w:eastAsia="zh-CN" w:bidi="ar-SA"/>
          <w14:textFill>
            <w14:solidFill>
              <w14:schemeClr w14:val="tx1"/>
            </w14:solidFill>
          </w14:textFill>
        </w:rPr>
        <w:t>、青杨林和柠条锦鸡儿灌丛等；评价区栽培植被为一年一熟作物组合型。评价范围内的植被类型特征见表4.2-1，评价范围的植被类型见图4-5。</w:t>
      </w:r>
    </w:p>
    <w:p w14:paraId="22F44405">
      <w:pPr>
        <w:keepNext w:val="0"/>
        <w:keepLines w:val="0"/>
        <w:pageBreakBefore w:val="0"/>
        <w:kinsoku/>
        <w:wordWrap/>
        <w:overflowPunct/>
        <w:topLinePunct w:val="0"/>
        <w:autoSpaceDE/>
        <w:autoSpaceDN/>
        <w:bidi w:val="0"/>
        <w:ind w:firstLine="482"/>
        <w:jc w:val="center"/>
        <w:outlineLvl w:val="9"/>
        <w:rPr>
          <w:rFonts w:hint="default" w:ascii="Times New Roman" w:hAnsi="Times New Roman" w:eastAsia="宋体" w:cs="Times New Roman"/>
          <w:b/>
          <w:color w:val="000000" w:themeColor="text1"/>
          <w:szCs w:val="21"/>
          <w14:textFill>
            <w14:solidFill>
              <w14:schemeClr w14:val="tx1"/>
            </w14:solidFill>
          </w14:textFill>
        </w:rPr>
      </w:pPr>
      <w:r>
        <w:rPr>
          <w:rFonts w:hint="default" w:ascii="Times New Roman" w:hAnsi="Times New Roman" w:eastAsia="宋体" w:cs="Times New Roman"/>
          <w:b/>
          <w:color w:val="000000" w:themeColor="text1"/>
          <w:szCs w:val="21"/>
          <w14:textFill>
            <w14:solidFill>
              <w14:schemeClr w14:val="tx1"/>
            </w14:solidFill>
          </w14:textFill>
        </w:rPr>
        <w:t>表4.2-1评价范围植被类型特征表</w:t>
      </w:r>
    </w:p>
    <w:tbl>
      <w:tblPr>
        <w:tblStyle w:val="29"/>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650"/>
        <w:gridCol w:w="754"/>
        <w:gridCol w:w="1838"/>
        <w:gridCol w:w="1703"/>
        <w:gridCol w:w="845"/>
        <w:gridCol w:w="962"/>
        <w:gridCol w:w="1105"/>
      </w:tblGrid>
      <w:tr w14:paraId="49235D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931" w:type="pct"/>
            <w:noWrap/>
            <w:vAlign w:val="center"/>
          </w:tcPr>
          <w:p w14:paraId="4FF02532">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植被型组</w:t>
            </w:r>
          </w:p>
        </w:tc>
        <w:tc>
          <w:tcPr>
            <w:tcW w:w="425" w:type="pct"/>
            <w:noWrap/>
            <w:vAlign w:val="center"/>
          </w:tcPr>
          <w:p w14:paraId="445CE181">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植被型</w:t>
            </w:r>
          </w:p>
        </w:tc>
        <w:tc>
          <w:tcPr>
            <w:tcW w:w="1036" w:type="pct"/>
            <w:noWrap/>
            <w:vAlign w:val="center"/>
          </w:tcPr>
          <w:p w14:paraId="38976E55">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植被亚型</w:t>
            </w:r>
          </w:p>
        </w:tc>
        <w:tc>
          <w:tcPr>
            <w:tcW w:w="960" w:type="pct"/>
            <w:noWrap/>
            <w:vAlign w:val="center"/>
          </w:tcPr>
          <w:p w14:paraId="79416706">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群系</w:t>
            </w:r>
          </w:p>
        </w:tc>
        <w:tc>
          <w:tcPr>
            <w:tcW w:w="477" w:type="pct"/>
            <w:noWrap/>
            <w:vAlign w:val="center"/>
          </w:tcPr>
          <w:p w14:paraId="72A02A07">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斑块数（个）</w:t>
            </w:r>
          </w:p>
        </w:tc>
        <w:tc>
          <w:tcPr>
            <w:tcW w:w="543" w:type="pct"/>
            <w:noWrap/>
            <w:vAlign w:val="center"/>
          </w:tcPr>
          <w:p w14:paraId="05206F12">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面积（hm</w:t>
            </w:r>
            <w:r>
              <w:rPr>
                <w:rFonts w:hint="default" w:ascii="Times New Roman" w:hAnsi="Times New Roman" w:eastAsia="宋体" w:cs="Times New Roman"/>
                <w:color w:val="000000" w:themeColor="text1"/>
                <w:kern w:val="0"/>
                <w:sz w:val="21"/>
                <w:szCs w:val="21"/>
                <w:vertAlign w:val="superscript"/>
                <w:lang w:bidi="ar"/>
                <w14:textFill>
                  <w14:solidFill>
                    <w14:schemeClr w14:val="tx1"/>
                  </w14:solidFill>
                </w14:textFill>
              </w:rPr>
              <w:t>2</w:t>
            </w:r>
            <w:r>
              <w:rPr>
                <w:rFonts w:hint="default" w:ascii="Times New Roman" w:hAnsi="Times New Roman" w:eastAsia="宋体" w:cs="Times New Roman"/>
                <w:color w:val="000000" w:themeColor="text1"/>
                <w:kern w:val="0"/>
                <w:sz w:val="21"/>
                <w:szCs w:val="21"/>
                <w:lang w:bidi="ar"/>
                <w14:textFill>
                  <w14:solidFill>
                    <w14:schemeClr w14:val="tx1"/>
                  </w14:solidFill>
                </w14:textFill>
              </w:rPr>
              <w:t>）</w:t>
            </w:r>
          </w:p>
        </w:tc>
        <w:tc>
          <w:tcPr>
            <w:tcW w:w="624" w:type="pct"/>
            <w:noWrap/>
            <w:vAlign w:val="center"/>
          </w:tcPr>
          <w:p w14:paraId="7CACCA98">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占评价区面积比例</w:t>
            </w:r>
          </w:p>
        </w:tc>
      </w:tr>
      <w:tr w14:paraId="3C1E6F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931" w:type="pct"/>
            <w:noWrap/>
            <w:vAlign w:val="center"/>
          </w:tcPr>
          <w:p w14:paraId="03BB0DF8">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阔叶林</w:t>
            </w:r>
          </w:p>
        </w:tc>
        <w:tc>
          <w:tcPr>
            <w:tcW w:w="425" w:type="pct"/>
            <w:noWrap/>
            <w:vAlign w:val="center"/>
          </w:tcPr>
          <w:p w14:paraId="68980AEA">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落叶阔叶林</w:t>
            </w:r>
          </w:p>
        </w:tc>
        <w:tc>
          <w:tcPr>
            <w:tcW w:w="1036" w:type="pct"/>
            <w:noWrap/>
            <w:vAlign w:val="center"/>
          </w:tcPr>
          <w:p w14:paraId="13556A7E">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典型落叶阔叶林</w:t>
            </w:r>
          </w:p>
        </w:tc>
        <w:tc>
          <w:tcPr>
            <w:tcW w:w="960" w:type="pct"/>
            <w:noWrap/>
            <w:vAlign w:val="center"/>
          </w:tcPr>
          <w:p w14:paraId="4243808A">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青杨林</w:t>
            </w:r>
          </w:p>
        </w:tc>
        <w:tc>
          <w:tcPr>
            <w:tcW w:w="861" w:type="dxa"/>
            <w:noWrap/>
            <w:vAlign w:val="center"/>
          </w:tcPr>
          <w:p w14:paraId="49FC53EB">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4</w:t>
            </w:r>
          </w:p>
        </w:tc>
        <w:tc>
          <w:tcPr>
            <w:tcW w:w="981" w:type="dxa"/>
            <w:noWrap/>
            <w:vAlign w:val="center"/>
          </w:tcPr>
          <w:p w14:paraId="3EA7FCF7">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91.92</w:t>
            </w:r>
          </w:p>
        </w:tc>
        <w:tc>
          <w:tcPr>
            <w:tcW w:w="1128" w:type="dxa"/>
            <w:noWrap/>
            <w:vAlign w:val="center"/>
          </w:tcPr>
          <w:p w14:paraId="53116BEC">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16.23%</w:t>
            </w:r>
          </w:p>
        </w:tc>
      </w:tr>
      <w:tr w14:paraId="6BB90A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931" w:type="pct"/>
            <w:noWrap/>
            <w:vAlign w:val="center"/>
          </w:tcPr>
          <w:p w14:paraId="14082F33">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灌丛和灌草丛</w:t>
            </w:r>
          </w:p>
        </w:tc>
        <w:tc>
          <w:tcPr>
            <w:tcW w:w="425" w:type="pct"/>
            <w:noWrap/>
            <w:vAlign w:val="center"/>
          </w:tcPr>
          <w:p w14:paraId="571BB809">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落叶阔叶灌丛</w:t>
            </w:r>
          </w:p>
        </w:tc>
        <w:tc>
          <w:tcPr>
            <w:tcW w:w="1036" w:type="pct"/>
            <w:noWrap/>
            <w:vAlign w:val="center"/>
          </w:tcPr>
          <w:p w14:paraId="1A8AB907">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温性落叶阔叶灌丛</w:t>
            </w:r>
          </w:p>
        </w:tc>
        <w:tc>
          <w:tcPr>
            <w:tcW w:w="960" w:type="pct"/>
            <w:noWrap/>
            <w:vAlign w:val="center"/>
          </w:tcPr>
          <w:p w14:paraId="28E626E9">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柠条锦鸡儿灌丛</w:t>
            </w:r>
          </w:p>
        </w:tc>
        <w:tc>
          <w:tcPr>
            <w:tcW w:w="861" w:type="dxa"/>
            <w:noWrap/>
            <w:vAlign w:val="center"/>
          </w:tcPr>
          <w:p w14:paraId="1C27B583">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6</w:t>
            </w:r>
          </w:p>
        </w:tc>
        <w:tc>
          <w:tcPr>
            <w:tcW w:w="981" w:type="dxa"/>
            <w:noWrap/>
            <w:vAlign w:val="center"/>
          </w:tcPr>
          <w:p w14:paraId="3636BF72">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134.23</w:t>
            </w:r>
          </w:p>
        </w:tc>
        <w:tc>
          <w:tcPr>
            <w:tcW w:w="1128" w:type="dxa"/>
            <w:noWrap/>
            <w:vAlign w:val="center"/>
          </w:tcPr>
          <w:p w14:paraId="389FE4F8">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23.70%</w:t>
            </w:r>
          </w:p>
        </w:tc>
      </w:tr>
      <w:tr w14:paraId="48B6E2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931" w:type="pct"/>
            <w:noWrap/>
            <w:vAlign w:val="center"/>
          </w:tcPr>
          <w:p w14:paraId="6A40970A">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lang w:val="en-US" w:eastAsia="zh-CN" w:bidi="ar"/>
                <w14:textFill>
                  <w14:solidFill>
                    <w14:schemeClr w14:val="tx1"/>
                  </w14:solidFill>
                </w14:textFill>
              </w:rPr>
              <w:t>草原和稀疏草原</w:t>
            </w:r>
          </w:p>
        </w:tc>
        <w:tc>
          <w:tcPr>
            <w:tcW w:w="425" w:type="pct"/>
            <w:noWrap/>
            <w:vAlign w:val="center"/>
          </w:tcPr>
          <w:p w14:paraId="0D1CF91C">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eastAsia" w:ascii="Times New Roman" w:hAnsi="Times New Roman" w:eastAsia="宋体" w:cs="Times New Roman"/>
                <w:color w:val="000000" w:themeColor="text1"/>
                <w:kern w:val="0"/>
                <w:sz w:val="21"/>
                <w:szCs w:val="21"/>
                <w:lang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草</w:t>
            </w:r>
            <w:r>
              <w:rPr>
                <w:rFonts w:hint="eastAsia" w:ascii="Times New Roman" w:hAnsi="Times New Roman" w:eastAsia="宋体" w:cs="Times New Roman"/>
                <w:color w:val="000000" w:themeColor="text1"/>
                <w:kern w:val="0"/>
                <w:sz w:val="21"/>
                <w:szCs w:val="21"/>
                <w:lang w:val="en-US" w:eastAsia="zh-CN" w:bidi="ar"/>
                <w14:textFill>
                  <w14:solidFill>
                    <w14:schemeClr w14:val="tx1"/>
                  </w14:solidFill>
                </w14:textFill>
              </w:rPr>
              <w:t>原</w:t>
            </w:r>
          </w:p>
        </w:tc>
        <w:tc>
          <w:tcPr>
            <w:tcW w:w="1036" w:type="pct"/>
            <w:noWrap/>
            <w:vAlign w:val="center"/>
          </w:tcPr>
          <w:p w14:paraId="3C353B21">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eastAsia" w:ascii="Times New Roman" w:hAnsi="Times New Roman" w:eastAsia="宋体" w:cs="Times New Roman"/>
                <w:color w:val="000000" w:themeColor="text1"/>
                <w:kern w:val="0"/>
                <w:sz w:val="21"/>
                <w:szCs w:val="21"/>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草甸</w:t>
            </w:r>
            <w:r>
              <w:rPr>
                <w:rFonts w:hint="eastAsia" w:ascii="Times New Roman" w:hAnsi="Times New Roman" w:eastAsia="宋体" w:cs="Times New Roman"/>
                <w:color w:val="000000" w:themeColor="text1"/>
                <w:kern w:val="0"/>
                <w:sz w:val="21"/>
                <w:szCs w:val="21"/>
                <w:lang w:val="en-US" w:eastAsia="zh-CN" w:bidi="ar"/>
                <w14:textFill>
                  <w14:solidFill>
                    <w14:schemeClr w14:val="tx1"/>
                  </w14:solidFill>
                </w14:textFill>
              </w:rPr>
              <w:t>草原</w:t>
            </w:r>
          </w:p>
        </w:tc>
        <w:tc>
          <w:tcPr>
            <w:tcW w:w="960" w:type="pct"/>
            <w:noWrap/>
            <w:vAlign w:val="center"/>
          </w:tcPr>
          <w:p w14:paraId="4981EC6B">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羊草草</w:t>
            </w:r>
            <w:r>
              <w:rPr>
                <w:rFonts w:hint="eastAsia" w:ascii="Times New Roman" w:hAnsi="Times New Roman" w:eastAsia="宋体" w:cs="Times New Roman"/>
                <w:color w:val="000000" w:themeColor="text1"/>
                <w:kern w:val="0"/>
                <w:sz w:val="21"/>
                <w:szCs w:val="21"/>
                <w:lang w:val="en-US" w:eastAsia="zh-CN" w:bidi="ar"/>
                <w14:textFill>
                  <w14:solidFill>
                    <w14:schemeClr w14:val="tx1"/>
                  </w14:solidFill>
                </w14:textFill>
              </w:rPr>
              <w:t>原</w:t>
            </w:r>
          </w:p>
        </w:tc>
        <w:tc>
          <w:tcPr>
            <w:tcW w:w="861" w:type="dxa"/>
            <w:noWrap/>
            <w:vAlign w:val="center"/>
          </w:tcPr>
          <w:p w14:paraId="09F816DA">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30</w:t>
            </w:r>
          </w:p>
        </w:tc>
        <w:tc>
          <w:tcPr>
            <w:tcW w:w="981" w:type="dxa"/>
            <w:noWrap/>
            <w:vAlign w:val="center"/>
          </w:tcPr>
          <w:p w14:paraId="3903050E">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154.84</w:t>
            </w:r>
          </w:p>
        </w:tc>
        <w:tc>
          <w:tcPr>
            <w:tcW w:w="1128" w:type="dxa"/>
            <w:noWrap/>
            <w:vAlign w:val="center"/>
          </w:tcPr>
          <w:p w14:paraId="138CAE61">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27.34%</w:t>
            </w:r>
          </w:p>
        </w:tc>
      </w:tr>
      <w:tr w14:paraId="585984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931" w:type="pct"/>
            <w:noWrap/>
            <w:vAlign w:val="center"/>
          </w:tcPr>
          <w:p w14:paraId="1C078D5B">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栽培植被</w:t>
            </w:r>
          </w:p>
        </w:tc>
        <w:tc>
          <w:tcPr>
            <w:tcW w:w="425" w:type="pct"/>
            <w:noWrap/>
            <w:vAlign w:val="center"/>
          </w:tcPr>
          <w:p w14:paraId="5F8A8714">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草本</w:t>
            </w:r>
          </w:p>
          <w:p w14:paraId="4406725B">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类型</w:t>
            </w:r>
          </w:p>
        </w:tc>
        <w:tc>
          <w:tcPr>
            <w:tcW w:w="1036" w:type="pct"/>
            <w:noWrap/>
            <w:vAlign w:val="center"/>
          </w:tcPr>
          <w:p w14:paraId="51263CEB">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大田作物型</w:t>
            </w:r>
          </w:p>
        </w:tc>
        <w:tc>
          <w:tcPr>
            <w:tcW w:w="960" w:type="pct"/>
            <w:noWrap/>
            <w:vAlign w:val="center"/>
          </w:tcPr>
          <w:p w14:paraId="5960F483">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一年一熟作物</w:t>
            </w:r>
          </w:p>
          <w:p w14:paraId="5C9547A4">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组合型</w:t>
            </w:r>
          </w:p>
        </w:tc>
        <w:tc>
          <w:tcPr>
            <w:tcW w:w="861" w:type="dxa"/>
            <w:noWrap/>
            <w:vAlign w:val="center"/>
          </w:tcPr>
          <w:p w14:paraId="5575D7B2">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14</w:t>
            </w:r>
          </w:p>
        </w:tc>
        <w:tc>
          <w:tcPr>
            <w:tcW w:w="981" w:type="dxa"/>
            <w:noWrap/>
            <w:vAlign w:val="center"/>
          </w:tcPr>
          <w:p w14:paraId="476825F4">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160.49</w:t>
            </w:r>
          </w:p>
        </w:tc>
        <w:tc>
          <w:tcPr>
            <w:tcW w:w="1128" w:type="dxa"/>
            <w:noWrap/>
            <w:vAlign w:val="center"/>
          </w:tcPr>
          <w:p w14:paraId="74E20E63">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28.34%</w:t>
            </w:r>
          </w:p>
        </w:tc>
      </w:tr>
      <w:tr w14:paraId="1805BD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3354" w:type="pct"/>
            <w:gridSpan w:val="4"/>
            <w:noWrap/>
            <w:vAlign w:val="center"/>
          </w:tcPr>
          <w:p w14:paraId="209A0C0A">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小计</w:t>
            </w:r>
          </w:p>
        </w:tc>
        <w:tc>
          <w:tcPr>
            <w:tcW w:w="861" w:type="dxa"/>
            <w:noWrap/>
            <w:vAlign w:val="center"/>
          </w:tcPr>
          <w:p w14:paraId="45F04C3E">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54</w:t>
            </w:r>
          </w:p>
        </w:tc>
        <w:tc>
          <w:tcPr>
            <w:tcW w:w="981" w:type="dxa"/>
            <w:noWrap/>
            <w:vAlign w:val="center"/>
          </w:tcPr>
          <w:p w14:paraId="17805C09">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541.48</w:t>
            </w:r>
          </w:p>
        </w:tc>
        <w:tc>
          <w:tcPr>
            <w:tcW w:w="1128" w:type="dxa"/>
            <w:noWrap/>
            <w:vAlign w:val="bottom"/>
          </w:tcPr>
          <w:p w14:paraId="7AE5F552">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95.62%</w:t>
            </w:r>
          </w:p>
        </w:tc>
      </w:tr>
      <w:tr w14:paraId="43523C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2393" w:type="pct"/>
            <w:gridSpan w:val="3"/>
            <w:vMerge w:val="restart"/>
            <w:noWrap/>
            <w:vAlign w:val="center"/>
          </w:tcPr>
          <w:p w14:paraId="576D3254">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其它</w:t>
            </w:r>
          </w:p>
        </w:tc>
        <w:tc>
          <w:tcPr>
            <w:tcW w:w="1734" w:type="dxa"/>
            <w:noWrap/>
            <w:vAlign w:val="bottom"/>
          </w:tcPr>
          <w:p w14:paraId="28C34069">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采矿用地</w:t>
            </w:r>
          </w:p>
        </w:tc>
        <w:tc>
          <w:tcPr>
            <w:tcW w:w="861" w:type="dxa"/>
            <w:noWrap/>
            <w:vAlign w:val="center"/>
          </w:tcPr>
          <w:p w14:paraId="34D497BE">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9</w:t>
            </w:r>
          </w:p>
        </w:tc>
        <w:tc>
          <w:tcPr>
            <w:tcW w:w="981" w:type="dxa"/>
            <w:noWrap/>
            <w:vAlign w:val="center"/>
          </w:tcPr>
          <w:p w14:paraId="7E973756">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4.46</w:t>
            </w:r>
          </w:p>
        </w:tc>
        <w:tc>
          <w:tcPr>
            <w:tcW w:w="1128" w:type="dxa"/>
            <w:noWrap/>
            <w:vAlign w:val="bottom"/>
          </w:tcPr>
          <w:p w14:paraId="441DD774">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0.79%</w:t>
            </w:r>
          </w:p>
        </w:tc>
      </w:tr>
      <w:tr w14:paraId="74E099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2393" w:type="pct"/>
            <w:gridSpan w:val="3"/>
            <w:vMerge w:val="continue"/>
            <w:noWrap/>
            <w:vAlign w:val="center"/>
          </w:tcPr>
          <w:p w14:paraId="0DE9859D">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p>
        </w:tc>
        <w:tc>
          <w:tcPr>
            <w:tcW w:w="1734" w:type="dxa"/>
            <w:noWrap/>
            <w:vAlign w:val="bottom"/>
          </w:tcPr>
          <w:p w14:paraId="258F75E7">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工业用地</w:t>
            </w:r>
          </w:p>
        </w:tc>
        <w:tc>
          <w:tcPr>
            <w:tcW w:w="861" w:type="dxa"/>
            <w:noWrap/>
            <w:vAlign w:val="center"/>
          </w:tcPr>
          <w:p w14:paraId="6CB139F0">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4</w:t>
            </w:r>
          </w:p>
        </w:tc>
        <w:tc>
          <w:tcPr>
            <w:tcW w:w="981" w:type="dxa"/>
            <w:noWrap/>
            <w:vAlign w:val="center"/>
          </w:tcPr>
          <w:p w14:paraId="78D29600">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7.71</w:t>
            </w:r>
          </w:p>
        </w:tc>
        <w:tc>
          <w:tcPr>
            <w:tcW w:w="1128" w:type="dxa"/>
            <w:noWrap/>
            <w:vAlign w:val="bottom"/>
          </w:tcPr>
          <w:p w14:paraId="51EAA49B">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1.36%</w:t>
            </w:r>
          </w:p>
        </w:tc>
      </w:tr>
      <w:tr w14:paraId="02D313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2393" w:type="pct"/>
            <w:gridSpan w:val="3"/>
            <w:vMerge w:val="continue"/>
            <w:noWrap/>
            <w:vAlign w:val="center"/>
          </w:tcPr>
          <w:p w14:paraId="052D8C4F">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p>
        </w:tc>
        <w:tc>
          <w:tcPr>
            <w:tcW w:w="1734" w:type="dxa"/>
            <w:noWrap/>
            <w:vAlign w:val="bottom"/>
          </w:tcPr>
          <w:p w14:paraId="6D206138">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公路用地</w:t>
            </w:r>
          </w:p>
        </w:tc>
        <w:tc>
          <w:tcPr>
            <w:tcW w:w="861" w:type="dxa"/>
            <w:noWrap/>
            <w:vAlign w:val="center"/>
          </w:tcPr>
          <w:p w14:paraId="06CE6BC1">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1</w:t>
            </w:r>
          </w:p>
        </w:tc>
        <w:tc>
          <w:tcPr>
            <w:tcW w:w="981" w:type="dxa"/>
            <w:noWrap/>
            <w:vAlign w:val="center"/>
          </w:tcPr>
          <w:p w14:paraId="05F1FEC6">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3.01</w:t>
            </w:r>
          </w:p>
        </w:tc>
        <w:tc>
          <w:tcPr>
            <w:tcW w:w="1128" w:type="dxa"/>
            <w:noWrap/>
            <w:vAlign w:val="bottom"/>
          </w:tcPr>
          <w:p w14:paraId="6485A00F">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0.53%</w:t>
            </w:r>
          </w:p>
        </w:tc>
      </w:tr>
      <w:tr w14:paraId="68C6D4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2393" w:type="pct"/>
            <w:gridSpan w:val="3"/>
            <w:vMerge w:val="continue"/>
            <w:noWrap/>
            <w:vAlign w:val="center"/>
          </w:tcPr>
          <w:p w14:paraId="522CA527">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p>
        </w:tc>
        <w:tc>
          <w:tcPr>
            <w:tcW w:w="1734" w:type="dxa"/>
            <w:noWrap/>
            <w:vAlign w:val="bottom"/>
          </w:tcPr>
          <w:p w14:paraId="2211C304">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公用设施用地</w:t>
            </w:r>
          </w:p>
        </w:tc>
        <w:tc>
          <w:tcPr>
            <w:tcW w:w="861" w:type="dxa"/>
            <w:noWrap/>
            <w:vAlign w:val="center"/>
          </w:tcPr>
          <w:p w14:paraId="1DE08A7C">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1</w:t>
            </w:r>
          </w:p>
        </w:tc>
        <w:tc>
          <w:tcPr>
            <w:tcW w:w="981" w:type="dxa"/>
            <w:noWrap/>
            <w:vAlign w:val="center"/>
          </w:tcPr>
          <w:p w14:paraId="3861F1A3">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0.05</w:t>
            </w:r>
          </w:p>
        </w:tc>
        <w:tc>
          <w:tcPr>
            <w:tcW w:w="1128" w:type="dxa"/>
            <w:noWrap/>
            <w:vAlign w:val="bottom"/>
          </w:tcPr>
          <w:p w14:paraId="07849413">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0.01%</w:t>
            </w:r>
          </w:p>
        </w:tc>
      </w:tr>
      <w:tr w14:paraId="248073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2393" w:type="pct"/>
            <w:gridSpan w:val="3"/>
            <w:vMerge w:val="continue"/>
            <w:noWrap/>
            <w:vAlign w:val="center"/>
          </w:tcPr>
          <w:p w14:paraId="6087B5FD">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p>
        </w:tc>
        <w:tc>
          <w:tcPr>
            <w:tcW w:w="1734" w:type="dxa"/>
            <w:noWrap/>
            <w:vAlign w:val="bottom"/>
          </w:tcPr>
          <w:p w14:paraId="11DD461F">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裸地</w:t>
            </w:r>
          </w:p>
        </w:tc>
        <w:tc>
          <w:tcPr>
            <w:tcW w:w="861" w:type="dxa"/>
            <w:noWrap/>
            <w:vAlign w:val="center"/>
          </w:tcPr>
          <w:p w14:paraId="48D2B4F1">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1</w:t>
            </w:r>
          </w:p>
        </w:tc>
        <w:tc>
          <w:tcPr>
            <w:tcW w:w="981" w:type="dxa"/>
            <w:noWrap/>
            <w:vAlign w:val="center"/>
          </w:tcPr>
          <w:p w14:paraId="4D03B3FB">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0.63</w:t>
            </w:r>
          </w:p>
        </w:tc>
        <w:tc>
          <w:tcPr>
            <w:tcW w:w="1128" w:type="dxa"/>
            <w:noWrap/>
            <w:vAlign w:val="bottom"/>
          </w:tcPr>
          <w:p w14:paraId="0746D3C1">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0.11%</w:t>
            </w:r>
          </w:p>
        </w:tc>
      </w:tr>
      <w:tr w14:paraId="704DE6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2393" w:type="pct"/>
            <w:gridSpan w:val="3"/>
            <w:vMerge w:val="continue"/>
            <w:noWrap/>
            <w:vAlign w:val="center"/>
          </w:tcPr>
          <w:p w14:paraId="25A4FFC2">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p>
        </w:tc>
        <w:tc>
          <w:tcPr>
            <w:tcW w:w="1734" w:type="dxa"/>
            <w:noWrap/>
            <w:vAlign w:val="bottom"/>
          </w:tcPr>
          <w:p w14:paraId="2429D48A">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农村道路用地</w:t>
            </w:r>
          </w:p>
        </w:tc>
        <w:tc>
          <w:tcPr>
            <w:tcW w:w="861" w:type="dxa"/>
            <w:noWrap/>
            <w:vAlign w:val="center"/>
          </w:tcPr>
          <w:p w14:paraId="580A82AB">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6</w:t>
            </w:r>
          </w:p>
        </w:tc>
        <w:tc>
          <w:tcPr>
            <w:tcW w:w="981" w:type="dxa"/>
            <w:noWrap/>
            <w:vAlign w:val="center"/>
          </w:tcPr>
          <w:p w14:paraId="6F290551">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8.93</w:t>
            </w:r>
          </w:p>
        </w:tc>
        <w:tc>
          <w:tcPr>
            <w:tcW w:w="1128" w:type="dxa"/>
            <w:noWrap/>
            <w:vAlign w:val="bottom"/>
          </w:tcPr>
          <w:p w14:paraId="0D5302AE">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1.58%</w:t>
            </w:r>
          </w:p>
        </w:tc>
      </w:tr>
      <w:tr w14:paraId="2E84D8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2393" w:type="pct"/>
            <w:gridSpan w:val="3"/>
            <w:vMerge w:val="continue"/>
            <w:noWrap/>
            <w:vAlign w:val="center"/>
          </w:tcPr>
          <w:p w14:paraId="0663D1DD">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p>
        </w:tc>
        <w:tc>
          <w:tcPr>
            <w:tcW w:w="960" w:type="pct"/>
            <w:noWrap/>
            <w:vAlign w:val="center"/>
          </w:tcPr>
          <w:p w14:paraId="7E71A6F7">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小计</w:t>
            </w:r>
          </w:p>
        </w:tc>
        <w:tc>
          <w:tcPr>
            <w:tcW w:w="861" w:type="dxa"/>
            <w:noWrap/>
            <w:vAlign w:val="bottom"/>
          </w:tcPr>
          <w:p w14:paraId="6B3BE4CE">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22</w:t>
            </w:r>
          </w:p>
        </w:tc>
        <w:tc>
          <w:tcPr>
            <w:tcW w:w="981" w:type="dxa"/>
            <w:noWrap/>
            <w:vAlign w:val="bottom"/>
          </w:tcPr>
          <w:p w14:paraId="0848C94A">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24.79</w:t>
            </w:r>
          </w:p>
        </w:tc>
        <w:tc>
          <w:tcPr>
            <w:tcW w:w="1128" w:type="dxa"/>
            <w:noWrap/>
            <w:vAlign w:val="bottom"/>
          </w:tcPr>
          <w:p w14:paraId="19CFD760">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4.38%</w:t>
            </w:r>
          </w:p>
        </w:tc>
      </w:tr>
      <w:tr w14:paraId="3569EC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3354" w:type="pct"/>
            <w:gridSpan w:val="4"/>
            <w:noWrap/>
            <w:vAlign w:val="center"/>
          </w:tcPr>
          <w:p w14:paraId="365F0BF6">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合计</w:t>
            </w:r>
          </w:p>
        </w:tc>
        <w:tc>
          <w:tcPr>
            <w:tcW w:w="861" w:type="dxa"/>
            <w:noWrap/>
            <w:vAlign w:val="bottom"/>
          </w:tcPr>
          <w:p w14:paraId="01B4C37F">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77</w:t>
            </w:r>
          </w:p>
        </w:tc>
        <w:tc>
          <w:tcPr>
            <w:tcW w:w="981" w:type="dxa"/>
            <w:noWrap/>
            <w:vAlign w:val="bottom"/>
          </w:tcPr>
          <w:p w14:paraId="1463BEE9">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566.30</w:t>
            </w:r>
          </w:p>
        </w:tc>
        <w:tc>
          <w:tcPr>
            <w:tcW w:w="624" w:type="pct"/>
            <w:noWrap/>
            <w:vAlign w:val="center"/>
          </w:tcPr>
          <w:p w14:paraId="4B5D91BA">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100%</w:t>
            </w:r>
          </w:p>
        </w:tc>
      </w:tr>
    </w:tbl>
    <w:p w14:paraId="60BEBCB3">
      <w:pPr>
        <w:keepNext w:val="0"/>
        <w:keepLines w:val="0"/>
        <w:pageBreakBefore w:val="0"/>
        <w:widowControl w:val="0"/>
        <w:kinsoku/>
        <w:wordWrap/>
        <w:overflowPunct/>
        <w:topLinePunct w:val="0"/>
        <w:autoSpaceDE/>
        <w:autoSpaceDN/>
        <w:bidi w:val="0"/>
        <w:spacing w:line="360" w:lineRule="auto"/>
        <w:ind w:firstLine="480" w:firstLineChars="200"/>
        <w:jc w:val="left"/>
        <w:outlineLvl w:val="9"/>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pPr>
    </w:p>
    <w:p w14:paraId="0B4831D2">
      <w:pPr>
        <w:keepNext w:val="0"/>
        <w:keepLines w:val="0"/>
        <w:pageBreakBefore w:val="0"/>
        <w:widowControl w:val="0"/>
        <w:kinsoku/>
        <w:wordWrap/>
        <w:overflowPunct/>
        <w:topLinePunct w:val="0"/>
        <w:autoSpaceDE/>
        <w:autoSpaceDN/>
        <w:bidi w:val="0"/>
        <w:spacing w:line="360" w:lineRule="auto"/>
        <w:ind w:firstLine="480" w:firstLineChars="200"/>
        <w:jc w:val="left"/>
        <w:outlineLvl w:val="9"/>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评价区内青杨林面积91.92hm</w:t>
      </w:r>
      <w:r>
        <w:rPr>
          <w:rFonts w:hint="default" w:ascii="Times New Roman" w:hAnsi="Times New Roman" w:eastAsia="宋体" w:cs="Times New Roman"/>
          <w:color w:val="000000" w:themeColor="text1"/>
          <w:kern w:val="2"/>
          <w:sz w:val="24"/>
          <w:szCs w:val="24"/>
          <w:vertAlign w:val="superscript"/>
          <w:lang w:val="en-US" w:eastAsia="zh-CN" w:bidi="ar-SA"/>
          <w14:textFill>
            <w14:solidFill>
              <w14:schemeClr w14:val="tx1"/>
            </w14:solidFill>
          </w14:textFill>
        </w:rPr>
        <w:t>2</w:t>
      </w: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仅占整个评价区面积的16.23%。评价区总面积154.84hm²，占整个评价区面积比例为27.34%。评价区农作物主要为一年一熟作物组合型，总面积160.49hm²，占整个评价区面积比例为28.34%。评价区内柠条锦鸡儿灌丛面积134.23hm</w:t>
      </w:r>
      <w:r>
        <w:rPr>
          <w:rFonts w:hint="default" w:ascii="Times New Roman" w:hAnsi="Times New Roman" w:eastAsia="宋体" w:cs="Times New Roman"/>
          <w:color w:val="000000" w:themeColor="text1"/>
          <w:kern w:val="2"/>
          <w:sz w:val="24"/>
          <w:szCs w:val="24"/>
          <w:vertAlign w:val="superscript"/>
          <w:lang w:val="en-US" w:eastAsia="zh-CN" w:bidi="ar-SA"/>
          <w14:textFill>
            <w14:solidFill>
              <w14:schemeClr w14:val="tx1"/>
            </w14:solidFill>
          </w14:textFill>
        </w:rPr>
        <w:t>2</w:t>
      </w: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，仅占整个评价区面积的23.70%。</w:t>
      </w:r>
    </w:p>
    <w:p w14:paraId="27D0E034">
      <w:pPr>
        <w:keepNext w:val="0"/>
        <w:keepLines w:val="0"/>
        <w:pageBreakBefore w:val="0"/>
        <w:widowControl w:val="0"/>
        <w:kinsoku/>
        <w:wordWrap/>
        <w:overflowPunct/>
        <w:topLinePunct w:val="0"/>
        <w:autoSpaceDE/>
        <w:autoSpaceDN/>
        <w:bidi w:val="0"/>
        <w:spacing w:line="360" w:lineRule="auto"/>
        <w:ind w:firstLine="480" w:firstLineChars="200"/>
        <w:jc w:val="left"/>
        <w:outlineLvl w:val="9"/>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lang w:val="zh-CN" w:eastAsia="zh-CN" w:bidi="ar-SA"/>
          <w14:textFill>
            <w14:solidFill>
              <w14:schemeClr w14:val="tx1"/>
            </w14:solidFill>
          </w14:textFill>
        </w:rPr>
        <w:t>其它</w:t>
      </w: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非植被</w:t>
      </w:r>
      <w:r>
        <w:rPr>
          <w:rFonts w:hint="default" w:ascii="Times New Roman" w:hAnsi="Times New Roman" w:eastAsia="宋体" w:cs="Times New Roman"/>
          <w:color w:val="000000" w:themeColor="text1"/>
          <w:kern w:val="2"/>
          <w:sz w:val="24"/>
          <w:szCs w:val="24"/>
          <w:lang w:val="zh-CN" w:eastAsia="zh-CN" w:bidi="ar-SA"/>
          <w14:textFill>
            <w14:solidFill>
              <w14:schemeClr w14:val="tx1"/>
            </w14:solidFill>
          </w14:textFill>
        </w:rPr>
        <w:t>类型在评价区内</w:t>
      </w: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占地面积和比例详见表4-1。</w:t>
      </w:r>
    </w:p>
    <w:p w14:paraId="50FFFBAD">
      <w:pPr>
        <w:keepNext w:val="0"/>
        <w:keepLines w:val="0"/>
        <w:pageBreakBefore w:val="0"/>
        <w:widowControl w:val="0"/>
        <w:kinsoku/>
        <w:wordWrap/>
        <w:overflowPunct/>
        <w:topLinePunct w:val="0"/>
        <w:autoSpaceDE/>
        <w:autoSpaceDN/>
        <w:bidi w:val="0"/>
        <w:spacing w:line="360" w:lineRule="auto"/>
        <w:ind w:firstLine="480" w:firstLineChars="200"/>
        <w:jc w:val="left"/>
        <w:outlineLvl w:val="9"/>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pPr>
      <w:bookmarkStart w:id="151" w:name="_Toc22925"/>
      <w:bookmarkStart w:id="152" w:name="_Toc23649"/>
      <w:bookmarkStart w:id="153" w:name="_Toc17351"/>
      <w:bookmarkStart w:id="154" w:name="_Toc28201"/>
      <w:r>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t>2）</w:t>
      </w: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占地范围内植被类型特征调查</w:t>
      </w:r>
      <w:bookmarkEnd w:id="151"/>
      <w:bookmarkEnd w:id="152"/>
    </w:p>
    <w:p w14:paraId="3FA99B58">
      <w:pPr>
        <w:keepNext w:val="0"/>
        <w:keepLines w:val="0"/>
        <w:pageBreakBefore w:val="0"/>
        <w:widowControl w:val="0"/>
        <w:kinsoku/>
        <w:wordWrap/>
        <w:overflowPunct/>
        <w:topLinePunct w:val="0"/>
        <w:autoSpaceDE/>
        <w:autoSpaceDN/>
        <w:bidi w:val="0"/>
        <w:spacing w:line="360" w:lineRule="auto"/>
        <w:ind w:firstLine="480" w:firstLineChars="200"/>
        <w:jc w:val="left"/>
        <w:outlineLvl w:val="9"/>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项目占地范围内植被情况，见表4.2-2。</w:t>
      </w:r>
    </w:p>
    <w:p w14:paraId="53BAD342">
      <w:pPr>
        <w:keepNext w:val="0"/>
        <w:keepLines w:val="0"/>
        <w:pageBreakBefore w:val="0"/>
        <w:widowControl w:val="0"/>
        <w:kinsoku/>
        <w:wordWrap/>
        <w:overflowPunct/>
        <w:topLinePunct w:val="0"/>
        <w:autoSpaceDE/>
        <w:autoSpaceDN/>
        <w:bidi w:val="0"/>
        <w:snapToGrid w:val="0"/>
        <w:spacing w:before="0" w:after="0" w:line="240" w:lineRule="auto"/>
        <w:ind w:firstLine="0" w:firstLineChars="0"/>
        <w:jc w:val="center"/>
        <w:outlineLvl w:val="9"/>
        <w:rPr>
          <w:rFonts w:hint="default" w:ascii="Times New Roman" w:hAnsi="Times New Roman" w:eastAsia="宋体" w:cs="Times New Roman"/>
          <w:b/>
          <w:color w:val="000000" w:themeColor="text1"/>
          <w:kern w:val="2"/>
          <w:sz w:val="21"/>
          <w:szCs w:val="21"/>
          <w:lang w:val="en-GB" w:eastAsia="zh-CN" w:bidi="ar-SA"/>
          <w14:textFill>
            <w14:solidFill>
              <w14:schemeClr w14:val="tx1"/>
            </w14:solidFill>
          </w14:textFill>
        </w:rPr>
      </w:pPr>
      <w:r>
        <w:rPr>
          <w:rFonts w:hint="default" w:ascii="Times New Roman" w:hAnsi="Times New Roman" w:eastAsia="宋体" w:cs="Times New Roman"/>
          <w:b/>
          <w:color w:val="000000" w:themeColor="text1"/>
          <w:kern w:val="2"/>
          <w:sz w:val="21"/>
          <w:szCs w:val="21"/>
          <w:lang w:val="en-GB" w:eastAsia="zh-CN" w:bidi="ar-SA"/>
          <w14:textFill>
            <w14:solidFill>
              <w14:schemeClr w14:val="tx1"/>
            </w14:solidFill>
          </w14:textFill>
        </w:rPr>
        <w:t>表</w:t>
      </w:r>
      <w:r>
        <w:rPr>
          <w:rFonts w:hint="default" w:ascii="Times New Roman" w:hAnsi="Times New Roman" w:eastAsia="宋体" w:cs="Times New Roman"/>
          <w:b/>
          <w:color w:val="000000" w:themeColor="text1"/>
          <w:kern w:val="2"/>
          <w:sz w:val="21"/>
          <w:szCs w:val="21"/>
          <w:lang w:val="en-US" w:eastAsia="zh-CN" w:bidi="ar-SA"/>
          <w14:textFill>
            <w14:solidFill>
              <w14:schemeClr w14:val="tx1"/>
            </w14:solidFill>
          </w14:textFill>
        </w:rPr>
        <w:t>4.2-2</w:t>
      </w:r>
      <w:r>
        <w:rPr>
          <w:rFonts w:hint="default" w:ascii="Times New Roman" w:hAnsi="Times New Roman" w:eastAsia="宋体" w:cs="Times New Roman"/>
          <w:b/>
          <w:color w:val="000000" w:themeColor="text1"/>
          <w:kern w:val="2"/>
          <w:sz w:val="21"/>
          <w:szCs w:val="21"/>
          <w:lang w:val="en-GB" w:eastAsia="zh-CN" w:bidi="ar-SA"/>
          <w14:textFill>
            <w14:solidFill>
              <w14:schemeClr w14:val="tx1"/>
            </w14:solidFill>
          </w14:textFill>
        </w:rPr>
        <w:t>占地范围植被类型特征表</w:t>
      </w:r>
    </w:p>
    <w:tbl>
      <w:tblPr>
        <w:tblStyle w:val="29"/>
        <w:tblW w:w="50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652"/>
        <w:gridCol w:w="755"/>
        <w:gridCol w:w="1838"/>
        <w:gridCol w:w="1707"/>
        <w:gridCol w:w="846"/>
        <w:gridCol w:w="963"/>
        <w:gridCol w:w="1106"/>
      </w:tblGrid>
      <w:tr w14:paraId="185FEE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4" w:hRule="atLeast"/>
          <w:jc w:val="center"/>
        </w:trPr>
        <w:tc>
          <w:tcPr>
            <w:tcW w:w="931" w:type="pct"/>
            <w:noWrap/>
            <w:vAlign w:val="center"/>
          </w:tcPr>
          <w:p w14:paraId="2AC81728">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kern w:val="0"/>
                <w:sz w:val="21"/>
                <w:szCs w:val="21"/>
                <w:lang w:bidi="ar"/>
                <w14:textFill>
                  <w14:solidFill>
                    <w14:schemeClr w14:val="tx1"/>
                  </w14:solidFill>
                </w14:textFill>
              </w:rPr>
              <w:t>植被型组</w:t>
            </w:r>
          </w:p>
        </w:tc>
        <w:tc>
          <w:tcPr>
            <w:tcW w:w="425" w:type="pct"/>
            <w:noWrap/>
            <w:vAlign w:val="center"/>
          </w:tcPr>
          <w:p w14:paraId="202D1F1A">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kern w:val="0"/>
                <w:sz w:val="21"/>
                <w:szCs w:val="21"/>
                <w:lang w:bidi="ar"/>
                <w14:textFill>
                  <w14:solidFill>
                    <w14:schemeClr w14:val="tx1"/>
                  </w14:solidFill>
                </w14:textFill>
              </w:rPr>
              <w:t>植被型</w:t>
            </w:r>
          </w:p>
        </w:tc>
        <w:tc>
          <w:tcPr>
            <w:tcW w:w="1036" w:type="pct"/>
            <w:noWrap/>
            <w:vAlign w:val="center"/>
          </w:tcPr>
          <w:p w14:paraId="7917B725">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kern w:val="0"/>
                <w:sz w:val="21"/>
                <w:szCs w:val="21"/>
                <w:lang w:bidi="ar"/>
                <w14:textFill>
                  <w14:solidFill>
                    <w14:schemeClr w14:val="tx1"/>
                  </w14:solidFill>
                </w14:textFill>
              </w:rPr>
              <w:t>植被亚型</w:t>
            </w:r>
          </w:p>
        </w:tc>
        <w:tc>
          <w:tcPr>
            <w:tcW w:w="962" w:type="pct"/>
            <w:noWrap/>
            <w:vAlign w:val="center"/>
          </w:tcPr>
          <w:p w14:paraId="00EE59F7">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kern w:val="0"/>
                <w:sz w:val="21"/>
                <w:szCs w:val="21"/>
                <w:lang w:bidi="ar"/>
                <w14:textFill>
                  <w14:solidFill>
                    <w14:schemeClr w14:val="tx1"/>
                  </w14:solidFill>
                </w14:textFill>
              </w:rPr>
              <w:t>群系</w:t>
            </w:r>
          </w:p>
        </w:tc>
        <w:tc>
          <w:tcPr>
            <w:tcW w:w="477" w:type="pct"/>
            <w:noWrap/>
            <w:vAlign w:val="center"/>
          </w:tcPr>
          <w:p w14:paraId="5C8D98EA">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kern w:val="0"/>
                <w:sz w:val="21"/>
                <w:szCs w:val="21"/>
                <w:lang w:bidi="ar"/>
                <w14:textFill>
                  <w14:solidFill>
                    <w14:schemeClr w14:val="tx1"/>
                  </w14:solidFill>
                </w14:textFill>
              </w:rPr>
              <w:t>斑块数（个）</w:t>
            </w:r>
          </w:p>
        </w:tc>
        <w:tc>
          <w:tcPr>
            <w:tcW w:w="543" w:type="pct"/>
            <w:noWrap/>
            <w:vAlign w:val="center"/>
          </w:tcPr>
          <w:p w14:paraId="6D4AE0F4">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kern w:val="0"/>
                <w:sz w:val="21"/>
                <w:szCs w:val="21"/>
                <w:lang w:bidi="ar"/>
                <w14:textFill>
                  <w14:solidFill>
                    <w14:schemeClr w14:val="tx1"/>
                  </w14:solidFill>
                </w14:textFill>
              </w:rPr>
              <w:t>面积（hm</w:t>
            </w:r>
            <w:r>
              <w:rPr>
                <w:rFonts w:hint="default" w:ascii="Times New Roman" w:hAnsi="Times New Roman" w:eastAsia="宋体" w:cs="Times New Roman"/>
                <w:b/>
                <w:bCs/>
                <w:color w:val="000000" w:themeColor="text1"/>
                <w:kern w:val="0"/>
                <w:sz w:val="21"/>
                <w:szCs w:val="21"/>
                <w:vertAlign w:val="superscript"/>
                <w:lang w:bidi="ar"/>
                <w14:textFill>
                  <w14:solidFill>
                    <w14:schemeClr w14:val="tx1"/>
                  </w14:solidFill>
                </w14:textFill>
              </w:rPr>
              <w:t>2</w:t>
            </w:r>
            <w:r>
              <w:rPr>
                <w:rFonts w:hint="default" w:ascii="Times New Roman" w:hAnsi="Times New Roman" w:eastAsia="宋体" w:cs="Times New Roman"/>
                <w:b/>
                <w:bCs/>
                <w:color w:val="000000" w:themeColor="text1"/>
                <w:kern w:val="0"/>
                <w:sz w:val="21"/>
                <w:szCs w:val="21"/>
                <w:lang w:bidi="ar"/>
                <w14:textFill>
                  <w14:solidFill>
                    <w14:schemeClr w14:val="tx1"/>
                  </w14:solidFill>
                </w14:textFill>
              </w:rPr>
              <w:t>）</w:t>
            </w:r>
          </w:p>
        </w:tc>
        <w:tc>
          <w:tcPr>
            <w:tcW w:w="623" w:type="pct"/>
            <w:noWrap/>
            <w:vAlign w:val="center"/>
          </w:tcPr>
          <w:p w14:paraId="2492CFF0">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kern w:val="0"/>
                <w:sz w:val="21"/>
                <w:szCs w:val="21"/>
                <w:lang w:bidi="ar"/>
                <w14:textFill>
                  <w14:solidFill>
                    <w14:schemeClr w14:val="tx1"/>
                  </w14:solidFill>
                </w14:textFill>
              </w:rPr>
              <w:t>占项目区面积比例</w:t>
            </w:r>
          </w:p>
        </w:tc>
      </w:tr>
      <w:tr w14:paraId="0E9849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8" w:hRule="atLeast"/>
          <w:jc w:val="center"/>
        </w:trPr>
        <w:tc>
          <w:tcPr>
            <w:tcW w:w="931" w:type="pct"/>
            <w:noWrap/>
            <w:vAlign w:val="center"/>
          </w:tcPr>
          <w:p w14:paraId="60D71199">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阔叶林</w:t>
            </w:r>
          </w:p>
        </w:tc>
        <w:tc>
          <w:tcPr>
            <w:tcW w:w="425" w:type="pct"/>
            <w:noWrap/>
            <w:vAlign w:val="center"/>
          </w:tcPr>
          <w:p w14:paraId="15DC8591">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落叶阔叶林</w:t>
            </w:r>
          </w:p>
        </w:tc>
        <w:tc>
          <w:tcPr>
            <w:tcW w:w="1036" w:type="pct"/>
            <w:noWrap/>
            <w:vAlign w:val="center"/>
          </w:tcPr>
          <w:p w14:paraId="7C24E57D">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典型落叶阔叶林</w:t>
            </w:r>
          </w:p>
        </w:tc>
        <w:tc>
          <w:tcPr>
            <w:tcW w:w="962" w:type="pct"/>
            <w:noWrap/>
            <w:vAlign w:val="center"/>
          </w:tcPr>
          <w:p w14:paraId="1724F7D6">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青杨林</w:t>
            </w:r>
          </w:p>
        </w:tc>
        <w:tc>
          <w:tcPr>
            <w:tcW w:w="477" w:type="pct"/>
            <w:noWrap/>
            <w:vAlign w:val="center"/>
          </w:tcPr>
          <w:p w14:paraId="67C05572">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eastAsia" w:ascii="Times New Roman" w:hAnsi="Times New Roman" w:eastAsia="宋体" w:cs="Times New Roman"/>
                <w:color w:val="000000" w:themeColor="text1"/>
                <w:kern w:val="0"/>
                <w:sz w:val="21"/>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lang w:val="en-US" w:eastAsia="zh-CN" w:bidi="ar"/>
                <w14:textFill>
                  <w14:solidFill>
                    <w14:schemeClr w14:val="tx1"/>
                  </w14:solidFill>
                </w14:textFill>
              </w:rPr>
              <w:t>2</w:t>
            </w:r>
          </w:p>
        </w:tc>
        <w:tc>
          <w:tcPr>
            <w:tcW w:w="543" w:type="pct"/>
            <w:noWrap/>
            <w:vAlign w:val="center"/>
          </w:tcPr>
          <w:p w14:paraId="5A4B1DD7">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10.48</w:t>
            </w:r>
          </w:p>
        </w:tc>
        <w:tc>
          <w:tcPr>
            <w:tcW w:w="623" w:type="pct"/>
            <w:noWrap/>
            <w:vAlign w:val="center"/>
          </w:tcPr>
          <w:p w14:paraId="217FD2A8">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100%</w:t>
            </w:r>
          </w:p>
        </w:tc>
      </w:tr>
      <w:tr w14:paraId="33D500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3356" w:type="pct"/>
            <w:gridSpan w:val="4"/>
            <w:noWrap/>
            <w:vAlign w:val="center"/>
          </w:tcPr>
          <w:p w14:paraId="661D146B">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合计</w:t>
            </w:r>
          </w:p>
        </w:tc>
        <w:tc>
          <w:tcPr>
            <w:tcW w:w="477" w:type="pct"/>
            <w:noWrap/>
            <w:vAlign w:val="bottom"/>
          </w:tcPr>
          <w:p w14:paraId="7F500E91">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eastAsia" w:ascii="Times New Roman" w:hAnsi="Times New Roman" w:eastAsia="宋体" w:cs="Times New Roman"/>
                <w:color w:val="000000" w:themeColor="text1"/>
                <w:kern w:val="0"/>
                <w:sz w:val="21"/>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lang w:val="en-US" w:eastAsia="zh-CN" w:bidi="ar"/>
                <w14:textFill>
                  <w14:solidFill>
                    <w14:schemeClr w14:val="tx1"/>
                  </w14:solidFill>
                </w14:textFill>
              </w:rPr>
              <w:t>2</w:t>
            </w:r>
          </w:p>
        </w:tc>
        <w:tc>
          <w:tcPr>
            <w:tcW w:w="543" w:type="pct"/>
            <w:noWrap/>
            <w:vAlign w:val="bottom"/>
          </w:tcPr>
          <w:p w14:paraId="250458F8">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10.48</w:t>
            </w:r>
          </w:p>
        </w:tc>
        <w:tc>
          <w:tcPr>
            <w:tcW w:w="623" w:type="pct"/>
            <w:noWrap/>
            <w:vAlign w:val="center"/>
          </w:tcPr>
          <w:p w14:paraId="3126CF7E">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100%</w:t>
            </w:r>
          </w:p>
        </w:tc>
      </w:tr>
    </w:tbl>
    <w:p w14:paraId="34E09571">
      <w:pPr>
        <w:keepNext w:val="0"/>
        <w:keepLines w:val="0"/>
        <w:pageBreakBefore w:val="0"/>
        <w:kinsoku/>
        <w:wordWrap/>
        <w:overflowPunct/>
        <w:topLinePunct w:val="0"/>
        <w:autoSpaceDE/>
        <w:autoSpaceDN/>
        <w:bidi w:val="0"/>
        <w:ind w:firstLine="480"/>
        <w:jc w:val="center"/>
        <w:outlineLvl w:val="9"/>
        <w:rPr>
          <w:rFonts w:hint="default" w:ascii="Times New Roman" w:hAnsi="Times New Roman" w:eastAsia="宋体" w:cs="Times New Roman"/>
          <w:color w:val="000000" w:themeColor="text1"/>
          <w14:textFill>
            <w14:solidFill>
              <w14:schemeClr w14:val="tx1"/>
            </w14:solidFill>
          </w14:textFill>
        </w:rPr>
      </w:pPr>
    </w:p>
    <w:p w14:paraId="088FFEAD">
      <w:pPr>
        <w:keepNext w:val="0"/>
        <w:keepLines w:val="0"/>
        <w:pageBreakBefore w:val="0"/>
        <w:kinsoku/>
        <w:wordWrap/>
        <w:overflowPunct/>
        <w:topLinePunct w:val="0"/>
        <w:autoSpaceDE/>
        <w:autoSpaceDN/>
        <w:bidi w:val="0"/>
        <w:ind w:firstLine="0" w:firstLineChars="0"/>
        <w:jc w:val="center"/>
        <w:outlineLvl w:val="9"/>
        <w:rPr>
          <w:rFonts w:hint="eastAsia" w:ascii="Times New Roman" w:hAnsi="Times New Roman" w:eastAsia="宋体" w:cs="Times New Roman"/>
          <w:color w:val="000000" w:themeColor="text1"/>
          <w:lang w:eastAsia="zh-CN"/>
          <w14:textFill>
            <w14:solidFill>
              <w14:schemeClr w14:val="tx1"/>
            </w14:solidFill>
          </w14:textFill>
        </w:rPr>
      </w:pPr>
      <w:r>
        <w:rPr>
          <w:rFonts w:hint="eastAsia" w:ascii="Times New Roman" w:hAnsi="Times New Roman" w:eastAsia="宋体" w:cs="Times New Roman"/>
          <w:color w:val="000000" w:themeColor="text1"/>
          <w:lang w:eastAsia="zh-CN"/>
          <w14:textFill>
            <w14:solidFill>
              <w14:schemeClr w14:val="tx1"/>
            </w14:solidFill>
          </w14:textFill>
        </w:rPr>
        <w:drawing>
          <wp:inline distT="0" distB="0" distL="114300" distR="114300">
            <wp:extent cx="5615940" cy="3361055"/>
            <wp:effectExtent l="0" t="0" r="3810" b="10795"/>
            <wp:docPr id="56" name="图片 56" descr="植被类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植被类型"/>
                    <pic:cNvPicPr>
                      <a:picLocks noChangeAspect="1"/>
                    </pic:cNvPicPr>
                  </pic:nvPicPr>
                  <pic:blipFill>
                    <a:blip r:embed="rId44"/>
                    <a:stretch>
                      <a:fillRect/>
                    </a:stretch>
                  </pic:blipFill>
                  <pic:spPr>
                    <a:xfrm>
                      <a:off x="0" y="0"/>
                      <a:ext cx="5615940" cy="3361055"/>
                    </a:xfrm>
                    <a:prstGeom prst="rect">
                      <a:avLst/>
                    </a:prstGeom>
                  </pic:spPr>
                </pic:pic>
              </a:graphicData>
            </a:graphic>
          </wp:inline>
        </w:drawing>
      </w:r>
    </w:p>
    <w:p w14:paraId="0B3DABDC">
      <w:pPr>
        <w:keepNext w:val="0"/>
        <w:keepLines w:val="0"/>
        <w:pageBreakBefore w:val="0"/>
        <w:widowControl w:val="0"/>
        <w:kinsoku/>
        <w:wordWrap/>
        <w:overflowPunct/>
        <w:topLinePunct w:val="0"/>
        <w:autoSpaceDE/>
        <w:autoSpaceDN/>
        <w:bidi w:val="0"/>
        <w:spacing w:line="360" w:lineRule="auto"/>
        <w:ind w:firstLine="0" w:firstLineChars="0"/>
        <w:jc w:val="center"/>
        <w:outlineLvl w:val="9"/>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图4-5评价区植被类型图</w:t>
      </w:r>
    </w:p>
    <w:bookmarkEnd w:id="153"/>
    <w:bookmarkEnd w:id="154"/>
    <w:p w14:paraId="33062E41">
      <w:pPr>
        <w:keepNext w:val="0"/>
        <w:keepLines w:val="0"/>
        <w:pageBreakBefore w:val="0"/>
        <w:kinsoku/>
        <w:wordWrap/>
        <w:overflowPunct/>
        <w:topLinePunct w:val="0"/>
        <w:autoSpaceDE/>
        <w:autoSpaceDN/>
        <w:bidi w:val="0"/>
        <w:adjustRightInd w:val="0"/>
        <w:snapToGrid w:val="0"/>
        <w:ind w:firstLine="480"/>
        <w:outlineLvl w:val="9"/>
        <w:rPr>
          <w:rFonts w:hint="default" w:ascii="Times New Roman" w:hAnsi="Times New Roman" w:eastAsia="宋体" w:cs="Times New Roman"/>
          <w:color w:val="000000" w:themeColor="text1"/>
          <w14:textFill>
            <w14:solidFill>
              <w14:schemeClr w14:val="tx1"/>
            </w14:solidFill>
          </w14:textFill>
        </w:rPr>
      </w:pPr>
      <w:bookmarkStart w:id="155" w:name="_Toc26661"/>
      <w:bookmarkStart w:id="156" w:name="_Toc18461"/>
      <w:bookmarkStart w:id="157" w:name="_Toc10317"/>
      <w:bookmarkStart w:id="158" w:name="_Toc23809"/>
      <w:r>
        <w:rPr>
          <w:rFonts w:hint="default" w:ascii="Times New Roman" w:hAnsi="Times New Roman" w:eastAsia="宋体" w:cs="Times New Roman"/>
          <w:color w:val="000000" w:themeColor="text1"/>
          <w14:textFill>
            <w14:solidFill>
              <w14:schemeClr w14:val="tx1"/>
            </w14:solidFill>
          </w14:textFill>
        </w:rPr>
        <w:t>3</w:t>
      </w:r>
      <w:r>
        <w:rPr>
          <w:rFonts w:hint="eastAsia" w:ascii="Times New Roman" w:hAnsi="Times New Roman" w:eastAsia="宋体" w:cs="Times New Roman"/>
          <w:color w:val="000000" w:themeColor="text1"/>
          <w:lang w:eastAsia="zh-CN"/>
          <w14:textFill>
            <w14:solidFill>
              <w14:schemeClr w14:val="tx1"/>
            </w14:solidFill>
          </w14:textFill>
        </w:rPr>
        <w:t>）</w:t>
      </w:r>
      <w:r>
        <w:rPr>
          <w:rFonts w:hint="default" w:ascii="Times New Roman" w:hAnsi="Times New Roman" w:eastAsia="宋体" w:cs="Times New Roman"/>
          <w:color w:val="000000" w:themeColor="text1"/>
          <w14:textFill>
            <w14:solidFill>
              <w14:schemeClr w14:val="tx1"/>
            </w14:solidFill>
          </w14:textFill>
        </w:rPr>
        <w:t>植物名录</w:t>
      </w:r>
      <w:bookmarkEnd w:id="155"/>
      <w:bookmarkEnd w:id="156"/>
      <w:bookmarkEnd w:id="157"/>
      <w:bookmarkEnd w:id="158"/>
    </w:p>
    <w:p w14:paraId="402455D7">
      <w:pPr>
        <w:keepNext w:val="0"/>
        <w:keepLines w:val="0"/>
        <w:pageBreakBefore w:val="0"/>
        <w:widowControl w:val="0"/>
        <w:kinsoku/>
        <w:wordWrap/>
        <w:overflowPunct/>
        <w:topLinePunct w:val="0"/>
        <w:autoSpaceDE/>
        <w:autoSpaceDN/>
        <w:bidi w:val="0"/>
        <w:spacing w:line="360" w:lineRule="auto"/>
        <w:ind w:firstLine="480" w:firstLineChars="200"/>
        <w:jc w:val="both"/>
        <w:outlineLvl w:val="9"/>
        <w:rPr>
          <w:rFonts w:hint="default" w:ascii="Times New Roman" w:hAnsi="Times New Roman" w:eastAsia="宋体" w:cs="Times New Roman"/>
          <w:color w:val="000000" w:themeColor="text1"/>
          <w:spacing w:val="-6"/>
          <w:kern w:val="2"/>
          <w:sz w:val="24"/>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项目根据实地考察并参照有关的文献，拟建项目评价区未发现珍稀濒危植物，项目评价区域的植物名录见表4.2-3。</w:t>
      </w:r>
    </w:p>
    <w:p w14:paraId="09E7569C">
      <w:pPr>
        <w:keepNext w:val="0"/>
        <w:keepLines w:val="0"/>
        <w:pageBreakBefore w:val="0"/>
        <w:widowControl w:val="0"/>
        <w:kinsoku/>
        <w:wordWrap/>
        <w:overflowPunct/>
        <w:topLinePunct w:val="0"/>
        <w:autoSpaceDE/>
        <w:autoSpaceDN/>
        <w:bidi w:val="0"/>
        <w:snapToGrid w:val="0"/>
        <w:spacing w:before="0" w:after="0" w:line="240" w:lineRule="auto"/>
        <w:ind w:firstLine="0" w:firstLineChars="0"/>
        <w:jc w:val="center"/>
        <w:outlineLvl w:val="9"/>
        <w:rPr>
          <w:rFonts w:hint="default" w:ascii="Times New Roman" w:hAnsi="Times New Roman" w:eastAsia="宋体" w:cs="Times New Roman"/>
          <w:b/>
          <w:color w:val="000000" w:themeColor="text1"/>
          <w:kern w:val="2"/>
          <w:sz w:val="21"/>
          <w:szCs w:val="21"/>
          <w:lang w:val="en-GB" w:eastAsia="zh-CN" w:bidi="ar-SA"/>
          <w14:textFill>
            <w14:solidFill>
              <w14:schemeClr w14:val="tx1"/>
            </w14:solidFill>
          </w14:textFill>
        </w:rPr>
      </w:pPr>
      <w:r>
        <w:rPr>
          <w:rFonts w:hint="default" w:ascii="Times New Roman" w:hAnsi="Times New Roman" w:eastAsia="宋体" w:cs="Times New Roman"/>
          <w:b/>
          <w:color w:val="000000" w:themeColor="text1"/>
          <w:kern w:val="2"/>
          <w:sz w:val="21"/>
          <w:szCs w:val="21"/>
          <w:lang w:val="en-GB" w:eastAsia="zh-CN" w:bidi="ar-SA"/>
          <w14:textFill>
            <w14:solidFill>
              <w14:schemeClr w14:val="tx1"/>
            </w14:solidFill>
          </w14:textFill>
        </w:rPr>
        <w:t>表</w:t>
      </w:r>
      <w:r>
        <w:rPr>
          <w:rFonts w:hint="default" w:ascii="Times New Roman" w:hAnsi="Times New Roman" w:eastAsia="宋体" w:cs="Times New Roman"/>
          <w:b/>
          <w:color w:val="000000" w:themeColor="text1"/>
          <w:kern w:val="2"/>
          <w:sz w:val="21"/>
          <w:szCs w:val="21"/>
          <w:lang w:val="en-US" w:eastAsia="zh-CN" w:bidi="ar-SA"/>
          <w14:textFill>
            <w14:solidFill>
              <w14:schemeClr w14:val="tx1"/>
            </w14:solidFill>
          </w14:textFill>
        </w:rPr>
        <w:t>4.2-3</w:t>
      </w:r>
      <w:r>
        <w:rPr>
          <w:rFonts w:hint="default" w:ascii="Times New Roman" w:hAnsi="Times New Roman" w:eastAsia="宋体" w:cs="Times New Roman"/>
          <w:b/>
          <w:color w:val="000000" w:themeColor="text1"/>
          <w:kern w:val="2"/>
          <w:sz w:val="21"/>
          <w:szCs w:val="21"/>
          <w:lang w:val="en-GB" w:eastAsia="zh-CN" w:bidi="ar-SA"/>
          <w14:textFill>
            <w14:solidFill>
              <w14:schemeClr w14:val="tx1"/>
            </w14:solidFill>
          </w14:textFill>
        </w:rPr>
        <w:t>评价区常见植物和优势植物名录</w:t>
      </w:r>
    </w:p>
    <w:tbl>
      <w:tblPr>
        <w:tblStyle w:val="29"/>
        <w:tblW w:w="5071"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6"/>
        <w:gridCol w:w="1633"/>
        <w:gridCol w:w="1076"/>
        <w:gridCol w:w="1561"/>
        <w:gridCol w:w="1116"/>
        <w:gridCol w:w="2922"/>
      </w:tblGrid>
      <w:tr w14:paraId="44F0EA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blHeader/>
        </w:trPr>
        <w:tc>
          <w:tcPr>
            <w:tcW w:w="482" w:type="pct"/>
            <w:noWrap/>
            <w:vAlign w:val="center"/>
          </w:tcPr>
          <w:p w14:paraId="05027EDE">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lang w:bidi="ar"/>
                <w14:textFill>
                  <w14:solidFill>
                    <w14:schemeClr w14:val="tx1"/>
                  </w14:solidFill>
                </w14:textFill>
              </w:rPr>
              <w:t>科</w:t>
            </w:r>
          </w:p>
        </w:tc>
        <w:tc>
          <w:tcPr>
            <w:tcW w:w="887" w:type="pct"/>
            <w:noWrap/>
            <w:vAlign w:val="center"/>
          </w:tcPr>
          <w:p w14:paraId="1181FD16">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lang w:bidi="ar"/>
                <w14:textFill>
                  <w14:solidFill>
                    <w14:schemeClr w14:val="tx1"/>
                  </w14:solidFill>
                </w14:textFill>
              </w:rPr>
              <w:t>科拉丁名</w:t>
            </w:r>
          </w:p>
        </w:tc>
        <w:tc>
          <w:tcPr>
            <w:tcW w:w="585" w:type="pct"/>
            <w:noWrap/>
            <w:vAlign w:val="center"/>
          </w:tcPr>
          <w:p w14:paraId="39C8694C">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lang w:bidi="ar"/>
                <w14:textFill>
                  <w14:solidFill>
                    <w14:schemeClr w14:val="tx1"/>
                  </w14:solidFill>
                </w14:textFill>
              </w:rPr>
              <w:t>属名</w:t>
            </w:r>
          </w:p>
        </w:tc>
        <w:tc>
          <w:tcPr>
            <w:tcW w:w="848" w:type="pct"/>
            <w:noWrap/>
            <w:vAlign w:val="center"/>
          </w:tcPr>
          <w:p w14:paraId="6F387349">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lang w:bidi="ar"/>
                <w14:textFill>
                  <w14:solidFill>
                    <w14:schemeClr w14:val="tx1"/>
                  </w14:solidFill>
                </w14:textFill>
              </w:rPr>
              <w:t>属拉丁名</w:t>
            </w:r>
          </w:p>
        </w:tc>
        <w:tc>
          <w:tcPr>
            <w:tcW w:w="607" w:type="pct"/>
            <w:noWrap/>
            <w:vAlign w:val="center"/>
          </w:tcPr>
          <w:p w14:paraId="08EF5C64">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lang w:bidi="ar"/>
                <w14:textFill>
                  <w14:solidFill>
                    <w14:schemeClr w14:val="tx1"/>
                  </w14:solidFill>
                </w14:textFill>
              </w:rPr>
              <w:t>种名</w:t>
            </w:r>
          </w:p>
        </w:tc>
        <w:tc>
          <w:tcPr>
            <w:tcW w:w="1588" w:type="pct"/>
            <w:noWrap/>
            <w:vAlign w:val="center"/>
          </w:tcPr>
          <w:p w14:paraId="0046E204">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lang w:bidi="ar"/>
                <w14:textFill>
                  <w14:solidFill>
                    <w14:schemeClr w14:val="tx1"/>
                  </w14:solidFill>
                </w14:textFill>
              </w:rPr>
              <w:t>种拉丁名</w:t>
            </w:r>
          </w:p>
        </w:tc>
      </w:tr>
      <w:tr w14:paraId="15F822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482" w:type="pct"/>
            <w:noWrap/>
            <w:vAlign w:val="center"/>
          </w:tcPr>
          <w:p w14:paraId="18DED326">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fldChar w:fldCharType="begin"/>
            </w:r>
            <w:r>
              <w:rPr>
                <w:rFonts w:hint="default" w:ascii="Times New Roman" w:hAnsi="Times New Roman" w:eastAsia="宋体" w:cs="Times New Roman"/>
                <w:b w:val="0"/>
                <w:bCs w:val="0"/>
                <w:color w:val="000000" w:themeColor="text1"/>
                <w:sz w:val="21"/>
                <w:szCs w:val="21"/>
                <w14:textFill>
                  <w14:solidFill>
                    <w14:schemeClr w14:val="tx1"/>
                  </w14:solidFill>
                </w14:textFill>
              </w:rPr>
              <w:instrText xml:space="preserve"> HYPERLINK "http://www.iplant.cn/info/Salicaceae?t=z" </w:instrText>
            </w:r>
            <w:r>
              <w:rPr>
                <w:rFonts w:hint="default" w:ascii="Times New Roman" w:hAnsi="Times New Roman" w:eastAsia="宋体" w:cs="Times New Roman"/>
                <w:b w:val="0"/>
                <w:bCs w:val="0"/>
                <w:color w:val="000000" w:themeColor="text1"/>
                <w:sz w:val="21"/>
                <w:szCs w:val="21"/>
                <w14:textFill>
                  <w14:solidFill>
                    <w14:schemeClr w14:val="tx1"/>
                  </w14:solidFill>
                </w14:textFill>
              </w:rPr>
              <w:fldChar w:fldCharType="separate"/>
            </w:r>
            <w:r>
              <w:rPr>
                <w:rFonts w:hint="default" w:ascii="Times New Roman" w:hAnsi="Times New Roman" w:eastAsia="宋体" w:cs="Times New Roman"/>
                <w:b w:val="0"/>
                <w:bCs w:val="0"/>
                <w:color w:val="000000" w:themeColor="text1"/>
                <w:sz w:val="21"/>
                <w:szCs w:val="21"/>
                <w:lang w:bidi="ar"/>
                <w14:textFill>
                  <w14:solidFill>
                    <w14:schemeClr w14:val="tx1"/>
                  </w14:solidFill>
                </w14:textFill>
              </w:rPr>
              <w:t>杨柳科</w:t>
            </w:r>
            <w:r>
              <w:rPr>
                <w:rFonts w:hint="default" w:ascii="Times New Roman" w:hAnsi="Times New Roman" w:eastAsia="宋体" w:cs="Times New Roman"/>
                <w:b w:val="0"/>
                <w:bCs w:val="0"/>
                <w:color w:val="000000" w:themeColor="text1"/>
                <w:sz w:val="21"/>
                <w:szCs w:val="21"/>
                <w:lang w:bidi="ar"/>
                <w14:textFill>
                  <w14:solidFill>
                    <w14:schemeClr w14:val="tx1"/>
                  </w14:solidFill>
                </w14:textFill>
              </w:rPr>
              <w:fldChar w:fldCharType="end"/>
            </w:r>
          </w:p>
        </w:tc>
        <w:tc>
          <w:tcPr>
            <w:tcW w:w="887" w:type="pct"/>
            <w:noWrap/>
            <w:vAlign w:val="center"/>
          </w:tcPr>
          <w:p w14:paraId="493F5CA9">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t>Salicaceae</w:t>
            </w:r>
          </w:p>
        </w:tc>
        <w:tc>
          <w:tcPr>
            <w:tcW w:w="585" w:type="pct"/>
            <w:noWrap/>
            <w:vAlign w:val="center"/>
          </w:tcPr>
          <w:p w14:paraId="5A6889A8">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fldChar w:fldCharType="begin"/>
            </w:r>
            <w:r>
              <w:rPr>
                <w:rFonts w:hint="default" w:ascii="Times New Roman" w:hAnsi="Times New Roman" w:eastAsia="宋体" w:cs="Times New Roman"/>
                <w:b w:val="0"/>
                <w:bCs w:val="0"/>
                <w:color w:val="000000" w:themeColor="text1"/>
                <w:sz w:val="21"/>
                <w:szCs w:val="21"/>
                <w14:textFill>
                  <w14:solidFill>
                    <w14:schemeClr w14:val="tx1"/>
                  </w14:solidFill>
                </w14:textFill>
              </w:rPr>
              <w:instrText xml:space="preserve"> HYPERLINK "http://www.iplant.cn/info/Populus?t=z" </w:instrText>
            </w:r>
            <w:r>
              <w:rPr>
                <w:rFonts w:hint="default" w:ascii="Times New Roman" w:hAnsi="Times New Roman" w:eastAsia="宋体" w:cs="Times New Roman"/>
                <w:b w:val="0"/>
                <w:bCs w:val="0"/>
                <w:color w:val="000000" w:themeColor="text1"/>
                <w:sz w:val="21"/>
                <w:szCs w:val="21"/>
                <w14:textFill>
                  <w14:solidFill>
                    <w14:schemeClr w14:val="tx1"/>
                  </w14:solidFill>
                </w14:textFill>
              </w:rPr>
              <w:fldChar w:fldCharType="separate"/>
            </w:r>
            <w:r>
              <w:rPr>
                <w:rFonts w:hint="default" w:ascii="Times New Roman" w:hAnsi="Times New Roman" w:eastAsia="宋体" w:cs="Times New Roman"/>
                <w:b w:val="0"/>
                <w:bCs w:val="0"/>
                <w:color w:val="000000" w:themeColor="text1"/>
                <w:sz w:val="21"/>
                <w:szCs w:val="21"/>
                <w:lang w:bidi="ar"/>
                <w14:textFill>
                  <w14:solidFill>
                    <w14:schemeClr w14:val="tx1"/>
                  </w14:solidFill>
                </w14:textFill>
              </w:rPr>
              <w:t>杨属</w:t>
            </w:r>
            <w:r>
              <w:rPr>
                <w:rFonts w:hint="default" w:ascii="Times New Roman" w:hAnsi="Times New Roman" w:eastAsia="宋体" w:cs="Times New Roman"/>
                <w:b w:val="0"/>
                <w:bCs w:val="0"/>
                <w:color w:val="000000" w:themeColor="text1"/>
                <w:sz w:val="21"/>
                <w:szCs w:val="21"/>
                <w:lang w:bidi="ar"/>
                <w14:textFill>
                  <w14:solidFill>
                    <w14:schemeClr w14:val="tx1"/>
                  </w14:solidFill>
                </w14:textFill>
              </w:rPr>
              <w:fldChar w:fldCharType="end"/>
            </w:r>
          </w:p>
        </w:tc>
        <w:tc>
          <w:tcPr>
            <w:tcW w:w="848" w:type="pct"/>
            <w:noWrap/>
            <w:vAlign w:val="center"/>
          </w:tcPr>
          <w:p w14:paraId="358A737C">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t>Populus</w:t>
            </w:r>
          </w:p>
        </w:tc>
        <w:tc>
          <w:tcPr>
            <w:tcW w:w="607" w:type="pct"/>
            <w:noWrap/>
            <w:vAlign w:val="center"/>
          </w:tcPr>
          <w:p w14:paraId="569C3DD3">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color w:val="000000" w:themeColor="text1"/>
                <w:sz w:val="21"/>
                <w:szCs w:val="21"/>
                <w:lang w:bidi="ar"/>
                <w14:textFill>
                  <w14:solidFill>
                    <w14:schemeClr w14:val="tx1"/>
                  </w14:solidFill>
                </w14:textFill>
              </w:rPr>
              <w:t>青杨</w:t>
            </w:r>
          </w:p>
        </w:tc>
        <w:tc>
          <w:tcPr>
            <w:tcW w:w="1588" w:type="pct"/>
            <w:noWrap/>
            <w:vAlign w:val="center"/>
          </w:tcPr>
          <w:p w14:paraId="3B7FBE16">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t>SanguisorbaofficinalisL.</w:t>
            </w:r>
          </w:p>
        </w:tc>
      </w:tr>
      <w:tr w14:paraId="6B40EF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482" w:type="pct"/>
            <w:noWrap/>
            <w:vAlign w:val="center"/>
          </w:tcPr>
          <w:p w14:paraId="2BE12026">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color w:val="000000" w:themeColor="text1"/>
                <w:sz w:val="21"/>
                <w:szCs w:val="21"/>
                <w:lang w:bidi="ar"/>
                <w14:textFill>
                  <w14:solidFill>
                    <w14:schemeClr w14:val="tx1"/>
                  </w14:solidFill>
                </w14:textFill>
              </w:rPr>
              <w:t>榆科</w:t>
            </w:r>
          </w:p>
        </w:tc>
        <w:tc>
          <w:tcPr>
            <w:tcW w:w="887" w:type="pct"/>
            <w:noWrap/>
            <w:vAlign w:val="center"/>
          </w:tcPr>
          <w:p w14:paraId="5CD356DD">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t>Ulmaceae</w:t>
            </w:r>
          </w:p>
        </w:tc>
        <w:tc>
          <w:tcPr>
            <w:tcW w:w="585" w:type="pct"/>
            <w:noWrap/>
            <w:vAlign w:val="center"/>
          </w:tcPr>
          <w:p w14:paraId="2399192C">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color w:val="000000" w:themeColor="text1"/>
                <w:sz w:val="21"/>
                <w:szCs w:val="21"/>
                <w:lang w:bidi="ar"/>
                <w14:textFill>
                  <w14:solidFill>
                    <w14:schemeClr w14:val="tx1"/>
                  </w14:solidFill>
                </w14:textFill>
              </w:rPr>
              <w:t>榆属</w:t>
            </w:r>
          </w:p>
        </w:tc>
        <w:tc>
          <w:tcPr>
            <w:tcW w:w="848" w:type="pct"/>
            <w:noWrap/>
            <w:vAlign w:val="center"/>
          </w:tcPr>
          <w:p w14:paraId="3DD53C59">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t>Ulmus</w:t>
            </w:r>
          </w:p>
        </w:tc>
        <w:tc>
          <w:tcPr>
            <w:tcW w:w="607" w:type="pct"/>
            <w:noWrap/>
            <w:vAlign w:val="center"/>
          </w:tcPr>
          <w:p w14:paraId="0D7826E1">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color w:val="000000" w:themeColor="text1"/>
                <w:sz w:val="21"/>
                <w:szCs w:val="21"/>
                <w:lang w:bidi="ar"/>
                <w14:textFill>
                  <w14:solidFill>
                    <w14:schemeClr w14:val="tx1"/>
                  </w14:solidFill>
                </w14:textFill>
              </w:rPr>
              <w:t>旱榆</w:t>
            </w:r>
          </w:p>
        </w:tc>
        <w:tc>
          <w:tcPr>
            <w:tcW w:w="1588" w:type="pct"/>
            <w:noWrap/>
            <w:vAlign w:val="center"/>
          </w:tcPr>
          <w:p w14:paraId="43153A55">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t>UlmusglaucescensFranch.</w:t>
            </w:r>
          </w:p>
        </w:tc>
      </w:tr>
      <w:tr w14:paraId="2C678A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482" w:type="pct"/>
            <w:noWrap/>
            <w:vAlign w:val="center"/>
          </w:tcPr>
          <w:p w14:paraId="362506C5">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outlineLvl w:val="9"/>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lang w:bidi="ar"/>
                <w14:textFill>
                  <w14:solidFill>
                    <w14:schemeClr w14:val="tx1"/>
                  </w14:solidFill>
                </w14:textFill>
              </w:rPr>
              <w:t>唇形科</w:t>
            </w:r>
          </w:p>
        </w:tc>
        <w:tc>
          <w:tcPr>
            <w:tcW w:w="887" w:type="pct"/>
            <w:noWrap/>
            <w:vAlign w:val="center"/>
          </w:tcPr>
          <w:p w14:paraId="7412BD70">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t>Labiatae</w:t>
            </w:r>
          </w:p>
        </w:tc>
        <w:tc>
          <w:tcPr>
            <w:tcW w:w="585" w:type="pct"/>
            <w:noWrap/>
            <w:vAlign w:val="center"/>
          </w:tcPr>
          <w:p w14:paraId="5784C63F">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color w:val="000000" w:themeColor="text1"/>
                <w:sz w:val="21"/>
                <w:szCs w:val="21"/>
                <w:lang w:bidi="ar"/>
                <w14:textFill>
                  <w14:solidFill>
                    <w14:schemeClr w14:val="tx1"/>
                  </w14:solidFill>
                </w14:textFill>
              </w:rPr>
              <w:t>百里香属</w:t>
            </w:r>
          </w:p>
        </w:tc>
        <w:tc>
          <w:tcPr>
            <w:tcW w:w="848" w:type="pct"/>
            <w:noWrap/>
            <w:vAlign w:val="center"/>
          </w:tcPr>
          <w:p w14:paraId="2043ECC9">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t>Thymus</w:t>
            </w:r>
          </w:p>
        </w:tc>
        <w:tc>
          <w:tcPr>
            <w:tcW w:w="607" w:type="pct"/>
            <w:noWrap/>
            <w:vAlign w:val="center"/>
          </w:tcPr>
          <w:p w14:paraId="7376E617">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outlineLvl w:val="9"/>
              <w:rPr>
                <w:rFonts w:hint="default" w:ascii="Times New Roman" w:hAnsi="Times New Roman" w:eastAsia="宋体" w:cs="Times New Roman"/>
                <w:b w:val="0"/>
                <w:bCs w:val="0"/>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color w:val="000000" w:themeColor="text1"/>
                <w:sz w:val="21"/>
                <w:szCs w:val="21"/>
                <w:lang w:bidi="ar"/>
                <w14:textFill>
                  <w14:solidFill>
                    <w14:schemeClr w14:val="tx1"/>
                  </w14:solidFill>
                </w14:textFill>
              </w:rPr>
              <w:t>百里香</w:t>
            </w:r>
          </w:p>
        </w:tc>
        <w:tc>
          <w:tcPr>
            <w:tcW w:w="1588" w:type="pct"/>
            <w:noWrap/>
            <w:vAlign w:val="center"/>
          </w:tcPr>
          <w:p w14:paraId="7752A29E">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outlineLvl w:val="9"/>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i/>
                <w:iCs/>
                <w:color w:val="000000" w:themeColor="text1"/>
                <w:kern w:val="0"/>
                <w:sz w:val="21"/>
                <w:szCs w:val="21"/>
                <w14:textFill>
                  <w14:solidFill>
                    <w14:schemeClr w14:val="tx1"/>
                  </w14:solidFill>
                </w14:textFill>
              </w:rPr>
              <w:t>ThymusmongolicusRonn.</w:t>
            </w:r>
          </w:p>
        </w:tc>
      </w:tr>
      <w:tr w14:paraId="1A6573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482" w:type="pct"/>
            <w:noWrap/>
            <w:vAlign w:val="center"/>
          </w:tcPr>
          <w:p w14:paraId="7936F472">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fldChar w:fldCharType="begin"/>
            </w:r>
            <w:r>
              <w:rPr>
                <w:rFonts w:hint="default" w:ascii="Times New Roman" w:hAnsi="Times New Roman" w:eastAsia="宋体" w:cs="Times New Roman"/>
                <w:b w:val="0"/>
                <w:bCs w:val="0"/>
                <w:color w:val="000000" w:themeColor="text1"/>
                <w:sz w:val="21"/>
                <w:szCs w:val="21"/>
                <w14:textFill>
                  <w14:solidFill>
                    <w14:schemeClr w14:val="tx1"/>
                  </w14:solidFill>
                </w14:textFill>
              </w:rPr>
              <w:instrText xml:space="preserve"> HYPERLINK "http://www.iplant.cn/frps2019/frps/Gramineae" </w:instrText>
            </w:r>
            <w:r>
              <w:rPr>
                <w:rFonts w:hint="default" w:ascii="Times New Roman" w:hAnsi="Times New Roman" w:eastAsia="宋体" w:cs="Times New Roman"/>
                <w:b w:val="0"/>
                <w:bCs w:val="0"/>
                <w:color w:val="000000" w:themeColor="text1"/>
                <w:sz w:val="21"/>
                <w:szCs w:val="21"/>
                <w14:textFill>
                  <w14:solidFill>
                    <w14:schemeClr w14:val="tx1"/>
                  </w14:solidFill>
                </w14:textFill>
              </w:rPr>
              <w:fldChar w:fldCharType="separate"/>
            </w:r>
            <w:r>
              <w:rPr>
                <w:rFonts w:hint="default" w:ascii="Times New Roman" w:hAnsi="Times New Roman" w:eastAsia="宋体" w:cs="Times New Roman"/>
                <w:b w:val="0"/>
                <w:bCs w:val="0"/>
                <w:color w:val="000000" w:themeColor="text1"/>
                <w:sz w:val="21"/>
                <w:szCs w:val="21"/>
                <w:lang w:bidi="ar"/>
                <w14:textFill>
                  <w14:solidFill>
                    <w14:schemeClr w14:val="tx1"/>
                  </w14:solidFill>
                </w14:textFill>
              </w:rPr>
              <w:t>禾本科</w:t>
            </w:r>
            <w:r>
              <w:rPr>
                <w:rFonts w:hint="default" w:ascii="Times New Roman" w:hAnsi="Times New Roman" w:eastAsia="宋体" w:cs="Times New Roman"/>
                <w:b w:val="0"/>
                <w:bCs w:val="0"/>
                <w:color w:val="000000" w:themeColor="text1"/>
                <w:sz w:val="21"/>
                <w:szCs w:val="21"/>
                <w:lang w:bidi="ar"/>
                <w14:textFill>
                  <w14:solidFill>
                    <w14:schemeClr w14:val="tx1"/>
                  </w14:solidFill>
                </w14:textFill>
              </w:rPr>
              <w:fldChar w:fldCharType="end"/>
            </w:r>
          </w:p>
        </w:tc>
        <w:tc>
          <w:tcPr>
            <w:tcW w:w="887" w:type="pct"/>
            <w:noWrap/>
            <w:vAlign w:val="center"/>
          </w:tcPr>
          <w:p w14:paraId="2EFDFD19">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t>Gramineae</w:t>
            </w:r>
          </w:p>
        </w:tc>
        <w:tc>
          <w:tcPr>
            <w:tcW w:w="585" w:type="pct"/>
            <w:noWrap/>
            <w:vAlign w:val="center"/>
          </w:tcPr>
          <w:p w14:paraId="43B36069">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fldChar w:fldCharType="begin"/>
            </w:r>
            <w:r>
              <w:rPr>
                <w:rFonts w:hint="default" w:ascii="Times New Roman" w:hAnsi="Times New Roman" w:eastAsia="宋体" w:cs="Times New Roman"/>
                <w:b w:val="0"/>
                <w:bCs w:val="0"/>
                <w:color w:val="000000" w:themeColor="text1"/>
                <w:sz w:val="21"/>
                <w:szCs w:val="21"/>
                <w14:textFill>
                  <w14:solidFill>
                    <w14:schemeClr w14:val="tx1"/>
                  </w14:solidFill>
                </w14:textFill>
              </w:rPr>
              <w:instrText xml:space="preserve"> HYPERLINK "http://www.iplant.cn/frps2019/frps/Agropyron" </w:instrText>
            </w:r>
            <w:r>
              <w:rPr>
                <w:rFonts w:hint="default" w:ascii="Times New Roman" w:hAnsi="Times New Roman" w:eastAsia="宋体" w:cs="Times New Roman"/>
                <w:b w:val="0"/>
                <w:bCs w:val="0"/>
                <w:color w:val="000000" w:themeColor="text1"/>
                <w:sz w:val="21"/>
                <w:szCs w:val="21"/>
                <w14:textFill>
                  <w14:solidFill>
                    <w14:schemeClr w14:val="tx1"/>
                  </w14:solidFill>
                </w14:textFill>
              </w:rPr>
              <w:fldChar w:fldCharType="separate"/>
            </w:r>
            <w:r>
              <w:rPr>
                <w:rFonts w:hint="default" w:ascii="Times New Roman" w:hAnsi="Times New Roman" w:eastAsia="宋体" w:cs="Times New Roman"/>
                <w:b w:val="0"/>
                <w:bCs w:val="0"/>
                <w:color w:val="000000" w:themeColor="text1"/>
                <w:sz w:val="21"/>
                <w:szCs w:val="21"/>
                <w:lang w:bidi="ar"/>
                <w14:textFill>
                  <w14:solidFill>
                    <w14:schemeClr w14:val="tx1"/>
                  </w14:solidFill>
                </w14:textFill>
              </w:rPr>
              <w:t>冰草属</w:t>
            </w:r>
            <w:r>
              <w:rPr>
                <w:rFonts w:hint="default" w:ascii="Times New Roman" w:hAnsi="Times New Roman" w:eastAsia="宋体" w:cs="Times New Roman"/>
                <w:b w:val="0"/>
                <w:bCs w:val="0"/>
                <w:color w:val="000000" w:themeColor="text1"/>
                <w:sz w:val="21"/>
                <w:szCs w:val="21"/>
                <w:lang w:bidi="ar"/>
                <w14:textFill>
                  <w14:solidFill>
                    <w14:schemeClr w14:val="tx1"/>
                  </w14:solidFill>
                </w14:textFill>
              </w:rPr>
              <w:fldChar w:fldCharType="end"/>
            </w:r>
          </w:p>
        </w:tc>
        <w:tc>
          <w:tcPr>
            <w:tcW w:w="848" w:type="pct"/>
            <w:noWrap/>
            <w:vAlign w:val="center"/>
          </w:tcPr>
          <w:p w14:paraId="48C4F12D">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t>Agropyron</w:t>
            </w:r>
          </w:p>
        </w:tc>
        <w:tc>
          <w:tcPr>
            <w:tcW w:w="607" w:type="pct"/>
            <w:noWrap/>
            <w:vAlign w:val="center"/>
          </w:tcPr>
          <w:p w14:paraId="319CFCB6">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color w:val="000000" w:themeColor="text1"/>
                <w:sz w:val="21"/>
                <w:szCs w:val="21"/>
                <w:lang w:bidi="ar"/>
                <w14:textFill>
                  <w14:solidFill>
                    <w14:schemeClr w14:val="tx1"/>
                  </w14:solidFill>
                </w14:textFill>
              </w:rPr>
              <w:t>沙生冰草</w:t>
            </w:r>
          </w:p>
          <w:p w14:paraId="3969CA0C">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color w:val="000000" w:themeColor="text1"/>
                <w:sz w:val="21"/>
                <w:szCs w:val="21"/>
                <w:lang w:bidi="ar"/>
                <w14:textFill>
                  <w14:solidFill>
                    <w14:schemeClr w14:val="tx1"/>
                  </w14:solidFill>
                </w14:textFill>
              </w:rPr>
            </w:pPr>
          </w:p>
        </w:tc>
        <w:tc>
          <w:tcPr>
            <w:tcW w:w="1588" w:type="pct"/>
            <w:noWrap/>
            <w:vAlign w:val="center"/>
          </w:tcPr>
          <w:p w14:paraId="398FEAD4">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t>Agropyrondesertorum</w:t>
            </w:r>
            <w:r>
              <w:rPr>
                <w:rFonts w:hint="eastAsia" w:cs="Times New Roman"/>
                <w:b w:val="0"/>
                <w:bCs w:val="0"/>
                <w:i/>
                <w:iCs/>
                <w:color w:val="000000" w:themeColor="text1"/>
                <w:sz w:val="21"/>
                <w:szCs w:val="21"/>
                <w:lang w:eastAsia="zh-CN" w:bidi="ar"/>
                <w14:textFill>
                  <w14:solidFill>
                    <w14:schemeClr w14:val="tx1"/>
                  </w14:solidFill>
                </w14:textFill>
              </w:rPr>
              <w:t>（</w:t>
            </w:r>
            <w:r>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t>Fisch.</w:t>
            </w:r>
            <w:r>
              <w:rPr>
                <w:rFonts w:hint="eastAsia" w:cs="Times New Roman"/>
                <w:b w:val="0"/>
                <w:bCs w:val="0"/>
                <w:i/>
                <w:iCs/>
                <w:color w:val="000000" w:themeColor="text1"/>
                <w:sz w:val="21"/>
                <w:szCs w:val="21"/>
                <w:lang w:eastAsia="zh-CN" w:bidi="ar"/>
                <w14:textFill>
                  <w14:solidFill>
                    <w14:schemeClr w14:val="tx1"/>
                  </w14:solidFill>
                </w14:textFill>
              </w:rPr>
              <w:t>）</w:t>
            </w:r>
            <w:r>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t>Schult.</w:t>
            </w:r>
          </w:p>
        </w:tc>
      </w:tr>
      <w:tr w14:paraId="2558F8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482" w:type="pct"/>
            <w:noWrap/>
            <w:vAlign w:val="center"/>
          </w:tcPr>
          <w:p w14:paraId="072E7087">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color w:val="000000" w:themeColor="text1"/>
                <w:sz w:val="21"/>
                <w:szCs w:val="21"/>
                <w:lang w:bidi="ar"/>
                <w14:textFill>
                  <w14:solidFill>
                    <w14:schemeClr w14:val="tx1"/>
                  </w14:solidFill>
                </w14:textFill>
              </w:rPr>
              <w:t>禾本科</w:t>
            </w:r>
          </w:p>
        </w:tc>
        <w:tc>
          <w:tcPr>
            <w:tcW w:w="887" w:type="pct"/>
            <w:noWrap/>
            <w:vAlign w:val="center"/>
          </w:tcPr>
          <w:p w14:paraId="3D078BE5">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t>Gramineae</w:t>
            </w:r>
          </w:p>
        </w:tc>
        <w:tc>
          <w:tcPr>
            <w:tcW w:w="585" w:type="pct"/>
            <w:noWrap/>
            <w:vAlign w:val="center"/>
          </w:tcPr>
          <w:p w14:paraId="698C7135">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color w:val="000000" w:themeColor="text1"/>
                <w:sz w:val="21"/>
                <w:szCs w:val="21"/>
                <w:lang w:bidi="ar"/>
                <w14:textFill>
                  <w14:solidFill>
                    <w14:schemeClr w14:val="tx1"/>
                  </w14:solidFill>
                </w14:textFill>
              </w:rPr>
              <w:t>赖草属</w:t>
            </w:r>
          </w:p>
        </w:tc>
        <w:tc>
          <w:tcPr>
            <w:tcW w:w="848" w:type="pct"/>
            <w:noWrap/>
            <w:vAlign w:val="center"/>
          </w:tcPr>
          <w:p w14:paraId="4E8285C0">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t>Leymus</w:t>
            </w:r>
          </w:p>
        </w:tc>
        <w:tc>
          <w:tcPr>
            <w:tcW w:w="607" w:type="pct"/>
            <w:noWrap/>
            <w:vAlign w:val="center"/>
          </w:tcPr>
          <w:p w14:paraId="19637018">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color w:val="000000" w:themeColor="text1"/>
                <w:sz w:val="21"/>
                <w:szCs w:val="21"/>
                <w:lang w:bidi="ar"/>
                <w14:textFill>
                  <w14:solidFill>
                    <w14:schemeClr w14:val="tx1"/>
                  </w14:solidFill>
                </w14:textFill>
              </w:rPr>
              <w:t>羊草</w:t>
            </w:r>
          </w:p>
        </w:tc>
        <w:tc>
          <w:tcPr>
            <w:tcW w:w="1588" w:type="pct"/>
            <w:noWrap/>
            <w:vAlign w:val="center"/>
          </w:tcPr>
          <w:p w14:paraId="11576F11">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t>Leymuschinensis</w:t>
            </w:r>
            <w:r>
              <w:rPr>
                <w:rFonts w:hint="eastAsia" w:cs="Times New Roman"/>
                <w:b w:val="0"/>
                <w:bCs w:val="0"/>
                <w:i/>
                <w:iCs/>
                <w:color w:val="000000" w:themeColor="text1"/>
                <w:sz w:val="21"/>
                <w:szCs w:val="21"/>
                <w:lang w:eastAsia="zh-CN" w:bidi="ar"/>
                <w14:textFill>
                  <w14:solidFill>
                    <w14:schemeClr w14:val="tx1"/>
                  </w14:solidFill>
                </w14:textFill>
              </w:rPr>
              <w:t>（</w:t>
            </w:r>
            <w:r>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t>Trin.</w:t>
            </w:r>
            <w:r>
              <w:rPr>
                <w:rFonts w:hint="eastAsia" w:cs="Times New Roman"/>
                <w:b w:val="0"/>
                <w:bCs w:val="0"/>
                <w:i/>
                <w:iCs/>
                <w:color w:val="000000" w:themeColor="text1"/>
                <w:sz w:val="21"/>
                <w:szCs w:val="21"/>
                <w:lang w:eastAsia="zh-CN" w:bidi="ar"/>
                <w14:textFill>
                  <w14:solidFill>
                    <w14:schemeClr w14:val="tx1"/>
                  </w14:solidFill>
                </w14:textFill>
              </w:rPr>
              <w:t>）</w:t>
            </w:r>
            <w:r>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t>Tzvel.</w:t>
            </w:r>
          </w:p>
        </w:tc>
      </w:tr>
      <w:tr w14:paraId="6FAF65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482" w:type="pct"/>
            <w:noWrap/>
            <w:vAlign w:val="center"/>
          </w:tcPr>
          <w:p w14:paraId="61003AF1">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outlineLvl w:val="9"/>
              <w:rPr>
                <w:rFonts w:hint="default" w:ascii="Times New Roman" w:hAnsi="Times New Roman" w:eastAsia="宋体" w:cs="Times New Roman"/>
                <w:b w:val="0"/>
                <w:bCs w:val="0"/>
                <w:color w:val="000000" w:themeColor="text1"/>
                <w:kern w:val="0"/>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lang w:bidi="ar"/>
                <w14:textFill>
                  <w14:solidFill>
                    <w14:schemeClr w14:val="tx1"/>
                  </w14:solidFill>
                </w14:textFill>
              </w:rPr>
              <w:t>菊科</w:t>
            </w:r>
          </w:p>
        </w:tc>
        <w:tc>
          <w:tcPr>
            <w:tcW w:w="887" w:type="pct"/>
            <w:noWrap/>
            <w:vAlign w:val="center"/>
          </w:tcPr>
          <w:p w14:paraId="20E9F78B">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t>Compositae</w:t>
            </w:r>
          </w:p>
        </w:tc>
        <w:tc>
          <w:tcPr>
            <w:tcW w:w="585" w:type="pct"/>
            <w:noWrap/>
            <w:vAlign w:val="center"/>
          </w:tcPr>
          <w:p w14:paraId="0B2F40BF">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color w:val="000000" w:themeColor="text1"/>
                <w:sz w:val="21"/>
                <w:szCs w:val="21"/>
                <w:lang w:bidi="ar"/>
                <w14:textFill>
                  <w14:solidFill>
                    <w14:schemeClr w14:val="tx1"/>
                  </w14:solidFill>
                </w14:textFill>
              </w:rPr>
              <w:t>线叶菊属</w:t>
            </w:r>
          </w:p>
        </w:tc>
        <w:tc>
          <w:tcPr>
            <w:tcW w:w="848" w:type="pct"/>
            <w:noWrap/>
            <w:vAlign w:val="center"/>
          </w:tcPr>
          <w:p w14:paraId="1967F4DC">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t>Filifolium</w:t>
            </w:r>
          </w:p>
        </w:tc>
        <w:tc>
          <w:tcPr>
            <w:tcW w:w="607" w:type="pct"/>
            <w:noWrap/>
            <w:vAlign w:val="center"/>
          </w:tcPr>
          <w:p w14:paraId="065DFA57">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outlineLvl w:val="9"/>
              <w:rPr>
                <w:rFonts w:hint="default" w:ascii="Times New Roman" w:hAnsi="Times New Roman" w:eastAsia="宋体" w:cs="Times New Roman"/>
                <w:b w:val="0"/>
                <w:bCs w:val="0"/>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color w:val="000000" w:themeColor="text1"/>
                <w:sz w:val="21"/>
                <w:szCs w:val="21"/>
                <w:lang w:bidi="ar"/>
                <w14:textFill>
                  <w14:solidFill>
                    <w14:schemeClr w14:val="tx1"/>
                  </w14:solidFill>
                </w14:textFill>
              </w:rPr>
              <w:t>线叶菊</w:t>
            </w:r>
          </w:p>
        </w:tc>
        <w:tc>
          <w:tcPr>
            <w:tcW w:w="1588" w:type="pct"/>
            <w:noWrap/>
            <w:vAlign w:val="center"/>
          </w:tcPr>
          <w:p w14:paraId="796CD1B9">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outlineLvl w:val="9"/>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i/>
                <w:iCs/>
                <w:color w:val="000000" w:themeColor="text1"/>
                <w:kern w:val="0"/>
                <w:sz w:val="21"/>
                <w:szCs w:val="21"/>
                <w14:textFill>
                  <w14:solidFill>
                    <w14:schemeClr w14:val="tx1"/>
                  </w14:solidFill>
                </w14:textFill>
              </w:rPr>
              <w:t>Filifoliumsibiricum</w:t>
            </w:r>
            <w:r>
              <w:rPr>
                <w:rFonts w:hint="eastAsia" w:cs="Times New Roman"/>
                <w:b w:val="0"/>
                <w:bCs w:val="0"/>
                <w:i/>
                <w:iCs/>
                <w:color w:val="000000" w:themeColor="text1"/>
                <w:kern w:val="0"/>
                <w:sz w:val="21"/>
                <w:szCs w:val="21"/>
                <w:lang w:eastAsia="zh-CN"/>
                <w14:textFill>
                  <w14:solidFill>
                    <w14:schemeClr w14:val="tx1"/>
                  </w14:solidFill>
                </w14:textFill>
              </w:rPr>
              <w:t>（</w:t>
            </w:r>
            <w:r>
              <w:rPr>
                <w:rFonts w:hint="default" w:ascii="Times New Roman" w:hAnsi="Times New Roman" w:eastAsia="宋体" w:cs="Times New Roman"/>
                <w:b w:val="0"/>
                <w:bCs w:val="0"/>
                <w:i/>
                <w:iCs/>
                <w:color w:val="000000" w:themeColor="text1"/>
                <w:kern w:val="0"/>
                <w:sz w:val="21"/>
                <w:szCs w:val="21"/>
                <w14:textFill>
                  <w14:solidFill>
                    <w14:schemeClr w14:val="tx1"/>
                  </w14:solidFill>
                </w14:textFill>
              </w:rPr>
              <w:t>L.</w:t>
            </w:r>
            <w:r>
              <w:rPr>
                <w:rFonts w:hint="eastAsia" w:cs="Times New Roman"/>
                <w:b w:val="0"/>
                <w:bCs w:val="0"/>
                <w:i/>
                <w:iCs/>
                <w:color w:val="000000" w:themeColor="text1"/>
                <w:kern w:val="0"/>
                <w:sz w:val="21"/>
                <w:szCs w:val="21"/>
                <w:lang w:eastAsia="zh-CN"/>
                <w14:textFill>
                  <w14:solidFill>
                    <w14:schemeClr w14:val="tx1"/>
                  </w14:solidFill>
                </w14:textFill>
              </w:rPr>
              <w:t>）</w:t>
            </w:r>
            <w:r>
              <w:rPr>
                <w:rFonts w:hint="default" w:ascii="Times New Roman" w:hAnsi="Times New Roman" w:eastAsia="宋体" w:cs="Times New Roman"/>
                <w:b w:val="0"/>
                <w:bCs w:val="0"/>
                <w:i/>
                <w:iCs/>
                <w:color w:val="000000" w:themeColor="text1"/>
                <w:kern w:val="0"/>
                <w:sz w:val="21"/>
                <w:szCs w:val="21"/>
                <w14:textFill>
                  <w14:solidFill>
                    <w14:schemeClr w14:val="tx1"/>
                  </w14:solidFill>
                </w14:textFill>
              </w:rPr>
              <w:t>Kitam.</w:t>
            </w:r>
          </w:p>
        </w:tc>
      </w:tr>
      <w:tr w14:paraId="413D79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482" w:type="pct"/>
            <w:noWrap/>
            <w:vAlign w:val="center"/>
          </w:tcPr>
          <w:p w14:paraId="237665F5">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outlineLvl w:val="9"/>
              <w:rPr>
                <w:rFonts w:hint="default" w:ascii="Times New Roman" w:hAnsi="Times New Roman" w:eastAsia="宋体" w:cs="Times New Roman"/>
                <w:b w:val="0"/>
                <w:bCs w:val="0"/>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color w:val="000000" w:themeColor="text1"/>
                <w:sz w:val="21"/>
                <w:szCs w:val="21"/>
                <w:lang w:bidi="ar"/>
                <w14:textFill>
                  <w14:solidFill>
                    <w14:schemeClr w14:val="tx1"/>
                  </w14:solidFill>
                </w14:textFill>
              </w:rPr>
              <w:t>菊科</w:t>
            </w:r>
          </w:p>
        </w:tc>
        <w:tc>
          <w:tcPr>
            <w:tcW w:w="887" w:type="pct"/>
            <w:noWrap/>
            <w:vAlign w:val="center"/>
          </w:tcPr>
          <w:p w14:paraId="785FBE3E">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t>Compositae</w:t>
            </w:r>
          </w:p>
        </w:tc>
        <w:tc>
          <w:tcPr>
            <w:tcW w:w="585" w:type="pct"/>
            <w:noWrap/>
            <w:vAlign w:val="center"/>
          </w:tcPr>
          <w:p w14:paraId="048F792B">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color w:val="000000" w:themeColor="text1"/>
                <w:sz w:val="21"/>
                <w:szCs w:val="21"/>
                <w:lang w:bidi="ar"/>
                <w14:textFill>
                  <w14:solidFill>
                    <w14:schemeClr w14:val="tx1"/>
                  </w14:solidFill>
                </w14:textFill>
              </w:rPr>
              <w:t>蒿属</w:t>
            </w:r>
          </w:p>
        </w:tc>
        <w:tc>
          <w:tcPr>
            <w:tcW w:w="848" w:type="pct"/>
            <w:noWrap/>
            <w:vAlign w:val="center"/>
          </w:tcPr>
          <w:p w14:paraId="5ECA87C1">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t>Artemisia</w:t>
            </w:r>
          </w:p>
        </w:tc>
        <w:tc>
          <w:tcPr>
            <w:tcW w:w="607" w:type="pct"/>
            <w:noWrap/>
            <w:vAlign w:val="center"/>
          </w:tcPr>
          <w:p w14:paraId="2A674CA4">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outlineLvl w:val="9"/>
              <w:rPr>
                <w:rFonts w:hint="default" w:ascii="Times New Roman" w:hAnsi="Times New Roman" w:eastAsia="宋体" w:cs="Times New Roman"/>
                <w:b w:val="0"/>
                <w:bCs w:val="0"/>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color w:val="000000" w:themeColor="text1"/>
                <w:sz w:val="21"/>
                <w:szCs w:val="21"/>
                <w:lang w:bidi="ar"/>
                <w14:textFill>
                  <w14:solidFill>
                    <w14:schemeClr w14:val="tx1"/>
                  </w14:solidFill>
                </w14:textFill>
              </w:rPr>
              <w:t>冷蒿</w:t>
            </w:r>
          </w:p>
        </w:tc>
        <w:tc>
          <w:tcPr>
            <w:tcW w:w="1588" w:type="pct"/>
            <w:noWrap/>
            <w:vAlign w:val="center"/>
          </w:tcPr>
          <w:p w14:paraId="1EA07246">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outlineLvl w:val="9"/>
              <w:rPr>
                <w:rFonts w:hint="default" w:ascii="Times New Roman" w:hAnsi="Times New Roman" w:eastAsia="宋体" w:cs="Times New Roman"/>
                <w:b w:val="0"/>
                <w:bCs w:val="0"/>
                <w:i/>
                <w:iCs/>
                <w:color w:val="000000" w:themeColor="text1"/>
                <w:kern w:val="0"/>
                <w:sz w:val="21"/>
                <w:szCs w:val="21"/>
                <w14:textFill>
                  <w14:solidFill>
                    <w14:schemeClr w14:val="tx1"/>
                  </w14:solidFill>
                </w14:textFill>
              </w:rPr>
            </w:pPr>
            <w:r>
              <w:rPr>
                <w:rFonts w:hint="default" w:ascii="Times New Roman" w:hAnsi="Times New Roman" w:eastAsia="宋体" w:cs="Times New Roman"/>
                <w:b w:val="0"/>
                <w:bCs w:val="0"/>
                <w:i/>
                <w:iCs/>
                <w:color w:val="000000" w:themeColor="text1"/>
                <w:kern w:val="0"/>
                <w:sz w:val="21"/>
                <w:szCs w:val="21"/>
                <w14:textFill>
                  <w14:solidFill>
                    <w14:schemeClr w14:val="tx1"/>
                  </w14:solidFill>
                </w14:textFill>
              </w:rPr>
              <w:t>ArtemisiafrigidaWilld.</w:t>
            </w:r>
          </w:p>
        </w:tc>
      </w:tr>
      <w:tr w14:paraId="56B017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482" w:type="pct"/>
            <w:noWrap/>
            <w:vAlign w:val="center"/>
          </w:tcPr>
          <w:p w14:paraId="0445BA6C">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outlineLvl w:val="9"/>
              <w:rPr>
                <w:rFonts w:hint="default" w:ascii="Times New Roman" w:hAnsi="Times New Roman" w:eastAsia="宋体" w:cs="Times New Roman"/>
                <w:b w:val="0"/>
                <w:bCs w:val="0"/>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color w:val="000000" w:themeColor="text1"/>
                <w:sz w:val="21"/>
                <w:szCs w:val="21"/>
                <w:lang w:bidi="ar"/>
                <w14:textFill>
                  <w14:solidFill>
                    <w14:schemeClr w14:val="tx1"/>
                  </w14:solidFill>
                </w14:textFill>
              </w:rPr>
              <w:t>菊科</w:t>
            </w:r>
          </w:p>
        </w:tc>
        <w:tc>
          <w:tcPr>
            <w:tcW w:w="887" w:type="pct"/>
            <w:noWrap/>
            <w:vAlign w:val="center"/>
          </w:tcPr>
          <w:p w14:paraId="0241C4E9">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t>Compositae</w:t>
            </w:r>
          </w:p>
        </w:tc>
        <w:tc>
          <w:tcPr>
            <w:tcW w:w="585" w:type="pct"/>
            <w:noWrap/>
            <w:vAlign w:val="center"/>
          </w:tcPr>
          <w:p w14:paraId="3CFBCDDF">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color w:val="000000" w:themeColor="text1"/>
                <w:sz w:val="21"/>
                <w:szCs w:val="21"/>
                <w:lang w:bidi="ar"/>
                <w14:textFill>
                  <w14:solidFill>
                    <w14:schemeClr w14:val="tx1"/>
                  </w14:solidFill>
                </w14:textFill>
              </w:rPr>
              <w:t>狗娃花属</w:t>
            </w:r>
          </w:p>
        </w:tc>
        <w:tc>
          <w:tcPr>
            <w:tcW w:w="848" w:type="pct"/>
            <w:noWrap/>
            <w:vAlign w:val="center"/>
          </w:tcPr>
          <w:p w14:paraId="46CE5336">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t>Heteropappus</w:t>
            </w:r>
          </w:p>
        </w:tc>
        <w:tc>
          <w:tcPr>
            <w:tcW w:w="607" w:type="pct"/>
            <w:noWrap/>
            <w:vAlign w:val="center"/>
          </w:tcPr>
          <w:p w14:paraId="0722EBED">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outlineLvl w:val="9"/>
              <w:rPr>
                <w:rFonts w:hint="default" w:ascii="Times New Roman" w:hAnsi="Times New Roman" w:eastAsia="宋体" w:cs="Times New Roman"/>
                <w:b w:val="0"/>
                <w:bCs w:val="0"/>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color w:val="000000" w:themeColor="text1"/>
                <w:sz w:val="21"/>
                <w:szCs w:val="21"/>
                <w:lang w:bidi="ar"/>
                <w14:textFill>
                  <w14:solidFill>
                    <w14:schemeClr w14:val="tx1"/>
                  </w14:solidFill>
                </w14:textFill>
              </w:rPr>
              <w:t>阿尔泰狗娃花</w:t>
            </w:r>
          </w:p>
        </w:tc>
        <w:tc>
          <w:tcPr>
            <w:tcW w:w="1588" w:type="pct"/>
            <w:noWrap/>
            <w:vAlign w:val="center"/>
          </w:tcPr>
          <w:p w14:paraId="74D72B37">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outlineLvl w:val="9"/>
              <w:rPr>
                <w:rFonts w:hint="default" w:ascii="Times New Roman" w:hAnsi="Times New Roman" w:eastAsia="宋体" w:cs="Times New Roman"/>
                <w:b w:val="0"/>
                <w:bCs w:val="0"/>
                <w:i/>
                <w:iCs/>
                <w:color w:val="000000" w:themeColor="text1"/>
                <w:kern w:val="0"/>
                <w:sz w:val="21"/>
                <w:szCs w:val="21"/>
                <w14:textFill>
                  <w14:solidFill>
                    <w14:schemeClr w14:val="tx1"/>
                  </w14:solidFill>
                </w14:textFill>
              </w:rPr>
            </w:pPr>
            <w:r>
              <w:rPr>
                <w:rFonts w:hint="default" w:ascii="Times New Roman" w:hAnsi="Times New Roman" w:eastAsia="宋体" w:cs="Times New Roman"/>
                <w:b w:val="0"/>
                <w:bCs w:val="0"/>
                <w:i/>
                <w:iCs/>
                <w:color w:val="000000" w:themeColor="text1"/>
                <w:kern w:val="0"/>
                <w:sz w:val="21"/>
                <w:szCs w:val="21"/>
                <w14:textFill>
                  <w14:solidFill>
                    <w14:schemeClr w14:val="tx1"/>
                  </w14:solidFill>
                </w14:textFill>
              </w:rPr>
              <w:t>Heteropappusaltaicus（Willd.）Novopokr.</w:t>
            </w:r>
          </w:p>
        </w:tc>
      </w:tr>
      <w:tr w14:paraId="1979F2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482" w:type="pct"/>
            <w:noWrap/>
            <w:vAlign w:val="center"/>
          </w:tcPr>
          <w:p w14:paraId="5FF6CC9F">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outlineLvl w:val="9"/>
              <w:rPr>
                <w:rFonts w:hint="default" w:ascii="Times New Roman" w:hAnsi="Times New Roman" w:eastAsia="宋体" w:cs="Times New Roman"/>
                <w:b w:val="0"/>
                <w:bCs w:val="0"/>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color w:val="000000" w:themeColor="text1"/>
                <w:sz w:val="21"/>
                <w:szCs w:val="21"/>
                <w:lang w:bidi="ar"/>
                <w14:textFill>
                  <w14:solidFill>
                    <w14:schemeClr w14:val="tx1"/>
                  </w14:solidFill>
                </w14:textFill>
              </w:rPr>
              <w:t>菊科</w:t>
            </w:r>
          </w:p>
        </w:tc>
        <w:tc>
          <w:tcPr>
            <w:tcW w:w="887" w:type="pct"/>
            <w:noWrap/>
            <w:vAlign w:val="center"/>
          </w:tcPr>
          <w:p w14:paraId="6129D49C">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t>Compositae</w:t>
            </w:r>
          </w:p>
        </w:tc>
        <w:tc>
          <w:tcPr>
            <w:tcW w:w="585" w:type="pct"/>
            <w:noWrap/>
            <w:vAlign w:val="center"/>
          </w:tcPr>
          <w:p w14:paraId="3FD64713">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color w:val="000000" w:themeColor="text1"/>
                <w:sz w:val="21"/>
                <w:szCs w:val="21"/>
                <w:lang w:bidi="ar"/>
                <w14:textFill>
                  <w14:solidFill>
                    <w14:schemeClr w14:val="tx1"/>
                  </w14:solidFill>
                </w14:textFill>
              </w:rPr>
              <w:t>蒲公英属</w:t>
            </w:r>
          </w:p>
        </w:tc>
        <w:tc>
          <w:tcPr>
            <w:tcW w:w="848" w:type="pct"/>
            <w:noWrap/>
            <w:vAlign w:val="center"/>
          </w:tcPr>
          <w:p w14:paraId="64A37B9C">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t>Taraxacum</w:t>
            </w:r>
          </w:p>
        </w:tc>
        <w:tc>
          <w:tcPr>
            <w:tcW w:w="607" w:type="pct"/>
            <w:noWrap/>
            <w:vAlign w:val="center"/>
          </w:tcPr>
          <w:p w14:paraId="57485B4C">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outlineLvl w:val="9"/>
              <w:rPr>
                <w:rFonts w:hint="default" w:ascii="Times New Roman" w:hAnsi="Times New Roman" w:eastAsia="宋体" w:cs="Times New Roman"/>
                <w:b w:val="0"/>
                <w:bCs w:val="0"/>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color w:val="000000" w:themeColor="text1"/>
                <w:sz w:val="21"/>
                <w:szCs w:val="21"/>
                <w:lang w:bidi="ar"/>
                <w14:textFill>
                  <w14:solidFill>
                    <w14:schemeClr w14:val="tx1"/>
                  </w14:solidFill>
                </w14:textFill>
              </w:rPr>
              <w:t>蒲公英</w:t>
            </w:r>
          </w:p>
        </w:tc>
        <w:tc>
          <w:tcPr>
            <w:tcW w:w="1588" w:type="pct"/>
            <w:noWrap/>
            <w:vAlign w:val="center"/>
          </w:tcPr>
          <w:p w14:paraId="77FA3FF8">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outlineLvl w:val="9"/>
              <w:rPr>
                <w:rFonts w:hint="default" w:ascii="Times New Roman" w:hAnsi="Times New Roman" w:eastAsia="宋体" w:cs="Times New Roman"/>
                <w:b w:val="0"/>
                <w:bCs w:val="0"/>
                <w:i/>
                <w:iCs/>
                <w:color w:val="000000" w:themeColor="text1"/>
                <w:kern w:val="0"/>
                <w:sz w:val="21"/>
                <w:szCs w:val="21"/>
                <w14:textFill>
                  <w14:solidFill>
                    <w14:schemeClr w14:val="tx1"/>
                  </w14:solidFill>
                </w14:textFill>
              </w:rPr>
            </w:pPr>
            <w:r>
              <w:rPr>
                <w:rFonts w:hint="default" w:ascii="Times New Roman" w:hAnsi="Times New Roman" w:eastAsia="宋体" w:cs="Times New Roman"/>
                <w:b w:val="0"/>
                <w:bCs w:val="0"/>
                <w:i/>
                <w:iCs/>
                <w:color w:val="000000" w:themeColor="text1"/>
                <w:kern w:val="0"/>
                <w:sz w:val="21"/>
                <w:szCs w:val="21"/>
                <w14:textFill>
                  <w14:solidFill>
                    <w14:schemeClr w14:val="tx1"/>
                  </w14:solidFill>
                </w14:textFill>
              </w:rPr>
              <w:t>TaraxacummongolicumHand.-Mazz.</w:t>
            </w:r>
          </w:p>
        </w:tc>
      </w:tr>
      <w:tr w14:paraId="1B8C9F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2" w:hRule="atLeast"/>
        </w:trPr>
        <w:tc>
          <w:tcPr>
            <w:tcW w:w="482" w:type="pct"/>
            <w:noWrap/>
            <w:vAlign w:val="center"/>
          </w:tcPr>
          <w:p w14:paraId="7BAF8B93">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color w:val="000000" w:themeColor="text1"/>
                <w:sz w:val="21"/>
                <w:szCs w:val="21"/>
                <w:lang w:bidi="ar"/>
                <w14:textFill>
                  <w14:solidFill>
                    <w14:schemeClr w14:val="tx1"/>
                  </w14:solidFill>
                </w14:textFill>
              </w:rPr>
              <w:t>禾本科</w:t>
            </w:r>
          </w:p>
        </w:tc>
        <w:tc>
          <w:tcPr>
            <w:tcW w:w="887" w:type="pct"/>
            <w:noWrap/>
            <w:vAlign w:val="center"/>
          </w:tcPr>
          <w:p w14:paraId="4A5147B4">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t>Gramineae</w:t>
            </w:r>
          </w:p>
        </w:tc>
        <w:tc>
          <w:tcPr>
            <w:tcW w:w="585" w:type="pct"/>
            <w:noWrap/>
            <w:vAlign w:val="center"/>
          </w:tcPr>
          <w:p w14:paraId="51379F28">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color w:val="000000" w:themeColor="text1"/>
                <w:sz w:val="21"/>
                <w:szCs w:val="21"/>
                <w:lang w:bidi="ar"/>
                <w14:textFill>
                  <w14:solidFill>
                    <w14:schemeClr w14:val="tx1"/>
                  </w14:solidFill>
                </w14:textFill>
              </w:rPr>
              <w:t>隐子草属</w:t>
            </w:r>
          </w:p>
        </w:tc>
        <w:tc>
          <w:tcPr>
            <w:tcW w:w="848" w:type="pct"/>
            <w:noWrap/>
            <w:vAlign w:val="center"/>
          </w:tcPr>
          <w:p w14:paraId="58AC3E02">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t>Cleistogenes</w:t>
            </w:r>
          </w:p>
        </w:tc>
        <w:tc>
          <w:tcPr>
            <w:tcW w:w="607" w:type="pct"/>
            <w:noWrap/>
            <w:vAlign w:val="center"/>
          </w:tcPr>
          <w:p w14:paraId="5FFE2EAA">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outlineLvl w:val="9"/>
              <w:rPr>
                <w:rFonts w:hint="default" w:ascii="Times New Roman" w:hAnsi="Times New Roman" w:eastAsia="宋体" w:cs="Times New Roman"/>
                <w:b w:val="0"/>
                <w:bCs w:val="0"/>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color w:val="000000" w:themeColor="text1"/>
                <w:sz w:val="21"/>
                <w:szCs w:val="21"/>
                <w:lang w:bidi="ar"/>
                <w14:textFill>
                  <w14:solidFill>
                    <w14:schemeClr w14:val="tx1"/>
                  </w14:solidFill>
                </w14:textFill>
              </w:rPr>
              <w:t>无芒隐子草</w:t>
            </w:r>
          </w:p>
        </w:tc>
        <w:tc>
          <w:tcPr>
            <w:tcW w:w="1588" w:type="pct"/>
            <w:noWrap/>
            <w:vAlign w:val="center"/>
          </w:tcPr>
          <w:p w14:paraId="68C56933">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outlineLvl w:val="9"/>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i/>
                <w:iCs/>
                <w:color w:val="000000" w:themeColor="text1"/>
                <w:kern w:val="0"/>
                <w:sz w:val="21"/>
                <w:szCs w:val="21"/>
                <w14:textFill>
                  <w14:solidFill>
                    <w14:schemeClr w14:val="tx1"/>
                  </w14:solidFill>
                </w14:textFill>
              </w:rPr>
              <w:t>Cleistogenessongorica（Roshev.）Ohwi</w:t>
            </w:r>
          </w:p>
        </w:tc>
      </w:tr>
      <w:tr w14:paraId="588577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482" w:type="pct"/>
            <w:noWrap/>
            <w:vAlign w:val="center"/>
          </w:tcPr>
          <w:p w14:paraId="1A54116F">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color w:val="000000" w:themeColor="text1"/>
                <w:sz w:val="21"/>
                <w:szCs w:val="21"/>
                <w:lang w:bidi="ar"/>
                <w14:textFill>
                  <w14:solidFill>
                    <w14:schemeClr w14:val="tx1"/>
                  </w14:solidFill>
                </w14:textFill>
              </w:rPr>
              <w:t>藜科</w:t>
            </w:r>
          </w:p>
        </w:tc>
        <w:tc>
          <w:tcPr>
            <w:tcW w:w="887" w:type="pct"/>
            <w:noWrap/>
            <w:vAlign w:val="center"/>
          </w:tcPr>
          <w:p w14:paraId="27EA2781">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t>Chenopodiaceae</w:t>
            </w:r>
          </w:p>
        </w:tc>
        <w:tc>
          <w:tcPr>
            <w:tcW w:w="585" w:type="pct"/>
            <w:noWrap/>
            <w:vAlign w:val="center"/>
          </w:tcPr>
          <w:p w14:paraId="154922FC">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color w:val="000000" w:themeColor="text1"/>
                <w:sz w:val="21"/>
                <w:szCs w:val="21"/>
                <w:lang w:bidi="ar"/>
                <w14:textFill>
                  <w14:solidFill>
                    <w14:schemeClr w14:val="tx1"/>
                  </w14:solidFill>
                </w14:textFill>
              </w:rPr>
              <w:t>沙蓬属</w:t>
            </w:r>
          </w:p>
        </w:tc>
        <w:tc>
          <w:tcPr>
            <w:tcW w:w="848" w:type="pct"/>
            <w:noWrap/>
            <w:vAlign w:val="center"/>
          </w:tcPr>
          <w:p w14:paraId="1124EF28">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t>Agriophyllum</w:t>
            </w:r>
          </w:p>
        </w:tc>
        <w:tc>
          <w:tcPr>
            <w:tcW w:w="607" w:type="pct"/>
            <w:noWrap/>
            <w:vAlign w:val="center"/>
          </w:tcPr>
          <w:p w14:paraId="66EE36F2">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color w:val="000000" w:themeColor="text1"/>
                <w:sz w:val="21"/>
                <w:szCs w:val="21"/>
                <w:lang w:bidi="ar"/>
                <w14:textFill>
                  <w14:solidFill>
                    <w14:schemeClr w14:val="tx1"/>
                  </w14:solidFill>
                </w14:textFill>
              </w:rPr>
              <w:t>沙米</w:t>
            </w:r>
          </w:p>
        </w:tc>
        <w:tc>
          <w:tcPr>
            <w:tcW w:w="1588" w:type="pct"/>
            <w:noWrap/>
            <w:vAlign w:val="center"/>
          </w:tcPr>
          <w:p w14:paraId="26A96371">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t>Agriophyllumsquarrosum</w:t>
            </w:r>
            <w:r>
              <w:rPr>
                <w:rFonts w:hint="eastAsia" w:cs="Times New Roman"/>
                <w:b w:val="0"/>
                <w:bCs w:val="0"/>
                <w:i/>
                <w:iCs/>
                <w:color w:val="000000" w:themeColor="text1"/>
                <w:sz w:val="21"/>
                <w:szCs w:val="21"/>
                <w:lang w:eastAsia="zh-CN" w:bidi="ar"/>
                <w14:textFill>
                  <w14:solidFill>
                    <w14:schemeClr w14:val="tx1"/>
                  </w14:solidFill>
                </w14:textFill>
              </w:rPr>
              <w:t>（</w:t>
            </w:r>
            <w:r>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t>Linn.</w:t>
            </w:r>
            <w:r>
              <w:rPr>
                <w:rFonts w:hint="eastAsia" w:cs="Times New Roman"/>
                <w:b w:val="0"/>
                <w:bCs w:val="0"/>
                <w:i/>
                <w:iCs/>
                <w:color w:val="000000" w:themeColor="text1"/>
                <w:sz w:val="21"/>
                <w:szCs w:val="21"/>
                <w:lang w:eastAsia="zh-CN" w:bidi="ar"/>
                <w14:textFill>
                  <w14:solidFill>
                    <w14:schemeClr w14:val="tx1"/>
                  </w14:solidFill>
                </w14:textFill>
              </w:rPr>
              <w:t>）</w:t>
            </w:r>
            <w:r>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t>Moq.</w:t>
            </w:r>
          </w:p>
        </w:tc>
      </w:tr>
      <w:tr w14:paraId="7B3CF4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482" w:type="pct"/>
            <w:noWrap/>
            <w:vAlign w:val="center"/>
          </w:tcPr>
          <w:p w14:paraId="31C38970">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outlineLvl w:val="9"/>
              <w:rPr>
                <w:rFonts w:hint="default" w:ascii="Times New Roman" w:hAnsi="Times New Roman" w:eastAsia="宋体" w:cs="Times New Roman"/>
                <w:b w:val="0"/>
                <w:bCs w:val="0"/>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color w:val="000000" w:themeColor="text1"/>
                <w:sz w:val="21"/>
                <w:szCs w:val="21"/>
                <w:lang w:bidi="ar"/>
                <w14:textFill>
                  <w14:solidFill>
                    <w14:schemeClr w14:val="tx1"/>
                  </w14:solidFill>
                </w14:textFill>
              </w:rPr>
              <w:t>藜科</w:t>
            </w:r>
          </w:p>
        </w:tc>
        <w:tc>
          <w:tcPr>
            <w:tcW w:w="887" w:type="pct"/>
            <w:noWrap/>
            <w:vAlign w:val="center"/>
          </w:tcPr>
          <w:p w14:paraId="47FFF97F">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t>Chenopodiaceae</w:t>
            </w:r>
          </w:p>
        </w:tc>
        <w:tc>
          <w:tcPr>
            <w:tcW w:w="585" w:type="pct"/>
            <w:noWrap/>
            <w:vAlign w:val="center"/>
          </w:tcPr>
          <w:p w14:paraId="78CFAFD1">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color w:val="000000" w:themeColor="text1"/>
                <w:sz w:val="21"/>
                <w:szCs w:val="21"/>
                <w:lang w:bidi="ar"/>
                <w14:textFill>
                  <w14:solidFill>
                    <w14:schemeClr w14:val="tx1"/>
                  </w14:solidFill>
                </w14:textFill>
              </w:rPr>
              <w:t>猪毛菜属</w:t>
            </w:r>
          </w:p>
        </w:tc>
        <w:tc>
          <w:tcPr>
            <w:tcW w:w="848" w:type="pct"/>
            <w:noWrap/>
            <w:vAlign w:val="center"/>
          </w:tcPr>
          <w:p w14:paraId="528E252A">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i/>
                <w:iCs/>
                <w:color w:val="000000" w:themeColor="text1"/>
                <w:sz w:val="21"/>
                <w:szCs w:val="21"/>
                <w:lang w:eastAsia="zh-CN" w:bidi="ar"/>
                <w14:textFill>
                  <w14:solidFill>
                    <w14:schemeClr w14:val="tx1"/>
                  </w14:solidFill>
                </w14:textFill>
              </w:rPr>
            </w:pPr>
            <w:r>
              <w:rPr>
                <w:rFonts w:hint="default" w:ascii="Times New Roman" w:hAnsi="Times New Roman" w:eastAsia="宋体" w:cs="Times New Roman"/>
                <w:b w:val="0"/>
                <w:bCs w:val="0"/>
                <w:i/>
                <w:iCs/>
                <w:color w:val="000000" w:themeColor="text1"/>
                <w:kern w:val="0"/>
                <w:sz w:val="21"/>
                <w:szCs w:val="21"/>
                <w14:textFill>
                  <w14:solidFill>
                    <w14:schemeClr w14:val="tx1"/>
                  </w14:solidFill>
                </w14:textFill>
              </w:rPr>
              <w:t>Salsola</w:t>
            </w:r>
          </w:p>
        </w:tc>
        <w:tc>
          <w:tcPr>
            <w:tcW w:w="607" w:type="pct"/>
            <w:noWrap/>
            <w:vAlign w:val="center"/>
          </w:tcPr>
          <w:p w14:paraId="6567A354">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outlineLvl w:val="9"/>
              <w:rPr>
                <w:rFonts w:hint="default" w:ascii="Times New Roman" w:hAnsi="Times New Roman" w:eastAsia="宋体" w:cs="Times New Roman"/>
                <w:b w:val="0"/>
                <w:bCs w:val="0"/>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color w:val="000000" w:themeColor="text1"/>
                <w:sz w:val="21"/>
                <w:szCs w:val="21"/>
                <w:lang w:bidi="ar"/>
                <w14:textFill>
                  <w14:solidFill>
                    <w14:schemeClr w14:val="tx1"/>
                  </w14:solidFill>
                </w14:textFill>
              </w:rPr>
              <w:t>猪毛菜</w:t>
            </w:r>
          </w:p>
        </w:tc>
        <w:tc>
          <w:tcPr>
            <w:tcW w:w="1588" w:type="pct"/>
            <w:noWrap/>
            <w:vAlign w:val="center"/>
          </w:tcPr>
          <w:p w14:paraId="2E73A1B4">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outlineLvl w:val="9"/>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i/>
                <w:iCs/>
                <w:color w:val="000000" w:themeColor="text1"/>
                <w:kern w:val="0"/>
                <w:sz w:val="21"/>
                <w:szCs w:val="21"/>
                <w14:textFill>
                  <w14:solidFill>
                    <w14:schemeClr w14:val="tx1"/>
                  </w14:solidFill>
                </w14:textFill>
              </w:rPr>
              <w:t>SalsolacollinaPall.</w:t>
            </w:r>
          </w:p>
        </w:tc>
      </w:tr>
      <w:tr w14:paraId="0A5B88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482" w:type="pct"/>
            <w:noWrap/>
            <w:vAlign w:val="center"/>
          </w:tcPr>
          <w:p w14:paraId="702BC706">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color w:val="000000" w:themeColor="text1"/>
                <w:sz w:val="21"/>
                <w:szCs w:val="21"/>
                <w:lang w:eastAsia="zh-CN" w:bidi="ar"/>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fldChar w:fldCharType="begin"/>
            </w:r>
            <w:r>
              <w:rPr>
                <w:rFonts w:hint="default" w:ascii="Times New Roman" w:hAnsi="Times New Roman" w:eastAsia="宋体" w:cs="Times New Roman"/>
                <w:b w:val="0"/>
                <w:bCs w:val="0"/>
                <w:color w:val="000000" w:themeColor="text1"/>
                <w:sz w:val="21"/>
                <w:szCs w:val="21"/>
                <w14:textFill>
                  <w14:solidFill>
                    <w14:schemeClr w14:val="tx1"/>
                  </w14:solidFill>
                </w14:textFill>
              </w:rPr>
              <w:instrText xml:space="preserve"> HYPERLINK "http://www.iplant.cn/frps2019/frps/Polygonaceae" </w:instrText>
            </w:r>
            <w:r>
              <w:rPr>
                <w:rFonts w:hint="default" w:ascii="Times New Roman" w:hAnsi="Times New Roman" w:eastAsia="宋体" w:cs="Times New Roman"/>
                <w:b w:val="0"/>
                <w:bCs w:val="0"/>
                <w:color w:val="000000" w:themeColor="text1"/>
                <w:sz w:val="21"/>
                <w:szCs w:val="21"/>
                <w14:textFill>
                  <w14:solidFill>
                    <w14:schemeClr w14:val="tx1"/>
                  </w14:solidFill>
                </w14:textFill>
              </w:rPr>
              <w:fldChar w:fldCharType="separate"/>
            </w:r>
            <w:r>
              <w:rPr>
                <w:rFonts w:hint="default" w:ascii="Times New Roman" w:hAnsi="Times New Roman" w:eastAsia="宋体" w:cs="Times New Roman"/>
                <w:b w:val="0"/>
                <w:bCs w:val="0"/>
                <w:color w:val="000000" w:themeColor="text1"/>
                <w:sz w:val="21"/>
                <w:szCs w:val="21"/>
                <w:lang w:bidi="ar"/>
                <w14:textFill>
                  <w14:solidFill>
                    <w14:schemeClr w14:val="tx1"/>
                  </w14:solidFill>
                </w14:textFill>
              </w:rPr>
              <w:t>蓼科</w:t>
            </w:r>
            <w:r>
              <w:rPr>
                <w:rFonts w:hint="default" w:ascii="Times New Roman" w:hAnsi="Times New Roman" w:eastAsia="宋体" w:cs="Times New Roman"/>
                <w:b w:val="0"/>
                <w:bCs w:val="0"/>
                <w:color w:val="000000" w:themeColor="text1"/>
                <w:sz w:val="21"/>
                <w:szCs w:val="21"/>
                <w:lang w:bidi="ar"/>
                <w14:textFill>
                  <w14:solidFill>
                    <w14:schemeClr w14:val="tx1"/>
                  </w14:solidFill>
                </w14:textFill>
              </w:rPr>
              <w:fldChar w:fldCharType="end"/>
            </w:r>
          </w:p>
        </w:tc>
        <w:tc>
          <w:tcPr>
            <w:tcW w:w="887" w:type="pct"/>
            <w:noWrap/>
            <w:vAlign w:val="center"/>
          </w:tcPr>
          <w:p w14:paraId="25E6C577">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t>Polygonaceae</w:t>
            </w:r>
          </w:p>
        </w:tc>
        <w:tc>
          <w:tcPr>
            <w:tcW w:w="585" w:type="pct"/>
            <w:noWrap/>
            <w:vAlign w:val="center"/>
          </w:tcPr>
          <w:p w14:paraId="72AE075B">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fldChar w:fldCharType="begin"/>
            </w:r>
            <w:r>
              <w:rPr>
                <w:rFonts w:hint="default" w:ascii="Times New Roman" w:hAnsi="Times New Roman" w:eastAsia="宋体" w:cs="Times New Roman"/>
                <w:b w:val="0"/>
                <w:bCs w:val="0"/>
                <w:color w:val="000000" w:themeColor="text1"/>
                <w:sz w:val="21"/>
                <w:szCs w:val="21"/>
                <w14:textFill>
                  <w14:solidFill>
                    <w14:schemeClr w14:val="tx1"/>
                  </w14:solidFill>
                </w14:textFill>
              </w:rPr>
              <w:instrText xml:space="preserve"> HYPERLINK "http://www.iplant.cn/frps2019/frps/Polygonum" </w:instrText>
            </w:r>
            <w:r>
              <w:rPr>
                <w:rFonts w:hint="default" w:ascii="Times New Roman" w:hAnsi="Times New Roman" w:eastAsia="宋体" w:cs="Times New Roman"/>
                <w:b w:val="0"/>
                <w:bCs w:val="0"/>
                <w:color w:val="000000" w:themeColor="text1"/>
                <w:sz w:val="21"/>
                <w:szCs w:val="21"/>
                <w14:textFill>
                  <w14:solidFill>
                    <w14:schemeClr w14:val="tx1"/>
                  </w14:solidFill>
                </w14:textFill>
              </w:rPr>
              <w:fldChar w:fldCharType="separate"/>
            </w:r>
            <w:r>
              <w:rPr>
                <w:rFonts w:hint="default" w:ascii="Times New Roman" w:hAnsi="Times New Roman" w:eastAsia="宋体" w:cs="Times New Roman"/>
                <w:b w:val="0"/>
                <w:bCs w:val="0"/>
                <w:color w:val="000000" w:themeColor="text1"/>
                <w:sz w:val="21"/>
                <w:szCs w:val="21"/>
                <w:lang w:bidi="ar"/>
                <w14:textFill>
                  <w14:solidFill>
                    <w14:schemeClr w14:val="tx1"/>
                  </w14:solidFill>
                </w14:textFill>
              </w:rPr>
              <w:t>蓼属</w:t>
            </w:r>
            <w:r>
              <w:rPr>
                <w:rFonts w:hint="default" w:ascii="Times New Roman" w:hAnsi="Times New Roman" w:eastAsia="宋体" w:cs="Times New Roman"/>
                <w:b w:val="0"/>
                <w:bCs w:val="0"/>
                <w:color w:val="000000" w:themeColor="text1"/>
                <w:sz w:val="21"/>
                <w:szCs w:val="21"/>
                <w:lang w:bidi="ar"/>
                <w14:textFill>
                  <w14:solidFill>
                    <w14:schemeClr w14:val="tx1"/>
                  </w14:solidFill>
                </w14:textFill>
              </w:rPr>
              <w:fldChar w:fldCharType="end"/>
            </w:r>
          </w:p>
        </w:tc>
        <w:tc>
          <w:tcPr>
            <w:tcW w:w="848" w:type="pct"/>
            <w:noWrap/>
            <w:vAlign w:val="center"/>
          </w:tcPr>
          <w:p w14:paraId="3876FF2C">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t>Polygonum</w:t>
            </w:r>
          </w:p>
        </w:tc>
        <w:tc>
          <w:tcPr>
            <w:tcW w:w="607" w:type="pct"/>
            <w:noWrap/>
          </w:tcPr>
          <w:p w14:paraId="4C3CA456">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color w:val="000000" w:themeColor="text1"/>
                <w:sz w:val="21"/>
                <w:szCs w:val="21"/>
                <w:lang w:bidi="ar"/>
                <w14:textFill>
                  <w14:solidFill>
                    <w14:schemeClr w14:val="tx1"/>
                  </w14:solidFill>
                </w14:textFill>
              </w:rPr>
              <w:t>叉分蓼</w:t>
            </w:r>
          </w:p>
        </w:tc>
        <w:tc>
          <w:tcPr>
            <w:tcW w:w="1588" w:type="pct"/>
            <w:noWrap/>
            <w:vAlign w:val="center"/>
          </w:tcPr>
          <w:p w14:paraId="4B448D4F">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t>PolygonumdivaricatumL.</w:t>
            </w:r>
          </w:p>
        </w:tc>
      </w:tr>
      <w:tr w14:paraId="62A8FA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482" w:type="pct"/>
            <w:noWrap/>
            <w:vAlign w:val="center"/>
          </w:tcPr>
          <w:p w14:paraId="60FA933F">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color w:val="000000" w:themeColor="text1"/>
                <w:sz w:val="21"/>
                <w:szCs w:val="21"/>
                <w:lang w:eastAsia="zh-CN" w:bidi="ar"/>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fldChar w:fldCharType="begin"/>
            </w:r>
            <w:r>
              <w:rPr>
                <w:rFonts w:hint="default" w:ascii="Times New Roman" w:hAnsi="Times New Roman" w:eastAsia="宋体" w:cs="Times New Roman"/>
                <w:b w:val="0"/>
                <w:bCs w:val="0"/>
                <w:color w:val="000000" w:themeColor="text1"/>
                <w:sz w:val="21"/>
                <w:szCs w:val="21"/>
                <w14:textFill>
                  <w14:solidFill>
                    <w14:schemeClr w14:val="tx1"/>
                  </w14:solidFill>
                </w14:textFill>
              </w:rPr>
              <w:instrText xml:space="preserve"> HYPERLINK "http://www.iplant.cn/frps2019/frps/Chenopodiaceae" </w:instrText>
            </w:r>
            <w:r>
              <w:rPr>
                <w:rFonts w:hint="default" w:ascii="Times New Roman" w:hAnsi="Times New Roman" w:eastAsia="宋体" w:cs="Times New Roman"/>
                <w:b w:val="0"/>
                <w:bCs w:val="0"/>
                <w:color w:val="000000" w:themeColor="text1"/>
                <w:sz w:val="21"/>
                <w:szCs w:val="21"/>
                <w14:textFill>
                  <w14:solidFill>
                    <w14:schemeClr w14:val="tx1"/>
                  </w14:solidFill>
                </w14:textFill>
              </w:rPr>
              <w:fldChar w:fldCharType="separate"/>
            </w:r>
            <w:r>
              <w:rPr>
                <w:rFonts w:hint="default" w:ascii="Times New Roman" w:hAnsi="Times New Roman" w:eastAsia="宋体" w:cs="Times New Roman"/>
                <w:b w:val="0"/>
                <w:bCs w:val="0"/>
                <w:color w:val="000000" w:themeColor="text1"/>
                <w:sz w:val="21"/>
                <w:szCs w:val="21"/>
                <w:lang w:bidi="ar"/>
                <w14:textFill>
                  <w14:solidFill>
                    <w14:schemeClr w14:val="tx1"/>
                  </w14:solidFill>
                </w14:textFill>
              </w:rPr>
              <w:t>藜科</w:t>
            </w:r>
            <w:r>
              <w:rPr>
                <w:rFonts w:hint="default" w:ascii="Times New Roman" w:hAnsi="Times New Roman" w:eastAsia="宋体" w:cs="Times New Roman"/>
                <w:b w:val="0"/>
                <w:bCs w:val="0"/>
                <w:color w:val="000000" w:themeColor="text1"/>
                <w:sz w:val="21"/>
                <w:szCs w:val="21"/>
                <w:lang w:bidi="ar"/>
                <w14:textFill>
                  <w14:solidFill>
                    <w14:schemeClr w14:val="tx1"/>
                  </w14:solidFill>
                </w14:textFill>
              </w:rPr>
              <w:fldChar w:fldCharType="end"/>
            </w:r>
          </w:p>
        </w:tc>
        <w:tc>
          <w:tcPr>
            <w:tcW w:w="887" w:type="pct"/>
            <w:noWrap/>
            <w:vAlign w:val="center"/>
          </w:tcPr>
          <w:p w14:paraId="2FFF18FA">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t>Chenopodiaceae</w:t>
            </w:r>
          </w:p>
        </w:tc>
        <w:tc>
          <w:tcPr>
            <w:tcW w:w="585" w:type="pct"/>
            <w:noWrap/>
            <w:vAlign w:val="center"/>
          </w:tcPr>
          <w:p w14:paraId="2FDDDFA6">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fldChar w:fldCharType="begin"/>
            </w:r>
            <w:r>
              <w:rPr>
                <w:rFonts w:hint="default" w:ascii="Times New Roman" w:hAnsi="Times New Roman" w:eastAsia="宋体" w:cs="Times New Roman"/>
                <w:b w:val="0"/>
                <w:bCs w:val="0"/>
                <w:color w:val="000000" w:themeColor="text1"/>
                <w:sz w:val="21"/>
                <w:szCs w:val="21"/>
                <w14:textFill>
                  <w14:solidFill>
                    <w14:schemeClr w14:val="tx1"/>
                  </w14:solidFill>
                </w14:textFill>
              </w:rPr>
              <w:instrText xml:space="preserve"> HYPERLINK "http://www.iplant.cn/frps2019/frps/Salsola" </w:instrText>
            </w:r>
            <w:r>
              <w:rPr>
                <w:rFonts w:hint="default" w:ascii="Times New Roman" w:hAnsi="Times New Roman" w:eastAsia="宋体" w:cs="Times New Roman"/>
                <w:b w:val="0"/>
                <w:bCs w:val="0"/>
                <w:color w:val="000000" w:themeColor="text1"/>
                <w:sz w:val="21"/>
                <w:szCs w:val="21"/>
                <w14:textFill>
                  <w14:solidFill>
                    <w14:schemeClr w14:val="tx1"/>
                  </w14:solidFill>
                </w14:textFill>
              </w:rPr>
              <w:fldChar w:fldCharType="separate"/>
            </w:r>
            <w:r>
              <w:rPr>
                <w:rFonts w:hint="default" w:ascii="Times New Roman" w:hAnsi="Times New Roman" w:eastAsia="宋体" w:cs="Times New Roman"/>
                <w:b w:val="0"/>
                <w:bCs w:val="0"/>
                <w:color w:val="000000" w:themeColor="text1"/>
                <w:sz w:val="21"/>
                <w:szCs w:val="21"/>
                <w:lang w:bidi="ar"/>
                <w14:textFill>
                  <w14:solidFill>
                    <w14:schemeClr w14:val="tx1"/>
                  </w14:solidFill>
                </w14:textFill>
              </w:rPr>
              <w:t>猪毛菜属</w:t>
            </w:r>
            <w:r>
              <w:rPr>
                <w:rFonts w:hint="default" w:ascii="Times New Roman" w:hAnsi="Times New Roman" w:eastAsia="宋体" w:cs="Times New Roman"/>
                <w:b w:val="0"/>
                <w:bCs w:val="0"/>
                <w:color w:val="000000" w:themeColor="text1"/>
                <w:sz w:val="21"/>
                <w:szCs w:val="21"/>
                <w:lang w:bidi="ar"/>
                <w14:textFill>
                  <w14:solidFill>
                    <w14:schemeClr w14:val="tx1"/>
                  </w14:solidFill>
                </w14:textFill>
              </w:rPr>
              <w:fldChar w:fldCharType="end"/>
            </w:r>
          </w:p>
        </w:tc>
        <w:tc>
          <w:tcPr>
            <w:tcW w:w="848" w:type="pct"/>
            <w:noWrap/>
            <w:vAlign w:val="center"/>
          </w:tcPr>
          <w:p w14:paraId="4E9C7CBF">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t>Salsola</w:t>
            </w:r>
          </w:p>
        </w:tc>
        <w:tc>
          <w:tcPr>
            <w:tcW w:w="607" w:type="pct"/>
            <w:noWrap/>
          </w:tcPr>
          <w:p w14:paraId="2C6719B2">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color w:val="000000" w:themeColor="text1"/>
                <w:sz w:val="21"/>
                <w:szCs w:val="21"/>
                <w:lang w:bidi="ar"/>
                <w14:textFill>
                  <w14:solidFill>
                    <w14:schemeClr w14:val="tx1"/>
                  </w14:solidFill>
                </w14:textFill>
              </w:rPr>
              <w:t>猪毛菜</w:t>
            </w:r>
          </w:p>
        </w:tc>
        <w:tc>
          <w:tcPr>
            <w:tcW w:w="1588" w:type="pct"/>
            <w:noWrap/>
            <w:vAlign w:val="center"/>
          </w:tcPr>
          <w:p w14:paraId="4CFA2D35">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t>SalsolacollinaPall.</w:t>
            </w:r>
          </w:p>
        </w:tc>
      </w:tr>
      <w:tr w14:paraId="71B1E4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482" w:type="pct"/>
            <w:noWrap/>
            <w:vAlign w:val="center"/>
          </w:tcPr>
          <w:p w14:paraId="6A63F778">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color w:val="000000" w:themeColor="text1"/>
                <w:sz w:val="21"/>
                <w:szCs w:val="21"/>
                <w:lang w:eastAsia="zh-CN" w:bidi="ar"/>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fldChar w:fldCharType="begin"/>
            </w:r>
            <w:r>
              <w:rPr>
                <w:rFonts w:hint="default" w:ascii="Times New Roman" w:hAnsi="Times New Roman" w:eastAsia="宋体" w:cs="Times New Roman"/>
                <w:b w:val="0"/>
                <w:bCs w:val="0"/>
                <w:color w:val="000000" w:themeColor="text1"/>
                <w:sz w:val="21"/>
                <w:szCs w:val="21"/>
                <w14:textFill>
                  <w14:solidFill>
                    <w14:schemeClr w14:val="tx1"/>
                  </w14:solidFill>
                </w14:textFill>
              </w:rPr>
              <w:instrText xml:space="preserve"> HYPERLINK "http://www.iplant.cn/frps2019/frps/Chenopodiaceae" </w:instrText>
            </w:r>
            <w:r>
              <w:rPr>
                <w:rFonts w:hint="default" w:ascii="Times New Roman" w:hAnsi="Times New Roman" w:eastAsia="宋体" w:cs="Times New Roman"/>
                <w:b w:val="0"/>
                <w:bCs w:val="0"/>
                <w:color w:val="000000" w:themeColor="text1"/>
                <w:sz w:val="21"/>
                <w:szCs w:val="21"/>
                <w14:textFill>
                  <w14:solidFill>
                    <w14:schemeClr w14:val="tx1"/>
                  </w14:solidFill>
                </w14:textFill>
              </w:rPr>
              <w:fldChar w:fldCharType="separate"/>
            </w:r>
            <w:r>
              <w:rPr>
                <w:rFonts w:hint="default" w:ascii="Times New Roman" w:hAnsi="Times New Roman" w:eastAsia="宋体" w:cs="Times New Roman"/>
                <w:b w:val="0"/>
                <w:bCs w:val="0"/>
                <w:color w:val="000000" w:themeColor="text1"/>
                <w:sz w:val="21"/>
                <w:szCs w:val="21"/>
                <w:lang w:bidi="ar"/>
                <w14:textFill>
                  <w14:solidFill>
                    <w14:schemeClr w14:val="tx1"/>
                  </w14:solidFill>
                </w14:textFill>
              </w:rPr>
              <w:t>藜科</w:t>
            </w:r>
            <w:r>
              <w:rPr>
                <w:rFonts w:hint="default" w:ascii="Times New Roman" w:hAnsi="Times New Roman" w:eastAsia="宋体" w:cs="Times New Roman"/>
                <w:b w:val="0"/>
                <w:bCs w:val="0"/>
                <w:color w:val="000000" w:themeColor="text1"/>
                <w:sz w:val="21"/>
                <w:szCs w:val="21"/>
                <w:lang w:bidi="ar"/>
                <w14:textFill>
                  <w14:solidFill>
                    <w14:schemeClr w14:val="tx1"/>
                  </w14:solidFill>
                </w14:textFill>
              </w:rPr>
              <w:fldChar w:fldCharType="end"/>
            </w:r>
          </w:p>
        </w:tc>
        <w:tc>
          <w:tcPr>
            <w:tcW w:w="887" w:type="pct"/>
            <w:noWrap/>
            <w:vAlign w:val="center"/>
          </w:tcPr>
          <w:p w14:paraId="50E504E1">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t>Chenopodiaceae</w:t>
            </w:r>
          </w:p>
        </w:tc>
        <w:tc>
          <w:tcPr>
            <w:tcW w:w="585" w:type="pct"/>
            <w:noWrap/>
            <w:vAlign w:val="center"/>
          </w:tcPr>
          <w:p w14:paraId="538ECF38">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fldChar w:fldCharType="begin"/>
            </w:r>
            <w:r>
              <w:rPr>
                <w:rFonts w:hint="default" w:ascii="Times New Roman" w:hAnsi="Times New Roman" w:eastAsia="宋体" w:cs="Times New Roman"/>
                <w:b w:val="0"/>
                <w:bCs w:val="0"/>
                <w:color w:val="000000" w:themeColor="text1"/>
                <w:sz w:val="21"/>
                <w:szCs w:val="21"/>
                <w14:textFill>
                  <w14:solidFill>
                    <w14:schemeClr w14:val="tx1"/>
                  </w14:solidFill>
                </w14:textFill>
              </w:rPr>
              <w:instrText xml:space="preserve"> HYPERLINK "http://www.iplant.cn/frps2019/frps/Chenopodium" </w:instrText>
            </w:r>
            <w:r>
              <w:rPr>
                <w:rFonts w:hint="default" w:ascii="Times New Roman" w:hAnsi="Times New Roman" w:eastAsia="宋体" w:cs="Times New Roman"/>
                <w:b w:val="0"/>
                <w:bCs w:val="0"/>
                <w:color w:val="000000" w:themeColor="text1"/>
                <w:sz w:val="21"/>
                <w:szCs w:val="21"/>
                <w14:textFill>
                  <w14:solidFill>
                    <w14:schemeClr w14:val="tx1"/>
                  </w14:solidFill>
                </w14:textFill>
              </w:rPr>
              <w:fldChar w:fldCharType="separate"/>
            </w:r>
            <w:r>
              <w:rPr>
                <w:rFonts w:hint="default" w:ascii="Times New Roman" w:hAnsi="Times New Roman" w:eastAsia="宋体" w:cs="Times New Roman"/>
                <w:b w:val="0"/>
                <w:bCs w:val="0"/>
                <w:color w:val="000000" w:themeColor="text1"/>
                <w:sz w:val="21"/>
                <w:szCs w:val="21"/>
                <w:lang w:bidi="ar"/>
                <w14:textFill>
                  <w14:solidFill>
                    <w14:schemeClr w14:val="tx1"/>
                  </w14:solidFill>
                </w14:textFill>
              </w:rPr>
              <w:t>藜属</w:t>
            </w:r>
            <w:r>
              <w:rPr>
                <w:rFonts w:hint="default" w:ascii="Times New Roman" w:hAnsi="Times New Roman" w:eastAsia="宋体" w:cs="Times New Roman"/>
                <w:b w:val="0"/>
                <w:bCs w:val="0"/>
                <w:color w:val="000000" w:themeColor="text1"/>
                <w:sz w:val="21"/>
                <w:szCs w:val="21"/>
                <w:lang w:bidi="ar"/>
                <w14:textFill>
                  <w14:solidFill>
                    <w14:schemeClr w14:val="tx1"/>
                  </w14:solidFill>
                </w14:textFill>
              </w:rPr>
              <w:fldChar w:fldCharType="end"/>
            </w:r>
          </w:p>
        </w:tc>
        <w:tc>
          <w:tcPr>
            <w:tcW w:w="848" w:type="pct"/>
            <w:noWrap/>
            <w:vAlign w:val="center"/>
          </w:tcPr>
          <w:p w14:paraId="1A35B260">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t>Chenopodium</w:t>
            </w:r>
          </w:p>
        </w:tc>
        <w:tc>
          <w:tcPr>
            <w:tcW w:w="607" w:type="pct"/>
            <w:noWrap/>
          </w:tcPr>
          <w:p w14:paraId="5E00A37E">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color w:val="000000" w:themeColor="text1"/>
                <w:sz w:val="21"/>
                <w:szCs w:val="21"/>
                <w:lang w:bidi="ar"/>
                <w14:textFill>
                  <w14:solidFill>
                    <w14:schemeClr w14:val="tx1"/>
                  </w14:solidFill>
                </w14:textFill>
              </w:rPr>
              <w:t>尖头叶藜</w:t>
            </w:r>
          </w:p>
        </w:tc>
        <w:tc>
          <w:tcPr>
            <w:tcW w:w="1588" w:type="pct"/>
            <w:noWrap/>
            <w:vAlign w:val="center"/>
          </w:tcPr>
          <w:p w14:paraId="0E6A85E7">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t>ChenopodiumacuminatumWill.</w:t>
            </w:r>
          </w:p>
        </w:tc>
      </w:tr>
      <w:tr w14:paraId="6E6E34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482" w:type="pct"/>
            <w:noWrap/>
            <w:vAlign w:val="center"/>
          </w:tcPr>
          <w:p w14:paraId="55508388">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fldChar w:fldCharType="begin"/>
            </w:r>
            <w:r>
              <w:rPr>
                <w:rFonts w:hint="default" w:ascii="Times New Roman" w:hAnsi="Times New Roman" w:eastAsia="宋体" w:cs="Times New Roman"/>
                <w:b w:val="0"/>
                <w:bCs w:val="0"/>
                <w:color w:val="000000" w:themeColor="text1"/>
                <w:sz w:val="21"/>
                <w:szCs w:val="21"/>
                <w14:textFill>
                  <w14:solidFill>
                    <w14:schemeClr w14:val="tx1"/>
                  </w14:solidFill>
                </w14:textFill>
              </w:rPr>
              <w:instrText xml:space="preserve"> HYPERLINK "http://www.iplant.cn/frps2019/frps/Gramineae" </w:instrText>
            </w:r>
            <w:r>
              <w:rPr>
                <w:rFonts w:hint="default" w:ascii="Times New Roman" w:hAnsi="Times New Roman" w:eastAsia="宋体" w:cs="Times New Roman"/>
                <w:b w:val="0"/>
                <w:bCs w:val="0"/>
                <w:color w:val="000000" w:themeColor="text1"/>
                <w:sz w:val="21"/>
                <w:szCs w:val="21"/>
                <w14:textFill>
                  <w14:solidFill>
                    <w14:schemeClr w14:val="tx1"/>
                  </w14:solidFill>
                </w14:textFill>
              </w:rPr>
              <w:fldChar w:fldCharType="separate"/>
            </w:r>
            <w:r>
              <w:rPr>
                <w:rFonts w:hint="default" w:ascii="Times New Roman" w:hAnsi="Times New Roman" w:eastAsia="宋体" w:cs="Times New Roman"/>
                <w:b w:val="0"/>
                <w:bCs w:val="0"/>
                <w:color w:val="000000" w:themeColor="text1"/>
                <w:sz w:val="21"/>
                <w:szCs w:val="21"/>
                <w:lang w:bidi="ar"/>
                <w14:textFill>
                  <w14:solidFill>
                    <w14:schemeClr w14:val="tx1"/>
                  </w14:solidFill>
                </w14:textFill>
              </w:rPr>
              <w:t>禾本科</w:t>
            </w:r>
            <w:r>
              <w:rPr>
                <w:rFonts w:hint="default" w:ascii="Times New Roman" w:hAnsi="Times New Roman" w:eastAsia="宋体" w:cs="Times New Roman"/>
                <w:b w:val="0"/>
                <w:bCs w:val="0"/>
                <w:color w:val="000000" w:themeColor="text1"/>
                <w:sz w:val="21"/>
                <w:szCs w:val="21"/>
                <w:lang w:bidi="ar"/>
                <w14:textFill>
                  <w14:solidFill>
                    <w14:schemeClr w14:val="tx1"/>
                  </w14:solidFill>
                </w14:textFill>
              </w:rPr>
              <w:fldChar w:fldCharType="end"/>
            </w:r>
          </w:p>
        </w:tc>
        <w:tc>
          <w:tcPr>
            <w:tcW w:w="887" w:type="pct"/>
            <w:noWrap/>
            <w:vAlign w:val="center"/>
          </w:tcPr>
          <w:p w14:paraId="12C4F940">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t>Gramineae</w:t>
            </w:r>
          </w:p>
        </w:tc>
        <w:tc>
          <w:tcPr>
            <w:tcW w:w="585" w:type="pct"/>
            <w:noWrap/>
            <w:vAlign w:val="center"/>
          </w:tcPr>
          <w:p w14:paraId="03CF06C3">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fldChar w:fldCharType="begin"/>
            </w:r>
            <w:r>
              <w:rPr>
                <w:rFonts w:hint="default" w:ascii="Times New Roman" w:hAnsi="Times New Roman" w:eastAsia="宋体" w:cs="Times New Roman"/>
                <w:b w:val="0"/>
                <w:bCs w:val="0"/>
                <w:color w:val="000000" w:themeColor="text1"/>
                <w:sz w:val="21"/>
                <w:szCs w:val="21"/>
                <w14:textFill>
                  <w14:solidFill>
                    <w14:schemeClr w14:val="tx1"/>
                  </w14:solidFill>
                </w14:textFill>
              </w:rPr>
              <w:instrText xml:space="preserve"> HYPERLINK "http://www.iplant.cn/frps2019/frps/Chloris" </w:instrText>
            </w:r>
            <w:r>
              <w:rPr>
                <w:rFonts w:hint="default" w:ascii="Times New Roman" w:hAnsi="Times New Roman" w:eastAsia="宋体" w:cs="Times New Roman"/>
                <w:b w:val="0"/>
                <w:bCs w:val="0"/>
                <w:color w:val="000000" w:themeColor="text1"/>
                <w:sz w:val="21"/>
                <w:szCs w:val="21"/>
                <w14:textFill>
                  <w14:solidFill>
                    <w14:schemeClr w14:val="tx1"/>
                  </w14:solidFill>
                </w14:textFill>
              </w:rPr>
              <w:fldChar w:fldCharType="separate"/>
            </w:r>
            <w:r>
              <w:rPr>
                <w:rFonts w:hint="default" w:ascii="Times New Roman" w:hAnsi="Times New Roman" w:eastAsia="宋体" w:cs="Times New Roman"/>
                <w:b w:val="0"/>
                <w:bCs w:val="0"/>
                <w:color w:val="000000" w:themeColor="text1"/>
                <w:sz w:val="21"/>
                <w:szCs w:val="21"/>
                <w:lang w:bidi="ar"/>
                <w14:textFill>
                  <w14:solidFill>
                    <w14:schemeClr w14:val="tx1"/>
                  </w14:solidFill>
                </w14:textFill>
              </w:rPr>
              <w:t>虎尾草属</w:t>
            </w:r>
            <w:r>
              <w:rPr>
                <w:rFonts w:hint="default" w:ascii="Times New Roman" w:hAnsi="Times New Roman" w:eastAsia="宋体" w:cs="Times New Roman"/>
                <w:b w:val="0"/>
                <w:bCs w:val="0"/>
                <w:color w:val="000000" w:themeColor="text1"/>
                <w:sz w:val="21"/>
                <w:szCs w:val="21"/>
                <w:lang w:bidi="ar"/>
                <w14:textFill>
                  <w14:solidFill>
                    <w14:schemeClr w14:val="tx1"/>
                  </w14:solidFill>
                </w14:textFill>
              </w:rPr>
              <w:fldChar w:fldCharType="end"/>
            </w:r>
          </w:p>
        </w:tc>
        <w:tc>
          <w:tcPr>
            <w:tcW w:w="848" w:type="pct"/>
            <w:noWrap/>
            <w:vAlign w:val="center"/>
          </w:tcPr>
          <w:p w14:paraId="5CDF06ED">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t>Chloris</w:t>
            </w:r>
          </w:p>
        </w:tc>
        <w:tc>
          <w:tcPr>
            <w:tcW w:w="607" w:type="pct"/>
            <w:noWrap/>
          </w:tcPr>
          <w:p w14:paraId="10B434D5">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color w:val="000000" w:themeColor="text1"/>
                <w:sz w:val="21"/>
                <w:szCs w:val="21"/>
                <w:lang w:bidi="ar"/>
                <w14:textFill>
                  <w14:solidFill>
                    <w14:schemeClr w14:val="tx1"/>
                  </w14:solidFill>
                </w14:textFill>
              </w:rPr>
              <w:t>虎尾草</w:t>
            </w:r>
          </w:p>
        </w:tc>
        <w:tc>
          <w:tcPr>
            <w:tcW w:w="1588" w:type="pct"/>
            <w:noWrap/>
            <w:vAlign w:val="center"/>
          </w:tcPr>
          <w:p w14:paraId="3FEB9FFA">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t>ChlorisvirgataSw.</w:t>
            </w:r>
          </w:p>
        </w:tc>
      </w:tr>
      <w:tr w14:paraId="2E3A94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482" w:type="pct"/>
            <w:noWrap/>
            <w:vAlign w:val="center"/>
          </w:tcPr>
          <w:p w14:paraId="1EB89BBA">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color w:val="000000" w:themeColor="text1"/>
                <w:sz w:val="21"/>
                <w:szCs w:val="21"/>
                <w:lang w:bidi="ar"/>
                <w14:textFill>
                  <w14:solidFill>
                    <w14:schemeClr w14:val="tx1"/>
                  </w14:solidFill>
                </w14:textFill>
              </w:rPr>
              <w:t>毛茛科</w:t>
            </w:r>
          </w:p>
        </w:tc>
        <w:tc>
          <w:tcPr>
            <w:tcW w:w="887" w:type="pct"/>
            <w:noWrap/>
            <w:vAlign w:val="center"/>
          </w:tcPr>
          <w:p w14:paraId="51D41788">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t>Ranunculaceae</w:t>
            </w:r>
          </w:p>
        </w:tc>
        <w:tc>
          <w:tcPr>
            <w:tcW w:w="585" w:type="pct"/>
            <w:noWrap/>
            <w:vAlign w:val="center"/>
          </w:tcPr>
          <w:p w14:paraId="4FDF68D4">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color w:val="000000" w:themeColor="text1"/>
                <w:sz w:val="21"/>
                <w:szCs w:val="21"/>
                <w:lang w:bidi="ar"/>
                <w14:textFill>
                  <w14:solidFill>
                    <w14:schemeClr w14:val="tx1"/>
                  </w14:solidFill>
                </w14:textFill>
              </w:rPr>
              <w:t>翠雀属</w:t>
            </w:r>
          </w:p>
        </w:tc>
        <w:tc>
          <w:tcPr>
            <w:tcW w:w="848" w:type="pct"/>
            <w:noWrap/>
            <w:vAlign w:val="center"/>
          </w:tcPr>
          <w:p w14:paraId="078EC16A">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i/>
                <w:iCs/>
                <w:color w:val="000000" w:themeColor="text1"/>
                <w:sz w:val="21"/>
                <w:szCs w:val="21"/>
                <w14:textFill>
                  <w14:solidFill>
                    <w14:schemeClr w14:val="tx1"/>
                  </w14:solidFill>
                </w14:textFill>
              </w:rPr>
              <w:fldChar w:fldCharType="begin"/>
            </w:r>
            <w:r>
              <w:rPr>
                <w:rFonts w:hint="default" w:ascii="Times New Roman" w:hAnsi="Times New Roman" w:eastAsia="宋体" w:cs="Times New Roman"/>
                <w:b w:val="0"/>
                <w:bCs w:val="0"/>
                <w:i/>
                <w:iCs/>
                <w:color w:val="000000" w:themeColor="text1"/>
                <w:sz w:val="21"/>
                <w:szCs w:val="21"/>
                <w14:textFill>
                  <w14:solidFill>
                    <w14:schemeClr w14:val="tx1"/>
                  </w14:solidFill>
                </w14:textFill>
              </w:rPr>
              <w:instrText xml:space="preserve"> HYPERLINK "https://www.iplant.cn/info/Delphinium" </w:instrText>
            </w:r>
            <w:r>
              <w:rPr>
                <w:rFonts w:hint="default" w:ascii="Times New Roman" w:hAnsi="Times New Roman" w:eastAsia="宋体" w:cs="Times New Roman"/>
                <w:b w:val="0"/>
                <w:bCs w:val="0"/>
                <w:i/>
                <w:iCs/>
                <w:color w:val="000000" w:themeColor="text1"/>
                <w:sz w:val="21"/>
                <w:szCs w:val="21"/>
                <w14:textFill>
                  <w14:solidFill>
                    <w14:schemeClr w14:val="tx1"/>
                  </w14:solidFill>
                </w14:textFill>
              </w:rPr>
              <w:fldChar w:fldCharType="separate"/>
            </w:r>
            <w:r>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t>Delphinium</w:t>
            </w:r>
            <w:r>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fldChar w:fldCharType="end"/>
            </w:r>
          </w:p>
        </w:tc>
        <w:tc>
          <w:tcPr>
            <w:tcW w:w="607" w:type="pct"/>
            <w:noWrap/>
          </w:tcPr>
          <w:p w14:paraId="53FA49EF">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color w:val="000000" w:themeColor="text1"/>
                <w:sz w:val="21"/>
                <w:szCs w:val="21"/>
                <w:lang w:bidi="ar"/>
                <w14:textFill>
                  <w14:solidFill>
                    <w14:schemeClr w14:val="tx1"/>
                  </w14:solidFill>
                </w14:textFill>
              </w:rPr>
              <w:t>翠雀</w:t>
            </w:r>
          </w:p>
        </w:tc>
        <w:tc>
          <w:tcPr>
            <w:tcW w:w="1588" w:type="pct"/>
            <w:noWrap/>
            <w:vAlign w:val="center"/>
          </w:tcPr>
          <w:p w14:paraId="77BE0C7D">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t>DelphiniumgrandiflorumL.</w:t>
            </w:r>
          </w:p>
        </w:tc>
      </w:tr>
      <w:tr w14:paraId="1FEB6A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482" w:type="pct"/>
            <w:noWrap/>
            <w:vAlign w:val="center"/>
          </w:tcPr>
          <w:p w14:paraId="075C12D3">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color w:val="000000" w:themeColor="text1"/>
                <w:sz w:val="21"/>
                <w:szCs w:val="21"/>
                <w:lang w:bidi="ar"/>
                <w14:textFill>
                  <w14:solidFill>
                    <w14:schemeClr w14:val="tx1"/>
                  </w14:solidFill>
                </w14:textFill>
              </w:rPr>
              <w:t>禾本科</w:t>
            </w:r>
          </w:p>
        </w:tc>
        <w:tc>
          <w:tcPr>
            <w:tcW w:w="887" w:type="pct"/>
            <w:noWrap/>
            <w:vAlign w:val="center"/>
          </w:tcPr>
          <w:p w14:paraId="1BB2307B">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fldChar w:fldCharType="begin"/>
            </w:r>
            <w:r>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instrText xml:space="preserve"> HYPERLINK "https://www.iplant.cn/info/Poaceae" </w:instrText>
            </w:r>
            <w:r>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fldChar w:fldCharType="separate"/>
            </w:r>
            <w:r>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t>Poaceae</w:t>
            </w:r>
            <w:r>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fldChar w:fldCharType="end"/>
            </w:r>
          </w:p>
        </w:tc>
        <w:tc>
          <w:tcPr>
            <w:tcW w:w="585" w:type="pct"/>
            <w:noWrap/>
            <w:vAlign w:val="center"/>
          </w:tcPr>
          <w:p w14:paraId="1F474B89">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color w:val="000000" w:themeColor="text1"/>
                <w:sz w:val="21"/>
                <w:szCs w:val="21"/>
                <w:lang w:bidi="ar"/>
                <w14:textFill>
                  <w14:solidFill>
                    <w14:schemeClr w14:val="tx1"/>
                  </w14:solidFill>
                </w14:textFill>
              </w:rPr>
              <w:t>羽茅属</w:t>
            </w:r>
          </w:p>
        </w:tc>
        <w:tc>
          <w:tcPr>
            <w:tcW w:w="848" w:type="pct"/>
            <w:noWrap/>
            <w:vAlign w:val="center"/>
          </w:tcPr>
          <w:p w14:paraId="16C60092">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i/>
                <w:iCs/>
                <w:color w:val="000000" w:themeColor="text1"/>
                <w:sz w:val="21"/>
                <w:szCs w:val="21"/>
                <w14:textFill>
                  <w14:solidFill>
                    <w14:schemeClr w14:val="tx1"/>
                  </w14:solidFill>
                </w14:textFill>
              </w:rPr>
              <w:fldChar w:fldCharType="begin"/>
            </w:r>
            <w:r>
              <w:rPr>
                <w:rFonts w:hint="default" w:ascii="Times New Roman" w:hAnsi="Times New Roman" w:eastAsia="宋体" w:cs="Times New Roman"/>
                <w:b w:val="0"/>
                <w:bCs w:val="0"/>
                <w:i/>
                <w:iCs/>
                <w:color w:val="000000" w:themeColor="text1"/>
                <w:sz w:val="21"/>
                <w:szCs w:val="21"/>
                <w14:textFill>
                  <w14:solidFill>
                    <w14:schemeClr w14:val="tx1"/>
                  </w14:solidFill>
                </w14:textFill>
              </w:rPr>
              <w:instrText xml:space="preserve"> HYPERLINK "https://www.iplant.cn/info/Achnatherum" </w:instrText>
            </w:r>
            <w:r>
              <w:rPr>
                <w:rFonts w:hint="default" w:ascii="Times New Roman" w:hAnsi="Times New Roman" w:eastAsia="宋体" w:cs="Times New Roman"/>
                <w:b w:val="0"/>
                <w:bCs w:val="0"/>
                <w:i/>
                <w:iCs/>
                <w:color w:val="000000" w:themeColor="text1"/>
                <w:sz w:val="21"/>
                <w:szCs w:val="21"/>
                <w14:textFill>
                  <w14:solidFill>
                    <w14:schemeClr w14:val="tx1"/>
                  </w14:solidFill>
                </w14:textFill>
              </w:rPr>
              <w:fldChar w:fldCharType="separate"/>
            </w:r>
            <w:r>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t>Achnatherum</w:t>
            </w:r>
            <w:r>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fldChar w:fldCharType="end"/>
            </w:r>
          </w:p>
        </w:tc>
        <w:tc>
          <w:tcPr>
            <w:tcW w:w="607" w:type="pct"/>
            <w:noWrap/>
          </w:tcPr>
          <w:p w14:paraId="5BD1DC2B">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color w:val="000000" w:themeColor="text1"/>
                <w:sz w:val="21"/>
                <w:szCs w:val="21"/>
                <w:lang w:bidi="ar"/>
                <w14:textFill>
                  <w14:solidFill>
                    <w14:schemeClr w14:val="tx1"/>
                  </w14:solidFill>
                </w14:textFill>
              </w:rPr>
              <w:t>羽茅</w:t>
            </w:r>
          </w:p>
        </w:tc>
        <w:tc>
          <w:tcPr>
            <w:tcW w:w="1588" w:type="pct"/>
            <w:noWrap/>
            <w:vAlign w:val="center"/>
          </w:tcPr>
          <w:p w14:paraId="743E919C">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t>Achnatherumsibiricum</w:t>
            </w:r>
            <w:r>
              <w:rPr>
                <w:rFonts w:hint="eastAsia" w:cs="Times New Roman"/>
                <w:b w:val="0"/>
                <w:bCs w:val="0"/>
                <w:i/>
                <w:iCs/>
                <w:color w:val="000000" w:themeColor="text1"/>
                <w:sz w:val="21"/>
                <w:szCs w:val="21"/>
                <w:lang w:eastAsia="zh-CN" w:bidi="ar"/>
                <w14:textFill>
                  <w14:solidFill>
                    <w14:schemeClr w14:val="tx1"/>
                  </w14:solidFill>
                </w14:textFill>
              </w:rPr>
              <w:t>（</w:t>
            </w:r>
            <w:r>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t>L.</w:t>
            </w:r>
            <w:r>
              <w:rPr>
                <w:rFonts w:hint="eastAsia" w:cs="Times New Roman"/>
                <w:b w:val="0"/>
                <w:bCs w:val="0"/>
                <w:i/>
                <w:iCs/>
                <w:color w:val="000000" w:themeColor="text1"/>
                <w:sz w:val="21"/>
                <w:szCs w:val="21"/>
                <w:lang w:eastAsia="zh-CN" w:bidi="ar"/>
                <w14:textFill>
                  <w14:solidFill>
                    <w14:schemeClr w14:val="tx1"/>
                  </w14:solidFill>
                </w14:textFill>
              </w:rPr>
              <w:t>）</w:t>
            </w:r>
            <w:r>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t>Keng</w:t>
            </w:r>
          </w:p>
        </w:tc>
      </w:tr>
      <w:tr w14:paraId="6F7656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482" w:type="pct"/>
            <w:noWrap/>
            <w:vAlign w:val="center"/>
          </w:tcPr>
          <w:p w14:paraId="772E3863">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color w:val="000000" w:themeColor="text1"/>
                <w:sz w:val="21"/>
                <w:szCs w:val="21"/>
                <w:lang w:bidi="ar"/>
                <w14:textFill>
                  <w14:solidFill>
                    <w14:schemeClr w14:val="tx1"/>
                  </w14:solidFill>
                </w14:textFill>
              </w:rPr>
              <w:t>禾本科</w:t>
            </w:r>
          </w:p>
        </w:tc>
        <w:tc>
          <w:tcPr>
            <w:tcW w:w="887" w:type="pct"/>
            <w:noWrap/>
            <w:vAlign w:val="center"/>
          </w:tcPr>
          <w:p w14:paraId="7FF81FAB">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fldChar w:fldCharType="begin"/>
            </w:r>
            <w:r>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instrText xml:space="preserve"> HYPERLINK "https://www.iplant.cn/info/Poaceae" </w:instrText>
            </w:r>
            <w:r>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fldChar w:fldCharType="separate"/>
            </w:r>
            <w:r>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t>Poaceae</w:t>
            </w:r>
            <w:r>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fldChar w:fldCharType="end"/>
            </w:r>
          </w:p>
        </w:tc>
        <w:tc>
          <w:tcPr>
            <w:tcW w:w="585" w:type="pct"/>
            <w:noWrap/>
            <w:vAlign w:val="center"/>
          </w:tcPr>
          <w:p w14:paraId="2B5BA178">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color w:val="000000" w:themeColor="text1"/>
                <w:sz w:val="21"/>
                <w:szCs w:val="21"/>
                <w:lang w:bidi="ar"/>
                <w14:textFill>
                  <w14:solidFill>
                    <w14:schemeClr w14:val="tx1"/>
                  </w14:solidFill>
                </w14:textFill>
              </w:rPr>
              <w:t>狗尾草属</w:t>
            </w:r>
          </w:p>
        </w:tc>
        <w:tc>
          <w:tcPr>
            <w:tcW w:w="848" w:type="pct"/>
            <w:noWrap/>
            <w:vAlign w:val="center"/>
          </w:tcPr>
          <w:p w14:paraId="2A64281C">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i/>
                <w:iCs/>
                <w:color w:val="000000" w:themeColor="text1"/>
                <w:sz w:val="21"/>
                <w:szCs w:val="21"/>
                <w14:textFill>
                  <w14:solidFill>
                    <w14:schemeClr w14:val="tx1"/>
                  </w14:solidFill>
                </w14:textFill>
              </w:rPr>
              <w:fldChar w:fldCharType="begin"/>
            </w:r>
            <w:r>
              <w:rPr>
                <w:rFonts w:hint="default" w:ascii="Times New Roman" w:hAnsi="Times New Roman" w:eastAsia="宋体" w:cs="Times New Roman"/>
                <w:b w:val="0"/>
                <w:bCs w:val="0"/>
                <w:i/>
                <w:iCs/>
                <w:color w:val="000000" w:themeColor="text1"/>
                <w:sz w:val="21"/>
                <w:szCs w:val="21"/>
                <w14:textFill>
                  <w14:solidFill>
                    <w14:schemeClr w14:val="tx1"/>
                  </w14:solidFill>
                </w14:textFill>
              </w:rPr>
              <w:instrText xml:space="preserve"> HYPERLINK "https://www.iplant.cn/info/Setaria" </w:instrText>
            </w:r>
            <w:r>
              <w:rPr>
                <w:rFonts w:hint="default" w:ascii="Times New Roman" w:hAnsi="Times New Roman" w:eastAsia="宋体" w:cs="Times New Roman"/>
                <w:b w:val="0"/>
                <w:bCs w:val="0"/>
                <w:i/>
                <w:iCs/>
                <w:color w:val="000000" w:themeColor="text1"/>
                <w:sz w:val="21"/>
                <w:szCs w:val="21"/>
                <w14:textFill>
                  <w14:solidFill>
                    <w14:schemeClr w14:val="tx1"/>
                  </w14:solidFill>
                </w14:textFill>
              </w:rPr>
              <w:fldChar w:fldCharType="separate"/>
            </w:r>
            <w:r>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t>Setaria</w:t>
            </w:r>
            <w:r>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fldChar w:fldCharType="end"/>
            </w:r>
          </w:p>
        </w:tc>
        <w:tc>
          <w:tcPr>
            <w:tcW w:w="607" w:type="pct"/>
            <w:noWrap/>
          </w:tcPr>
          <w:p w14:paraId="12C407EF">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color w:val="000000" w:themeColor="text1"/>
                <w:sz w:val="21"/>
                <w:szCs w:val="21"/>
                <w:lang w:bidi="ar"/>
                <w14:textFill>
                  <w14:solidFill>
                    <w14:schemeClr w14:val="tx1"/>
                  </w14:solidFill>
                </w14:textFill>
              </w:rPr>
              <w:t>狗尾草</w:t>
            </w:r>
          </w:p>
        </w:tc>
        <w:tc>
          <w:tcPr>
            <w:tcW w:w="1588" w:type="pct"/>
            <w:noWrap/>
            <w:vAlign w:val="center"/>
          </w:tcPr>
          <w:p w14:paraId="564A1DE2">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t>Setariaviridis</w:t>
            </w:r>
            <w:r>
              <w:rPr>
                <w:rFonts w:hint="eastAsia" w:cs="Times New Roman"/>
                <w:b w:val="0"/>
                <w:bCs w:val="0"/>
                <w:i/>
                <w:iCs/>
                <w:color w:val="000000" w:themeColor="text1"/>
                <w:sz w:val="21"/>
                <w:szCs w:val="21"/>
                <w:lang w:eastAsia="zh-CN" w:bidi="ar"/>
                <w14:textFill>
                  <w14:solidFill>
                    <w14:schemeClr w14:val="tx1"/>
                  </w14:solidFill>
                </w14:textFill>
              </w:rPr>
              <w:t>（</w:t>
            </w:r>
            <w:r>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t>L.</w:t>
            </w:r>
            <w:r>
              <w:rPr>
                <w:rFonts w:hint="eastAsia" w:cs="Times New Roman"/>
                <w:b w:val="0"/>
                <w:bCs w:val="0"/>
                <w:i/>
                <w:iCs/>
                <w:color w:val="000000" w:themeColor="text1"/>
                <w:sz w:val="21"/>
                <w:szCs w:val="21"/>
                <w:lang w:eastAsia="zh-CN" w:bidi="ar"/>
                <w14:textFill>
                  <w14:solidFill>
                    <w14:schemeClr w14:val="tx1"/>
                  </w14:solidFill>
                </w14:textFill>
              </w:rPr>
              <w:t>）</w:t>
            </w:r>
            <w:r>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t>Beauv.</w:t>
            </w:r>
          </w:p>
        </w:tc>
      </w:tr>
      <w:tr w14:paraId="42C372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482" w:type="pct"/>
            <w:noWrap/>
            <w:vAlign w:val="center"/>
          </w:tcPr>
          <w:p w14:paraId="0A6958A6">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color w:val="000000" w:themeColor="text1"/>
                <w:sz w:val="21"/>
                <w:szCs w:val="21"/>
                <w:lang w:bidi="ar"/>
                <w14:textFill>
                  <w14:solidFill>
                    <w14:schemeClr w14:val="tx1"/>
                  </w14:solidFill>
                </w14:textFill>
              </w:rPr>
              <w:t>豆科</w:t>
            </w:r>
          </w:p>
        </w:tc>
        <w:tc>
          <w:tcPr>
            <w:tcW w:w="887" w:type="pct"/>
            <w:noWrap/>
            <w:vAlign w:val="center"/>
          </w:tcPr>
          <w:p w14:paraId="32ACF8BD">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fldChar w:fldCharType="begin"/>
            </w:r>
            <w:r>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instrText xml:space="preserve"> HYPERLINK "https://www.iplant.cn/info/Fabaceae" </w:instrText>
            </w:r>
            <w:r>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fldChar w:fldCharType="separate"/>
            </w:r>
            <w:r>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t>Fabaceae</w:t>
            </w:r>
            <w:r>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fldChar w:fldCharType="end"/>
            </w:r>
          </w:p>
        </w:tc>
        <w:tc>
          <w:tcPr>
            <w:tcW w:w="585" w:type="pct"/>
            <w:noWrap/>
            <w:vAlign w:val="center"/>
          </w:tcPr>
          <w:p w14:paraId="133455E4">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color w:val="000000" w:themeColor="text1"/>
                <w:sz w:val="21"/>
                <w:szCs w:val="21"/>
                <w:lang w:bidi="ar"/>
                <w14:textFill>
                  <w14:solidFill>
                    <w14:schemeClr w14:val="tx1"/>
                  </w14:solidFill>
                </w14:textFill>
              </w:rPr>
              <w:t>锦鸡儿属</w:t>
            </w:r>
          </w:p>
        </w:tc>
        <w:tc>
          <w:tcPr>
            <w:tcW w:w="848" w:type="pct"/>
            <w:noWrap/>
            <w:vAlign w:val="center"/>
          </w:tcPr>
          <w:p w14:paraId="100D6C92">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i/>
                <w:iCs/>
                <w:color w:val="000000" w:themeColor="text1"/>
                <w:sz w:val="21"/>
                <w:szCs w:val="21"/>
                <w14:textFill>
                  <w14:solidFill>
                    <w14:schemeClr w14:val="tx1"/>
                  </w14:solidFill>
                </w14:textFill>
              </w:rPr>
              <w:fldChar w:fldCharType="begin"/>
            </w:r>
            <w:r>
              <w:rPr>
                <w:rFonts w:hint="default" w:ascii="Times New Roman" w:hAnsi="Times New Roman" w:eastAsia="宋体" w:cs="Times New Roman"/>
                <w:b w:val="0"/>
                <w:bCs w:val="0"/>
                <w:i/>
                <w:iCs/>
                <w:color w:val="000000" w:themeColor="text1"/>
                <w:sz w:val="21"/>
                <w:szCs w:val="21"/>
                <w14:textFill>
                  <w14:solidFill>
                    <w14:schemeClr w14:val="tx1"/>
                  </w14:solidFill>
                </w14:textFill>
              </w:rPr>
              <w:instrText xml:space="preserve"> HYPERLINK "https://www.iplant.cn/info/Caragana" </w:instrText>
            </w:r>
            <w:r>
              <w:rPr>
                <w:rFonts w:hint="default" w:ascii="Times New Roman" w:hAnsi="Times New Roman" w:eastAsia="宋体" w:cs="Times New Roman"/>
                <w:b w:val="0"/>
                <w:bCs w:val="0"/>
                <w:i/>
                <w:iCs/>
                <w:color w:val="000000" w:themeColor="text1"/>
                <w:sz w:val="21"/>
                <w:szCs w:val="21"/>
                <w14:textFill>
                  <w14:solidFill>
                    <w14:schemeClr w14:val="tx1"/>
                  </w14:solidFill>
                </w14:textFill>
              </w:rPr>
              <w:fldChar w:fldCharType="separate"/>
            </w:r>
            <w:r>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t>Caragana</w:t>
            </w:r>
            <w:r>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fldChar w:fldCharType="end"/>
            </w:r>
          </w:p>
        </w:tc>
        <w:tc>
          <w:tcPr>
            <w:tcW w:w="607" w:type="pct"/>
            <w:noWrap/>
          </w:tcPr>
          <w:p w14:paraId="72817525">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color w:val="000000" w:themeColor="text1"/>
                <w:sz w:val="21"/>
                <w:szCs w:val="21"/>
                <w:lang w:bidi="ar"/>
                <w14:textFill>
                  <w14:solidFill>
                    <w14:schemeClr w14:val="tx1"/>
                  </w14:solidFill>
                </w14:textFill>
              </w:rPr>
              <w:t>柠条锦鸡儿</w:t>
            </w:r>
          </w:p>
        </w:tc>
        <w:tc>
          <w:tcPr>
            <w:tcW w:w="1588" w:type="pct"/>
            <w:noWrap/>
            <w:vAlign w:val="center"/>
          </w:tcPr>
          <w:p w14:paraId="3757443C">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t>CaraganakorshinskiiKom.</w:t>
            </w:r>
          </w:p>
        </w:tc>
      </w:tr>
      <w:tr w14:paraId="1325AE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482" w:type="pct"/>
            <w:noWrap/>
            <w:vAlign w:val="center"/>
          </w:tcPr>
          <w:p w14:paraId="767EA5CF">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color w:val="000000" w:themeColor="text1"/>
                <w:sz w:val="21"/>
                <w:szCs w:val="21"/>
                <w:lang w:bidi="ar"/>
                <w14:textFill>
                  <w14:solidFill>
                    <w14:schemeClr w14:val="tx1"/>
                  </w14:solidFill>
                </w14:textFill>
              </w:rPr>
              <w:t>豆科</w:t>
            </w:r>
          </w:p>
        </w:tc>
        <w:tc>
          <w:tcPr>
            <w:tcW w:w="887" w:type="pct"/>
            <w:noWrap/>
            <w:vAlign w:val="center"/>
          </w:tcPr>
          <w:p w14:paraId="17D1A9BC">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i/>
                <w:iCs/>
                <w:color w:val="000000" w:themeColor="text1"/>
                <w:sz w:val="21"/>
                <w:szCs w:val="21"/>
                <w14:textFill>
                  <w14:solidFill>
                    <w14:schemeClr w14:val="tx1"/>
                  </w14:solidFill>
                </w14:textFill>
              </w:rPr>
              <w:fldChar w:fldCharType="begin"/>
            </w:r>
            <w:r>
              <w:rPr>
                <w:rFonts w:hint="default" w:ascii="Times New Roman" w:hAnsi="Times New Roman" w:eastAsia="宋体" w:cs="Times New Roman"/>
                <w:b w:val="0"/>
                <w:bCs w:val="0"/>
                <w:i/>
                <w:iCs/>
                <w:color w:val="000000" w:themeColor="text1"/>
                <w:sz w:val="21"/>
                <w:szCs w:val="21"/>
                <w14:textFill>
                  <w14:solidFill>
                    <w14:schemeClr w14:val="tx1"/>
                  </w14:solidFill>
                </w14:textFill>
              </w:rPr>
              <w:instrText xml:space="preserve"> HYPERLINK "https://www.iplant.cn/info/Fabaceae" </w:instrText>
            </w:r>
            <w:r>
              <w:rPr>
                <w:rFonts w:hint="default" w:ascii="Times New Roman" w:hAnsi="Times New Roman" w:eastAsia="宋体" w:cs="Times New Roman"/>
                <w:b w:val="0"/>
                <w:bCs w:val="0"/>
                <w:i/>
                <w:iCs/>
                <w:color w:val="000000" w:themeColor="text1"/>
                <w:sz w:val="21"/>
                <w:szCs w:val="21"/>
                <w14:textFill>
                  <w14:solidFill>
                    <w14:schemeClr w14:val="tx1"/>
                  </w14:solidFill>
                </w14:textFill>
              </w:rPr>
              <w:fldChar w:fldCharType="separate"/>
            </w:r>
            <w:r>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t>Fabaceae</w:t>
            </w:r>
            <w:r>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fldChar w:fldCharType="end"/>
            </w:r>
          </w:p>
        </w:tc>
        <w:tc>
          <w:tcPr>
            <w:tcW w:w="585" w:type="pct"/>
            <w:noWrap/>
            <w:vAlign w:val="center"/>
          </w:tcPr>
          <w:p w14:paraId="6481C8EE">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color w:val="000000" w:themeColor="text1"/>
                <w:sz w:val="21"/>
                <w:szCs w:val="21"/>
                <w:lang w:bidi="ar"/>
                <w14:textFill>
                  <w14:solidFill>
                    <w14:schemeClr w14:val="tx1"/>
                  </w14:solidFill>
                </w14:textFill>
              </w:rPr>
              <w:t>锦鸡儿属</w:t>
            </w:r>
          </w:p>
        </w:tc>
        <w:tc>
          <w:tcPr>
            <w:tcW w:w="848" w:type="pct"/>
            <w:noWrap/>
            <w:vAlign w:val="center"/>
          </w:tcPr>
          <w:p w14:paraId="534AC07F">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i/>
                <w:iCs/>
                <w:color w:val="000000" w:themeColor="text1"/>
                <w:sz w:val="21"/>
                <w:szCs w:val="21"/>
                <w14:textFill>
                  <w14:solidFill>
                    <w14:schemeClr w14:val="tx1"/>
                  </w14:solidFill>
                </w14:textFill>
              </w:rPr>
              <w:fldChar w:fldCharType="begin"/>
            </w:r>
            <w:r>
              <w:rPr>
                <w:rFonts w:hint="default" w:ascii="Times New Roman" w:hAnsi="Times New Roman" w:eastAsia="宋体" w:cs="Times New Roman"/>
                <w:b w:val="0"/>
                <w:bCs w:val="0"/>
                <w:i/>
                <w:iCs/>
                <w:color w:val="000000" w:themeColor="text1"/>
                <w:sz w:val="21"/>
                <w:szCs w:val="21"/>
                <w14:textFill>
                  <w14:solidFill>
                    <w14:schemeClr w14:val="tx1"/>
                  </w14:solidFill>
                </w14:textFill>
              </w:rPr>
              <w:instrText xml:space="preserve"> HYPERLINK "https://www.iplant.cn/info/Caragana" </w:instrText>
            </w:r>
            <w:r>
              <w:rPr>
                <w:rFonts w:hint="default" w:ascii="Times New Roman" w:hAnsi="Times New Roman" w:eastAsia="宋体" w:cs="Times New Roman"/>
                <w:b w:val="0"/>
                <w:bCs w:val="0"/>
                <w:i/>
                <w:iCs/>
                <w:color w:val="000000" w:themeColor="text1"/>
                <w:sz w:val="21"/>
                <w:szCs w:val="21"/>
                <w14:textFill>
                  <w14:solidFill>
                    <w14:schemeClr w14:val="tx1"/>
                  </w14:solidFill>
                </w14:textFill>
              </w:rPr>
              <w:fldChar w:fldCharType="separate"/>
            </w:r>
            <w:r>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t>Caragana</w:t>
            </w:r>
            <w:r>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fldChar w:fldCharType="end"/>
            </w:r>
          </w:p>
        </w:tc>
        <w:tc>
          <w:tcPr>
            <w:tcW w:w="607" w:type="pct"/>
            <w:noWrap/>
          </w:tcPr>
          <w:p w14:paraId="678884AD">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color w:val="000000" w:themeColor="text1"/>
                <w:sz w:val="21"/>
                <w:szCs w:val="21"/>
                <w:lang w:bidi="ar"/>
                <w14:textFill>
                  <w14:solidFill>
                    <w14:schemeClr w14:val="tx1"/>
                  </w14:solidFill>
                </w14:textFill>
              </w:rPr>
              <w:t>小叶锦鸡儿</w:t>
            </w:r>
          </w:p>
        </w:tc>
        <w:tc>
          <w:tcPr>
            <w:tcW w:w="1588" w:type="pct"/>
            <w:noWrap/>
            <w:vAlign w:val="center"/>
          </w:tcPr>
          <w:p w14:paraId="4A771B0A">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pPr>
            <w:r>
              <w:rPr>
                <w:rFonts w:hint="default" w:ascii="Times New Roman" w:hAnsi="Times New Roman" w:eastAsia="宋体" w:cs="Times New Roman"/>
                <w:b w:val="0"/>
                <w:bCs w:val="0"/>
                <w:i/>
                <w:iCs/>
                <w:color w:val="000000" w:themeColor="text1"/>
                <w:sz w:val="21"/>
                <w:szCs w:val="21"/>
                <w:lang w:bidi="ar"/>
                <w14:textFill>
                  <w14:solidFill>
                    <w14:schemeClr w14:val="tx1"/>
                  </w14:solidFill>
                </w14:textFill>
              </w:rPr>
              <w:t>CaraganamicrophyllaLam.</w:t>
            </w:r>
          </w:p>
        </w:tc>
      </w:tr>
    </w:tbl>
    <w:p w14:paraId="5CD01A53">
      <w:pPr>
        <w:keepNext w:val="0"/>
        <w:keepLines w:val="0"/>
        <w:pageBreakBefore w:val="0"/>
        <w:widowControl w:val="0"/>
        <w:kinsoku/>
        <w:wordWrap/>
        <w:overflowPunct/>
        <w:topLinePunct w:val="0"/>
        <w:autoSpaceDE/>
        <w:autoSpaceDN/>
        <w:bidi w:val="0"/>
        <w:spacing w:line="360" w:lineRule="auto"/>
        <w:ind w:firstLine="456" w:firstLineChars="200"/>
        <w:jc w:val="both"/>
        <w:outlineLvl w:val="9"/>
        <w:rPr>
          <w:rFonts w:hint="default" w:ascii="Times New Roman" w:hAnsi="Times New Roman" w:eastAsia="宋体" w:cs="Times New Roman"/>
          <w:color w:val="000000" w:themeColor="text1"/>
          <w:spacing w:val="-6"/>
          <w:kern w:val="2"/>
          <w:sz w:val="24"/>
          <w:szCs w:val="24"/>
          <w:lang w:val="en-US" w:eastAsia="zh-CN" w:bidi="ar-SA"/>
          <w14:textFill>
            <w14:solidFill>
              <w14:schemeClr w14:val="tx1"/>
            </w14:solidFill>
          </w14:textFill>
        </w:rPr>
      </w:pPr>
      <w:bookmarkStart w:id="159" w:name="_Toc10304"/>
      <w:bookmarkStart w:id="160" w:name="_Toc16333"/>
    </w:p>
    <w:p w14:paraId="172CC3EA">
      <w:pPr>
        <w:keepNext w:val="0"/>
        <w:keepLines w:val="0"/>
        <w:pageBreakBefore w:val="0"/>
        <w:widowControl w:val="0"/>
        <w:kinsoku/>
        <w:wordWrap/>
        <w:overflowPunct/>
        <w:topLinePunct w:val="0"/>
        <w:autoSpaceDE/>
        <w:autoSpaceDN/>
        <w:bidi w:val="0"/>
        <w:spacing w:line="360" w:lineRule="auto"/>
        <w:ind w:firstLine="456" w:firstLineChars="200"/>
        <w:jc w:val="both"/>
        <w:outlineLvl w:val="9"/>
        <w:rPr>
          <w:rFonts w:hint="default" w:ascii="Times New Roman" w:hAnsi="Times New Roman" w:eastAsia="宋体" w:cs="Times New Roman"/>
          <w:color w:val="000000" w:themeColor="text1"/>
          <w:spacing w:val="-6"/>
          <w:kern w:val="2"/>
          <w:sz w:val="24"/>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spacing w:val="-6"/>
          <w:kern w:val="2"/>
          <w:sz w:val="24"/>
          <w:szCs w:val="24"/>
          <w:lang w:val="en-US" w:eastAsia="zh-CN" w:bidi="ar-SA"/>
          <w14:textFill>
            <w14:solidFill>
              <w14:schemeClr w14:val="tx1"/>
            </w14:solidFill>
          </w14:textFill>
        </w:rPr>
        <w:t>4.2.1.3生态系统类型现状与评价</w:t>
      </w:r>
      <w:bookmarkEnd w:id="159"/>
      <w:bookmarkEnd w:id="160"/>
    </w:p>
    <w:p w14:paraId="72BEC6AE">
      <w:pPr>
        <w:keepNext w:val="0"/>
        <w:keepLines w:val="0"/>
        <w:pageBreakBefore w:val="0"/>
        <w:widowControl w:val="0"/>
        <w:kinsoku/>
        <w:wordWrap/>
        <w:overflowPunct/>
        <w:topLinePunct w:val="0"/>
        <w:autoSpaceDE/>
        <w:autoSpaceDN/>
        <w:bidi w:val="0"/>
        <w:spacing w:line="360" w:lineRule="auto"/>
        <w:ind w:firstLine="480" w:firstLineChars="200"/>
        <w:jc w:val="both"/>
        <w:outlineLvl w:val="9"/>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根据《全国生态状况调查评估技术规范——生态系统遥感解译与野外核查》（HJ1166—2021），将项目评价区域生态系统划分为6个一级利用类型。</w:t>
      </w:r>
    </w:p>
    <w:p w14:paraId="1AD618BA">
      <w:pPr>
        <w:keepNext w:val="0"/>
        <w:keepLines w:val="0"/>
        <w:pageBreakBefore w:val="0"/>
        <w:widowControl w:val="0"/>
        <w:kinsoku/>
        <w:wordWrap/>
        <w:overflowPunct/>
        <w:topLinePunct w:val="0"/>
        <w:autoSpaceDE/>
        <w:autoSpaceDN/>
        <w:bidi w:val="0"/>
        <w:spacing w:line="360" w:lineRule="auto"/>
        <w:ind w:firstLine="480" w:firstLineChars="200"/>
        <w:jc w:val="both"/>
        <w:outlineLvl w:val="9"/>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调查方式以遥感和地面调查及访谈方式进行，根据中国资源三号卫星数据作为数据源进行解译，结合实地考察，对拟建项目占地1km范围内生态系统类型现状进行调查见表4.2-4，占地范围内生态系统类型现状进行调查见表4-5，生态系统类型现状见图4-6。</w:t>
      </w:r>
    </w:p>
    <w:p w14:paraId="1BCDA531">
      <w:pPr>
        <w:keepNext w:val="0"/>
        <w:keepLines w:val="0"/>
        <w:pageBreakBefore w:val="0"/>
        <w:widowControl w:val="0"/>
        <w:kinsoku/>
        <w:wordWrap/>
        <w:overflowPunct/>
        <w:topLinePunct w:val="0"/>
        <w:autoSpaceDE/>
        <w:autoSpaceDN/>
        <w:bidi w:val="0"/>
        <w:spacing w:line="360" w:lineRule="auto"/>
        <w:ind w:firstLine="0" w:firstLineChars="0"/>
        <w:jc w:val="center"/>
        <w:outlineLvl w:val="9"/>
        <w:rPr>
          <w:rFonts w:hint="default" w:ascii="Times New Roman" w:hAnsi="Times New Roman" w:eastAsia="宋体" w:cs="Times New Roman"/>
          <w:b/>
          <w:color w:val="000000" w:themeColor="text1"/>
          <w:kern w:val="2"/>
          <w:sz w:val="21"/>
          <w:szCs w:val="21"/>
          <w:lang w:val="en-US" w:eastAsia="zh-CN" w:bidi="ar-SA"/>
          <w14:textFill>
            <w14:solidFill>
              <w14:schemeClr w14:val="tx1"/>
            </w14:solidFill>
          </w14:textFill>
        </w:rPr>
      </w:pPr>
    </w:p>
    <w:p w14:paraId="704EB759">
      <w:pPr>
        <w:keepNext w:val="0"/>
        <w:keepLines w:val="0"/>
        <w:pageBreakBefore w:val="0"/>
        <w:widowControl w:val="0"/>
        <w:kinsoku/>
        <w:wordWrap/>
        <w:overflowPunct/>
        <w:topLinePunct w:val="0"/>
        <w:autoSpaceDE/>
        <w:autoSpaceDN/>
        <w:bidi w:val="0"/>
        <w:spacing w:line="360" w:lineRule="auto"/>
        <w:ind w:firstLine="0" w:firstLineChars="0"/>
        <w:jc w:val="center"/>
        <w:outlineLvl w:val="9"/>
        <w:rPr>
          <w:rFonts w:hint="default" w:ascii="Times New Roman" w:hAnsi="Times New Roman" w:eastAsia="宋体" w:cs="Times New Roman"/>
          <w:b/>
          <w:color w:val="000000" w:themeColor="text1"/>
          <w:kern w:val="2"/>
          <w:sz w:val="21"/>
          <w:szCs w:val="21"/>
          <w:lang w:val="en-US" w:eastAsia="zh-CN" w:bidi="ar-SA"/>
          <w14:textFill>
            <w14:solidFill>
              <w14:schemeClr w14:val="tx1"/>
            </w14:solidFill>
          </w14:textFill>
        </w:rPr>
      </w:pPr>
    </w:p>
    <w:p w14:paraId="343248CE">
      <w:pPr>
        <w:keepNext w:val="0"/>
        <w:keepLines w:val="0"/>
        <w:pageBreakBefore w:val="0"/>
        <w:widowControl w:val="0"/>
        <w:kinsoku/>
        <w:wordWrap/>
        <w:overflowPunct/>
        <w:topLinePunct w:val="0"/>
        <w:autoSpaceDE/>
        <w:autoSpaceDN/>
        <w:bidi w:val="0"/>
        <w:spacing w:line="360" w:lineRule="auto"/>
        <w:ind w:firstLine="0" w:firstLineChars="0"/>
        <w:jc w:val="center"/>
        <w:outlineLvl w:val="9"/>
        <w:rPr>
          <w:rFonts w:hint="default" w:ascii="Times New Roman" w:hAnsi="Times New Roman" w:eastAsia="宋体" w:cs="Times New Roman"/>
          <w:b/>
          <w:color w:val="000000" w:themeColor="text1"/>
          <w:kern w:val="2"/>
          <w:sz w:val="21"/>
          <w:szCs w:val="21"/>
          <w:lang w:val="en-US" w:eastAsia="zh-CN" w:bidi="ar-SA"/>
          <w14:textFill>
            <w14:solidFill>
              <w14:schemeClr w14:val="tx1"/>
            </w14:solidFill>
          </w14:textFill>
        </w:rPr>
      </w:pPr>
    </w:p>
    <w:p w14:paraId="316553D1">
      <w:pPr>
        <w:keepNext w:val="0"/>
        <w:keepLines w:val="0"/>
        <w:pageBreakBefore w:val="0"/>
        <w:widowControl w:val="0"/>
        <w:kinsoku/>
        <w:wordWrap/>
        <w:overflowPunct/>
        <w:topLinePunct w:val="0"/>
        <w:autoSpaceDE/>
        <w:autoSpaceDN/>
        <w:bidi w:val="0"/>
        <w:spacing w:line="360" w:lineRule="auto"/>
        <w:ind w:firstLine="0" w:firstLineChars="0"/>
        <w:jc w:val="center"/>
        <w:outlineLvl w:val="9"/>
        <w:rPr>
          <w:rFonts w:hint="default" w:ascii="Times New Roman" w:hAnsi="Times New Roman" w:eastAsia="宋体" w:cs="Times New Roman"/>
          <w:b/>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b/>
          <w:color w:val="000000" w:themeColor="text1"/>
          <w:kern w:val="2"/>
          <w:sz w:val="21"/>
          <w:szCs w:val="21"/>
          <w:lang w:val="en-US" w:eastAsia="zh-CN" w:bidi="ar-SA"/>
          <w14:textFill>
            <w14:solidFill>
              <w14:schemeClr w14:val="tx1"/>
            </w14:solidFill>
          </w14:textFill>
        </w:rPr>
        <w:t>表4.2-4评价区内生态系统类型现状</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54"/>
        <w:gridCol w:w="2276"/>
        <w:gridCol w:w="1783"/>
        <w:gridCol w:w="1423"/>
        <w:gridCol w:w="1929"/>
      </w:tblGrid>
      <w:tr w14:paraId="21A7BE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12" w:type="pct"/>
            <w:noWrap/>
            <w:vAlign w:val="center"/>
          </w:tcPr>
          <w:p w14:paraId="37A548E1">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bCs/>
                <w:color w:val="000000" w:themeColor="text1"/>
                <w:kern w:val="0"/>
                <w:sz w:val="21"/>
                <w:szCs w:val="21"/>
                <w:lang w:bidi="ar"/>
                <w14:textFill>
                  <w14:solidFill>
                    <w14:schemeClr w14:val="tx1"/>
                  </w14:solidFill>
                </w14:textFill>
              </w:rPr>
            </w:pPr>
            <w:r>
              <w:rPr>
                <w:rFonts w:hint="default" w:ascii="Times New Roman" w:hAnsi="Times New Roman" w:eastAsia="宋体" w:cs="Times New Roman"/>
                <w:b/>
                <w:bCs/>
                <w:color w:val="000000" w:themeColor="text1"/>
                <w:kern w:val="0"/>
                <w:sz w:val="21"/>
                <w:szCs w:val="21"/>
                <w:lang w:bidi="ar"/>
                <w14:textFill>
                  <w14:solidFill>
                    <w14:schemeClr w14:val="tx1"/>
                  </w14:solidFill>
                </w14:textFill>
              </w:rPr>
              <w:t>一级类型</w:t>
            </w:r>
          </w:p>
        </w:tc>
        <w:tc>
          <w:tcPr>
            <w:tcW w:w="1254" w:type="pct"/>
            <w:noWrap/>
            <w:vAlign w:val="center"/>
          </w:tcPr>
          <w:p w14:paraId="0560B707">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bCs/>
                <w:color w:val="000000" w:themeColor="text1"/>
                <w:kern w:val="0"/>
                <w:sz w:val="21"/>
                <w:szCs w:val="21"/>
                <w:lang w:bidi="ar"/>
                <w14:textFill>
                  <w14:solidFill>
                    <w14:schemeClr w14:val="tx1"/>
                  </w14:solidFill>
                </w14:textFill>
              </w:rPr>
            </w:pPr>
            <w:r>
              <w:rPr>
                <w:rFonts w:hint="default" w:ascii="Times New Roman" w:hAnsi="Times New Roman" w:eastAsia="宋体" w:cs="Times New Roman"/>
                <w:b/>
                <w:bCs/>
                <w:color w:val="000000" w:themeColor="text1"/>
                <w:kern w:val="0"/>
                <w:sz w:val="21"/>
                <w:szCs w:val="21"/>
                <w:lang w:bidi="ar"/>
                <w14:textFill>
                  <w14:solidFill>
                    <w14:schemeClr w14:val="tx1"/>
                  </w14:solidFill>
                </w14:textFill>
              </w:rPr>
              <w:t>二级类型</w:t>
            </w:r>
          </w:p>
        </w:tc>
        <w:tc>
          <w:tcPr>
            <w:tcW w:w="983" w:type="pct"/>
            <w:noWrap/>
            <w:vAlign w:val="center"/>
          </w:tcPr>
          <w:p w14:paraId="3DCE1407">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bCs/>
                <w:color w:val="000000" w:themeColor="text1"/>
                <w:kern w:val="0"/>
                <w:sz w:val="21"/>
                <w:szCs w:val="21"/>
                <w:lang w:bidi="ar"/>
                <w14:textFill>
                  <w14:solidFill>
                    <w14:schemeClr w14:val="tx1"/>
                  </w14:solidFill>
                </w14:textFill>
              </w:rPr>
            </w:pPr>
            <w:r>
              <w:rPr>
                <w:rFonts w:hint="default" w:ascii="Times New Roman" w:hAnsi="Times New Roman" w:eastAsia="宋体" w:cs="Times New Roman"/>
                <w:b/>
                <w:bCs/>
                <w:color w:val="000000" w:themeColor="text1"/>
                <w:kern w:val="0"/>
                <w:sz w:val="21"/>
                <w:szCs w:val="21"/>
                <w:lang w:bidi="ar"/>
                <w14:textFill>
                  <w14:solidFill>
                    <w14:schemeClr w14:val="tx1"/>
                  </w14:solidFill>
                </w14:textFill>
              </w:rPr>
              <w:t>斑块数（个）</w:t>
            </w:r>
          </w:p>
        </w:tc>
        <w:tc>
          <w:tcPr>
            <w:tcW w:w="785" w:type="pct"/>
            <w:noWrap/>
            <w:vAlign w:val="center"/>
          </w:tcPr>
          <w:p w14:paraId="0EBFF8CB">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b/>
                <w:bCs/>
                <w:color w:val="000000" w:themeColor="text1"/>
                <w:kern w:val="0"/>
                <w:sz w:val="21"/>
                <w:szCs w:val="21"/>
                <w:lang w:bidi="ar"/>
                <w14:textFill>
                  <w14:solidFill>
                    <w14:schemeClr w14:val="tx1"/>
                  </w14:solidFill>
                </w14:textFill>
              </w:rPr>
            </w:pPr>
            <w:r>
              <w:rPr>
                <w:rFonts w:hint="default" w:ascii="Times New Roman" w:hAnsi="Times New Roman" w:eastAsia="宋体" w:cs="Times New Roman"/>
                <w:b/>
                <w:bCs/>
                <w:color w:val="000000" w:themeColor="text1"/>
                <w:kern w:val="0"/>
                <w:sz w:val="21"/>
                <w:szCs w:val="21"/>
                <w:lang w:bidi="ar"/>
                <w14:textFill>
                  <w14:solidFill>
                    <w14:schemeClr w14:val="tx1"/>
                  </w14:solidFill>
                </w14:textFill>
              </w:rPr>
              <w:t>面积（hm</w:t>
            </w:r>
            <w:r>
              <w:rPr>
                <w:rFonts w:hint="default" w:ascii="Times New Roman" w:hAnsi="Times New Roman" w:eastAsia="宋体" w:cs="Times New Roman"/>
                <w:b/>
                <w:bCs/>
                <w:color w:val="000000" w:themeColor="text1"/>
                <w:kern w:val="0"/>
                <w:sz w:val="21"/>
                <w:szCs w:val="21"/>
                <w:vertAlign w:val="superscript"/>
                <w:lang w:bidi="ar"/>
                <w14:textFill>
                  <w14:solidFill>
                    <w14:schemeClr w14:val="tx1"/>
                  </w14:solidFill>
                </w14:textFill>
              </w:rPr>
              <w:t>2</w:t>
            </w:r>
            <w:r>
              <w:rPr>
                <w:rFonts w:hint="default" w:ascii="Times New Roman" w:hAnsi="Times New Roman" w:eastAsia="宋体" w:cs="Times New Roman"/>
                <w:b/>
                <w:bCs/>
                <w:color w:val="000000" w:themeColor="text1"/>
                <w:kern w:val="0"/>
                <w:sz w:val="21"/>
                <w:szCs w:val="21"/>
                <w:lang w:bidi="ar"/>
                <w14:textFill>
                  <w14:solidFill>
                    <w14:schemeClr w14:val="tx1"/>
                  </w14:solidFill>
                </w14:textFill>
              </w:rPr>
              <w:t>）</w:t>
            </w:r>
          </w:p>
        </w:tc>
        <w:tc>
          <w:tcPr>
            <w:tcW w:w="1064" w:type="pct"/>
            <w:noWrap/>
            <w:vAlign w:val="center"/>
          </w:tcPr>
          <w:p w14:paraId="11F04D48">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eastAsia" w:ascii="Times New Roman" w:hAnsi="Times New Roman" w:eastAsia="宋体" w:cs="Times New Roman"/>
                <w:b/>
                <w:bCs/>
                <w:color w:val="000000" w:themeColor="text1"/>
                <w:kern w:val="0"/>
                <w:sz w:val="21"/>
                <w:szCs w:val="21"/>
                <w:lang w:eastAsia="zh-CN" w:bidi="ar"/>
                <w14:textFill>
                  <w14:solidFill>
                    <w14:schemeClr w14:val="tx1"/>
                  </w14:solidFill>
                </w14:textFill>
              </w:rPr>
            </w:pPr>
            <w:r>
              <w:rPr>
                <w:rFonts w:hint="default" w:ascii="Times New Roman" w:hAnsi="Times New Roman" w:eastAsia="宋体" w:cs="Times New Roman"/>
                <w:b/>
                <w:bCs/>
                <w:color w:val="000000" w:themeColor="text1"/>
                <w:kern w:val="0"/>
                <w:sz w:val="21"/>
                <w:szCs w:val="21"/>
                <w:lang w:bidi="ar"/>
                <w14:textFill>
                  <w14:solidFill>
                    <w14:schemeClr w14:val="tx1"/>
                  </w14:solidFill>
                </w14:textFill>
              </w:rPr>
              <w:t>占评价区面积比例</w:t>
            </w:r>
            <w:r>
              <w:rPr>
                <w:rFonts w:hint="eastAsia" w:cs="Times New Roman"/>
                <w:b/>
                <w:bCs/>
                <w:color w:val="000000" w:themeColor="text1"/>
                <w:kern w:val="0"/>
                <w:sz w:val="21"/>
                <w:szCs w:val="21"/>
                <w:lang w:eastAsia="zh-CN" w:bidi="ar"/>
                <w14:textFill>
                  <w14:solidFill>
                    <w14:schemeClr w14:val="tx1"/>
                  </w14:solidFill>
                </w14:textFill>
              </w:rPr>
              <w:t>（</w:t>
            </w:r>
            <w:r>
              <w:rPr>
                <w:rFonts w:hint="default" w:ascii="Times New Roman" w:hAnsi="Times New Roman" w:eastAsia="宋体" w:cs="Times New Roman"/>
                <w:b/>
                <w:bCs/>
                <w:color w:val="000000" w:themeColor="text1"/>
                <w:kern w:val="0"/>
                <w:sz w:val="21"/>
                <w:szCs w:val="21"/>
                <w:lang w:bidi="ar"/>
                <w14:textFill>
                  <w14:solidFill>
                    <w14:schemeClr w14:val="tx1"/>
                  </w14:solidFill>
                </w14:textFill>
              </w:rPr>
              <w:t>％</w:t>
            </w:r>
            <w:r>
              <w:rPr>
                <w:rFonts w:hint="eastAsia" w:cs="Times New Roman"/>
                <w:b/>
                <w:bCs/>
                <w:color w:val="000000" w:themeColor="text1"/>
                <w:kern w:val="0"/>
                <w:sz w:val="21"/>
                <w:szCs w:val="21"/>
                <w:lang w:eastAsia="zh-CN" w:bidi="ar"/>
                <w14:textFill>
                  <w14:solidFill>
                    <w14:schemeClr w14:val="tx1"/>
                  </w14:solidFill>
                </w14:textFill>
              </w:rPr>
              <w:t>）</w:t>
            </w:r>
          </w:p>
        </w:tc>
      </w:tr>
      <w:tr w14:paraId="35369D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12" w:type="pct"/>
            <w:vMerge w:val="restart"/>
            <w:noWrap/>
            <w:vAlign w:val="center"/>
          </w:tcPr>
          <w:p w14:paraId="69F833FF">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城镇生态系统</w:t>
            </w:r>
          </w:p>
        </w:tc>
        <w:tc>
          <w:tcPr>
            <w:tcW w:w="1254" w:type="pct"/>
            <w:noWrap/>
            <w:vAlign w:val="center"/>
          </w:tcPr>
          <w:p w14:paraId="79F0B998">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工矿交通</w:t>
            </w:r>
          </w:p>
        </w:tc>
        <w:tc>
          <w:tcPr>
            <w:tcW w:w="983" w:type="pct"/>
            <w:noWrap/>
            <w:vAlign w:val="bottom"/>
          </w:tcPr>
          <w:p w14:paraId="37D16B9E">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21</w:t>
            </w:r>
          </w:p>
        </w:tc>
        <w:tc>
          <w:tcPr>
            <w:tcW w:w="785" w:type="pct"/>
            <w:noWrap/>
            <w:vAlign w:val="bottom"/>
          </w:tcPr>
          <w:p w14:paraId="08916ADB">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24.16</w:t>
            </w:r>
          </w:p>
        </w:tc>
        <w:tc>
          <w:tcPr>
            <w:tcW w:w="1968" w:type="dxa"/>
            <w:noWrap/>
            <w:vAlign w:val="bottom"/>
          </w:tcPr>
          <w:p w14:paraId="1EE4A207">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4.27%</w:t>
            </w:r>
          </w:p>
        </w:tc>
      </w:tr>
      <w:tr w14:paraId="32BC61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12" w:type="pct"/>
            <w:vMerge w:val="continue"/>
            <w:noWrap/>
            <w:vAlign w:val="center"/>
          </w:tcPr>
          <w:p w14:paraId="3AA6FDCA">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p>
        </w:tc>
        <w:tc>
          <w:tcPr>
            <w:tcW w:w="1254" w:type="pct"/>
            <w:noWrap/>
            <w:vAlign w:val="center"/>
          </w:tcPr>
          <w:p w14:paraId="6D99E985">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居住地</w:t>
            </w:r>
          </w:p>
        </w:tc>
        <w:tc>
          <w:tcPr>
            <w:tcW w:w="983" w:type="pct"/>
            <w:noWrap/>
            <w:vAlign w:val="bottom"/>
          </w:tcPr>
          <w:p w14:paraId="4A52B26F">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1</w:t>
            </w:r>
          </w:p>
        </w:tc>
        <w:tc>
          <w:tcPr>
            <w:tcW w:w="785" w:type="pct"/>
            <w:noWrap/>
            <w:vAlign w:val="bottom"/>
          </w:tcPr>
          <w:p w14:paraId="516B4D6A">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0.03</w:t>
            </w:r>
          </w:p>
        </w:tc>
        <w:tc>
          <w:tcPr>
            <w:tcW w:w="1968" w:type="dxa"/>
            <w:noWrap/>
            <w:vAlign w:val="bottom"/>
          </w:tcPr>
          <w:p w14:paraId="104A9DF2">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0.01%</w:t>
            </w:r>
          </w:p>
        </w:tc>
      </w:tr>
      <w:tr w14:paraId="09112B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12" w:type="pct"/>
            <w:noWrap/>
            <w:vAlign w:val="center"/>
          </w:tcPr>
          <w:p w14:paraId="478731B0">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农田生态系统</w:t>
            </w:r>
          </w:p>
        </w:tc>
        <w:tc>
          <w:tcPr>
            <w:tcW w:w="1254" w:type="pct"/>
            <w:noWrap/>
            <w:vAlign w:val="center"/>
          </w:tcPr>
          <w:p w14:paraId="507241C8">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耕地</w:t>
            </w:r>
          </w:p>
        </w:tc>
        <w:tc>
          <w:tcPr>
            <w:tcW w:w="983" w:type="pct"/>
            <w:noWrap/>
            <w:vAlign w:val="bottom"/>
          </w:tcPr>
          <w:p w14:paraId="7D2F0CBA">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14</w:t>
            </w:r>
          </w:p>
        </w:tc>
        <w:tc>
          <w:tcPr>
            <w:tcW w:w="785" w:type="pct"/>
            <w:noWrap/>
            <w:vAlign w:val="bottom"/>
          </w:tcPr>
          <w:p w14:paraId="06445048">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160.49</w:t>
            </w:r>
          </w:p>
        </w:tc>
        <w:tc>
          <w:tcPr>
            <w:tcW w:w="1968" w:type="dxa"/>
            <w:noWrap/>
            <w:vAlign w:val="bottom"/>
          </w:tcPr>
          <w:p w14:paraId="693A4E81">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28.34%</w:t>
            </w:r>
          </w:p>
        </w:tc>
      </w:tr>
      <w:tr w14:paraId="118B8E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12" w:type="pct"/>
            <w:noWrap/>
            <w:vAlign w:val="center"/>
          </w:tcPr>
          <w:p w14:paraId="7EB70CF7">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草地生态系统</w:t>
            </w:r>
          </w:p>
        </w:tc>
        <w:tc>
          <w:tcPr>
            <w:tcW w:w="1254" w:type="pct"/>
            <w:noWrap/>
            <w:vAlign w:val="bottom"/>
          </w:tcPr>
          <w:p w14:paraId="086886AB">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outlineLvl w:val="9"/>
              <w:rPr>
                <w:rFonts w:hint="eastAsia" w:ascii="Times New Roman" w:hAnsi="Times New Roman" w:eastAsia="宋体" w:cs="Times New Roman"/>
                <w:color w:val="000000" w:themeColor="text1"/>
                <w:kern w:val="0"/>
                <w:sz w:val="21"/>
                <w:szCs w:val="21"/>
                <w:lang w:eastAsia="zh-CN"/>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草</w:t>
            </w:r>
            <w:r>
              <w:rPr>
                <w:rFonts w:hint="eastAsia" w:ascii="Times New Roman" w:hAnsi="Times New Roman" w:eastAsia="宋体" w:cs="Times New Roman"/>
                <w:color w:val="000000" w:themeColor="text1"/>
                <w:kern w:val="0"/>
                <w:sz w:val="21"/>
                <w:szCs w:val="21"/>
                <w:lang w:val="en-US" w:eastAsia="zh-CN"/>
                <w14:textFill>
                  <w14:solidFill>
                    <w14:schemeClr w14:val="tx1"/>
                  </w14:solidFill>
                </w14:textFill>
              </w:rPr>
              <w:t>原</w:t>
            </w:r>
          </w:p>
        </w:tc>
        <w:tc>
          <w:tcPr>
            <w:tcW w:w="983" w:type="pct"/>
            <w:noWrap/>
            <w:vAlign w:val="bottom"/>
          </w:tcPr>
          <w:p w14:paraId="3E8EE328">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30</w:t>
            </w:r>
          </w:p>
        </w:tc>
        <w:tc>
          <w:tcPr>
            <w:tcW w:w="785" w:type="pct"/>
            <w:noWrap/>
            <w:vAlign w:val="bottom"/>
          </w:tcPr>
          <w:p w14:paraId="52C012B7">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154.84</w:t>
            </w:r>
          </w:p>
        </w:tc>
        <w:tc>
          <w:tcPr>
            <w:tcW w:w="1968" w:type="dxa"/>
            <w:noWrap/>
            <w:vAlign w:val="bottom"/>
          </w:tcPr>
          <w:p w14:paraId="2915B119">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27.34%</w:t>
            </w:r>
          </w:p>
        </w:tc>
      </w:tr>
      <w:tr w14:paraId="1CFA7A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12" w:type="pct"/>
            <w:noWrap/>
            <w:vAlign w:val="center"/>
          </w:tcPr>
          <w:p w14:paraId="01D63E51">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森林生态系统</w:t>
            </w:r>
          </w:p>
        </w:tc>
        <w:tc>
          <w:tcPr>
            <w:tcW w:w="1254" w:type="pct"/>
            <w:noWrap/>
            <w:vAlign w:val="center"/>
          </w:tcPr>
          <w:p w14:paraId="1AF7034B">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阔叶林</w:t>
            </w:r>
          </w:p>
        </w:tc>
        <w:tc>
          <w:tcPr>
            <w:tcW w:w="983" w:type="pct"/>
            <w:noWrap/>
            <w:vAlign w:val="bottom"/>
          </w:tcPr>
          <w:p w14:paraId="0422014C">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4</w:t>
            </w:r>
          </w:p>
        </w:tc>
        <w:tc>
          <w:tcPr>
            <w:tcW w:w="785" w:type="pct"/>
            <w:noWrap/>
            <w:vAlign w:val="bottom"/>
          </w:tcPr>
          <w:p w14:paraId="18356998">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91.92</w:t>
            </w:r>
          </w:p>
        </w:tc>
        <w:tc>
          <w:tcPr>
            <w:tcW w:w="1968" w:type="dxa"/>
            <w:noWrap/>
            <w:vAlign w:val="bottom"/>
          </w:tcPr>
          <w:p w14:paraId="3048DB5D">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16.23%</w:t>
            </w:r>
          </w:p>
        </w:tc>
      </w:tr>
      <w:tr w14:paraId="0E584E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12" w:type="pct"/>
            <w:noWrap/>
            <w:vAlign w:val="center"/>
          </w:tcPr>
          <w:p w14:paraId="61065D9A">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灌丛生态系统</w:t>
            </w:r>
          </w:p>
        </w:tc>
        <w:tc>
          <w:tcPr>
            <w:tcW w:w="1254" w:type="pct"/>
            <w:noWrap/>
            <w:vAlign w:val="center"/>
          </w:tcPr>
          <w:p w14:paraId="164B1EAF">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阔叶灌丛</w:t>
            </w:r>
          </w:p>
        </w:tc>
        <w:tc>
          <w:tcPr>
            <w:tcW w:w="983" w:type="pct"/>
            <w:noWrap/>
            <w:vAlign w:val="bottom"/>
          </w:tcPr>
          <w:p w14:paraId="6421D9D5">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6</w:t>
            </w:r>
          </w:p>
        </w:tc>
        <w:tc>
          <w:tcPr>
            <w:tcW w:w="785" w:type="pct"/>
            <w:noWrap/>
            <w:vAlign w:val="bottom"/>
          </w:tcPr>
          <w:p w14:paraId="5D2AB5FC">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134.23</w:t>
            </w:r>
          </w:p>
        </w:tc>
        <w:tc>
          <w:tcPr>
            <w:tcW w:w="1968" w:type="dxa"/>
            <w:noWrap/>
            <w:vAlign w:val="bottom"/>
          </w:tcPr>
          <w:p w14:paraId="095D672D">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23.70%</w:t>
            </w:r>
          </w:p>
        </w:tc>
      </w:tr>
      <w:tr w14:paraId="77CE95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12" w:type="pct"/>
            <w:noWrap/>
            <w:vAlign w:val="center"/>
          </w:tcPr>
          <w:p w14:paraId="65F9DB16">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其他</w:t>
            </w:r>
          </w:p>
        </w:tc>
        <w:tc>
          <w:tcPr>
            <w:tcW w:w="1254" w:type="pct"/>
            <w:noWrap/>
            <w:vAlign w:val="center"/>
          </w:tcPr>
          <w:p w14:paraId="38AE8FC4">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裸地</w:t>
            </w:r>
          </w:p>
        </w:tc>
        <w:tc>
          <w:tcPr>
            <w:tcW w:w="983" w:type="pct"/>
            <w:noWrap/>
            <w:vAlign w:val="bottom"/>
          </w:tcPr>
          <w:p w14:paraId="5305D83E">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1</w:t>
            </w:r>
          </w:p>
        </w:tc>
        <w:tc>
          <w:tcPr>
            <w:tcW w:w="785" w:type="pct"/>
            <w:noWrap/>
            <w:vAlign w:val="bottom"/>
          </w:tcPr>
          <w:p w14:paraId="76594FD5">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0.63</w:t>
            </w:r>
          </w:p>
        </w:tc>
        <w:tc>
          <w:tcPr>
            <w:tcW w:w="1968" w:type="dxa"/>
            <w:noWrap/>
            <w:vAlign w:val="bottom"/>
          </w:tcPr>
          <w:p w14:paraId="68A8FEC6">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0.11%</w:t>
            </w:r>
          </w:p>
        </w:tc>
      </w:tr>
      <w:tr w14:paraId="456AF0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166" w:type="pct"/>
            <w:gridSpan w:val="2"/>
            <w:noWrap/>
            <w:vAlign w:val="center"/>
          </w:tcPr>
          <w:p w14:paraId="48D197EC">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合计</w:t>
            </w:r>
          </w:p>
        </w:tc>
        <w:tc>
          <w:tcPr>
            <w:tcW w:w="1818" w:type="dxa"/>
            <w:noWrap/>
            <w:vAlign w:val="bottom"/>
          </w:tcPr>
          <w:p w14:paraId="1F0A6A81">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77</w:t>
            </w:r>
          </w:p>
        </w:tc>
        <w:tc>
          <w:tcPr>
            <w:tcW w:w="1451" w:type="dxa"/>
            <w:noWrap/>
            <w:vAlign w:val="bottom"/>
          </w:tcPr>
          <w:p w14:paraId="681A6A16">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outlineLvl w:val="9"/>
              <w:rPr>
                <w:rFonts w:hint="eastAsia" w:ascii="Times New Roman" w:hAnsi="Times New Roman" w:eastAsia="宋体" w:cs="Times New Roman"/>
                <w:color w:val="000000" w:themeColor="text1"/>
                <w:kern w:val="0"/>
                <w:sz w:val="21"/>
                <w:szCs w:val="21"/>
                <w:lang w:eastAsia="zh-CN"/>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566.30</w:t>
            </w:r>
          </w:p>
        </w:tc>
        <w:tc>
          <w:tcPr>
            <w:tcW w:w="1064" w:type="pct"/>
            <w:noWrap/>
            <w:vAlign w:val="center"/>
          </w:tcPr>
          <w:p w14:paraId="30D817DE">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100％</w:t>
            </w:r>
          </w:p>
        </w:tc>
      </w:tr>
    </w:tbl>
    <w:p w14:paraId="7DCA2782">
      <w:pPr>
        <w:keepNext w:val="0"/>
        <w:keepLines w:val="0"/>
        <w:pageBreakBefore w:val="0"/>
        <w:widowControl w:val="0"/>
        <w:kinsoku/>
        <w:wordWrap/>
        <w:overflowPunct/>
        <w:topLinePunct w:val="0"/>
        <w:autoSpaceDE/>
        <w:autoSpaceDN/>
        <w:bidi w:val="0"/>
        <w:spacing w:line="360" w:lineRule="auto"/>
        <w:ind w:firstLine="480" w:firstLineChars="200"/>
        <w:jc w:val="both"/>
        <w:outlineLvl w:val="9"/>
        <w:rPr>
          <w:rFonts w:hint="default" w:ascii="Times New Roman" w:hAnsi="Times New Roman" w:eastAsia="宋体" w:cs="Times New Roman"/>
          <w:color w:val="000000" w:themeColor="text1"/>
          <w:kern w:val="0"/>
          <w:sz w:val="24"/>
          <w:szCs w:val="24"/>
          <w:lang w:val="en-US" w:eastAsia="zh-CN" w:bidi="ar-SA"/>
          <w14:textFill>
            <w14:solidFill>
              <w14:schemeClr w14:val="tx1"/>
            </w14:solidFill>
          </w14:textFill>
        </w:rPr>
      </w:pPr>
    </w:p>
    <w:p w14:paraId="7DB0B614">
      <w:pPr>
        <w:keepNext w:val="0"/>
        <w:keepLines w:val="0"/>
        <w:pageBreakBefore w:val="0"/>
        <w:widowControl w:val="0"/>
        <w:kinsoku/>
        <w:wordWrap/>
        <w:overflowPunct/>
        <w:topLinePunct w:val="0"/>
        <w:autoSpaceDE/>
        <w:autoSpaceDN/>
        <w:bidi w:val="0"/>
        <w:spacing w:line="360" w:lineRule="auto"/>
        <w:ind w:firstLine="480" w:firstLineChars="200"/>
        <w:jc w:val="both"/>
        <w:outlineLvl w:val="9"/>
        <w:rPr>
          <w:rFonts w:hint="default" w:ascii="Times New Roman" w:hAnsi="Times New Roman" w:eastAsia="宋体" w:cs="Times New Roman"/>
          <w:color w:val="000000" w:themeColor="text1"/>
          <w:spacing w:val="-6"/>
          <w:kern w:val="2"/>
          <w:sz w:val="24"/>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4"/>
          <w:szCs w:val="24"/>
          <w:lang w:val="en-US" w:eastAsia="zh-CN" w:bidi="ar-SA"/>
          <w14:textFill>
            <w14:solidFill>
              <w14:schemeClr w14:val="tx1"/>
            </w14:solidFill>
          </w14:textFill>
        </w:rPr>
        <w:t>根据遥感卫星图片解译可知，项目评价区域评价范围内耕地面积所占总面积比例最大，为28.34%；草</w:t>
      </w:r>
      <w:r>
        <w:rPr>
          <w:rFonts w:hint="eastAsia" w:ascii="Times New Roman" w:hAnsi="Times New Roman" w:eastAsia="宋体" w:cs="Times New Roman"/>
          <w:color w:val="000000" w:themeColor="text1"/>
          <w:kern w:val="0"/>
          <w:sz w:val="24"/>
          <w:szCs w:val="24"/>
          <w:lang w:val="en-US" w:eastAsia="zh-CN" w:bidi="ar-SA"/>
          <w14:textFill>
            <w14:solidFill>
              <w14:schemeClr w14:val="tx1"/>
            </w14:solidFill>
          </w14:textFill>
        </w:rPr>
        <w:t>原</w:t>
      </w:r>
      <w:r>
        <w:rPr>
          <w:rFonts w:hint="default" w:ascii="Times New Roman" w:hAnsi="Times New Roman" w:eastAsia="宋体" w:cs="Times New Roman"/>
          <w:color w:val="000000" w:themeColor="text1"/>
          <w:kern w:val="0"/>
          <w:sz w:val="24"/>
          <w:szCs w:val="24"/>
          <w:lang w:val="en-US" w:eastAsia="zh-CN" w:bidi="ar-SA"/>
          <w14:textFill>
            <w14:solidFill>
              <w14:schemeClr w14:val="tx1"/>
            </w14:solidFill>
          </w14:textFill>
        </w:rPr>
        <w:t>次之，占总面积的的比例27.34%；阔叶灌丛占总面积的的比例23.70%；阔叶灌丛占总面积的的比例23.70%；生态系统类型的面积和所占评价区面积比例详见表4.2-4</w:t>
      </w: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w:t>
      </w:r>
    </w:p>
    <w:p w14:paraId="4EC86E3F">
      <w:pPr>
        <w:keepNext w:val="0"/>
        <w:keepLines w:val="0"/>
        <w:pageBreakBefore w:val="0"/>
        <w:widowControl w:val="0"/>
        <w:kinsoku/>
        <w:wordWrap/>
        <w:overflowPunct/>
        <w:topLinePunct w:val="0"/>
        <w:bidi w:val="0"/>
        <w:spacing w:line="360" w:lineRule="auto"/>
        <w:ind w:firstLine="0" w:firstLineChars="0"/>
        <w:jc w:val="left"/>
        <w:outlineLvl w:val="9"/>
        <w:rPr>
          <w:rFonts w:hint="eastAsia" w:ascii="Times New Roman" w:hAnsi="Times New Roman" w:eastAsia="宋体" w:cs="Times New Roman"/>
          <w:color w:val="000000" w:themeColor="text1"/>
          <w:kern w:val="0"/>
          <w:sz w:val="24"/>
          <w:szCs w:val="24"/>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4"/>
          <w:szCs w:val="24"/>
          <w:lang w:val="en-US" w:eastAsia="zh-CN" w:bidi="ar-SA"/>
          <w14:textFill>
            <w14:solidFill>
              <w14:schemeClr w14:val="tx1"/>
            </w14:solidFill>
          </w14:textFill>
        </w:rPr>
        <w:drawing>
          <wp:inline distT="0" distB="0" distL="114300" distR="114300">
            <wp:extent cx="5615940" cy="3507105"/>
            <wp:effectExtent l="0" t="0" r="3810" b="7620"/>
            <wp:docPr id="54" name="图片 54" descr="生态系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生态系统"/>
                    <pic:cNvPicPr>
                      <a:picLocks noChangeAspect="1"/>
                    </pic:cNvPicPr>
                  </pic:nvPicPr>
                  <pic:blipFill>
                    <a:blip r:embed="rId45"/>
                    <a:stretch>
                      <a:fillRect/>
                    </a:stretch>
                  </pic:blipFill>
                  <pic:spPr>
                    <a:xfrm>
                      <a:off x="0" y="0"/>
                      <a:ext cx="5615940" cy="3507105"/>
                    </a:xfrm>
                    <a:prstGeom prst="rect">
                      <a:avLst/>
                    </a:prstGeom>
                  </pic:spPr>
                </pic:pic>
              </a:graphicData>
            </a:graphic>
          </wp:inline>
        </w:drawing>
      </w:r>
    </w:p>
    <w:p w14:paraId="4B4101A3">
      <w:pPr>
        <w:keepNext w:val="0"/>
        <w:keepLines w:val="0"/>
        <w:pageBreakBefore w:val="0"/>
        <w:widowControl w:val="0"/>
        <w:kinsoku/>
        <w:wordWrap/>
        <w:overflowPunct/>
        <w:topLinePunct w:val="0"/>
        <w:autoSpaceDE/>
        <w:autoSpaceDN/>
        <w:bidi w:val="0"/>
        <w:adjustRightInd/>
        <w:spacing w:line="360" w:lineRule="auto"/>
        <w:ind w:firstLine="0" w:firstLineChars="0"/>
        <w:jc w:val="center"/>
        <w:textAlignment w:val="auto"/>
        <w:outlineLvl w:val="9"/>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图4-6生态系统类型现状图</w:t>
      </w:r>
    </w:p>
    <w:p w14:paraId="328B98A0">
      <w:pPr>
        <w:keepNext w:val="0"/>
        <w:keepLines w:val="0"/>
        <w:pageBreakBefore w:val="0"/>
        <w:widowControl w:val="0"/>
        <w:kinsoku/>
        <w:wordWrap/>
        <w:overflowPunct/>
        <w:topLinePunct w:val="0"/>
        <w:autoSpaceDE/>
        <w:autoSpaceDN/>
        <w:bidi w:val="0"/>
        <w:adjustRightInd/>
        <w:spacing w:line="360" w:lineRule="auto"/>
        <w:ind w:firstLine="480" w:firstLineChars="200"/>
        <w:jc w:val="both"/>
        <w:textAlignment w:val="auto"/>
        <w:outlineLvl w:val="9"/>
        <w:rPr>
          <w:rFonts w:hint="default" w:ascii="Times New Roman" w:hAnsi="Times New Roman" w:eastAsia="宋体" w:cs="Times New Roman"/>
          <w:color w:val="000000" w:themeColor="text1"/>
          <w:kern w:val="0"/>
          <w:sz w:val="24"/>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4"/>
          <w:szCs w:val="24"/>
          <w:lang w:val="en-US" w:eastAsia="zh-CN" w:bidi="ar-SA"/>
          <w14:textFill>
            <w14:solidFill>
              <w14:schemeClr w14:val="tx1"/>
            </w14:solidFill>
          </w14:textFill>
        </w:rPr>
        <w:t>项目占地范围内生态系统类型，见表4.2-5。</w:t>
      </w:r>
    </w:p>
    <w:p w14:paraId="27B0282E">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outlineLvl w:val="9"/>
        <w:rPr>
          <w:rFonts w:hint="default" w:ascii="Times New Roman" w:hAnsi="Times New Roman" w:eastAsia="宋体" w:cs="Times New Roman"/>
          <w:b/>
          <w:color w:val="000000" w:themeColor="text1"/>
          <w:sz w:val="21"/>
          <w:szCs w:val="21"/>
          <w:lang w:val="en-GB"/>
          <w14:textFill>
            <w14:solidFill>
              <w14:schemeClr w14:val="tx1"/>
            </w14:solidFill>
          </w14:textFill>
        </w:rPr>
      </w:pPr>
      <w:r>
        <w:rPr>
          <w:rFonts w:hint="default" w:ascii="Times New Roman" w:hAnsi="Times New Roman" w:eastAsia="宋体" w:cs="Times New Roman"/>
          <w:b/>
          <w:color w:val="000000" w:themeColor="text1"/>
          <w:sz w:val="21"/>
          <w:szCs w:val="21"/>
          <w:lang w:val="en-GB"/>
          <w14:textFill>
            <w14:solidFill>
              <w14:schemeClr w14:val="tx1"/>
            </w14:solidFill>
          </w14:textFill>
        </w:rPr>
        <w:t>表</w:t>
      </w:r>
      <w:r>
        <w:rPr>
          <w:rFonts w:hint="default" w:ascii="Times New Roman" w:hAnsi="Times New Roman" w:eastAsia="宋体" w:cs="Times New Roman"/>
          <w:b/>
          <w:color w:val="000000" w:themeColor="text1"/>
          <w:sz w:val="21"/>
          <w:szCs w:val="21"/>
          <w14:textFill>
            <w14:solidFill>
              <w14:schemeClr w14:val="tx1"/>
            </w14:solidFill>
          </w14:textFill>
        </w:rPr>
        <w:t>4.2-5</w:t>
      </w:r>
      <w:r>
        <w:rPr>
          <w:rFonts w:hint="default" w:ascii="Times New Roman" w:hAnsi="Times New Roman" w:eastAsia="宋体" w:cs="Times New Roman"/>
          <w:b/>
          <w:color w:val="000000" w:themeColor="text1"/>
          <w:sz w:val="21"/>
          <w:szCs w:val="21"/>
          <w:lang w:val="en-GB"/>
          <w14:textFill>
            <w14:solidFill>
              <w14:schemeClr w14:val="tx1"/>
            </w14:solidFill>
          </w14:textFill>
        </w:rPr>
        <w:t>占地范围生态系统类型现状</w:t>
      </w:r>
    </w:p>
    <w:tbl>
      <w:tblPr>
        <w:tblStyle w:val="29"/>
        <w:tblW w:w="505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73"/>
        <w:gridCol w:w="2302"/>
        <w:gridCol w:w="1803"/>
        <w:gridCol w:w="1439"/>
        <w:gridCol w:w="1951"/>
      </w:tblGrid>
      <w:tr w14:paraId="5DCD6D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12" w:type="pct"/>
            <w:noWrap/>
            <w:vAlign w:val="center"/>
          </w:tcPr>
          <w:p w14:paraId="6444B424">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b/>
                <w:bCs/>
                <w:color w:val="000000" w:themeColor="text1"/>
                <w:kern w:val="0"/>
                <w:sz w:val="21"/>
                <w:szCs w:val="21"/>
                <w:lang w:bidi="ar"/>
                <w14:textFill>
                  <w14:solidFill>
                    <w14:schemeClr w14:val="tx1"/>
                  </w14:solidFill>
                </w14:textFill>
              </w:rPr>
            </w:pPr>
            <w:r>
              <w:rPr>
                <w:rFonts w:hint="default" w:ascii="Times New Roman" w:hAnsi="Times New Roman" w:eastAsia="宋体" w:cs="Times New Roman"/>
                <w:b/>
                <w:bCs/>
                <w:color w:val="000000" w:themeColor="text1"/>
                <w:kern w:val="0"/>
                <w:sz w:val="21"/>
                <w:szCs w:val="21"/>
                <w:lang w:bidi="ar"/>
                <w14:textFill>
                  <w14:solidFill>
                    <w14:schemeClr w14:val="tx1"/>
                  </w14:solidFill>
                </w14:textFill>
              </w:rPr>
              <w:t>一级类型</w:t>
            </w:r>
          </w:p>
        </w:tc>
        <w:tc>
          <w:tcPr>
            <w:tcW w:w="1255" w:type="pct"/>
            <w:noWrap/>
            <w:vAlign w:val="center"/>
          </w:tcPr>
          <w:p w14:paraId="396CFF50">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b/>
                <w:bCs/>
                <w:color w:val="000000" w:themeColor="text1"/>
                <w:kern w:val="0"/>
                <w:sz w:val="21"/>
                <w:szCs w:val="21"/>
                <w:lang w:bidi="ar"/>
                <w14:textFill>
                  <w14:solidFill>
                    <w14:schemeClr w14:val="tx1"/>
                  </w14:solidFill>
                </w14:textFill>
              </w:rPr>
            </w:pPr>
            <w:r>
              <w:rPr>
                <w:rFonts w:hint="default" w:ascii="Times New Roman" w:hAnsi="Times New Roman" w:eastAsia="宋体" w:cs="Times New Roman"/>
                <w:b/>
                <w:bCs/>
                <w:color w:val="000000" w:themeColor="text1"/>
                <w:kern w:val="0"/>
                <w:sz w:val="21"/>
                <w:szCs w:val="21"/>
                <w:lang w:bidi="ar"/>
                <w14:textFill>
                  <w14:solidFill>
                    <w14:schemeClr w14:val="tx1"/>
                  </w14:solidFill>
                </w14:textFill>
              </w:rPr>
              <w:t>二级类型</w:t>
            </w:r>
          </w:p>
        </w:tc>
        <w:tc>
          <w:tcPr>
            <w:tcW w:w="983" w:type="pct"/>
            <w:noWrap/>
            <w:vAlign w:val="center"/>
          </w:tcPr>
          <w:p w14:paraId="5E10FB89">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b/>
                <w:bCs/>
                <w:color w:val="000000" w:themeColor="text1"/>
                <w:kern w:val="0"/>
                <w:sz w:val="21"/>
                <w:szCs w:val="21"/>
                <w:lang w:bidi="ar"/>
                <w14:textFill>
                  <w14:solidFill>
                    <w14:schemeClr w14:val="tx1"/>
                  </w14:solidFill>
                </w14:textFill>
              </w:rPr>
            </w:pPr>
            <w:r>
              <w:rPr>
                <w:rFonts w:hint="default" w:ascii="Times New Roman" w:hAnsi="Times New Roman" w:eastAsia="宋体" w:cs="Times New Roman"/>
                <w:b/>
                <w:bCs/>
                <w:color w:val="000000" w:themeColor="text1"/>
                <w:kern w:val="0"/>
                <w:sz w:val="21"/>
                <w:szCs w:val="21"/>
                <w:lang w:bidi="ar"/>
                <w14:textFill>
                  <w14:solidFill>
                    <w14:schemeClr w14:val="tx1"/>
                  </w14:solidFill>
                </w14:textFill>
              </w:rPr>
              <w:t>斑块数（个）</w:t>
            </w:r>
          </w:p>
        </w:tc>
        <w:tc>
          <w:tcPr>
            <w:tcW w:w="784" w:type="pct"/>
            <w:noWrap/>
            <w:vAlign w:val="center"/>
          </w:tcPr>
          <w:p w14:paraId="29AF90D1">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b/>
                <w:bCs/>
                <w:color w:val="000000" w:themeColor="text1"/>
                <w:kern w:val="0"/>
                <w:sz w:val="21"/>
                <w:szCs w:val="21"/>
                <w:lang w:bidi="ar"/>
                <w14:textFill>
                  <w14:solidFill>
                    <w14:schemeClr w14:val="tx1"/>
                  </w14:solidFill>
                </w14:textFill>
              </w:rPr>
            </w:pPr>
            <w:r>
              <w:rPr>
                <w:rFonts w:hint="default" w:ascii="Times New Roman" w:hAnsi="Times New Roman" w:eastAsia="宋体" w:cs="Times New Roman"/>
                <w:b/>
                <w:bCs/>
                <w:color w:val="000000" w:themeColor="text1"/>
                <w:kern w:val="0"/>
                <w:sz w:val="21"/>
                <w:szCs w:val="21"/>
                <w:lang w:bidi="ar"/>
                <w14:textFill>
                  <w14:solidFill>
                    <w14:schemeClr w14:val="tx1"/>
                  </w14:solidFill>
                </w14:textFill>
              </w:rPr>
              <w:t>面积（hm</w:t>
            </w:r>
            <w:r>
              <w:rPr>
                <w:rFonts w:hint="default" w:ascii="Times New Roman" w:hAnsi="Times New Roman" w:eastAsia="宋体" w:cs="Times New Roman"/>
                <w:b/>
                <w:bCs/>
                <w:color w:val="000000" w:themeColor="text1"/>
                <w:kern w:val="0"/>
                <w:sz w:val="21"/>
                <w:szCs w:val="21"/>
                <w:vertAlign w:val="superscript"/>
                <w:lang w:bidi="ar"/>
                <w14:textFill>
                  <w14:solidFill>
                    <w14:schemeClr w14:val="tx1"/>
                  </w14:solidFill>
                </w14:textFill>
              </w:rPr>
              <w:t>2</w:t>
            </w:r>
            <w:r>
              <w:rPr>
                <w:rFonts w:hint="default" w:ascii="Times New Roman" w:hAnsi="Times New Roman" w:eastAsia="宋体" w:cs="Times New Roman"/>
                <w:b/>
                <w:bCs/>
                <w:color w:val="000000" w:themeColor="text1"/>
                <w:kern w:val="0"/>
                <w:sz w:val="21"/>
                <w:szCs w:val="21"/>
                <w:lang w:bidi="ar"/>
                <w14:textFill>
                  <w14:solidFill>
                    <w14:schemeClr w14:val="tx1"/>
                  </w14:solidFill>
                </w14:textFill>
              </w:rPr>
              <w:t>）</w:t>
            </w:r>
          </w:p>
        </w:tc>
        <w:tc>
          <w:tcPr>
            <w:tcW w:w="1064" w:type="pct"/>
            <w:noWrap/>
            <w:vAlign w:val="center"/>
          </w:tcPr>
          <w:p w14:paraId="435B8AFD">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eastAsia" w:ascii="Times New Roman" w:hAnsi="Times New Roman" w:eastAsia="宋体" w:cs="Times New Roman"/>
                <w:b/>
                <w:bCs/>
                <w:color w:val="000000" w:themeColor="text1"/>
                <w:kern w:val="0"/>
                <w:sz w:val="21"/>
                <w:szCs w:val="21"/>
                <w:lang w:eastAsia="zh-CN" w:bidi="ar"/>
                <w14:textFill>
                  <w14:solidFill>
                    <w14:schemeClr w14:val="tx1"/>
                  </w14:solidFill>
                </w14:textFill>
              </w:rPr>
            </w:pPr>
            <w:r>
              <w:rPr>
                <w:rFonts w:hint="default" w:ascii="Times New Roman" w:hAnsi="Times New Roman" w:eastAsia="宋体" w:cs="Times New Roman"/>
                <w:b/>
                <w:bCs/>
                <w:color w:val="000000" w:themeColor="text1"/>
                <w:kern w:val="0"/>
                <w:sz w:val="21"/>
                <w:szCs w:val="21"/>
                <w:lang w:bidi="ar"/>
                <w14:textFill>
                  <w14:solidFill>
                    <w14:schemeClr w14:val="tx1"/>
                  </w14:solidFill>
                </w14:textFill>
              </w:rPr>
              <w:t>占项目区面积比例</w:t>
            </w:r>
            <w:r>
              <w:rPr>
                <w:rFonts w:hint="eastAsia" w:cs="Times New Roman"/>
                <w:b/>
                <w:bCs/>
                <w:color w:val="000000" w:themeColor="text1"/>
                <w:kern w:val="0"/>
                <w:sz w:val="21"/>
                <w:szCs w:val="21"/>
                <w:lang w:eastAsia="zh-CN" w:bidi="ar"/>
                <w14:textFill>
                  <w14:solidFill>
                    <w14:schemeClr w14:val="tx1"/>
                  </w14:solidFill>
                </w14:textFill>
              </w:rPr>
              <w:t>（</w:t>
            </w:r>
            <w:r>
              <w:rPr>
                <w:rFonts w:hint="default" w:ascii="Times New Roman" w:hAnsi="Times New Roman" w:eastAsia="宋体" w:cs="Times New Roman"/>
                <w:b/>
                <w:bCs/>
                <w:color w:val="000000" w:themeColor="text1"/>
                <w:kern w:val="0"/>
                <w:sz w:val="21"/>
                <w:szCs w:val="21"/>
                <w:lang w:bidi="ar"/>
                <w14:textFill>
                  <w14:solidFill>
                    <w14:schemeClr w14:val="tx1"/>
                  </w14:solidFill>
                </w14:textFill>
              </w:rPr>
              <w:t>％</w:t>
            </w:r>
            <w:r>
              <w:rPr>
                <w:rFonts w:hint="eastAsia" w:cs="Times New Roman"/>
                <w:b/>
                <w:bCs/>
                <w:color w:val="000000" w:themeColor="text1"/>
                <w:kern w:val="0"/>
                <w:sz w:val="21"/>
                <w:szCs w:val="21"/>
                <w:lang w:eastAsia="zh-CN" w:bidi="ar"/>
                <w14:textFill>
                  <w14:solidFill>
                    <w14:schemeClr w14:val="tx1"/>
                  </w14:solidFill>
                </w14:textFill>
              </w:rPr>
              <w:t>）</w:t>
            </w:r>
          </w:p>
        </w:tc>
      </w:tr>
      <w:tr w14:paraId="7E4B74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912" w:type="pct"/>
            <w:noWrap/>
            <w:vAlign w:val="center"/>
          </w:tcPr>
          <w:p w14:paraId="752AF9DB">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森林生态系统</w:t>
            </w:r>
          </w:p>
        </w:tc>
        <w:tc>
          <w:tcPr>
            <w:tcW w:w="1255" w:type="pct"/>
            <w:noWrap/>
            <w:vAlign w:val="center"/>
          </w:tcPr>
          <w:p w14:paraId="1B04B68E">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阔叶林</w:t>
            </w:r>
          </w:p>
        </w:tc>
        <w:tc>
          <w:tcPr>
            <w:tcW w:w="983" w:type="pct"/>
            <w:noWrap/>
            <w:vAlign w:val="center"/>
          </w:tcPr>
          <w:p w14:paraId="60F9389D">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2</w:t>
            </w:r>
          </w:p>
        </w:tc>
        <w:tc>
          <w:tcPr>
            <w:tcW w:w="1439" w:type="dxa"/>
            <w:noWrap/>
            <w:vAlign w:val="center"/>
          </w:tcPr>
          <w:p w14:paraId="1D8049E4">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10.48</w:t>
            </w:r>
          </w:p>
        </w:tc>
        <w:tc>
          <w:tcPr>
            <w:tcW w:w="1951" w:type="dxa"/>
            <w:noWrap/>
            <w:vAlign w:val="center"/>
          </w:tcPr>
          <w:p w14:paraId="7F458FEF">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100%</w:t>
            </w:r>
          </w:p>
        </w:tc>
      </w:tr>
      <w:tr w14:paraId="205C90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167" w:type="pct"/>
            <w:gridSpan w:val="2"/>
            <w:noWrap/>
            <w:vAlign w:val="center"/>
          </w:tcPr>
          <w:p w14:paraId="1D5F5848">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合计</w:t>
            </w:r>
          </w:p>
        </w:tc>
        <w:tc>
          <w:tcPr>
            <w:tcW w:w="983" w:type="pct"/>
            <w:noWrap/>
            <w:vAlign w:val="center"/>
          </w:tcPr>
          <w:p w14:paraId="75AD3852">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eastAsia" w:ascii="Times New Roman" w:hAnsi="Times New Roman" w:eastAsia="宋体" w:cs="Times New Roman"/>
                <w:color w:val="000000" w:themeColor="text1"/>
                <w:kern w:val="0"/>
                <w:sz w:val="21"/>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lang w:val="en-US" w:eastAsia="zh-CN" w:bidi="ar"/>
                <w14:textFill>
                  <w14:solidFill>
                    <w14:schemeClr w14:val="tx1"/>
                  </w14:solidFill>
                </w14:textFill>
              </w:rPr>
              <w:t>2</w:t>
            </w:r>
          </w:p>
        </w:tc>
        <w:tc>
          <w:tcPr>
            <w:tcW w:w="784" w:type="pct"/>
            <w:noWrap/>
            <w:vAlign w:val="center"/>
          </w:tcPr>
          <w:p w14:paraId="2721B19A">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10.48</w:t>
            </w:r>
          </w:p>
        </w:tc>
        <w:tc>
          <w:tcPr>
            <w:tcW w:w="1064" w:type="pct"/>
            <w:noWrap/>
            <w:vAlign w:val="center"/>
          </w:tcPr>
          <w:p w14:paraId="2EC955B6">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100%</w:t>
            </w:r>
          </w:p>
        </w:tc>
      </w:tr>
    </w:tbl>
    <w:p w14:paraId="1857FACC">
      <w:pPr>
        <w:keepNext w:val="0"/>
        <w:keepLines w:val="0"/>
        <w:pageBreakBefore w:val="0"/>
        <w:widowControl w:val="0"/>
        <w:kinsoku/>
        <w:wordWrap/>
        <w:overflowPunct/>
        <w:topLinePunct w:val="0"/>
        <w:bidi w:val="0"/>
        <w:spacing w:line="360" w:lineRule="auto"/>
        <w:ind w:firstLine="456" w:firstLineChars="200"/>
        <w:jc w:val="both"/>
        <w:outlineLvl w:val="9"/>
        <w:rPr>
          <w:rFonts w:hint="default" w:ascii="Times New Roman" w:hAnsi="Times New Roman" w:eastAsia="宋体" w:cs="Times New Roman"/>
          <w:color w:val="000000" w:themeColor="text1"/>
          <w:spacing w:val="-6"/>
          <w:kern w:val="2"/>
          <w:sz w:val="24"/>
          <w:szCs w:val="24"/>
          <w:lang w:val="en-US" w:eastAsia="zh-CN" w:bidi="ar-SA"/>
          <w14:textFill>
            <w14:solidFill>
              <w14:schemeClr w14:val="tx1"/>
            </w14:solidFill>
          </w14:textFill>
        </w:rPr>
      </w:pPr>
      <w:bookmarkStart w:id="161" w:name="_Toc20027"/>
      <w:bookmarkStart w:id="162" w:name="_Toc10676"/>
    </w:p>
    <w:p w14:paraId="3B2E4FDB">
      <w:pPr>
        <w:keepNext w:val="0"/>
        <w:keepLines w:val="0"/>
        <w:pageBreakBefore w:val="0"/>
        <w:widowControl w:val="0"/>
        <w:kinsoku/>
        <w:wordWrap/>
        <w:overflowPunct/>
        <w:topLinePunct w:val="0"/>
        <w:autoSpaceDE/>
        <w:autoSpaceDN/>
        <w:bidi w:val="0"/>
        <w:adjustRightInd/>
        <w:snapToGrid/>
        <w:spacing w:line="360" w:lineRule="auto"/>
        <w:ind w:firstLine="456" w:firstLineChars="200"/>
        <w:jc w:val="both"/>
        <w:textAlignment w:val="auto"/>
        <w:outlineLvl w:val="9"/>
        <w:rPr>
          <w:rFonts w:hint="default" w:ascii="Times New Roman" w:hAnsi="Times New Roman" w:eastAsia="宋体" w:cs="Times New Roman"/>
          <w:color w:val="000000" w:themeColor="text1"/>
          <w:spacing w:val="-6"/>
          <w:kern w:val="2"/>
          <w:sz w:val="24"/>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spacing w:val="-6"/>
          <w:kern w:val="2"/>
          <w:sz w:val="24"/>
          <w:szCs w:val="24"/>
          <w:lang w:val="en-US" w:eastAsia="zh-CN" w:bidi="ar-SA"/>
          <w14:textFill>
            <w14:solidFill>
              <w14:schemeClr w14:val="tx1"/>
            </w14:solidFill>
          </w14:textFill>
        </w:rPr>
        <w:t>4.2.1.4土地利用现状与评价</w:t>
      </w:r>
      <w:bookmarkEnd w:id="161"/>
      <w:bookmarkEnd w:id="162"/>
    </w:p>
    <w:p w14:paraId="0E6430FB">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color w:val="000000" w:themeColor="text1"/>
          <w:kern w:val="0"/>
          <w:sz w:val="24"/>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4"/>
          <w:szCs w:val="24"/>
          <w:lang w:val="en-US" w:eastAsia="zh-CN" w:bidi="ar-SA"/>
          <w14:textFill>
            <w14:solidFill>
              <w14:schemeClr w14:val="tx1"/>
            </w14:solidFill>
          </w14:textFill>
        </w:rPr>
        <w:t>项目评价区域土地利用类型复杂多样。根据《土地利用现状分类》（GB/T21010-2017），将项目评价区域土地资源划分为8个一级利用类型。</w:t>
      </w:r>
    </w:p>
    <w:p w14:paraId="3A7FE1E6">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color w:val="000000" w:themeColor="text1"/>
          <w:kern w:val="0"/>
          <w:sz w:val="24"/>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4"/>
          <w:szCs w:val="24"/>
          <w:lang w:val="en-US" w:eastAsia="zh-CN" w:bidi="ar-SA"/>
          <w14:textFill>
            <w14:solidFill>
              <w14:schemeClr w14:val="tx1"/>
            </w14:solidFill>
          </w14:textFill>
        </w:rPr>
        <w:t>调查方式以遥感和地面调查及访谈方式进行，根据根据中国资源三号卫星数据作为数据源进行解译，结合实地考察，对项目占地1km区域土地利用现状进行调查见表4.2-6，土地利用现状见图4-7。</w:t>
      </w:r>
    </w:p>
    <w:p w14:paraId="2AAD0E01">
      <w:pPr>
        <w:keepNext w:val="0"/>
        <w:keepLines w:val="0"/>
        <w:pageBreakBefore w:val="0"/>
        <w:widowControl w:val="0"/>
        <w:kinsoku/>
        <w:wordWrap/>
        <w:overflowPunct/>
        <w:topLinePunct w:val="0"/>
        <w:autoSpaceDE/>
        <w:autoSpaceDN/>
        <w:bidi w:val="0"/>
        <w:adjustRightInd/>
        <w:snapToGrid/>
        <w:spacing w:line="360" w:lineRule="auto"/>
        <w:ind w:firstLine="422" w:firstLineChars="0"/>
        <w:jc w:val="center"/>
        <w:textAlignment w:val="auto"/>
        <w:outlineLvl w:val="9"/>
        <w:rPr>
          <w:rFonts w:hint="default" w:ascii="Times New Roman" w:hAnsi="Times New Roman" w:eastAsia="宋体" w:cs="Times New Roman"/>
          <w:b/>
          <w:color w:val="000000" w:themeColor="text1"/>
          <w:sz w:val="21"/>
          <w:szCs w:val="21"/>
          <w14:textFill>
            <w14:solidFill>
              <w14:schemeClr w14:val="tx1"/>
            </w14:solidFill>
          </w14:textFill>
        </w:rPr>
      </w:pPr>
      <w:r>
        <w:rPr>
          <w:rFonts w:hint="default" w:ascii="Times New Roman" w:hAnsi="Times New Roman" w:eastAsia="宋体" w:cs="Times New Roman"/>
          <w:b/>
          <w:color w:val="000000" w:themeColor="text1"/>
          <w:sz w:val="21"/>
          <w:szCs w:val="21"/>
          <w14:textFill>
            <w14:solidFill>
              <w14:schemeClr w14:val="tx1"/>
            </w14:solidFill>
          </w14:textFill>
        </w:rPr>
        <w:t>表4.2-6评价区内土地利用现状</w:t>
      </w:r>
    </w:p>
    <w:tbl>
      <w:tblPr>
        <w:tblStyle w:val="29"/>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862"/>
        <w:gridCol w:w="1786"/>
        <w:gridCol w:w="1502"/>
        <w:gridCol w:w="1419"/>
        <w:gridCol w:w="2287"/>
      </w:tblGrid>
      <w:tr w14:paraId="2711C6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jc w:val="center"/>
        </w:trPr>
        <w:tc>
          <w:tcPr>
            <w:tcW w:w="1051" w:type="pct"/>
            <w:tcBorders>
              <w:tl2br w:val="nil"/>
              <w:tr2bl w:val="nil"/>
            </w:tcBorders>
            <w:shd w:val="clear" w:color="auto" w:fill="auto"/>
            <w:noWrap/>
            <w:vAlign w:val="center"/>
          </w:tcPr>
          <w:p w14:paraId="053811C8">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kern w:val="0"/>
                <w:sz w:val="22"/>
                <w:szCs w:val="22"/>
                <w:lang w:bidi="ar"/>
                <w14:textFill>
                  <w14:solidFill>
                    <w14:schemeClr w14:val="tx1"/>
                  </w14:solidFill>
                </w14:textFill>
              </w:rPr>
              <w:t>一级类型</w:t>
            </w:r>
          </w:p>
        </w:tc>
        <w:tc>
          <w:tcPr>
            <w:tcW w:w="1007" w:type="pct"/>
            <w:tcBorders>
              <w:tl2br w:val="nil"/>
              <w:tr2bl w:val="nil"/>
            </w:tcBorders>
            <w:shd w:val="clear" w:color="auto" w:fill="auto"/>
            <w:noWrap/>
            <w:vAlign w:val="center"/>
          </w:tcPr>
          <w:p w14:paraId="6C8C4689">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kern w:val="0"/>
                <w:sz w:val="22"/>
                <w:szCs w:val="22"/>
                <w:lang w:bidi="ar"/>
                <w14:textFill>
                  <w14:solidFill>
                    <w14:schemeClr w14:val="tx1"/>
                  </w14:solidFill>
                </w14:textFill>
              </w:rPr>
              <w:t>二级类型</w:t>
            </w:r>
          </w:p>
        </w:tc>
        <w:tc>
          <w:tcPr>
            <w:tcW w:w="848" w:type="pct"/>
            <w:tcBorders>
              <w:tl2br w:val="nil"/>
              <w:tr2bl w:val="nil"/>
            </w:tcBorders>
            <w:shd w:val="clear" w:color="auto" w:fill="auto"/>
            <w:noWrap/>
            <w:vAlign w:val="center"/>
          </w:tcPr>
          <w:p w14:paraId="3FF7BED4">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kern w:val="0"/>
                <w:sz w:val="22"/>
                <w:szCs w:val="22"/>
                <w:lang w:bidi="ar"/>
                <w14:textFill>
                  <w14:solidFill>
                    <w14:schemeClr w14:val="tx1"/>
                  </w14:solidFill>
                </w14:textFill>
              </w:rPr>
              <w:t>斑块数（个）</w:t>
            </w:r>
          </w:p>
        </w:tc>
        <w:tc>
          <w:tcPr>
            <w:tcW w:w="801" w:type="pct"/>
            <w:tcBorders>
              <w:tl2br w:val="nil"/>
              <w:tr2bl w:val="nil"/>
            </w:tcBorders>
            <w:shd w:val="clear" w:color="auto" w:fill="auto"/>
            <w:noWrap/>
            <w:vAlign w:val="center"/>
          </w:tcPr>
          <w:p w14:paraId="308572D9">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kern w:val="0"/>
                <w:sz w:val="22"/>
                <w:szCs w:val="22"/>
                <w:lang w:bidi="ar"/>
                <w14:textFill>
                  <w14:solidFill>
                    <w14:schemeClr w14:val="tx1"/>
                  </w14:solidFill>
                </w14:textFill>
              </w:rPr>
              <w:t>面积（hm</w:t>
            </w:r>
            <w:r>
              <w:rPr>
                <w:rFonts w:hint="default" w:ascii="Times New Roman" w:hAnsi="Times New Roman" w:eastAsia="宋体" w:cs="Times New Roman"/>
                <w:color w:val="000000" w:themeColor="text1"/>
                <w:sz w:val="22"/>
                <w:szCs w:val="22"/>
                <w:vertAlign w:val="superscript"/>
                <w:lang w:bidi="ar"/>
                <w14:textFill>
                  <w14:solidFill>
                    <w14:schemeClr w14:val="tx1"/>
                  </w14:solidFill>
                </w14:textFill>
              </w:rPr>
              <w:t>2</w:t>
            </w:r>
            <w:r>
              <w:rPr>
                <w:rFonts w:hint="default" w:ascii="Times New Roman" w:hAnsi="Times New Roman" w:eastAsia="宋体" w:cs="Times New Roman"/>
                <w:color w:val="000000" w:themeColor="text1"/>
                <w:sz w:val="22"/>
                <w:szCs w:val="22"/>
                <w:lang w:bidi="ar"/>
                <w14:textFill>
                  <w14:solidFill>
                    <w14:schemeClr w14:val="tx1"/>
                  </w14:solidFill>
                </w14:textFill>
              </w:rPr>
              <w:t>）</w:t>
            </w:r>
          </w:p>
        </w:tc>
        <w:tc>
          <w:tcPr>
            <w:tcW w:w="1291" w:type="pct"/>
            <w:tcBorders>
              <w:tl2br w:val="nil"/>
              <w:tr2bl w:val="nil"/>
            </w:tcBorders>
            <w:shd w:val="clear" w:color="auto" w:fill="auto"/>
            <w:noWrap/>
            <w:vAlign w:val="center"/>
          </w:tcPr>
          <w:p w14:paraId="46A70498">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kern w:val="0"/>
                <w:sz w:val="22"/>
                <w:szCs w:val="22"/>
                <w:lang w:bidi="ar"/>
                <w14:textFill>
                  <w14:solidFill>
                    <w14:schemeClr w14:val="tx1"/>
                  </w14:solidFill>
                </w14:textFill>
              </w:rPr>
              <w:t>占评价区面积比例</w:t>
            </w:r>
          </w:p>
        </w:tc>
      </w:tr>
      <w:tr w14:paraId="0CD70C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jc w:val="center"/>
        </w:trPr>
        <w:tc>
          <w:tcPr>
            <w:tcW w:w="1051" w:type="pct"/>
            <w:tcBorders>
              <w:tl2br w:val="nil"/>
              <w:tr2bl w:val="nil"/>
            </w:tcBorders>
            <w:shd w:val="clear" w:color="auto" w:fill="auto"/>
            <w:noWrap/>
            <w:vAlign w:val="center"/>
          </w:tcPr>
          <w:p w14:paraId="41B1FBAB">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kern w:val="0"/>
                <w:sz w:val="22"/>
                <w:szCs w:val="22"/>
                <w:lang w:bidi="ar"/>
                <w14:textFill>
                  <w14:solidFill>
                    <w14:schemeClr w14:val="tx1"/>
                  </w14:solidFill>
                </w14:textFill>
              </w:rPr>
              <w:t>草地</w:t>
            </w:r>
          </w:p>
        </w:tc>
        <w:tc>
          <w:tcPr>
            <w:tcW w:w="1007" w:type="pct"/>
            <w:tcBorders>
              <w:tl2br w:val="nil"/>
              <w:tr2bl w:val="nil"/>
            </w:tcBorders>
            <w:shd w:val="clear" w:color="auto" w:fill="auto"/>
            <w:noWrap/>
            <w:vAlign w:val="center"/>
          </w:tcPr>
          <w:p w14:paraId="2688E4B6">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2"/>
                <w:szCs w:val="22"/>
                <w:lang w:bidi="ar"/>
                <w14:textFill>
                  <w14:solidFill>
                    <w14:schemeClr w14:val="tx1"/>
                  </w14:solidFill>
                </w14:textFill>
              </w:rPr>
            </w:pPr>
            <w:r>
              <w:rPr>
                <w:rFonts w:hint="default" w:ascii="Times New Roman" w:hAnsi="Times New Roman" w:eastAsia="宋体" w:cs="Times New Roman"/>
                <w:color w:val="000000" w:themeColor="text1"/>
                <w:kern w:val="0"/>
                <w:sz w:val="22"/>
                <w:szCs w:val="22"/>
                <w:lang w:bidi="ar"/>
                <w14:textFill>
                  <w14:solidFill>
                    <w14:schemeClr w14:val="tx1"/>
                  </w14:solidFill>
                </w14:textFill>
              </w:rPr>
              <w:t>天然牧草地</w:t>
            </w:r>
          </w:p>
        </w:tc>
        <w:tc>
          <w:tcPr>
            <w:tcW w:w="848" w:type="pct"/>
            <w:tcBorders>
              <w:tl2br w:val="nil"/>
              <w:tr2bl w:val="nil"/>
            </w:tcBorders>
            <w:shd w:val="clear" w:color="auto" w:fill="auto"/>
            <w:noWrap/>
            <w:vAlign w:val="bottom"/>
          </w:tcPr>
          <w:p w14:paraId="528698B3">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30</w:t>
            </w:r>
          </w:p>
        </w:tc>
        <w:tc>
          <w:tcPr>
            <w:tcW w:w="801" w:type="pct"/>
            <w:tcBorders>
              <w:tl2br w:val="nil"/>
              <w:tr2bl w:val="nil"/>
            </w:tcBorders>
            <w:shd w:val="clear" w:color="auto" w:fill="auto"/>
            <w:noWrap/>
            <w:vAlign w:val="bottom"/>
          </w:tcPr>
          <w:p w14:paraId="128A66F9">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154.84</w:t>
            </w:r>
          </w:p>
        </w:tc>
        <w:tc>
          <w:tcPr>
            <w:tcW w:w="1291" w:type="pct"/>
            <w:tcBorders>
              <w:tl2br w:val="nil"/>
              <w:tr2bl w:val="nil"/>
            </w:tcBorders>
            <w:shd w:val="clear" w:color="auto" w:fill="auto"/>
            <w:noWrap/>
            <w:vAlign w:val="bottom"/>
          </w:tcPr>
          <w:p w14:paraId="37B0B135">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27.34%</w:t>
            </w:r>
          </w:p>
        </w:tc>
      </w:tr>
      <w:tr w14:paraId="79C13D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jc w:val="center"/>
        </w:trPr>
        <w:tc>
          <w:tcPr>
            <w:tcW w:w="1051" w:type="pct"/>
            <w:tcBorders>
              <w:tl2br w:val="nil"/>
              <w:tr2bl w:val="nil"/>
            </w:tcBorders>
            <w:shd w:val="clear" w:color="auto" w:fill="auto"/>
            <w:noWrap/>
            <w:vAlign w:val="center"/>
          </w:tcPr>
          <w:p w14:paraId="12ACA38D">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kern w:val="0"/>
                <w:sz w:val="22"/>
                <w:szCs w:val="22"/>
                <w:lang w:bidi="ar"/>
                <w14:textFill>
                  <w14:solidFill>
                    <w14:schemeClr w14:val="tx1"/>
                  </w14:solidFill>
                </w14:textFill>
              </w:rPr>
              <w:t>耕地</w:t>
            </w:r>
          </w:p>
        </w:tc>
        <w:tc>
          <w:tcPr>
            <w:tcW w:w="1007" w:type="pct"/>
            <w:tcBorders>
              <w:tl2br w:val="nil"/>
              <w:tr2bl w:val="nil"/>
            </w:tcBorders>
            <w:shd w:val="clear" w:color="auto" w:fill="auto"/>
            <w:noWrap/>
            <w:vAlign w:val="center"/>
          </w:tcPr>
          <w:p w14:paraId="432B7802">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2"/>
                <w:szCs w:val="22"/>
                <w:lang w:bidi="ar"/>
                <w14:textFill>
                  <w14:solidFill>
                    <w14:schemeClr w14:val="tx1"/>
                  </w14:solidFill>
                </w14:textFill>
              </w:rPr>
            </w:pPr>
            <w:r>
              <w:rPr>
                <w:rFonts w:hint="default" w:ascii="Times New Roman" w:hAnsi="Times New Roman" w:eastAsia="宋体" w:cs="Times New Roman"/>
                <w:color w:val="000000" w:themeColor="text1"/>
                <w:kern w:val="0"/>
                <w:sz w:val="22"/>
                <w:szCs w:val="22"/>
                <w:lang w:bidi="ar"/>
                <w14:textFill>
                  <w14:solidFill>
                    <w14:schemeClr w14:val="tx1"/>
                  </w14:solidFill>
                </w14:textFill>
              </w:rPr>
              <w:t>水浇地</w:t>
            </w:r>
          </w:p>
        </w:tc>
        <w:tc>
          <w:tcPr>
            <w:tcW w:w="848" w:type="pct"/>
            <w:tcBorders>
              <w:tl2br w:val="nil"/>
              <w:tr2bl w:val="nil"/>
            </w:tcBorders>
            <w:shd w:val="clear" w:color="auto" w:fill="auto"/>
            <w:noWrap/>
            <w:vAlign w:val="bottom"/>
          </w:tcPr>
          <w:p w14:paraId="1831A011">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14</w:t>
            </w:r>
          </w:p>
        </w:tc>
        <w:tc>
          <w:tcPr>
            <w:tcW w:w="801" w:type="pct"/>
            <w:tcBorders>
              <w:tl2br w:val="nil"/>
              <w:tr2bl w:val="nil"/>
            </w:tcBorders>
            <w:shd w:val="clear" w:color="auto" w:fill="auto"/>
            <w:noWrap/>
            <w:vAlign w:val="bottom"/>
          </w:tcPr>
          <w:p w14:paraId="6D92D7AB">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160.49</w:t>
            </w:r>
          </w:p>
        </w:tc>
        <w:tc>
          <w:tcPr>
            <w:tcW w:w="1291" w:type="pct"/>
            <w:tcBorders>
              <w:tl2br w:val="nil"/>
              <w:tr2bl w:val="nil"/>
            </w:tcBorders>
            <w:shd w:val="clear" w:color="auto" w:fill="auto"/>
            <w:noWrap/>
            <w:vAlign w:val="bottom"/>
          </w:tcPr>
          <w:p w14:paraId="425BCABF">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28.34%</w:t>
            </w:r>
          </w:p>
        </w:tc>
      </w:tr>
      <w:tr w14:paraId="0C5B37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jc w:val="center"/>
        </w:trPr>
        <w:tc>
          <w:tcPr>
            <w:tcW w:w="1051" w:type="pct"/>
            <w:vMerge w:val="restart"/>
            <w:tcBorders>
              <w:tl2br w:val="nil"/>
              <w:tr2bl w:val="nil"/>
            </w:tcBorders>
            <w:shd w:val="clear" w:color="auto" w:fill="auto"/>
            <w:noWrap/>
            <w:vAlign w:val="center"/>
          </w:tcPr>
          <w:p w14:paraId="19F2C749">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kern w:val="0"/>
                <w:sz w:val="22"/>
                <w:szCs w:val="22"/>
                <w:lang w:bidi="ar"/>
                <w14:textFill>
                  <w14:solidFill>
                    <w14:schemeClr w14:val="tx1"/>
                  </w14:solidFill>
                </w14:textFill>
              </w:rPr>
              <w:t>工矿仓储用地</w:t>
            </w:r>
          </w:p>
        </w:tc>
        <w:tc>
          <w:tcPr>
            <w:tcW w:w="1007" w:type="pct"/>
            <w:tcBorders>
              <w:tl2br w:val="nil"/>
              <w:tr2bl w:val="nil"/>
            </w:tcBorders>
            <w:shd w:val="clear" w:color="auto" w:fill="auto"/>
            <w:noWrap/>
            <w:vAlign w:val="center"/>
          </w:tcPr>
          <w:p w14:paraId="4CBBDCDB">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2"/>
                <w:szCs w:val="22"/>
                <w:lang w:bidi="ar"/>
                <w14:textFill>
                  <w14:solidFill>
                    <w14:schemeClr w14:val="tx1"/>
                  </w14:solidFill>
                </w14:textFill>
              </w:rPr>
            </w:pPr>
            <w:r>
              <w:rPr>
                <w:rFonts w:hint="default" w:ascii="Times New Roman" w:hAnsi="Times New Roman" w:eastAsia="宋体" w:cs="Times New Roman"/>
                <w:color w:val="000000" w:themeColor="text1"/>
                <w:kern w:val="0"/>
                <w:sz w:val="22"/>
                <w:szCs w:val="22"/>
                <w:lang w:bidi="ar"/>
                <w14:textFill>
                  <w14:solidFill>
                    <w14:schemeClr w14:val="tx1"/>
                  </w14:solidFill>
                </w14:textFill>
              </w:rPr>
              <w:t>采矿用地</w:t>
            </w:r>
          </w:p>
        </w:tc>
        <w:tc>
          <w:tcPr>
            <w:tcW w:w="848" w:type="pct"/>
            <w:tcBorders>
              <w:tl2br w:val="nil"/>
              <w:tr2bl w:val="nil"/>
            </w:tcBorders>
            <w:shd w:val="clear" w:color="auto" w:fill="auto"/>
            <w:noWrap/>
            <w:vAlign w:val="bottom"/>
          </w:tcPr>
          <w:p w14:paraId="1E529808">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9</w:t>
            </w:r>
          </w:p>
        </w:tc>
        <w:tc>
          <w:tcPr>
            <w:tcW w:w="801" w:type="pct"/>
            <w:tcBorders>
              <w:tl2br w:val="nil"/>
              <w:tr2bl w:val="nil"/>
            </w:tcBorders>
            <w:shd w:val="clear" w:color="auto" w:fill="auto"/>
            <w:noWrap/>
            <w:vAlign w:val="bottom"/>
          </w:tcPr>
          <w:p w14:paraId="6A57A9C6">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4.46</w:t>
            </w:r>
          </w:p>
        </w:tc>
        <w:tc>
          <w:tcPr>
            <w:tcW w:w="1291" w:type="pct"/>
            <w:tcBorders>
              <w:tl2br w:val="nil"/>
              <w:tr2bl w:val="nil"/>
            </w:tcBorders>
            <w:shd w:val="clear" w:color="auto" w:fill="auto"/>
            <w:noWrap/>
            <w:vAlign w:val="bottom"/>
          </w:tcPr>
          <w:p w14:paraId="01E5FE45">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0.79%</w:t>
            </w:r>
          </w:p>
        </w:tc>
      </w:tr>
      <w:tr w14:paraId="687D20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jc w:val="center"/>
        </w:trPr>
        <w:tc>
          <w:tcPr>
            <w:tcW w:w="1051" w:type="pct"/>
            <w:vMerge w:val="continue"/>
            <w:tcBorders>
              <w:tl2br w:val="nil"/>
              <w:tr2bl w:val="nil"/>
            </w:tcBorders>
            <w:shd w:val="clear" w:color="auto" w:fill="auto"/>
            <w:noWrap/>
            <w:vAlign w:val="center"/>
          </w:tcPr>
          <w:p w14:paraId="1F36A34B">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2"/>
                <w:szCs w:val="22"/>
                <w:lang w:bidi="ar"/>
                <w14:textFill>
                  <w14:solidFill>
                    <w14:schemeClr w14:val="tx1"/>
                  </w14:solidFill>
                </w14:textFill>
              </w:rPr>
            </w:pPr>
          </w:p>
        </w:tc>
        <w:tc>
          <w:tcPr>
            <w:tcW w:w="1007" w:type="pct"/>
            <w:tcBorders>
              <w:tl2br w:val="nil"/>
              <w:tr2bl w:val="nil"/>
            </w:tcBorders>
            <w:shd w:val="clear" w:color="auto" w:fill="auto"/>
            <w:noWrap/>
            <w:vAlign w:val="bottom"/>
          </w:tcPr>
          <w:p w14:paraId="2DB5C3FC">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2"/>
                <w:szCs w:val="22"/>
                <w:lang w:bidi="ar"/>
                <w14:textFill>
                  <w14:solidFill>
                    <w14:schemeClr w14:val="tx1"/>
                  </w14:solidFill>
                </w14:textFill>
              </w:rPr>
            </w:pPr>
            <w:r>
              <w:rPr>
                <w:rFonts w:hint="default" w:ascii="Times New Roman" w:hAnsi="Times New Roman" w:eastAsia="宋体" w:cs="Times New Roman"/>
                <w:color w:val="000000" w:themeColor="text1"/>
                <w:kern w:val="0"/>
                <w:sz w:val="22"/>
                <w:szCs w:val="22"/>
                <w:lang w:bidi="ar"/>
                <w14:textFill>
                  <w14:solidFill>
                    <w14:schemeClr w14:val="tx1"/>
                  </w14:solidFill>
                </w14:textFill>
              </w:rPr>
              <w:t>工业用地</w:t>
            </w:r>
          </w:p>
        </w:tc>
        <w:tc>
          <w:tcPr>
            <w:tcW w:w="848" w:type="pct"/>
            <w:tcBorders>
              <w:tl2br w:val="nil"/>
              <w:tr2bl w:val="nil"/>
            </w:tcBorders>
            <w:shd w:val="clear" w:color="auto" w:fill="auto"/>
            <w:noWrap/>
            <w:vAlign w:val="bottom"/>
          </w:tcPr>
          <w:p w14:paraId="406CB018">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4</w:t>
            </w:r>
          </w:p>
        </w:tc>
        <w:tc>
          <w:tcPr>
            <w:tcW w:w="801" w:type="pct"/>
            <w:tcBorders>
              <w:tl2br w:val="nil"/>
              <w:tr2bl w:val="nil"/>
            </w:tcBorders>
            <w:shd w:val="clear" w:color="auto" w:fill="auto"/>
            <w:noWrap/>
            <w:vAlign w:val="bottom"/>
          </w:tcPr>
          <w:p w14:paraId="7504DB24">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7.71</w:t>
            </w:r>
          </w:p>
        </w:tc>
        <w:tc>
          <w:tcPr>
            <w:tcW w:w="1291" w:type="pct"/>
            <w:tcBorders>
              <w:tl2br w:val="nil"/>
              <w:tr2bl w:val="nil"/>
            </w:tcBorders>
            <w:shd w:val="clear" w:color="auto" w:fill="auto"/>
            <w:noWrap/>
            <w:vAlign w:val="bottom"/>
          </w:tcPr>
          <w:p w14:paraId="3ECA3B16">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1.36%</w:t>
            </w:r>
          </w:p>
        </w:tc>
      </w:tr>
      <w:tr w14:paraId="0459E1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jc w:val="center"/>
        </w:trPr>
        <w:tc>
          <w:tcPr>
            <w:tcW w:w="1051" w:type="pct"/>
            <w:vMerge w:val="restart"/>
            <w:tcBorders>
              <w:tl2br w:val="nil"/>
              <w:tr2bl w:val="nil"/>
            </w:tcBorders>
            <w:shd w:val="clear" w:color="auto" w:fill="auto"/>
            <w:noWrap/>
            <w:vAlign w:val="center"/>
          </w:tcPr>
          <w:p w14:paraId="1A0C7568">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kern w:val="0"/>
                <w:sz w:val="22"/>
                <w:szCs w:val="22"/>
                <w:lang w:bidi="ar"/>
                <w14:textFill>
                  <w14:solidFill>
                    <w14:schemeClr w14:val="tx1"/>
                  </w14:solidFill>
                </w14:textFill>
              </w:rPr>
              <w:t>交通运输用地</w:t>
            </w:r>
          </w:p>
        </w:tc>
        <w:tc>
          <w:tcPr>
            <w:tcW w:w="1007" w:type="pct"/>
            <w:tcBorders>
              <w:tl2br w:val="nil"/>
              <w:tr2bl w:val="nil"/>
            </w:tcBorders>
            <w:shd w:val="clear" w:color="auto" w:fill="auto"/>
            <w:noWrap/>
            <w:vAlign w:val="center"/>
          </w:tcPr>
          <w:p w14:paraId="3D74E80C">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2"/>
                <w:szCs w:val="22"/>
                <w:lang w:bidi="ar"/>
                <w14:textFill>
                  <w14:solidFill>
                    <w14:schemeClr w14:val="tx1"/>
                  </w14:solidFill>
                </w14:textFill>
              </w:rPr>
            </w:pPr>
            <w:r>
              <w:rPr>
                <w:rFonts w:hint="default" w:ascii="Times New Roman" w:hAnsi="Times New Roman" w:eastAsia="宋体" w:cs="Times New Roman"/>
                <w:color w:val="000000" w:themeColor="text1"/>
                <w:kern w:val="0"/>
                <w:sz w:val="22"/>
                <w:szCs w:val="22"/>
                <w:lang w:bidi="ar"/>
                <w14:textFill>
                  <w14:solidFill>
                    <w14:schemeClr w14:val="tx1"/>
                  </w14:solidFill>
                </w14:textFill>
              </w:rPr>
              <w:t>农村道路用地</w:t>
            </w:r>
          </w:p>
        </w:tc>
        <w:tc>
          <w:tcPr>
            <w:tcW w:w="848" w:type="pct"/>
            <w:tcBorders>
              <w:tl2br w:val="nil"/>
              <w:tr2bl w:val="nil"/>
            </w:tcBorders>
            <w:shd w:val="clear" w:color="auto" w:fill="auto"/>
            <w:noWrap/>
            <w:vAlign w:val="bottom"/>
          </w:tcPr>
          <w:p w14:paraId="11B8CE38">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6</w:t>
            </w:r>
          </w:p>
        </w:tc>
        <w:tc>
          <w:tcPr>
            <w:tcW w:w="801" w:type="pct"/>
            <w:tcBorders>
              <w:tl2br w:val="nil"/>
              <w:tr2bl w:val="nil"/>
            </w:tcBorders>
            <w:shd w:val="clear" w:color="auto" w:fill="auto"/>
            <w:noWrap/>
            <w:vAlign w:val="bottom"/>
          </w:tcPr>
          <w:p w14:paraId="322CDC04">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8.93</w:t>
            </w:r>
          </w:p>
        </w:tc>
        <w:tc>
          <w:tcPr>
            <w:tcW w:w="1291" w:type="pct"/>
            <w:tcBorders>
              <w:tl2br w:val="nil"/>
              <w:tr2bl w:val="nil"/>
            </w:tcBorders>
            <w:shd w:val="clear" w:color="auto" w:fill="auto"/>
            <w:noWrap/>
            <w:vAlign w:val="bottom"/>
          </w:tcPr>
          <w:p w14:paraId="74A0FF92">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1.58%</w:t>
            </w:r>
          </w:p>
        </w:tc>
      </w:tr>
      <w:tr w14:paraId="35FCB4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jc w:val="center"/>
        </w:trPr>
        <w:tc>
          <w:tcPr>
            <w:tcW w:w="1051" w:type="pct"/>
            <w:vMerge w:val="continue"/>
            <w:tcBorders>
              <w:tl2br w:val="nil"/>
              <w:tr2bl w:val="nil"/>
            </w:tcBorders>
            <w:shd w:val="clear" w:color="auto" w:fill="auto"/>
            <w:noWrap/>
            <w:vAlign w:val="center"/>
          </w:tcPr>
          <w:p w14:paraId="56C11E9A">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2"/>
                <w:szCs w:val="22"/>
                <w:lang w:bidi="ar"/>
                <w14:textFill>
                  <w14:solidFill>
                    <w14:schemeClr w14:val="tx1"/>
                  </w14:solidFill>
                </w14:textFill>
              </w:rPr>
            </w:pPr>
          </w:p>
        </w:tc>
        <w:tc>
          <w:tcPr>
            <w:tcW w:w="1007" w:type="pct"/>
            <w:tcBorders>
              <w:tl2br w:val="nil"/>
              <w:tr2bl w:val="nil"/>
            </w:tcBorders>
            <w:shd w:val="clear" w:color="auto" w:fill="auto"/>
            <w:noWrap/>
            <w:vAlign w:val="bottom"/>
          </w:tcPr>
          <w:p w14:paraId="76E45510">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2"/>
                <w:szCs w:val="22"/>
                <w:lang w:bidi="ar"/>
                <w14:textFill>
                  <w14:solidFill>
                    <w14:schemeClr w14:val="tx1"/>
                  </w14:solidFill>
                </w14:textFill>
              </w:rPr>
            </w:pPr>
            <w:r>
              <w:rPr>
                <w:rFonts w:hint="default" w:ascii="Times New Roman" w:hAnsi="Times New Roman" w:eastAsia="宋体" w:cs="Times New Roman"/>
                <w:color w:val="000000" w:themeColor="text1"/>
                <w:kern w:val="0"/>
                <w:sz w:val="22"/>
                <w:szCs w:val="22"/>
                <w:lang w:bidi="ar"/>
                <w14:textFill>
                  <w14:solidFill>
                    <w14:schemeClr w14:val="tx1"/>
                  </w14:solidFill>
                </w14:textFill>
              </w:rPr>
              <w:t>公路用地</w:t>
            </w:r>
          </w:p>
        </w:tc>
        <w:tc>
          <w:tcPr>
            <w:tcW w:w="848" w:type="pct"/>
            <w:tcBorders>
              <w:tl2br w:val="nil"/>
              <w:tr2bl w:val="nil"/>
            </w:tcBorders>
            <w:shd w:val="clear" w:color="auto" w:fill="auto"/>
            <w:noWrap/>
            <w:vAlign w:val="bottom"/>
          </w:tcPr>
          <w:p w14:paraId="6EEA857B">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1</w:t>
            </w:r>
          </w:p>
        </w:tc>
        <w:tc>
          <w:tcPr>
            <w:tcW w:w="801" w:type="pct"/>
            <w:tcBorders>
              <w:tl2br w:val="nil"/>
              <w:tr2bl w:val="nil"/>
            </w:tcBorders>
            <w:shd w:val="clear" w:color="auto" w:fill="auto"/>
            <w:noWrap/>
            <w:vAlign w:val="bottom"/>
          </w:tcPr>
          <w:p w14:paraId="0DA17EF0">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3.01</w:t>
            </w:r>
          </w:p>
        </w:tc>
        <w:tc>
          <w:tcPr>
            <w:tcW w:w="1291" w:type="pct"/>
            <w:tcBorders>
              <w:tl2br w:val="nil"/>
              <w:tr2bl w:val="nil"/>
            </w:tcBorders>
            <w:shd w:val="clear" w:color="auto" w:fill="auto"/>
            <w:noWrap/>
            <w:vAlign w:val="bottom"/>
          </w:tcPr>
          <w:p w14:paraId="3B311135">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0.53%</w:t>
            </w:r>
          </w:p>
        </w:tc>
      </w:tr>
      <w:tr w14:paraId="4C4926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jc w:val="center"/>
        </w:trPr>
        <w:tc>
          <w:tcPr>
            <w:tcW w:w="1051" w:type="pct"/>
            <w:vMerge w:val="restart"/>
            <w:tcBorders>
              <w:tl2br w:val="nil"/>
              <w:tr2bl w:val="nil"/>
            </w:tcBorders>
            <w:shd w:val="clear" w:color="auto" w:fill="auto"/>
            <w:noWrap/>
            <w:vAlign w:val="center"/>
          </w:tcPr>
          <w:p w14:paraId="2EF46A5F">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kern w:val="0"/>
                <w:sz w:val="22"/>
                <w:szCs w:val="22"/>
                <w:lang w:bidi="ar"/>
                <w14:textFill>
                  <w14:solidFill>
                    <w14:schemeClr w14:val="tx1"/>
                  </w14:solidFill>
                </w14:textFill>
              </w:rPr>
              <w:t>林地</w:t>
            </w:r>
          </w:p>
        </w:tc>
        <w:tc>
          <w:tcPr>
            <w:tcW w:w="1007" w:type="pct"/>
            <w:tcBorders>
              <w:tl2br w:val="nil"/>
              <w:tr2bl w:val="nil"/>
            </w:tcBorders>
            <w:shd w:val="clear" w:color="auto" w:fill="auto"/>
            <w:noWrap/>
            <w:vAlign w:val="center"/>
          </w:tcPr>
          <w:p w14:paraId="1AE5F914">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2"/>
                <w:szCs w:val="22"/>
                <w:lang w:bidi="ar"/>
                <w14:textFill>
                  <w14:solidFill>
                    <w14:schemeClr w14:val="tx1"/>
                  </w14:solidFill>
                </w14:textFill>
              </w:rPr>
            </w:pPr>
            <w:r>
              <w:rPr>
                <w:rFonts w:hint="default" w:ascii="Times New Roman" w:hAnsi="Times New Roman" w:eastAsia="宋体" w:cs="Times New Roman"/>
                <w:color w:val="000000" w:themeColor="text1"/>
                <w:kern w:val="0"/>
                <w:sz w:val="22"/>
                <w:szCs w:val="22"/>
                <w:lang w:bidi="ar"/>
                <w14:textFill>
                  <w14:solidFill>
                    <w14:schemeClr w14:val="tx1"/>
                  </w14:solidFill>
                </w14:textFill>
              </w:rPr>
              <w:t>乔木林地</w:t>
            </w:r>
          </w:p>
        </w:tc>
        <w:tc>
          <w:tcPr>
            <w:tcW w:w="848" w:type="pct"/>
            <w:tcBorders>
              <w:tl2br w:val="nil"/>
              <w:tr2bl w:val="nil"/>
            </w:tcBorders>
            <w:shd w:val="clear" w:color="auto" w:fill="auto"/>
            <w:noWrap/>
            <w:vAlign w:val="bottom"/>
          </w:tcPr>
          <w:p w14:paraId="08958F38">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4</w:t>
            </w:r>
          </w:p>
        </w:tc>
        <w:tc>
          <w:tcPr>
            <w:tcW w:w="801" w:type="pct"/>
            <w:tcBorders>
              <w:tl2br w:val="nil"/>
              <w:tr2bl w:val="nil"/>
            </w:tcBorders>
            <w:shd w:val="clear" w:color="auto" w:fill="auto"/>
            <w:noWrap/>
            <w:vAlign w:val="bottom"/>
          </w:tcPr>
          <w:p w14:paraId="07DF5496">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91.92</w:t>
            </w:r>
          </w:p>
        </w:tc>
        <w:tc>
          <w:tcPr>
            <w:tcW w:w="1291" w:type="pct"/>
            <w:tcBorders>
              <w:tl2br w:val="nil"/>
              <w:tr2bl w:val="nil"/>
            </w:tcBorders>
            <w:shd w:val="clear" w:color="auto" w:fill="auto"/>
            <w:noWrap/>
            <w:vAlign w:val="bottom"/>
          </w:tcPr>
          <w:p w14:paraId="46FCB15C">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16.23%</w:t>
            </w:r>
          </w:p>
        </w:tc>
      </w:tr>
      <w:tr w14:paraId="0054E5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jc w:val="center"/>
        </w:trPr>
        <w:tc>
          <w:tcPr>
            <w:tcW w:w="1051" w:type="pct"/>
            <w:vMerge w:val="continue"/>
            <w:tcBorders>
              <w:tl2br w:val="nil"/>
              <w:tr2bl w:val="nil"/>
            </w:tcBorders>
            <w:shd w:val="clear" w:color="auto" w:fill="auto"/>
            <w:noWrap/>
            <w:vAlign w:val="center"/>
          </w:tcPr>
          <w:p w14:paraId="2FD22668">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2"/>
                <w:szCs w:val="22"/>
                <w:lang w:bidi="ar"/>
                <w14:textFill>
                  <w14:solidFill>
                    <w14:schemeClr w14:val="tx1"/>
                  </w14:solidFill>
                </w14:textFill>
              </w:rPr>
            </w:pPr>
          </w:p>
        </w:tc>
        <w:tc>
          <w:tcPr>
            <w:tcW w:w="1007" w:type="pct"/>
            <w:tcBorders>
              <w:tl2br w:val="nil"/>
              <w:tr2bl w:val="nil"/>
            </w:tcBorders>
            <w:shd w:val="clear" w:color="auto" w:fill="auto"/>
            <w:noWrap/>
            <w:vAlign w:val="bottom"/>
          </w:tcPr>
          <w:p w14:paraId="1391E2D0">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2"/>
                <w:szCs w:val="22"/>
                <w:lang w:bidi="ar"/>
                <w14:textFill>
                  <w14:solidFill>
                    <w14:schemeClr w14:val="tx1"/>
                  </w14:solidFill>
                </w14:textFill>
              </w:rPr>
            </w:pPr>
            <w:r>
              <w:rPr>
                <w:rFonts w:hint="eastAsia" w:ascii="Times New Roman" w:hAnsi="Times New Roman" w:eastAsia="宋体" w:cs="Times New Roman"/>
                <w:color w:val="000000" w:themeColor="text1"/>
                <w:kern w:val="0"/>
                <w:sz w:val="22"/>
                <w:szCs w:val="22"/>
                <w:lang w:val="en-US" w:eastAsia="zh-CN" w:bidi="ar"/>
                <w14:textFill>
                  <w14:solidFill>
                    <w14:schemeClr w14:val="tx1"/>
                  </w14:solidFill>
                </w14:textFill>
              </w:rPr>
              <w:t>灌木</w:t>
            </w:r>
            <w:r>
              <w:rPr>
                <w:rFonts w:hint="default" w:ascii="Times New Roman" w:hAnsi="Times New Roman" w:eastAsia="宋体" w:cs="Times New Roman"/>
                <w:color w:val="000000" w:themeColor="text1"/>
                <w:kern w:val="0"/>
                <w:sz w:val="22"/>
                <w:szCs w:val="22"/>
                <w:lang w:bidi="ar"/>
                <w14:textFill>
                  <w14:solidFill>
                    <w14:schemeClr w14:val="tx1"/>
                  </w14:solidFill>
                </w14:textFill>
              </w:rPr>
              <w:t>林地</w:t>
            </w:r>
          </w:p>
        </w:tc>
        <w:tc>
          <w:tcPr>
            <w:tcW w:w="848" w:type="pct"/>
            <w:tcBorders>
              <w:tl2br w:val="nil"/>
              <w:tr2bl w:val="nil"/>
            </w:tcBorders>
            <w:shd w:val="clear" w:color="auto" w:fill="auto"/>
            <w:noWrap/>
            <w:vAlign w:val="bottom"/>
          </w:tcPr>
          <w:p w14:paraId="2D46947A">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6</w:t>
            </w:r>
          </w:p>
        </w:tc>
        <w:tc>
          <w:tcPr>
            <w:tcW w:w="801" w:type="pct"/>
            <w:tcBorders>
              <w:tl2br w:val="nil"/>
              <w:tr2bl w:val="nil"/>
            </w:tcBorders>
            <w:shd w:val="clear" w:color="auto" w:fill="auto"/>
            <w:noWrap/>
            <w:vAlign w:val="bottom"/>
          </w:tcPr>
          <w:p w14:paraId="6B2B65E2">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134.23</w:t>
            </w:r>
          </w:p>
        </w:tc>
        <w:tc>
          <w:tcPr>
            <w:tcW w:w="1291" w:type="pct"/>
            <w:tcBorders>
              <w:tl2br w:val="nil"/>
              <w:tr2bl w:val="nil"/>
            </w:tcBorders>
            <w:shd w:val="clear" w:color="auto" w:fill="auto"/>
            <w:noWrap/>
            <w:vAlign w:val="bottom"/>
          </w:tcPr>
          <w:p w14:paraId="0D02E3FD">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23.70%</w:t>
            </w:r>
          </w:p>
        </w:tc>
      </w:tr>
      <w:tr w14:paraId="47DAE1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jc w:val="center"/>
        </w:trPr>
        <w:tc>
          <w:tcPr>
            <w:tcW w:w="1051" w:type="pct"/>
            <w:tcBorders>
              <w:tl2br w:val="nil"/>
              <w:tr2bl w:val="nil"/>
            </w:tcBorders>
            <w:shd w:val="clear" w:color="auto" w:fill="auto"/>
            <w:noWrap/>
            <w:vAlign w:val="center"/>
          </w:tcPr>
          <w:p w14:paraId="5D98E7CA">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kern w:val="0"/>
                <w:sz w:val="22"/>
                <w:szCs w:val="22"/>
                <w:lang w:bidi="ar"/>
                <w14:textFill>
                  <w14:solidFill>
                    <w14:schemeClr w14:val="tx1"/>
                  </w14:solidFill>
                </w14:textFill>
              </w:rPr>
              <w:t>其他土地</w:t>
            </w:r>
          </w:p>
        </w:tc>
        <w:tc>
          <w:tcPr>
            <w:tcW w:w="1007" w:type="pct"/>
            <w:tcBorders>
              <w:tl2br w:val="nil"/>
              <w:tr2bl w:val="nil"/>
            </w:tcBorders>
            <w:shd w:val="clear" w:color="auto" w:fill="auto"/>
            <w:noWrap/>
            <w:vAlign w:val="center"/>
          </w:tcPr>
          <w:p w14:paraId="19273B8B">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2"/>
                <w:szCs w:val="22"/>
                <w:lang w:bidi="ar"/>
                <w14:textFill>
                  <w14:solidFill>
                    <w14:schemeClr w14:val="tx1"/>
                  </w14:solidFill>
                </w14:textFill>
              </w:rPr>
            </w:pPr>
            <w:r>
              <w:rPr>
                <w:rFonts w:hint="default" w:ascii="Times New Roman" w:hAnsi="Times New Roman" w:eastAsia="宋体" w:cs="Times New Roman"/>
                <w:color w:val="000000" w:themeColor="text1"/>
                <w:kern w:val="0"/>
                <w:sz w:val="22"/>
                <w:szCs w:val="22"/>
                <w:lang w:bidi="ar"/>
                <w14:textFill>
                  <w14:solidFill>
                    <w14:schemeClr w14:val="tx1"/>
                  </w14:solidFill>
                </w14:textFill>
              </w:rPr>
              <w:t>裸地</w:t>
            </w:r>
          </w:p>
        </w:tc>
        <w:tc>
          <w:tcPr>
            <w:tcW w:w="848" w:type="pct"/>
            <w:tcBorders>
              <w:tl2br w:val="nil"/>
              <w:tr2bl w:val="nil"/>
            </w:tcBorders>
            <w:shd w:val="clear" w:color="auto" w:fill="auto"/>
            <w:noWrap/>
            <w:vAlign w:val="bottom"/>
          </w:tcPr>
          <w:p w14:paraId="2DAC073B">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1</w:t>
            </w:r>
          </w:p>
        </w:tc>
        <w:tc>
          <w:tcPr>
            <w:tcW w:w="801" w:type="pct"/>
            <w:tcBorders>
              <w:tl2br w:val="nil"/>
              <w:tr2bl w:val="nil"/>
            </w:tcBorders>
            <w:shd w:val="clear" w:color="auto" w:fill="auto"/>
            <w:noWrap/>
            <w:vAlign w:val="bottom"/>
          </w:tcPr>
          <w:p w14:paraId="22F05416">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0.63</w:t>
            </w:r>
          </w:p>
        </w:tc>
        <w:tc>
          <w:tcPr>
            <w:tcW w:w="1291" w:type="pct"/>
            <w:tcBorders>
              <w:tl2br w:val="nil"/>
              <w:tr2bl w:val="nil"/>
            </w:tcBorders>
            <w:shd w:val="clear" w:color="auto" w:fill="auto"/>
            <w:noWrap/>
            <w:vAlign w:val="bottom"/>
          </w:tcPr>
          <w:p w14:paraId="5F22444F">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0.11%</w:t>
            </w:r>
          </w:p>
        </w:tc>
      </w:tr>
      <w:tr w14:paraId="0743D2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jc w:val="center"/>
        </w:trPr>
        <w:tc>
          <w:tcPr>
            <w:tcW w:w="1051" w:type="pct"/>
            <w:tcBorders>
              <w:tl2br w:val="nil"/>
              <w:tr2bl w:val="nil"/>
            </w:tcBorders>
            <w:shd w:val="clear" w:color="auto" w:fill="auto"/>
            <w:noWrap/>
            <w:vAlign w:val="center"/>
          </w:tcPr>
          <w:p w14:paraId="2F3CB3DE">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kern w:val="0"/>
                <w:sz w:val="22"/>
                <w:szCs w:val="22"/>
                <w:lang w:bidi="ar"/>
                <w14:textFill>
                  <w14:solidFill>
                    <w14:schemeClr w14:val="tx1"/>
                  </w14:solidFill>
                </w14:textFill>
              </w:rPr>
              <w:t>公共管理和公共服务用地</w:t>
            </w:r>
          </w:p>
        </w:tc>
        <w:tc>
          <w:tcPr>
            <w:tcW w:w="1007" w:type="pct"/>
            <w:tcBorders>
              <w:tl2br w:val="nil"/>
              <w:tr2bl w:val="nil"/>
            </w:tcBorders>
            <w:shd w:val="clear" w:color="auto" w:fill="auto"/>
            <w:noWrap/>
            <w:vAlign w:val="center"/>
          </w:tcPr>
          <w:p w14:paraId="43B3974F">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2"/>
                <w:szCs w:val="22"/>
                <w:lang w:bidi="ar"/>
                <w14:textFill>
                  <w14:solidFill>
                    <w14:schemeClr w14:val="tx1"/>
                  </w14:solidFill>
                </w14:textFill>
              </w:rPr>
            </w:pPr>
            <w:r>
              <w:rPr>
                <w:rFonts w:hint="default" w:ascii="Times New Roman" w:hAnsi="Times New Roman" w:eastAsia="宋体" w:cs="Times New Roman"/>
                <w:color w:val="000000" w:themeColor="text1"/>
                <w:kern w:val="0"/>
                <w:sz w:val="22"/>
                <w:szCs w:val="22"/>
                <w:lang w:bidi="ar"/>
                <w14:textFill>
                  <w14:solidFill>
                    <w14:schemeClr w14:val="tx1"/>
                  </w14:solidFill>
                </w14:textFill>
              </w:rPr>
              <w:t>公用设施用地</w:t>
            </w:r>
          </w:p>
        </w:tc>
        <w:tc>
          <w:tcPr>
            <w:tcW w:w="848" w:type="pct"/>
            <w:tcBorders>
              <w:tl2br w:val="nil"/>
              <w:tr2bl w:val="nil"/>
            </w:tcBorders>
            <w:shd w:val="clear" w:color="auto" w:fill="auto"/>
            <w:noWrap/>
            <w:vAlign w:val="center"/>
          </w:tcPr>
          <w:p w14:paraId="6DF53D3C">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1</w:t>
            </w:r>
          </w:p>
        </w:tc>
        <w:tc>
          <w:tcPr>
            <w:tcW w:w="801" w:type="pct"/>
            <w:tcBorders>
              <w:tl2br w:val="nil"/>
              <w:tr2bl w:val="nil"/>
            </w:tcBorders>
            <w:shd w:val="clear" w:color="auto" w:fill="auto"/>
            <w:noWrap/>
            <w:vAlign w:val="center"/>
          </w:tcPr>
          <w:p w14:paraId="1198E768">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0.05</w:t>
            </w:r>
          </w:p>
        </w:tc>
        <w:tc>
          <w:tcPr>
            <w:tcW w:w="1291" w:type="pct"/>
            <w:tcBorders>
              <w:tl2br w:val="nil"/>
              <w:tr2bl w:val="nil"/>
            </w:tcBorders>
            <w:shd w:val="clear" w:color="auto" w:fill="auto"/>
            <w:noWrap/>
            <w:vAlign w:val="bottom"/>
          </w:tcPr>
          <w:p w14:paraId="0598C84E">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0.01%</w:t>
            </w:r>
          </w:p>
        </w:tc>
      </w:tr>
      <w:tr w14:paraId="3200FA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jc w:val="center"/>
        </w:trPr>
        <w:tc>
          <w:tcPr>
            <w:tcW w:w="1051" w:type="pct"/>
            <w:tcBorders>
              <w:tl2br w:val="nil"/>
              <w:tr2bl w:val="nil"/>
            </w:tcBorders>
            <w:shd w:val="clear" w:color="auto" w:fill="auto"/>
            <w:vAlign w:val="center"/>
          </w:tcPr>
          <w:p w14:paraId="2AF3F35F">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kern w:val="0"/>
                <w:sz w:val="22"/>
                <w:szCs w:val="22"/>
                <w:lang w:bidi="ar"/>
                <w14:textFill>
                  <w14:solidFill>
                    <w14:schemeClr w14:val="tx1"/>
                  </w14:solidFill>
                </w14:textFill>
              </w:rPr>
              <w:t>住宅用地</w:t>
            </w:r>
          </w:p>
        </w:tc>
        <w:tc>
          <w:tcPr>
            <w:tcW w:w="1007" w:type="pct"/>
            <w:tcBorders>
              <w:tl2br w:val="nil"/>
              <w:tr2bl w:val="nil"/>
            </w:tcBorders>
            <w:shd w:val="clear" w:color="auto" w:fill="auto"/>
            <w:noWrap/>
            <w:vAlign w:val="center"/>
          </w:tcPr>
          <w:p w14:paraId="094B017A">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kern w:val="0"/>
                <w:sz w:val="22"/>
                <w:szCs w:val="22"/>
                <w:lang w:bidi="ar"/>
                <w14:textFill>
                  <w14:solidFill>
                    <w14:schemeClr w14:val="tx1"/>
                  </w14:solidFill>
                </w14:textFill>
              </w:rPr>
              <w:t>农村宅基地</w:t>
            </w:r>
          </w:p>
        </w:tc>
        <w:tc>
          <w:tcPr>
            <w:tcW w:w="848" w:type="pct"/>
            <w:tcBorders>
              <w:tl2br w:val="nil"/>
              <w:tr2bl w:val="nil"/>
            </w:tcBorders>
            <w:shd w:val="clear" w:color="auto" w:fill="auto"/>
            <w:noWrap/>
            <w:vAlign w:val="bottom"/>
          </w:tcPr>
          <w:p w14:paraId="13AFB273">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1</w:t>
            </w:r>
          </w:p>
        </w:tc>
        <w:tc>
          <w:tcPr>
            <w:tcW w:w="801" w:type="pct"/>
            <w:tcBorders>
              <w:tl2br w:val="nil"/>
              <w:tr2bl w:val="nil"/>
            </w:tcBorders>
            <w:shd w:val="clear" w:color="auto" w:fill="auto"/>
            <w:noWrap/>
            <w:vAlign w:val="bottom"/>
          </w:tcPr>
          <w:p w14:paraId="5510D050">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0.03</w:t>
            </w:r>
          </w:p>
        </w:tc>
        <w:tc>
          <w:tcPr>
            <w:tcW w:w="1291" w:type="pct"/>
            <w:tcBorders>
              <w:tl2br w:val="nil"/>
              <w:tr2bl w:val="nil"/>
            </w:tcBorders>
            <w:shd w:val="clear" w:color="auto" w:fill="auto"/>
            <w:noWrap/>
            <w:vAlign w:val="bottom"/>
          </w:tcPr>
          <w:p w14:paraId="764DA16B">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0.01%</w:t>
            </w:r>
          </w:p>
        </w:tc>
      </w:tr>
      <w:tr w14:paraId="250D2B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jc w:val="center"/>
        </w:trPr>
        <w:tc>
          <w:tcPr>
            <w:tcW w:w="2059" w:type="pct"/>
            <w:gridSpan w:val="2"/>
            <w:tcBorders>
              <w:tl2br w:val="nil"/>
              <w:tr2bl w:val="nil"/>
            </w:tcBorders>
            <w:shd w:val="clear" w:color="auto" w:fill="auto"/>
            <w:noWrap/>
            <w:vAlign w:val="center"/>
          </w:tcPr>
          <w:p w14:paraId="5A6CD6C9">
            <w:pPr>
              <w:keepNext w:val="0"/>
              <w:keepLines w:val="0"/>
              <w:pageBreakBefore w:val="0"/>
              <w:kinsoku/>
              <w:wordWrap/>
              <w:overflowPunct/>
              <w:topLinePunct w:val="0"/>
              <w:bidi w:val="0"/>
              <w:spacing w:line="240" w:lineRule="auto"/>
              <w:ind w:firstLine="0" w:firstLineChars="0"/>
              <w:jc w:val="center"/>
              <w:outlineLvl w:val="9"/>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kern w:val="0"/>
                <w:sz w:val="22"/>
                <w:szCs w:val="22"/>
                <w:lang w:bidi="ar"/>
                <w14:textFill>
                  <w14:solidFill>
                    <w14:schemeClr w14:val="tx1"/>
                  </w14:solidFill>
                </w14:textFill>
              </w:rPr>
              <w:t>合计</w:t>
            </w:r>
          </w:p>
        </w:tc>
        <w:tc>
          <w:tcPr>
            <w:tcW w:w="848" w:type="pct"/>
            <w:tcBorders>
              <w:tl2br w:val="nil"/>
              <w:tr2bl w:val="nil"/>
            </w:tcBorders>
            <w:shd w:val="clear" w:color="auto" w:fill="auto"/>
            <w:noWrap/>
            <w:vAlign w:val="bottom"/>
          </w:tcPr>
          <w:p w14:paraId="3FE2CFA7">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77</w:t>
            </w:r>
          </w:p>
        </w:tc>
        <w:tc>
          <w:tcPr>
            <w:tcW w:w="801" w:type="pct"/>
            <w:tcBorders>
              <w:tl2br w:val="nil"/>
              <w:tr2bl w:val="nil"/>
            </w:tcBorders>
            <w:shd w:val="clear" w:color="auto" w:fill="auto"/>
            <w:noWrap/>
            <w:vAlign w:val="bottom"/>
          </w:tcPr>
          <w:p w14:paraId="01495DDC">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eastAsia" w:ascii="Times New Roman" w:hAnsi="Times New Roman" w:eastAsia="宋体" w:cs="Times New Roman"/>
                <w:color w:val="000000" w:themeColor="text1"/>
                <w:sz w:val="22"/>
                <w:szCs w:val="22"/>
                <w:lang w:eastAsia="zh-CN"/>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566.30</w:t>
            </w:r>
          </w:p>
        </w:tc>
        <w:tc>
          <w:tcPr>
            <w:tcW w:w="1291" w:type="pct"/>
            <w:tcBorders>
              <w:tl2br w:val="nil"/>
              <w:tr2bl w:val="nil"/>
            </w:tcBorders>
            <w:shd w:val="clear" w:color="auto" w:fill="auto"/>
            <w:noWrap/>
            <w:vAlign w:val="bottom"/>
          </w:tcPr>
          <w:p w14:paraId="05FEA1F9">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100%</w:t>
            </w:r>
          </w:p>
        </w:tc>
      </w:tr>
    </w:tbl>
    <w:p w14:paraId="416E822B">
      <w:pPr>
        <w:keepNext w:val="0"/>
        <w:keepLines w:val="0"/>
        <w:pageBreakBefore w:val="0"/>
        <w:kinsoku/>
        <w:wordWrap/>
        <w:overflowPunct/>
        <w:topLinePunct w:val="0"/>
        <w:bidi w:val="0"/>
        <w:ind w:firstLine="480"/>
        <w:outlineLvl w:val="9"/>
        <w:rPr>
          <w:rFonts w:hint="default" w:ascii="Times New Roman" w:hAnsi="Times New Roman" w:eastAsia="宋体" w:cs="Times New Roman"/>
          <w:color w:val="000000" w:themeColor="text1"/>
          <w:kern w:val="0"/>
          <w14:textFill>
            <w14:solidFill>
              <w14:schemeClr w14:val="tx1"/>
            </w14:solidFill>
          </w14:textFill>
        </w:rPr>
      </w:pPr>
    </w:p>
    <w:p w14:paraId="30F07644">
      <w:pPr>
        <w:keepNext w:val="0"/>
        <w:keepLines w:val="0"/>
        <w:pageBreakBefore w:val="0"/>
        <w:kinsoku/>
        <w:wordWrap/>
        <w:overflowPunct/>
        <w:topLinePunct w:val="0"/>
        <w:bidi w:val="0"/>
        <w:ind w:firstLine="480"/>
        <w:outlineLvl w:val="9"/>
        <w:rPr>
          <w:rFonts w:hint="default" w:ascii="Times New Roman" w:hAnsi="Times New Roman" w:eastAsia="宋体" w:cs="Times New Roman"/>
          <w:color w:val="000000" w:themeColor="text1"/>
          <w:kern w:val="0"/>
          <w14:textFill>
            <w14:solidFill>
              <w14:schemeClr w14:val="tx1"/>
            </w14:solidFill>
          </w14:textFill>
        </w:rPr>
      </w:pPr>
      <w:r>
        <w:rPr>
          <w:rFonts w:hint="default" w:ascii="Times New Roman" w:hAnsi="Times New Roman" w:eastAsia="宋体" w:cs="Times New Roman"/>
          <w:color w:val="000000" w:themeColor="text1"/>
          <w:kern w:val="0"/>
          <w14:textFill>
            <w14:solidFill>
              <w14:schemeClr w14:val="tx1"/>
            </w14:solidFill>
          </w14:textFill>
        </w:rPr>
        <w:t>根据遥感卫星图片解译可知，项目评价区域内水浇地面积所占总面积比例最大，为28.34%；天然牧草地次之，占总面积的的比例27.34%；</w:t>
      </w:r>
      <w:r>
        <w:rPr>
          <w:rFonts w:hint="eastAsia" w:ascii="Times New Roman" w:hAnsi="Times New Roman" w:eastAsia="宋体" w:cs="Times New Roman"/>
          <w:color w:val="000000" w:themeColor="text1"/>
          <w:kern w:val="0"/>
          <w:lang w:val="en-US" w:eastAsia="zh-CN"/>
          <w14:textFill>
            <w14:solidFill>
              <w14:schemeClr w14:val="tx1"/>
            </w14:solidFill>
          </w14:textFill>
        </w:rPr>
        <w:t>灌木</w:t>
      </w:r>
      <w:r>
        <w:rPr>
          <w:rFonts w:hint="default" w:ascii="Times New Roman" w:hAnsi="Times New Roman" w:eastAsia="宋体" w:cs="Times New Roman"/>
          <w:color w:val="000000" w:themeColor="text1"/>
          <w:kern w:val="0"/>
          <w14:textFill>
            <w14:solidFill>
              <w14:schemeClr w14:val="tx1"/>
            </w14:solidFill>
          </w14:textFill>
        </w:rPr>
        <w:t>林地占总面积的的比例23.70%；乔木林地分别占总面积的的比例16.23%；其余土地利用类型的面积和所占评价区面积比例详见表4.2-6。</w:t>
      </w:r>
    </w:p>
    <w:p w14:paraId="2F3E3C19">
      <w:pPr>
        <w:keepNext w:val="0"/>
        <w:keepLines w:val="0"/>
        <w:pageBreakBefore w:val="0"/>
        <w:kinsoku/>
        <w:wordWrap/>
        <w:overflowPunct/>
        <w:topLinePunct w:val="0"/>
        <w:bidi w:val="0"/>
        <w:ind w:firstLine="0" w:firstLineChars="0"/>
        <w:outlineLvl w:val="9"/>
        <w:rPr>
          <w:rFonts w:hint="eastAsia" w:ascii="Times New Roman" w:hAnsi="Times New Roman" w:eastAsia="宋体" w:cs="Times New Roman"/>
          <w:color w:val="000000" w:themeColor="text1"/>
          <w:kern w:val="0"/>
          <w:lang w:eastAsia="zh-CN"/>
          <w14:textFill>
            <w14:solidFill>
              <w14:schemeClr w14:val="tx1"/>
            </w14:solidFill>
          </w14:textFill>
        </w:rPr>
      </w:pPr>
      <w:r>
        <w:rPr>
          <w:rFonts w:hint="eastAsia" w:ascii="Times New Roman" w:hAnsi="Times New Roman" w:eastAsia="宋体" w:cs="Times New Roman"/>
          <w:color w:val="000000" w:themeColor="text1"/>
          <w:kern w:val="0"/>
          <w:lang w:eastAsia="zh-CN"/>
          <w14:textFill>
            <w14:solidFill>
              <w14:schemeClr w14:val="tx1"/>
            </w14:solidFill>
          </w14:textFill>
        </w:rPr>
        <w:drawing>
          <wp:inline distT="0" distB="0" distL="114300" distR="114300">
            <wp:extent cx="5615940" cy="3299460"/>
            <wp:effectExtent l="0" t="0" r="3810" b="5715"/>
            <wp:docPr id="52" name="图片 52" descr="土地利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土地利用"/>
                    <pic:cNvPicPr>
                      <a:picLocks noChangeAspect="1"/>
                    </pic:cNvPicPr>
                  </pic:nvPicPr>
                  <pic:blipFill>
                    <a:blip r:embed="rId46"/>
                    <a:stretch>
                      <a:fillRect/>
                    </a:stretch>
                  </pic:blipFill>
                  <pic:spPr>
                    <a:xfrm>
                      <a:off x="0" y="0"/>
                      <a:ext cx="5615940" cy="3299460"/>
                    </a:xfrm>
                    <a:prstGeom prst="rect">
                      <a:avLst/>
                    </a:prstGeom>
                  </pic:spPr>
                </pic:pic>
              </a:graphicData>
            </a:graphic>
          </wp:inline>
        </w:drawing>
      </w:r>
    </w:p>
    <w:p w14:paraId="11A69C5F">
      <w:pPr>
        <w:keepNext w:val="0"/>
        <w:keepLines w:val="0"/>
        <w:pageBreakBefore w:val="0"/>
        <w:kinsoku/>
        <w:wordWrap/>
        <w:overflowPunct/>
        <w:topLinePunct w:val="0"/>
        <w:bidi w:val="0"/>
        <w:spacing w:line="240" w:lineRule="auto"/>
        <w:ind w:firstLine="482" w:firstLineChars="0"/>
        <w:jc w:val="center"/>
        <w:outlineLvl w:val="9"/>
        <w:rPr>
          <w:rFonts w:hint="default" w:ascii="Times New Roman" w:hAnsi="Times New Roman" w:eastAsia="宋体" w:cs="Times New Roman"/>
          <w:b/>
          <w:bCs/>
          <w:color w:val="000000" w:themeColor="text1"/>
          <w:sz w:val="21"/>
          <w14:textFill>
            <w14:solidFill>
              <w14:schemeClr w14:val="tx1"/>
            </w14:solidFill>
          </w14:textFill>
        </w:rPr>
      </w:pPr>
      <w:r>
        <w:rPr>
          <w:rFonts w:hint="default" w:ascii="Times New Roman" w:hAnsi="Times New Roman" w:eastAsia="宋体" w:cs="Times New Roman"/>
          <w:b/>
          <w:bCs/>
          <w:color w:val="000000" w:themeColor="text1"/>
          <w:sz w:val="21"/>
          <w14:textFill>
            <w14:solidFill>
              <w14:schemeClr w14:val="tx1"/>
            </w14:solidFill>
          </w14:textFill>
        </w:rPr>
        <w:t>图4-7土地利用现状图</w:t>
      </w:r>
    </w:p>
    <w:p w14:paraId="77156139">
      <w:pPr>
        <w:keepNext w:val="0"/>
        <w:keepLines w:val="0"/>
        <w:pageBreakBefore w:val="0"/>
        <w:widowControl w:val="0"/>
        <w:kinsoku/>
        <w:wordWrap/>
        <w:overflowPunct/>
        <w:topLinePunct w:val="0"/>
        <w:autoSpaceDE/>
        <w:autoSpaceDN/>
        <w:bidi w:val="0"/>
        <w:adjustRightInd/>
        <w:snapToGrid/>
        <w:spacing w:line="360" w:lineRule="auto"/>
        <w:ind w:firstLine="480"/>
        <w:textAlignment w:val="auto"/>
        <w:outlineLvl w:val="9"/>
        <w:rPr>
          <w:rFonts w:hint="default" w:ascii="Times New Roman" w:hAnsi="Times New Roman" w:eastAsia="宋体" w:cs="Times New Roman"/>
          <w:color w:val="000000" w:themeColor="text1"/>
          <w:kern w:val="0"/>
          <w14:textFill>
            <w14:solidFill>
              <w14:schemeClr w14:val="tx1"/>
            </w14:solidFill>
          </w14:textFill>
        </w:rPr>
      </w:pPr>
      <w:r>
        <w:rPr>
          <w:rFonts w:hint="default" w:ascii="Times New Roman" w:hAnsi="Times New Roman" w:eastAsia="宋体" w:cs="Times New Roman"/>
          <w:color w:val="000000" w:themeColor="text1"/>
          <w:kern w:val="0"/>
          <w14:textFill>
            <w14:solidFill>
              <w14:schemeClr w14:val="tx1"/>
            </w14:solidFill>
          </w14:textFill>
        </w:rPr>
        <w:t>项目占地范围土地利用类型，见表4.2-7。</w:t>
      </w:r>
    </w:p>
    <w:p w14:paraId="27F4515A">
      <w:pPr>
        <w:keepNext w:val="0"/>
        <w:keepLines w:val="0"/>
        <w:pageBreakBefore w:val="0"/>
        <w:widowControl w:val="0"/>
        <w:kinsoku/>
        <w:wordWrap/>
        <w:overflowPunct/>
        <w:topLinePunct w:val="0"/>
        <w:autoSpaceDE/>
        <w:autoSpaceDN/>
        <w:bidi w:val="0"/>
        <w:adjustRightInd/>
        <w:snapToGrid/>
        <w:spacing w:line="360" w:lineRule="auto"/>
        <w:ind w:firstLine="422" w:firstLineChars="0"/>
        <w:jc w:val="center"/>
        <w:textAlignment w:val="auto"/>
        <w:outlineLvl w:val="9"/>
        <w:rPr>
          <w:rFonts w:hint="default" w:ascii="Times New Roman" w:hAnsi="Times New Roman" w:eastAsia="宋体" w:cs="Times New Roman"/>
          <w:b/>
          <w:color w:val="000000" w:themeColor="text1"/>
          <w:sz w:val="21"/>
          <w:szCs w:val="21"/>
          <w14:textFill>
            <w14:solidFill>
              <w14:schemeClr w14:val="tx1"/>
            </w14:solidFill>
          </w14:textFill>
        </w:rPr>
      </w:pPr>
      <w:r>
        <w:rPr>
          <w:rFonts w:hint="default" w:ascii="Times New Roman" w:hAnsi="Times New Roman" w:eastAsia="宋体" w:cs="Times New Roman"/>
          <w:b/>
          <w:color w:val="000000" w:themeColor="text1"/>
          <w:sz w:val="21"/>
          <w:szCs w:val="21"/>
          <w14:textFill>
            <w14:solidFill>
              <w14:schemeClr w14:val="tx1"/>
            </w14:solidFill>
          </w14:textFill>
        </w:rPr>
        <w:t>表4.2-7占地范围土地利用现状</w:t>
      </w:r>
    </w:p>
    <w:tbl>
      <w:tblPr>
        <w:tblStyle w:val="29"/>
        <w:tblW w:w="506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885"/>
        <w:gridCol w:w="1808"/>
        <w:gridCol w:w="1521"/>
        <w:gridCol w:w="1436"/>
        <w:gridCol w:w="2315"/>
      </w:tblGrid>
      <w:tr w14:paraId="032763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jc w:val="center"/>
        </w:trPr>
        <w:tc>
          <w:tcPr>
            <w:tcW w:w="1051" w:type="pct"/>
            <w:tcBorders>
              <w:tl2br w:val="nil"/>
              <w:tr2bl w:val="nil"/>
            </w:tcBorders>
            <w:shd w:val="clear" w:color="auto" w:fill="auto"/>
            <w:noWrap/>
            <w:vAlign w:val="center"/>
          </w:tcPr>
          <w:p w14:paraId="262F249D">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kern w:val="0"/>
                <w:sz w:val="22"/>
                <w:szCs w:val="22"/>
                <w:lang w:bidi="ar"/>
                <w14:textFill>
                  <w14:solidFill>
                    <w14:schemeClr w14:val="tx1"/>
                  </w14:solidFill>
                </w14:textFill>
              </w:rPr>
              <w:t>一级类型</w:t>
            </w:r>
          </w:p>
        </w:tc>
        <w:tc>
          <w:tcPr>
            <w:tcW w:w="1008" w:type="pct"/>
            <w:tcBorders>
              <w:tl2br w:val="nil"/>
              <w:tr2bl w:val="nil"/>
            </w:tcBorders>
            <w:shd w:val="clear" w:color="auto" w:fill="auto"/>
            <w:noWrap/>
            <w:vAlign w:val="center"/>
          </w:tcPr>
          <w:p w14:paraId="6F462E5D">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kern w:val="0"/>
                <w:sz w:val="22"/>
                <w:szCs w:val="22"/>
                <w:lang w:bidi="ar"/>
                <w14:textFill>
                  <w14:solidFill>
                    <w14:schemeClr w14:val="tx1"/>
                  </w14:solidFill>
                </w14:textFill>
              </w:rPr>
              <w:t>二级类型</w:t>
            </w:r>
          </w:p>
        </w:tc>
        <w:tc>
          <w:tcPr>
            <w:tcW w:w="848" w:type="pct"/>
            <w:tcBorders>
              <w:tl2br w:val="nil"/>
              <w:tr2bl w:val="nil"/>
            </w:tcBorders>
            <w:shd w:val="clear" w:color="auto" w:fill="auto"/>
            <w:noWrap/>
            <w:vAlign w:val="center"/>
          </w:tcPr>
          <w:p w14:paraId="7DB09E09">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kern w:val="0"/>
                <w:sz w:val="22"/>
                <w:szCs w:val="22"/>
                <w:lang w:bidi="ar"/>
                <w14:textFill>
                  <w14:solidFill>
                    <w14:schemeClr w14:val="tx1"/>
                  </w14:solidFill>
                </w14:textFill>
              </w:rPr>
              <w:t>斑块数（个）</w:t>
            </w:r>
          </w:p>
        </w:tc>
        <w:tc>
          <w:tcPr>
            <w:tcW w:w="801" w:type="pct"/>
            <w:tcBorders>
              <w:tl2br w:val="nil"/>
              <w:tr2bl w:val="nil"/>
            </w:tcBorders>
            <w:shd w:val="clear" w:color="auto" w:fill="auto"/>
            <w:noWrap/>
            <w:vAlign w:val="center"/>
          </w:tcPr>
          <w:p w14:paraId="493E9216">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kern w:val="0"/>
                <w:sz w:val="22"/>
                <w:szCs w:val="22"/>
                <w:lang w:bidi="ar"/>
                <w14:textFill>
                  <w14:solidFill>
                    <w14:schemeClr w14:val="tx1"/>
                  </w14:solidFill>
                </w14:textFill>
              </w:rPr>
              <w:t>面积（hm</w:t>
            </w:r>
            <w:r>
              <w:rPr>
                <w:rFonts w:hint="default" w:ascii="Times New Roman" w:hAnsi="Times New Roman" w:eastAsia="宋体" w:cs="Times New Roman"/>
                <w:color w:val="000000" w:themeColor="text1"/>
                <w:sz w:val="22"/>
                <w:szCs w:val="22"/>
                <w:vertAlign w:val="superscript"/>
                <w:lang w:bidi="ar"/>
                <w14:textFill>
                  <w14:solidFill>
                    <w14:schemeClr w14:val="tx1"/>
                  </w14:solidFill>
                </w14:textFill>
              </w:rPr>
              <w:t>2</w:t>
            </w:r>
            <w:r>
              <w:rPr>
                <w:rFonts w:hint="default" w:ascii="Times New Roman" w:hAnsi="Times New Roman" w:eastAsia="宋体" w:cs="Times New Roman"/>
                <w:color w:val="000000" w:themeColor="text1"/>
                <w:sz w:val="22"/>
                <w:szCs w:val="22"/>
                <w:lang w:bidi="ar"/>
                <w14:textFill>
                  <w14:solidFill>
                    <w14:schemeClr w14:val="tx1"/>
                  </w14:solidFill>
                </w14:textFill>
              </w:rPr>
              <w:t>）</w:t>
            </w:r>
          </w:p>
        </w:tc>
        <w:tc>
          <w:tcPr>
            <w:tcW w:w="1291" w:type="pct"/>
            <w:tcBorders>
              <w:tl2br w:val="nil"/>
              <w:tr2bl w:val="nil"/>
            </w:tcBorders>
            <w:shd w:val="clear" w:color="auto" w:fill="auto"/>
            <w:noWrap/>
            <w:vAlign w:val="center"/>
          </w:tcPr>
          <w:p w14:paraId="363555C6">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kern w:val="0"/>
                <w:sz w:val="22"/>
                <w:szCs w:val="22"/>
                <w:lang w:bidi="ar"/>
                <w14:textFill>
                  <w14:solidFill>
                    <w14:schemeClr w14:val="tx1"/>
                  </w14:solidFill>
                </w14:textFill>
              </w:rPr>
              <w:t>占项目区面积比例</w:t>
            </w:r>
          </w:p>
        </w:tc>
      </w:tr>
      <w:tr w14:paraId="07B0F8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jc w:val="center"/>
        </w:trPr>
        <w:tc>
          <w:tcPr>
            <w:tcW w:w="1051" w:type="pct"/>
            <w:tcBorders>
              <w:tl2br w:val="nil"/>
              <w:tr2bl w:val="nil"/>
            </w:tcBorders>
            <w:shd w:val="clear" w:color="auto" w:fill="auto"/>
            <w:noWrap/>
            <w:vAlign w:val="center"/>
          </w:tcPr>
          <w:p w14:paraId="048981E8">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kern w:val="0"/>
                <w:sz w:val="22"/>
                <w:szCs w:val="22"/>
                <w:lang w:bidi="ar"/>
                <w14:textFill>
                  <w14:solidFill>
                    <w14:schemeClr w14:val="tx1"/>
                  </w14:solidFill>
                </w14:textFill>
              </w:rPr>
              <w:t>林地</w:t>
            </w:r>
          </w:p>
        </w:tc>
        <w:tc>
          <w:tcPr>
            <w:tcW w:w="1008" w:type="pct"/>
            <w:tcBorders>
              <w:tl2br w:val="nil"/>
              <w:tr2bl w:val="nil"/>
            </w:tcBorders>
            <w:shd w:val="clear" w:color="auto" w:fill="auto"/>
            <w:noWrap/>
            <w:vAlign w:val="center"/>
          </w:tcPr>
          <w:p w14:paraId="21B7172D">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2"/>
                <w:szCs w:val="22"/>
                <w:lang w:bidi="ar"/>
                <w14:textFill>
                  <w14:solidFill>
                    <w14:schemeClr w14:val="tx1"/>
                  </w14:solidFill>
                </w14:textFill>
              </w:rPr>
            </w:pPr>
            <w:r>
              <w:rPr>
                <w:rFonts w:hint="default" w:ascii="Times New Roman" w:hAnsi="Times New Roman" w:eastAsia="宋体" w:cs="Times New Roman"/>
                <w:color w:val="000000" w:themeColor="text1"/>
                <w:kern w:val="0"/>
                <w:sz w:val="22"/>
                <w:szCs w:val="22"/>
                <w:lang w:bidi="ar"/>
                <w14:textFill>
                  <w14:solidFill>
                    <w14:schemeClr w14:val="tx1"/>
                  </w14:solidFill>
                </w14:textFill>
              </w:rPr>
              <w:t>乔木林地</w:t>
            </w:r>
          </w:p>
        </w:tc>
        <w:tc>
          <w:tcPr>
            <w:tcW w:w="848" w:type="pct"/>
            <w:tcBorders>
              <w:tl2br w:val="nil"/>
              <w:tr2bl w:val="nil"/>
            </w:tcBorders>
            <w:shd w:val="clear" w:color="auto" w:fill="auto"/>
            <w:noWrap/>
            <w:vAlign w:val="center"/>
          </w:tcPr>
          <w:p w14:paraId="51F0FE32">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2"/>
                <w:szCs w:val="22"/>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2</w:t>
            </w:r>
          </w:p>
        </w:tc>
        <w:tc>
          <w:tcPr>
            <w:tcW w:w="1436" w:type="dxa"/>
            <w:tcBorders>
              <w:tl2br w:val="nil"/>
              <w:tr2bl w:val="nil"/>
            </w:tcBorders>
            <w:shd w:val="clear" w:color="auto" w:fill="auto"/>
            <w:noWrap/>
            <w:vAlign w:val="bottom"/>
          </w:tcPr>
          <w:p w14:paraId="5ACDF3D3">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2"/>
                <w:szCs w:val="22"/>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10.48</w:t>
            </w:r>
          </w:p>
        </w:tc>
        <w:tc>
          <w:tcPr>
            <w:tcW w:w="2315" w:type="dxa"/>
            <w:tcBorders>
              <w:tl2br w:val="nil"/>
              <w:tr2bl w:val="nil"/>
            </w:tcBorders>
            <w:shd w:val="clear" w:color="auto" w:fill="auto"/>
            <w:noWrap/>
            <w:vAlign w:val="center"/>
          </w:tcPr>
          <w:p w14:paraId="5D591A7A">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2"/>
                <w:szCs w:val="22"/>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100%</w:t>
            </w:r>
          </w:p>
        </w:tc>
      </w:tr>
      <w:tr w14:paraId="438E09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jc w:val="center"/>
        </w:trPr>
        <w:tc>
          <w:tcPr>
            <w:tcW w:w="2059" w:type="pct"/>
            <w:gridSpan w:val="2"/>
            <w:tcBorders>
              <w:tl2br w:val="nil"/>
              <w:tr2bl w:val="nil"/>
            </w:tcBorders>
            <w:shd w:val="clear" w:color="auto" w:fill="auto"/>
            <w:noWrap/>
            <w:vAlign w:val="center"/>
          </w:tcPr>
          <w:p w14:paraId="44AF1410">
            <w:pPr>
              <w:keepNext w:val="0"/>
              <w:keepLines w:val="0"/>
              <w:pageBreakBefore w:val="0"/>
              <w:kinsoku/>
              <w:wordWrap/>
              <w:overflowPunct/>
              <w:topLinePunct w:val="0"/>
              <w:bidi w:val="0"/>
              <w:spacing w:line="240" w:lineRule="auto"/>
              <w:ind w:firstLine="0" w:firstLineChars="0"/>
              <w:jc w:val="center"/>
              <w:outlineLvl w:val="9"/>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kern w:val="0"/>
                <w:sz w:val="22"/>
                <w:szCs w:val="22"/>
                <w:lang w:bidi="ar"/>
                <w14:textFill>
                  <w14:solidFill>
                    <w14:schemeClr w14:val="tx1"/>
                  </w14:solidFill>
                </w14:textFill>
              </w:rPr>
              <w:t>合计</w:t>
            </w:r>
          </w:p>
        </w:tc>
        <w:tc>
          <w:tcPr>
            <w:tcW w:w="848" w:type="pct"/>
            <w:tcBorders>
              <w:tl2br w:val="nil"/>
              <w:tr2bl w:val="nil"/>
            </w:tcBorders>
            <w:shd w:val="clear" w:color="auto" w:fill="auto"/>
            <w:noWrap/>
            <w:vAlign w:val="bottom"/>
          </w:tcPr>
          <w:p w14:paraId="2F3411BC">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eastAsia" w:ascii="Times New Roman" w:hAnsi="Times New Roman" w:eastAsia="宋体" w:cs="Times New Roman"/>
                <w:color w:val="000000" w:themeColor="text1"/>
                <w:kern w:val="0"/>
                <w:sz w:val="22"/>
                <w:szCs w:val="22"/>
                <w:lang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lang w:val="en-US" w:eastAsia="zh-CN" w:bidi="ar"/>
                <w14:textFill>
                  <w14:solidFill>
                    <w14:schemeClr w14:val="tx1"/>
                  </w14:solidFill>
                </w14:textFill>
              </w:rPr>
              <w:t>2</w:t>
            </w:r>
          </w:p>
        </w:tc>
        <w:tc>
          <w:tcPr>
            <w:tcW w:w="801" w:type="pct"/>
            <w:tcBorders>
              <w:tl2br w:val="nil"/>
              <w:tr2bl w:val="nil"/>
            </w:tcBorders>
            <w:shd w:val="clear" w:color="auto" w:fill="auto"/>
            <w:noWrap/>
            <w:vAlign w:val="bottom"/>
          </w:tcPr>
          <w:p w14:paraId="55A8477C">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2"/>
                <w:szCs w:val="22"/>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10.48</w:t>
            </w:r>
          </w:p>
        </w:tc>
        <w:tc>
          <w:tcPr>
            <w:tcW w:w="1291" w:type="pct"/>
            <w:tcBorders>
              <w:tl2br w:val="nil"/>
              <w:tr2bl w:val="nil"/>
            </w:tcBorders>
            <w:shd w:val="clear" w:color="auto" w:fill="auto"/>
            <w:noWrap/>
            <w:vAlign w:val="center"/>
          </w:tcPr>
          <w:p w14:paraId="314DA100">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100%</w:t>
            </w:r>
          </w:p>
        </w:tc>
      </w:tr>
    </w:tbl>
    <w:p w14:paraId="46684507">
      <w:pPr>
        <w:keepNext w:val="0"/>
        <w:keepLines w:val="0"/>
        <w:pageBreakBefore w:val="0"/>
        <w:widowControl w:val="0"/>
        <w:kinsoku/>
        <w:wordWrap/>
        <w:overflowPunct/>
        <w:topLinePunct w:val="0"/>
        <w:bidi w:val="0"/>
        <w:spacing w:line="360" w:lineRule="auto"/>
        <w:ind w:firstLine="456" w:firstLineChars="200"/>
        <w:jc w:val="both"/>
        <w:outlineLvl w:val="9"/>
        <w:rPr>
          <w:rFonts w:hint="default" w:ascii="Times New Roman" w:hAnsi="Times New Roman" w:eastAsia="宋体" w:cs="Times New Roman"/>
          <w:color w:val="000000" w:themeColor="text1"/>
          <w:spacing w:val="-6"/>
          <w:kern w:val="2"/>
          <w:sz w:val="24"/>
          <w:szCs w:val="24"/>
          <w:lang w:val="en-US" w:eastAsia="zh-CN" w:bidi="ar-SA"/>
          <w14:textFill>
            <w14:solidFill>
              <w14:schemeClr w14:val="tx1"/>
            </w14:solidFill>
          </w14:textFill>
        </w:rPr>
      </w:pPr>
      <w:bookmarkStart w:id="163" w:name="_Toc13369"/>
      <w:bookmarkStart w:id="164" w:name="_Toc27545"/>
      <w:r>
        <w:rPr>
          <w:rFonts w:hint="default" w:ascii="Times New Roman" w:hAnsi="Times New Roman" w:eastAsia="宋体" w:cs="Times New Roman"/>
          <w:color w:val="000000" w:themeColor="text1"/>
          <w:spacing w:val="-6"/>
          <w:kern w:val="2"/>
          <w:sz w:val="24"/>
          <w:szCs w:val="24"/>
          <w:lang w:val="en-US" w:eastAsia="zh-CN" w:bidi="ar-SA"/>
          <w14:textFill>
            <w14:solidFill>
              <w14:schemeClr w14:val="tx1"/>
            </w14:solidFill>
          </w14:textFill>
        </w:rPr>
        <w:t>4.2.1.5植被覆盖度现状与评价</w:t>
      </w:r>
      <w:bookmarkEnd w:id="163"/>
      <w:bookmarkEnd w:id="164"/>
    </w:p>
    <w:p w14:paraId="1C881A4D">
      <w:pPr>
        <w:keepNext w:val="0"/>
        <w:keepLines w:val="0"/>
        <w:pageBreakBefore w:val="0"/>
        <w:widowControl w:val="0"/>
        <w:kinsoku/>
        <w:wordWrap/>
        <w:overflowPunct/>
        <w:topLinePunct w:val="0"/>
        <w:bidi w:val="0"/>
        <w:spacing w:line="360" w:lineRule="auto"/>
        <w:ind w:firstLine="480" w:firstLineChars="200"/>
        <w:jc w:val="both"/>
        <w:outlineLvl w:val="9"/>
        <w:rPr>
          <w:rFonts w:hint="default" w:ascii="Times New Roman" w:hAnsi="Times New Roman" w:eastAsia="宋体" w:cs="Times New Roman"/>
          <w:color w:val="000000" w:themeColor="text1"/>
          <w:kern w:val="0"/>
          <w:sz w:val="24"/>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4"/>
          <w:szCs w:val="24"/>
          <w:lang w:val="en-US" w:eastAsia="zh-CN" w:bidi="ar-SA"/>
          <w14:textFill>
            <w14:solidFill>
              <w14:schemeClr w14:val="tx1"/>
            </w14:solidFill>
          </w14:textFill>
        </w:rPr>
        <w:t>项目评价区域大部分为耕地、林地和草地，植物群落类型简单。调查方式以遥感和地面调查方式进行，根据202</w:t>
      </w:r>
      <w:r>
        <w:rPr>
          <w:rFonts w:hint="eastAsia" w:ascii="Times New Roman" w:hAnsi="Times New Roman" w:eastAsia="宋体" w:cs="Times New Roman"/>
          <w:color w:val="000000" w:themeColor="text1"/>
          <w:kern w:val="0"/>
          <w:sz w:val="24"/>
          <w:szCs w:val="24"/>
          <w:lang w:val="en-US" w:eastAsia="zh-CN" w:bidi="ar-SA"/>
          <w14:textFill>
            <w14:solidFill>
              <w14:schemeClr w14:val="tx1"/>
            </w14:solidFill>
          </w14:textFill>
        </w:rPr>
        <w:t>4</w:t>
      </w:r>
      <w:r>
        <w:rPr>
          <w:rFonts w:hint="default" w:ascii="Times New Roman" w:hAnsi="Times New Roman" w:eastAsia="宋体" w:cs="Times New Roman"/>
          <w:color w:val="000000" w:themeColor="text1"/>
          <w:kern w:val="0"/>
          <w:sz w:val="24"/>
          <w:szCs w:val="24"/>
          <w:lang w:val="en-US" w:eastAsia="zh-CN" w:bidi="ar-SA"/>
          <w14:textFill>
            <w14:solidFill>
              <w14:schemeClr w14:val="tx1"/>
            </w14:solidFill>
          </w14:textFill>
        </w:rPr>
        <w:t>年LANDSAT</w:t>
      </w:r>
      <w:r>
        <w:rPr>
          <w:rFonts w:hint="eastAsia" w:ascii="Times New Roman" w:hAnsi="Times New Roman" w:eastAsia="宋体" w:cs="Times New Roman"/>
          <w:color w:val="000000" w:themeColor="text1"/>
          <w:kern w:val="0"/>
          <w:sz w:val="24"/>
          <w:szCs w:val="24"/>
          <w:lang w:val="en-US" w:eastAsia="zh-CN" w:bidi="ar-SA"/>
          <w14:textFill>
            <w14:solidFill>
              <w14:schemeClr w14:val="tx1"/>
            </w14:solidFill>
          </w14:textFill>
        </w:rPr>
        <w:t>8</w:t>
      </w:r>
      <w:r>
        <w:rPr>
          <w:rFonts w:hint="default" w:ascii="Times New Roman" w:hAnsi="Times New Roman" w:eastAsia="宋体" w:cs="Times New Roman"/>
          <w:color w:val="000000" w:themeColor="text1"/>
          <w:kern w:val="0"/>
          <w:sz w:val="24"/>
          <w:szCs w:val="24"/>
          <w:lang w:val="en-US" w:eastAsia="zh-CN" w:bidi="ar-SA"/>
          <w14:textFill>
            <w14:solidFill>
              <w14:schemeClr w14:val="tx1"/>
            </w14:solidFill>
          </w14:textFill>
        </w:rPr>
        <w:t>美国陆地卫星遥感影像（轨道：121028）数据作为数据源进行计算，对拟建项目评价区域（永久占地）1km范围内植被覆盖度现状进行调查，见表4.2-8及表4.2-9，植被覆盖度见图4-7。计算公式：NDVI=</w:t>
      </w:r>
      <w:r>
        <w:rPr>
          <w:rFonts w:hint="eastAsia" w:cs="Times New Roman"/>
          <w:color w:val="000000" w:themeColor="text1"/>
          <w:kern w:val="0"/>
          <w:sz w:val="24"/>
          <w:szCs w:val="24"/>
          <w:lang w:val="en-US" w:eastAsia="zh-CN" w:bidi="ar-SA"/>
          <w14:textFill>
            <w14:solidFill>
              <w14:schemeClr w14:val="tx1"/>
            </w14:solidFill>
          </w14:textFill>
        </w:rPr>
        <w:t>（（</w:t>
      </w:r>
      <w:r>
        <w:rPr>
          <w:rFonts w:hint="default" w:ascii="Times New Roman" w:hAnsi="Times New Roman" w:eastAsia="宋体" w:cs="Times New Roman"/>
          <w:color w:val="000000" w:themeColor="text1"/>
          <w:kern w:val="0"/>
          <w:sz w:val="24"/>
          <w:szCs w:val="24"/>
          <w:lang w:val="en-US" w:eastAsia="zh-CN" w:bidi="ar-SA"/>
          <w14:textFill>
            <w14:solidFill>
              <w14:schemeClr w14:val="tx1"/>
            </w14:solidFill>
          </w14:textFill>
        </w:rPr>
        <w:t>IR-R</w:t>
      </w:r>
      <w:r>
        <w:rPr>
          <w:rFonts w:hint="eastAsia" w:cs="Times New Roman"/>
          <w:color w:val="000000" w:themeColor="text1"/>
          <w:kern w:val="0"/>
          <w:sz w:val="24"/>
          <w:szCs w:val="24"/>
          <w:lang w:val="en-US" w:eastAsia="zh-CN" w:bidi="ar-SA"/>
          <w14:textFill>
            <w14:solidFill>
              <w14:schemeClr w14:val="tx1"/>
            </w14:solidFill>
          </w14:textFill>
        </w:rPr>
        <w:t>）</w:t>
      </w:r>
      <w:r>
        <w:rPr>
          <w:rFonts w:hint="default" w:ascii="Times New Roman" w:hAnsi="Times New Roman" w:eastAsia="宋体" w:cs="Times New Roman"/>
          <w:color w:val="000000" w:themeColor="text1"/>
          <w:kern w:val="0"/>
          <w:sz w:val="24"/>
          <w:szCs w:val="24"/>
          <w:lang w:val="en-US" w:eastAsia="zh-CN" w:bidi="ar-SA"/>
          <w14:textFill>
            <w14:solidFill>
              <w14:schemeClr w14:val="tx1"/>
            </w14:solidFill>
          </w14:textFill>
        </w:rPr>
        <w:t>/</w:t>
      </w:r>
      <w:r>
        <w:rPr>
          <w:rFonts w:hint="eastAsia" w:cs="Times New Roman"/>
          <w:color w:val="000000" w:themeColor="text1"/>
          <w:kern w:val="0"/>
          <w:sz w:val="24"/>
          <w:szCs w:val="24"/>
          <w:lang w:val="en-US" w:eastAsia="zh-CN" w:bidi="ar-SA"/>
          <w14:textFill>
            <w14:solidFill>
              <w14:schemeClr w14:val="tx1"/>
            </w14:solidFill>
          </w14:textFill>
        </w:rPr>
        <w:t>（</w:t>
      </w:r>
      <w:r>
        <w:rPr>
          <w:rFonts w:hint="default" w:ascii="Times New Roman" w:hAnsi="Times New Roman" w:eastAsia="宋体" w:cs="Times New Roman"/>
          <w:color w:val="000000" w:themeColor="text1"/>
          <w:kern w:val="0"/>
          <w:sz w:val="24"/>
          <w:szCs w:val="24"/>
          <w:lang w:val="en-US" w:eastAsia="zh-CN" w:bidi="ar-SA"/>
          <w14:textFill>
            <w14:solidFill>
              <w14:schemeClr w14:val="tx1"/>
            </w14:solidFill>
          </w14:textFill>
        </w:rPr>
        <w:t>IR+R</w:t>
      </w:r>
      <w:r>
        <w:rPr>
          <w:rFonts w:hint="eastAsia" w:cs="Times New Roman"/>
          <w:color w:val="000000" w:themeColor="text1"/>
          <w:kern w:val="0"/>
          <w:sz w:val="24"/>
          <w:szCs w:val="24"/>
          <w:lang w:val="en-US" w:eastAsia="zh-CN" w:bidi="ar-SA"/>
          <w14:textFill>
            <w14:solidFill>
              <w14:schemeClr w14:val="tx1"/>
            </w14:solidFill>
          </w14:textFill>
        </w:rPr>
        <w:t>））</w:t>
      </w:r>
      <w:r>
        <w:rPr>
          <w:rFonts w:hint="default" w:ascii="Times New Roman" w:hAnsi="Times New Roman" w:eastAsia="宋体" w:cs="Times New Roman"/>
          <w:color w:val="000000" w:themeColor="text1"/>
          <w:kern w:val="0"/>
          <w:sz w:val="24"/>
          <w:szCs w:val="24"/>
          <w:lang w:val="en-US" w:eastAsia="zh-CN" w:bidi="ar-SA"/>
          <w14:textFill>
            <w14:solidFill>
              <w14:schemeClr w14:val="tx1"/>
            </w14:solidFill>
          </w14:textFill>
        </w:rPr>
        <w:t>。</w:t>
      </w:r>
    </w:p>
    <w:p w14:paraId="103FB410">
      <w:pPr>
        <w:keepNext w:val="0"/>
        <w:keepLines w:val="0"/>
        <w:pageBreakBefore w:val="0"/>
        <w:kinsoku/>
        <w:wordWrap/>
        <w:overflowPunct/>
        <w:topLinePunct w:val="0"/>
        <w:bidi w:val="0"/>
        <w:spacing w:line="240" w:lineRule="auto"/>
        <w:ind w:firstLine="422" w:firstLineChars="0"/>
        <w:jc w:val="center"/>
        <w:outlineLvl w:val="9"/>
        <w:rPr>
          <w:rFonts w:hint="default" w:ascii="Times New Roman" w:hAnsi="Times New Roman" w:eastAsia="宋体" w:cs="Times New Roman"/>
          <w:b/>
          <w:color w:val="000000" w:themeColor="text1"/>
          <w:sz w:val="21"/>
          <w:szCs w:val="21"/>
          <w14:textFill>
            <w14:solidFill>
              <w14:schemeClr w14:val="tx1"/>
            </w14:solidFill>
          </w14:textFill>
        </w:rPr>
      </w:pPr>
      <w:r>
        <w:rPr>
          <w:rFonts w:hint="default" w:ascii="Times New Roman" w:hAnsi="Times New Roman" w:eastAsia="宋体" w:cs="Times New Roman"/>
          <w:b/>
          <w:color w:val="000000" w:themeColor="text1"/>
          <w:sz w:val="21"/>
          <w:szCs w:val="21"/>
          <w14:textFill>
            <w14:solidFill>
              <w14:schemeClr w14:val="tx1"/>
            </w14:solidFill>
          </w14:textFill>
        </w:rPr>
        <w:t>表4.2-8评价区内植被覆盖度现状</w:t>
      </w:r>
    </w:p>
    <w:tbl>
      <w:tblPr>
        <w:tblStyle w:val="29"/>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3235"/>
        <w:gridCol w:w="2479"/>
        <w:gridCol w:w="3140"/>
      </w:tblGrid>
      <w:tr w14:paraId="5E6B2D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7" w:hRule="atLeast"/>
        </w:trPr>
        <w:tc>
          <w:tcPr>
            <w:tcW w:w="1843" w:type="pct"/>
            <w:tcBorders>
              <w:tl2br w:val="nil"/>
              <w:tr2bl w:val="nil"/>
            </w:tcBorders>
            <w:shd w:val="clear" w:color="auto" w:fill="auto"/>
            <w:noWrap/>
          </w:tcPr>
          <w:p w14:paraId="158E9F2F">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kern w:val="0"/>
                <w:sz w:val="22"/>
                <w:szCs w:val="22"/>
                <w:lang w:bidi="ar"/>
                <w14:textFill>
                  <w14:solidFill>
                    <w14:schemeClr w14:val="tx1"/>
                  </w14:solidFill>
                </w14:textFill>
              </w:rPr>
              <w:t>植被覆盖度等级</w:t>
            </w:r>
          </w:p>
        </w:tc>
        <w:tc>
          <w:tcPr>
            <w:tcW w:w="1416" w:type="pct"/>
            <w:tcBorders>
              <w:tl2br w:val="nil"/>
              <w:tr2bl w:val="nil"/>
            </w:tcBorders>
            <w:shd w:val="clear" w:color="auto" w:fill="auto"/>
            <w:noWrap/>
          </w:tcPr>
          <w:p w14:paraId="1BF9BE9C">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kern w:val="0"/>
                <w:sz w:val="22"/>
                <w:szCs w:val="22"/>
                <w:lang w:bidi="ar"/>
                <w14:textFill>
                  <w14:solidFill>
                    <w14:schemeClr w14:val="tx1"/>
                  </w14:solidFill>
                </w14:textFill>
              </w:rPr>
              <w:t>面积（hm</w:t>
            </w:r>
            <w:r>
              <w:rPr>
                <w:rFonts w:hint="default" w:ascii="Times New Roman" w:hAnsi="Times New Roman" w:eastAsia="宋体" w:cs="Times New Roman"/>
                <w:color w:val="000000" w:themeColor="text1"/>
                <w:sz w:val="22"/>
                <w:szCs w:val="22"/>
                <w:vertAlign w:val="superscript"/>
                <w:lang w:bidi="ar"/>
                <w14:textFill>
                  <w14:solidFill>
                    <w14:schemeClr w14:val="tx1"/>
                  </w14:solidFill>
                </w14:textFill>
              </w:rPr>
              <w:t>2</w:t>
            </w:r>
            <w:r>
              <w:rPr>
                <w:rFonts w:hint="default" w:ascii="Times New Roman" w:hAnsi="Times New Roman" w:eastAsia="宋体" w:cs="Times New Roman"/>
                <w:color w:val="000000" w:themeColor="text1"/>
                <w:sz w:val="22"/>
                <w:szCs w:val="22"/>
                <w:lang w:bidi="ar"/>
                <w14:textFill>
                  <w14:solidFill>
                    <w14:schemeClr w14:val="tx1"/>
                  </w14:solidFill>
                </w14:textFill>
              </w:rPr>
              <w:t>）</w:t>
            </w:r>
          </w:p>
        </w:tc>
        <w:tc>
          <w:tcPr>
            <w:tcW w:w="1740" w:type="pct"/>
            <w:tcBorders>
              <w:tl2br w:val="nil"/>
              <w:tr2bl w:val="nil"/>
            </w:tcBorders>
            <w:shd w:val="clear" w:color="auto" w:fill="auto"/>
            <w:noWrap/>
          </w:tcPr>
          <w:p w14:paraId="6AEDBE7F">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eastAsia" w:ascii="Times New Roman" w:hAnsi="Times New Roman" w:eastAsia="宋体" w:cs="Times New Roman"/>
                <w:color w:val="000000" w:themeColor="text1"/>
                <w:sz w:val="22"/>
                <w:szCs w:val="22"/>
                <w:lang w:eastAsia="zh-CN"/>
                <w14:textFill>
                  <w14:solidFill>
                    <w14:schemeClr w14:val="tx1"/>
                  </w14:solidFill>
                </w14:textFill>
              </w:rPr>
            </w:pPr>
            <w:r>
              <w:rPr>
                <w:rFonts w:hint="default" w:ascii="Times New Roman" w:hAnsi="Times New Roman" w:eastAsia="宋体" w:cs="Times New Roman"/>
                <w:color w:val="000000" w:themeColor="text1"/>
                <w:kern w:val="0"/>
                <w:sz w:val="22"/>
                <w:szCs w:val="22"/>
                <w:lang w:bidi="ar"/>
                <w14:textFill>
                  <w14:solidFill>
                    <w14:schemeClr w14:val="tx1"/>
                  </w14:solidFill>
                </w14:textFill>
              </w:rPr>
              <w:t>占评价区面积比例</w:t>
            </w:r>
            <w:r>
              <w:rPr>
                <w:rFonts w:hint="eastAsia" w:cs="Times New Roman"/>
                <w:color w:val="000000" w:themeColor="text1"/>
                <w:kern w:val="0"/>
                <w:sz w:val="22"/>
                <w:szCs w:val="22"/>
                <w:lang w:eastAsia="zh-CN" w:bidi="ar"/>
                <w14:textFill>
                  <w14:solidFill>
                    <w14:schemeClr w14:val="tx1"/>
                  </w14:solidFill>
                </w14:textFill>
              </w:rPr>
              <w:t>（</w:t>
            </w:r>
            <w:r>
              <w:rPr>
                <w:rFonts w:hint="default" w:ascii="Times New Roman" w:hAnsi="Times New Roman" w:eastAsia="宋体" w:cs="Times New Roman"/>
                <w:color w:val="000000" w:themeColor="text1"/>
                <w:kern w:val="0"/>
                <w:sz w:val="22"/>
                <w:szCs w:val="22"/>
                <w:lang w:bidi="ar"/>
                <w14:textFill>
                  <w14:solidFill>
                    <w14:schemeClr w14:val="tx1"/>
                  </w14:solidFill>
                </w14:textFill>
              </w:rPr>
              <w:t>％</w:t>
            </w:r>
            <w:r>
              <w:rPr>
                <w:rFonts w:hint="eastAsia" w:cs="Times New Roman"/>
                <w:color w:val="000000" w:themeColor="text1"/>
                <w:kern w:val="0"/>
                <w:sz w:val="22"/>
                <w:szCs w:val="22"/>
                <w:lang w:eastAsia="zh-CN" w:bidi="ar"/>
                <w14:textFill>
                  <w14:solidFill>
                    <w14:schemeClr w14:val="tx1"/>
                  </w14:solidFill>
                </w14:textFill>
              </w:rPr>
              <w:t>）</w:t>
            </w:r>
          </w:p>
        </w:tc>
      </w:tr>
      <w:tr w14:paraId="6EB0F3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3" w:hRule="atLeast"/>
        </w:trPr>
        <w:tc>
          <w:tcPr>
            <w:tcW w:w="1843" w:type="pct"/>
            <w:tcBorders>
              <w:tl2br w:val="nil"/>
              <w:tr2bl w:val="nil"/>
            </w:tcBorders>
            <w:shd w:val="clear" w:color="auto" w:fill="auto"/>
            <w:noWrap/>
          </w:tcPr>
          <w:p w14:paraId="43E34CCE">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kern w:val="0"/>
                <w:sz w:val="22"/>
                <w:szCs w:val="22"/>
                <w:lang w:bidi="ar"/>
                <w14:textFill>
                  <w14:solidFill>
                    <w14:schemeClr w14:val="tx1"/>
                  </w14:solidFill>
                </w14:textFill>
              </w:rPr>
              <w:t>植被盖度0-10%</w:t>
            </w:r>
          </w:p>
        </w:tc>
        <w:tc>
          <w:tcPr>
            <w:tcW w:w="1416" w:type="pct"/>
            <w:tcBorders>
              <w:tl2br w:val="nil"/>
              <w:tr2bl w:val="nil"/>
            </w:tcBorders>
            <w:shd w:val="clear" w:color="auto" w:fill="auto"/>
            <w:noWrap/>
            <w:vAlign w:val="bottom"/>
          </w:tcPr>
          <w:p w14:paraId="282F59C6">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2"/>
                <w:szCs w:val="22"/>
                <w:lang w:bidi="ar"/>
                <w14:textFill>
                  <w14:solidFill>
                    <w14:schemeClr w14:val="tx1"/>
                  </w14:solidFill>
                </w14:textFill>
              </w:rPr>
            </w:pPr>
            <w:r>
              <w:rPr>
                <w:rFonts w:hint="default" w:ascii="Times New Roman" w:hAnsi="Times New Roman" w:eastAsia="宋体" w:cs="Times New Roman"/>
                <w:color w:val="000000" w:themeColor="text1"/>
                <w:kern w:val="0"/>
                <w:sz w:val="22"/>
                <w:szCs w:val="22"/>
                <w:lang w:bidi="ar"/>
                <w14:textFill>
                  <w14:solidFill>
                    <w14:schemeClr w14:val="tx1"/>
                  </w14:solidFill>
                </w14:textFill>
              </w:rPr>
              <w:t>0.09</w:t>
            </w:r>
          </w:p>
        </w:tc>
        <w:tc>
          <w:tcPr>
            <w:tcW w:w="3140" w:type="dxa"/>
            <w:tcBorders>
              <w:tl2br w:val="nil"/>
              <w:tr2bl w:val="nil"/>
            </w:tcBorders>
            <w:shd w:val="clear" w:color="auto" w:fill="auto"/>
            <w:noWrap/>
            <w:vAlign w:val="bottom"/>
          </w:tcPr>
          <w:p w14:paraId="51864D02">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2"/>
                <w:szCs w:val="22"/>
                <w:lang w:bidi="ar"/>
                <w14:textFill>
                  <w14:solidFill>
                    <w14:schemeClr w14:val="tx1"/>
                  </w14:solidFill>
                </w14:textFill>
              </w:rPr>
            </w:pPr>
            <w:r>
              <w:rPr>
                <w:rFonts w:hint="default" w:ascii="Times New Roman" w:hAnsi="Times New Roman" w:eastAsia="宋体" w:cs="Times New Roman"/>
                <w:color w:val="000000" w:themeColor="text1"/>
                <w:kern w:val="0"/>
                <w:sz w:val="22"/>
                <w:szCs w:val="22"/>
                <w:lang w:bidi="ar"/>
                <w14:textFill>
                  <w14:solidFill>
                    <w14:schemeClr w14:val="tx1"/>
                  </w14:solidFill>
                </w14:textFill>
              </w:rPr>
              <w:t>0.02%</w:t>
            </w:r>
          </w:p>
        </w:tc>
      </w:tr>
      <w:tr w14:paraId="6496B7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3" w:hRule="atLeast"/>
        </w:trPr>
        <w:tc>
          <w:tcPr>
            <w:tcW w:w="1843" w:type="pct"/>
            <w:tcBorders>
              <w:tl2br w:val="nil"/>
              <w:tr2bl w:val="nil"/>
            </w:tcBorders>
            <w:shd w:val="clear" w:color="auto" w:fill="auto"/>
            <w:noWrap/>
          </w:tcPr>
          <w:p w14:paraId="1C044984">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kern w:val="0"/>
                <w:sz w:val="22"/>
                <w:szCs w:val="22"/>
                <w:lang w:bidi="ar"/>
                <w14:textFill>
                  <w14:solidFill>
                    <w14:schemeClr w14:val="tx1"/>
                  </w14:solidFill>
                </w14:textFill>
              </w:rPr>
              <w:t>植被盖度10-20%</w:t>
            </w:r>
          </w:p>
        </w:tc>
        <w:tc>
          <w:tcPr>
            <w:tcW w:w="1416" w:type="pct"/>
            <w:tcBorders>
              <w:tl2br w:val="nil"/>
              <w:tr2bl w:val="nil"/>
            </w:tcBorders>
            <w:shd w:val="clear" w:color="auto" w:fill="auto"/>
            <w:noWrap/>
            <w:vAlign w:val="bottom"/>
          </w:tcPr>
          <w:p w14:paraId="635709A7">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2"/>
                <w:szCs w:val="22"/>
                <w:lang w:bidi="ar"/>
                <w14:textFill>
                  <w14:solidFill>
                    <w14:schemeClr w14:val="tx1"/>
                  </w14:solidFill>
                </w14:textFill>
              </w:rPr>
            </w:pPr>
            <w:r>
              <w:rPr>
                <w:rFonts w:hint="default" w:ascii="Times New Roman" w:hAnsi="Times New Roman" w:eastAsia="宋体" w:cs="Times New Roman"/>
                <w:color w:val="000000" w:themeColor="text1"/>
                <w:kern w:val="0"/>
                <w:sz w:val="22"/>
                <w:szCs w:val="22"/>
                <w:lang w:bidi="ar"/>
                <w14:textFill>
                  <w14:solidFill>
                    <w14:schemeClr w14:val="tx1"/>
                  </w14:solidFill>
                </w14:textFill>
              </w:rPr>
              <w:t>7.56</w:t>
            </w:r>
          </w:p>
        </w:tc>
        <w:tc>
          <w:tcPr>
            <w:tcW w:w="3140" w:type="dxa"/>
            <w:tcBorders>
              <w:tl2br w:val="nil"/>
              <w:tr2bl w:val="nil"/>
            </w:tcBorders>
            <w:shd w:val="clear" w:color="auto" w:fill="auto"/>
            <w:noWrap/>
            <w:vAlign w:val="bottom"/>
          </w:tcPr>
          <w:p w14:paraId="57E1FFF1">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2"/>
                <w:szCs w:val="22"/>
                <w:lang w:bidi="ar"/>
                <w14:textFill>
                  <w14:solidFill>
                    <w14:schemeClr w14:val="tx1"/>
                  </w14:solidFill>
                </w14:textFill>
              </w:rPr>
            </w:pPr>
            <w:r>
              <w:rPr>
                <w:rFonts w:hint="default" w:ascii="Times New Roman" w:hAnsi="Times New Roman" w:eastAsia="宋体" w:cs="Times New Roman"/>
                <w:color w:val="000000" w:themeColor="text1"/>
                <w:kern w:val="0"/>
                <w:sz w:val="22"/>
                <w:szCs w:val="22"/>
                <w:lang w:bidi="ar"/>
                <w14:textFill>
                  <w14:solidFill>
                    <w14:schemeClr w14:val="tx1"/>
                  </w14:solidFill>
                </w14:textFill>
              </w:rPr>
              <w:t>1.33%</w:t>
            </w:r>
          </w:p>
        </w:tc>
      </w:tr>
      <w:tr w14:paraId="21351F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3" w:hRule="atLeast"/>
        </w:trPr>
        <w:tc>
          <w:tcPr>
            <w:tcW w:w="1843" w:type="pct"/>
            <w:tcBorders>
              <w:tl2br w:val="nil"/>
              <w:tr2bl w:val="nil"/>
            </w:tcBorders>
            <w:shd w:val="clear" w:color="auto" w:fill="auto"/>
            <w:noWrap/>
          </w:tcPr>
          <w:p w14:paraId="65F1B132">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kern w:val="0"/>
                <w:sz w:val="22"/>
                <w:szCs w:val="22"/>
                <w:lang w:bidi="ar"/>
                <w14:textFill>
                  <w14:solidFill>
                    <w14:schemeClr w14:val="tx1"/>
                  </w14:solidFill>
                </w14:textFill>
              </w:rPr>
              <w:t>植被盖度20-30%</w:t>
            </w:r>
          </w:p>
        </w:tc>
        <w:tc>
          <w:tcPr>
            <w:tcW w:w="1416" w:type="pct"/>
            <w:tcBorders>
              <w:tl2br w:val="nil"/>
              <w:tr2bl w:val="nil"/>
            </w:tcBorders>
            <w:shd w:val="clear" w:color="auto" w:fill="auto"/>
            <w:noWrap/>
            <w:vAlign w:val="bottom"/>
          </w:tcPr>
          <w:p w14:paraId="07F466C7">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2"/>
                <w:szCs w:val="22"/>
                <w:lang w:bidi="ar"/>
                <w14:textFill>
                  <w14:solidFill>
                    <w14:schemeClr w14:val="tx1"/>
                  </w14:solidFill>
                </w14:textFill>
              </w:rPr>
            </w:pPr>
            <w:r>
              <w:rPr>
                <w:rFonts w:hint="default" w:ascii="Times New Roman" w:hAnsi="Times New Roman" w:eastAsia="宋体" w:cs="Times New Roman"/>
                <w:color w:val="000000" w:themeColor="text1"/>
                <w:kern w:val="0"/>
                <w:sz w:val="22"/>
                <w:szCs w:val="22"/>
                <w:lang w:bidi="ar"/>
                <w14:textFill>
                  <w14:solidFill>
                    <w14:schemeClr w14:val="tx1"/>
                  </w14:solidFill>
                </w14:textFill>
              </w:rPr>
              <w:t>223.20</w:t>
            </w:r>
          </w:p>
        </w:tc>
        <w:tc>
          <w:tcPr>
            <w:tcW w:w="3140" w:type="dxa"/>
            <w:tcBorders>
              <w:tl2br w:val="nil"/>
              <w:tr2bl w:val="nil"/>
            </w:tcBorders>
            <w:shd w:val="clear" w:color="auto" w:fill="auto"/>
            <w:noWrap/>
            <w:vAlign w:val="bottom"/>
          </w:tcPr>
          <w:p w14:paraId="08A4AC8C">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2"/>
                <w:szCs w:val="22"/>
                <w:lang w:bidi="ar"/>
                <w14:textFill>
                  <w14:solidFill>
                    <w14:schemeClr w14:val="tx1"/>
                  </w14:solidFill>
                </w14:textFill>
              </w:rPr>
            </w:pPr>
            <w:r>
              <w:rPr>
                <w:rFonts w:hint="default" w:ascii="Times New Roman" w:hAnsi="Times New Roman" w:eastAsia="宋体" w:cs="Times New Roman"/>
                <w:color w:val="000000" w:themeColor="text1"/>
                <w:kern w:val="0"/>
                <w:sz w:val="22"/>
                <w:szCs w:val="22"/>
                <w:lang w:bidi="ar"/>
                <w14:textFill>
                  <w14:solidFill>
                    <w14:schemeClr w14:val="tx1"/>
                  </w14:solidFill>
                </w14:textFill>
              </w:rPr>
              <w:t>39.41%</w:t>
            </w:r>
          </w:p>
        </w:tc>
      </w:tr>
      <w:tr w14:paraId="7DB14B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3" w:hRule="atLeast"/>
        </w:trPr>
        <w:tc>
          <w:tcPr>
            <w:tcW w:w="1843" w:type="pct"/>
            <w:tcBorders>
              <w:tl2br w:val="nil"/>
              <w:tr2bl w:val="nil"/>
            </w:tcBorders>
            <w:shd w:val="clear" w:color="auto" w:fill="auto"/>
            <w:noWrap/>
          </w:tcPr>
          <w:p w14:paraId="384189DA">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kern w:val="0"/>
                <w:sz w:val="22"/>
                <w:szCs w:val="22"/>
                <w:lang w:bidi="ar"/>
                <w14:textFill>
                  <w14:solidFill>
                    <w14:schemeClr w14:val="tx1"/>
                  </w14:solidFill>
                </w14:textFill>
              </w:rPr>
              <w:t>植被盖度30-40%</w:t>
            </w:r>
          </w:p>
        </w:tc>
        <w:tc>
          <w:tcPr>
            <w:tcW w:w="1416" w:type="pct"/>
            <w:tcBorders>
              <w:tl2br w:val="nil"/>
              <w:tr2bl w:val="nil"/>
            </w:tcBorders>
            <w:shd w:val="clear" w:color="auto" w:fill="auto"/>
            <w:noWrap/>
            <w:vAlign w:val="bottom"/>
          </w:tcPr>
          <w:p w14:paraId="600F09AE">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2"/>
                <w:szCs w:val="22"/>
                <w:lang w:bidi="ar"/>
                <w14:textFill>
                  <w14:solidFill>
                    <w14:schemeClr w14:val="tx1"/>
                  </w14:solidFill>
                </w14:textFill>
              </w:rPr>
            </w:pPr>
            <w:r>
              <w:rPr>
                <w:rFonts w:hint="default" w:ascii="Times New Roman" w:hAnsi="Times New Roman" w:eastAsia="宋体" w:cs="Times New Roman"/>
                <w:color w:val="000000" w:themeColor="text1"/>
                <w:kern w:val="0"/>
                <w:sz w:val="22"/>
                <w:szCs w:val="22"/>
                <w:lang w:bidi="ar"/>
                <w14:textFill>
                  <w14:solidFill>
                    <w14:schemeClr w14:val="tx1"/>
                  </w14:solidFill>
                </w14:textFill>
              </w:rPr>
              <w:t>298.81</w:t>
            </w:r>
          </w:p>
        </w:tc>
        <w:tc>
          <w:tcPr>
            <w:tcW w:w="3140" w:type="dxa"/>
            <w:tcBorders>
              <w:tl2br w:val="nil"/>
              <w:tr2bl w:val="nil"/>
            </w:tcBorders>
            <w:shd w:val="clear" w:color="auto" w:fill="auto"/>
            <w:noWrap/>
            <w:vAlign w:val="bottom"/>
          </w:tcPr>
          <w:p w14:paraId="37BD44C0">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2"/>
                <w:szCs w:val="22"/>
                <w:lang w:bidi="ar"/>
                <w14:textFill>
                  <w14:solidFill>
                    <w14:schemeClr w14:val="tx1"/>
                  </w14:solidFill>
                </w14:textFill>
              </w:rPr>
            </w:pPr>
            <w:r>
              <w:rPr>
                <w:rFonts w:hint="default" w:ascii="Times New Roman" w:hAnsi="Times New Roman" w:eastAsia="宋体" w:cs="Times New Roman"/>
                <w:color w:val="000000" w:themeColor="text1"/>
                <w:kern w:val="0"/>
                <w:sz w:val="22"/>
                <w:szCs w:val="22"/>
                <w:lang w:bidi="ar"/>
                <w14:textFill>
                  <w14:solidFill>
                    <w14:schemeClr w14:val="tx1"/>
                  </w14:solidFill>
                </w14:textFill>
              </w:rPr>
              <w:t>52.77%</w:t>
            </w:r>
          </w:p>
        </w:tc>
      </w:tr>
      <w:tr w14:paraId="0CFC5F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3" w:hRule="atLeast"/>
        </w:trPr>
        <w:tc>
          <w:tcPr>
            <w:tcW w:w="1843" w:type="pct"/>
            <w:tcBorders>
              <w:tl2br w:val="nil"/>
              <w:tr2bl w:val="nil"/>
            </w:tcBorders>
            <w:shd w:val="clear" w:color="auto" w:fill="auto"/>
            <w:noWrap/>
          </w:tcPr>
          <w:p w14:paraId="603030A1">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2"/>
                <w:szCs w:val="22"/>
                <w:lang w:bidi="ar"/>
                <w14:textFill>
                  <w14:solidFill>
                    <w14:schemeClr w14:val="tx1"/>
                  </w14:solidFill>
                </w14:textFill>
              </w:rPr>
            </w:pPr>
            <w:r>
              <w:rPr>
                <w:rFonts w:hint="default" w:ascii="Times New Roman" w:hAnsi="Times New Roman" w:eastAsia="宋体" w:cs="Times New Roman"/>
                <w:color w:val="000000" w:themeColor="text1"/>
                <w:kern w:val="0"/>
                <w:sz w:val="22"/>
                <w:szCs w:val="22"/>
                <w:lang w:bidi="ar"/>
                <w14:textFill>
                  <w14:solidFill>
                    <w14:schemeClr w14:val="tx1"/>
                  </w14:solidFill>
                </w14:textFill>
              </w:rPr>
              <w:t>植被盖度40-50%</w:t>
            </w:r>
          </w:p>
        </w:tc>
        <w:tc>
          <w:tcPr>
            <w:tcW w:w="1416" w:type="pct"/>
            <w:tcBorders>
              <w:tl2br w:val="nil"/>
              <w:tr2bl w:val="nil"/>
            </w:tcBorders>
            <w:shd w:val="clear" w:color="auto" w:fill="auto"/>
            <w:noWrap/>
            <w:vAlign w:val="bottom"/>
          </w:tcPr>
          <w:p w14:paraId="3DBA5A4B">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2"/>
                <w:szCs w:val="22"/>
                <w:lang w:bidi="ar"/>
                <w14:textFill>
                  <w14:solidFill>
                    <w14:schemeClr w14:val="tx1"/>
                  </w14:solidFill>
                </w14:textFill>
              </w:rPr>
            </w:pPr>
            <w:r>
              <w:rPr>
                <w:rFonts w:hint="default" w:ascii="Times New Roman" w:hAnsi="Times New Roman" w:eastAsia="宋体" w:cs="Times New Roman"/>
                <w:color w:val="000000" w:themeColor="text1"/>
                <w:kern w:val="0"/>
                <w:sz w:val="22"/>
                <w:szCs w:val="22"/>
                <w:lang w:bidi="ar"/>
                <w14:textFill>
                  <w14:solidFill>
                    <w14:schemeClr w14:val="tx1"/>
                  </w14:solidFill>
                </w14:textFill>
              </w:rPr>
              <w:t>35.64</w:t>
            </w:r>
          </w:p>
        </w:tc>
        <w:tc>
          <w:tcPr>
            <w:tcW w:w="3140" w:type="dxa"/>
            <w:tcBorders>
              <w:tl2br w:val="nil"/>
              <w:tr2bl w:val="nil"/>
            </w:tcBorders>
            <w:shd w:val="clear" w:color="auto" w:fill="auto"/>
            <w:noWrap/>
            <w:vAlign w:val="bottom"/>
          </w:tcPr>
          <w:p w14:paraId="31D8A9E1">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2"/>
                <w:szCs w:val="22"/>
                <w:lang w:bidi="ar"/>
                <w14:textFill>
                  <w14:solidFill>
                    <w14:schemeClr w14:val="tx1"/>
                  </w14:solidFill>
                </w14:textFill>
              </w:rPr>
            </w:pPr>
            <w:r>
              <w:rPr>
                <w:rFonts w:hint="default" w:ascii="Times New Roman" w:hAnsi="Times New Roman" w:eastAsia="宋体" w:cs="Times New Roman"/>
                <w:color w:val="000000" w:themeColor="text1"/>
                <w:kern w:val="0"/>
                <w:sz w:val="22"/>
                <w:szCs w:val="22"/>
                <w:lang w:bidi="ar"/>
                <w14:textFill>
                  <w14:solidFill>
                    <w14:schemeClr w14:val="tx1"/>
                  </w14:solidFill>
                </w14:textFill>
              </w:rPr>
              <w:t>6.29%</w:t>
            </w:r>
          </w:p>
        </w:tc>
      </w:tr>
      <w:tr w14:paraId="5353B5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3" w:hRule="atLeast"/>
        </w:trPr>
        <w:tc>
          <w:tcPr>
            <w:tcW w:w="1843" w:type="pct"/>
            <w:tcBorders>
              <w:tl2br w:val="nil"/>
              <w:tr2bl w:val="nil"/>
            </w:tcBorders>
            <w:shd w:val="clear" w:color="auto" w:fill="auto"/>
            <w:noWrap/>
          </w:tcPr>
          <w:p w14:paraId="334BE8C5">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2"/>
                <w:szCs w:val="22"/>
                <w:lang w:bidi="ar"/>
                <w14:textFill>
                  <w14:solidFill>
                    <w14:schemeClr w14:val="tx1"/>
                  </w14:solidFill>
                </w14:textFill>
              </w:rPr>
            </w:pPr>
            <w:r>
              <w:rPr>
                <w:rFonts w:hint="default" w:ascii="Times New Roman" w:hAnsi="Times New Roman" w:eastAsia="宋体" w:cs="Times New Roman"/>
                <w:color w:val="000000" w:themeColor="text1"/>
                <w:kern w:val="0"/>
                <w:sz w:val="22"/>
                <w:szCs w:val="22"/>
                <w:lang w:bidi="ar"/>
                <w14:textFill>
                  <w14:solidFill>
                    <w14:schemeClr w14:val="tx1"/>
                  </w14:solidFill>
                </w14:textFill>
              </w:rPr>
              <w:t>合计</w:t>
            </w:r>
          </w:p>
        </w:tc>
        <w:tc>
          <w:tcPr>
            <w:tcW w:w="1416" w:type="pct"/>
            <w:tcBorders>
              <w:tl2br w:val="nil"/>
              <w:tr2bl w:val="nil"/>
            </w:tcBorders>
            <w:shd w:val="clear" w:color="auto" w:fill="auto"/>
            <w:noWrap/>
            <w:vAlign w:val="bottom"/>
          </w:tcPr>
          <w:p w14:paraId="5EF33AA5">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eastAsia" w:ascii="Times New Roman" w:hAnsi="Times New Roman" w:eastAsia="宋体" w:cs="Times New Roman"/>
                <w:color w:val="000000" w:themeColor="text1"/>
                <w:kern w:val="0"/>
                <w:sz w:val="22"/>
                <w:szCs w:val="22"/>
                <w:lang w:eastAsia="zh-CN" w:bidi="ar"/>
                <w14:textFill>
                  <w14:solidFill>
                    <w14:schemeClr w14:val="tx1"/>
                  </w14:solidFill>
                </w14:textFill>
              </w:rPr>
            </w:pPr>
            <w:r>
              <w:rPr>
                <w:rFonts w:hint="default" w:ascii="Times New Roman" w:hAnsi="Times New Roman" w:eastAsia="宋体" w:cs="Times New Roman"/>
                <w:color w:val="000000" w:themeColor="text1"/>
                <w:kern w:val="0"/>
                <w:sz w:val="22"/>
                <w:szCs w:val="22"/>
                <w:lang w:bidi="ar"/>
                <w14:textFill>
                  <w14:solidFill>
                    <w14:schemeClr w14:val="tx1"/>
                  </w14:solidFill>
                </w14:textFill>
              </w:rPr>
              <w:t>565.30</w:t>
            </w:r>
          </w:p>
        </w:tc>
        <w:tc>
          <w:tcPr>
            <w:tcW w:w="1740" w:type="pct"/>
            <w:tcBorders>
              <w:tl2br w:val="nil"/>
              <w:tr2bl w:val="nil"/>
            </w:tcBorders>
            <w:shd w:val="clear" w:color="auto" w:fill="auto"/>
            <w:noWrap/>
            <w:vAlign w:val="bottom"/>
          </w:tcPr>
          <w:p w14:paraId="43B5ABA8">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2"/>
                <w:szCs w:val="22"/>
                <w:lang w:bidi="ar"/>
                <w14:textFill>
                  <w14:solidFill>
                    <w14:schemeClr w14:val="tx1"/>
                  </w14:solidFill>
                </w14:textFill>
              </w:rPr>
            </w:pPr>
            <w:r>
              <w:rPr>
                <w:rFonts w:hint="default" w:ascii="Times New Roman" w:hAnsi="Times New Roman" w:eastAsia="宋体" w:cs="Times New Roman"/>
                <w:color w:val="000000" w:themeColor="text1"/>
                <w:kern w:val="0"/>
                <w:sz w:val="22"/>
                <w:szCs w:val="22"/>
                <w:lang w:bidi="ar"/>
                <w14:textFill>
                  <w14:solidFill>
                    <w14:schemeClr w14:val="tx1"/>
                  </w14:solidFill>
                </w14:textFill>
              </w:rPr>
              <w:t>100％</w:t>
            </w:r>
          </w:p>
        </w:tc>
      </w:tr>
    </w:tbl>
    <w:p w14:paraId="01DC1BDD">
      <w:pPr>
        <w:keepNext w:val="0"/>
        <w:keepLines w:val="0"/>
        <w:pageBreakBefore w:val="0"/>
        <w:kinsoku/>
        <w:wordWrap/>
        <w:overflowPunct/>
        <w:topLinePunct w:val="0"/>
        <w:bidi w:val="0"/>
        <w:ind w:firstLine="480"/>
        <w:outlineLvl w:val="9"/>
        <w:rPr>
          <w:rFonts w:hint="default" w:ascii="Times New Roman" w:hAnsi="Times New Roman" w:eastAsia="宋体" w:cs="Times New Roman"/>
          <w:color w:val="000000" w:themeColor="text1"/>
          <w:kern w:val="0"/>
          <w14:textFill>
            <w14:solidFill>
              <w14:schemeClr w14:val="tx1"/>
            </w14:solidFill>
          </w14:textFill>
        </w:rPr>
      </w:pPr>
      <w:r>
        <w:rPr>
          <w:rFonts w:hint="default" w:ascii="Times New Roman" w:hAnsi="Times New Roman" w:eastAsia="宋体" w:cs="Times New Roman"/>
          <w:color w:val="000000" w:themeColor="text1"/>
          <w:kern w:val="0"/>
          <w14:textFill>
            <w14:solidFill>
              <w14:schemeClr w14:val="tx1"/>
            </w14:solidFill>
          </w14:textFill>
        </w:rPr>
        <w:t>根据遥感卫星图片计算可知，项目评价区域评价范围内植被覆盖度30-40%最大，占总面积的的比例52.77%；植被覆盖度20-30%次之，占总面积的的比例39.41%；植被覆盖度40-50%占总面积的的比例6.29%；植被覆盖度10-20%占总面积的的比例1.33%；植被覆盖度0-10%占总面积的的比例0.02%。</w:t>
      </w:r>
    </w:p>
    <w:p w14:paraId="0272B772">
      <w:pPr>
        <w:keepNext w:val="0"/>
        <w:keepLines w:val="0"/>
        <w:pageBreakBefore w:val="0"/>
        <w:kinsoku/>
        <w:wordWrap/>
        <w:overflowPunct/>
        <w:topLinePunct w:val="0"/>
        <w:bidi w:val="0"/>
        <w:spacing w:line="240" w:lineRule="auto"/>
        <w:ind w:firstLine="422" w:firstLineChars="0"/>
        <w:jc w:val="center"/>
        <w:outlineLvl w:val="9"/>
        <w:rPr>
          <w:rFonts w:hint="default" w:ascii="Times New Roman" w:hAnsi="Times New Roman" w:eastAsia="宋体" w:cs="Times New Roman"/>
          <w:b/>
          <w:color w:val="000000" w:themeColor="text1"/>
          <w:sz w:val="21"/>
          <w:szCs w:val="21"/>
          <w14:textFill>
            <w14:solidFill>
              <w14:schemeClr w14:val="tx1"/>
            </w14:solidFill>
          </w14:textFill>
        </w:rPr>
      </w:pPr>
      <w:r>
        <w:rPr>
          <w:rFonts w:hint="default" w:ascii="Times New Roman" w:hAnsi="Times New Roman" w:eastAsia="宋体" w:cs="Times New Roman"/>
          <w:b/>
          <w:color w:val="000000" w:themeColor="text1"/>
          <w:sz w:val="21"/>
          <w:szCs w:val="21"/>
          <w14:textFill>
            <w14:solidFill>
              <w14:schemeClr w14:val="tx1"/>
            </w14:solidFill>
          </w14:textFill>
        </w:rPr>
        <w:t>表4.2-9占地范围植被覆盖度现状</w:t>
      </w:r>
    </w:p>
    <w:tbl>
      <w:tblPr>
        <w:tblStyle w:val="29"/>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3159"/>
        <w:gridCol w:w="2555"/>
        <w:gridCol w:w="3140"/>
      </w:tblGrid>
      <w:tr w14:paraId="62E7C5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7" w:hRule="atLeast"/>
        </w:trPr>
        <w:tc>
          <w:tcPr>
            <w:tcW w:w="1843" w:type="pct"/>
            <w:tcBorders>
              <w:tl2br w:val="nil"/>
              <w:tr2bl w:val="nil"/>
            </w:tcBorders>
            <w:shd w:val="clear" w:color="auto" w:fill="auto"/>
            <w:noWrap/>
          </w:tcPr>
          <w:p w14:paraId="0C76FB33">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kern w:val="0"/>
                <w:sz w:val="22"/>
                <w:szCs w:val="22"/>
                <w:lang w:bidi="ar"/>
                <w14:textFill>
                  <w14:solidFill>
                    <w14:schemeClr w14:val="tx1"/>
                  </w14:solidFill>
                </w14:textFill>
              </w:rPr>
              <w:t>植被覆盖度等级</w:t>
            </w:r>
          </w:p>
        </w:tc>
        <w:tc>
          <w:tcPr>
            <w:tcW w:w="1416" w:type="pct"/>
            <w:tcBorders>
              <w:tl2br w:val="nil"/>
              <w:tr2bl w:val="nil"/>
            </w:tcBorders>
            <w:shd w:val="clear" w:color="auto" w:fill="auto"/>
            <w:noWrap/>
          </w:tcPr>
          <w:p w14:paraId="5ADF4515">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kern w:val="0"/>
                <w:sz w:val="22"/>
                <w:szCs w:val="22"/>
                <w:lang w:bidi="ar"/>
                <w14:textFill>
                  <w14:solidFill>
                    <w14:schemeClr w14:val="tx1"/>
                  </w14:solidFill>
                </w14:textFill>
              </w:rPr>
              <w:t>面积（hm</w:t>
            </w:r>
            <w:r>
              <w:rPr>
                <w:rFonts w:hint="default" w:ascii="Times New Roman" w:hAnsi="Times New Roman" w:eastAsia="宋体" w:cs="Times New Roman"/>
                <w:color w:val="000000" w:themeColor="text1"/>
                <w:sz w:val="22"/>
                <w:szCs w:val="22"/>
                <w:vertAlign w:val="superscript"/>
                <w:lang w:bidi="ar"/>
                <w14:textFill>
                  <w14:solidFill>
                    <w14:schemeClr w14:val="tx1"/>
                  </w14:solidFill>
                </w14:textFill>
              </w:rPr>
              <w:t>2</w:t>
            </w:r>
            <w:r>
              <w:rPr>
                <w:rFonts w:hint="default" w:ascii="Times New Roman" w:hAnsi="Times New Roman" w:eastAsia="宋体" w:cs="Times New Roman"/>
                <w:color w:val="000000" w:themeColor="text1"/>
                <w:sz w:val="22"/>
                <w:szCs w:val="22"/>
                <w:lang w:bidi="ar"/>
                <w14:textFill>
                  <w14:solidFill>
                    <w14:schemeClr w14:val="tx1"/>
                  </w14:solidFill>
                </w14:textFill>
              </w:rPr>
              <w:t>）</w:t>
            </w:r>
          </w:p>
        </w:tc>
        <w:tc>
          <w:tcPr>
            <w:tcW w:w="1740" w:type="pct"/>
            <w:tcBorders>
              <w:tl2br w:val="nil"/>
              <w:tr2bl w:val="nil"/>
            </w:tcBorders>
            <w:shd w:val="clear" w:color="auto" w:fill="auto"/>
            <w:noWrap/>
          </w:tcPr>
          <w:p w14:paraId="18023BEA">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eastAsia" w:ascii="Times New Roman" w:hAnsi="Times New Roman" w:eastAsia="宋体" w:cs="Times New Roman"/>
                <w:color w:val="000000" w:themeColor="text1"/>
                <w:sz w:val="22"/>
                <w:szCs w:val="22"/>
                <w:lang w:eastAsia="zh-CN"/>
                <w14:textFill>
                  <w14:solidFill>
                    <w14:schemeClr w14:val="tx1"/>
                  </w14:solidFill>
                </w14:textFill>
              </w:rPr>
            </w:pPr>
            <w:r>
              <w:rPr>
                <w:rFonts w:hint="default" w:ascii="Times New Roman" w:hAnsi="Times New Roman" w:eastAsia="宋体" w:cs="Times New Roman"/>
                <w:color w:val="000000" w:themeColor="text1"/>
                <w:kern w:val="0"/>
                <w:sz w:val="22"/>
                <w:szCs w:val="22"/>
                <w:lang w:bidi="ar"/>
                <w14:textFill>
                  <w14:solidFill>
                    <w14:schemeClr w14:val="tx1"/>
                  </w14:solidFill>
                </w14:textFill>
              </w:rPr>
              <w:t>占项目区面积比例</w:t>
            </w:r>
            <w:r>
              <w:rPr>
                <w:rFonts w:hint="eastAsia" w:cs="Times New Roman"/>
                <w:color w:val="000000" w:themeColor="text1"/>
                <w:kern w:val="0"/>
                <w:sz w:val="22"/>
                <w:szCs w:val="22"/>
                <w:lang w:eastAsia="zh-CN" w:bidi="ar"/>
                <w14:textFill>
                  <w14:solidFill>
                    <w14:schemeClr w14:val="tx1"/>
                  </w14:solidFill>
                </w14:textFill>
              </w:rPr>
              <w:t>（</w:t>
            </w:r>
            <w:r>
              <w:rPr>
                <w:rFonts w:hint="default" w:ascii="Times New Roman" w:hAnsi="Times New Roman" w:eastAsia="宋体" w:cs="Times New Roman"/>
                <w:color w:val="000000" w:themeColor="text1"/>
                <w:kern w:val="0"/>
                <w:sz w:val="22"/>
                <w:szCs w:val="22"/>
                <w:lang w:bidi="ar"/>
                <w14:textFill>
                  <w14:solidFill>
                    <w14:schemeClr w14:val="tx1"/>
                  </w14:solidFill>
                </w14:textFill>
              </w:rPr>
              <w:t>％</w:t>
            </w:r>
            <w:r>
              <w:rPr>
                <w:rFonts w:hint="eastAsia" w:cs="Times New Roman"/>
                <w:color w:val="000000" w:themeColor="text1"/>
                <w:kern w:val="0"/>
                <w:sz w:val="22"/>
                <w:szCs w:val="22"/>
                <w:lang w:eastAsia="zh-CN" w:bidi="ar"/>
                <w14:textFill>
                  <w14:solidFill>
                    <w14:schemeClr w14:val="tx1"/>
                  </w14:solidFill>
                </w14:textFill>
              </w:rPr>
              <w:t>）</w:t>
            </w:r>
          </w:p>
        </w:tc>
      </w:tr>
      <w:tr w14:paraId="6F3D01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3" w:hRule="atLeast"/>
        </w:trPr>
        <w:tc>
          <w:tcPr>
            <w:tcW w:w="1843" w:type="pct"/>
            <w:tcBorders>
              <w:tl2br w:val="nil"/>
              <w:tr2bl w:val="nil"/>
            </w:tcBorders>
            <w:shd w:val="clear" w:color="auto" w:fill="auto"/>
            <w:noWrap/>
          </w:tcPr>
          <w:p w14:paraId="49ED7BB1">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2"/>
                <w:szCs w:val="22"/>
                <w:lang w:bidi="ar"/>
                <w14:textFill>
                  <w14:solidFill>
                    <w14:schemeClr w14:val="tx1"/>
                  </w14:solidFill>
                </w14:textFill>
              </w:rPr>
            </w:pPr>
            <w:r>
              <w:rPr>
                <w:rFonts w:hint="default" w:ascii="Times New Roman" w:hAnsi="Times New Roman" w:eastAsia="宋体" w:cs="Times New Roman"/>
                <w:color w:val="000000" w:themeColor="text1"/>
                <w:kern w:val="0"/>
                <w:sz w:val="22"/>
                <w:szCs w:val="22"/>
                <w:lang w:bidi="ar"/>
                <w14:textFill>
                  <w14:solidFill>
                    <w14:schemeClr w14:val="tx1"/>
                  </w14:solidFill>
                </w14:textFill>
              </w:rPr>
              <w:t>植被盖度20-30%</w:t>
            </w:r>
          </w:p>
        </w:tc>
        <w:tc>
          <w:tcPr>
            <w:tcW w:w="2555" w:type="dxa"/>
            <w:tcBorders>
              <w:tl2br w:val="nil"/>
              <w:tr2bl w:val="nil"/>
            </w:tcBorders>
            <w:shd w:val="clear" w:color="auto" w:fill="auto"/>
            <w:noWrap/>
            <w:vAlign w:val="bottom"/>
          </w:tcPr>
          <w:p w14:paraId="2255F4AC">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2"/>
                <w:szCs w:val="22"/>
                <w:lang w:val="en-US" w:bidi="ar"/>
                <w14:textFill>
                  <w14:solidFill>
                    <w14:schemeClr w14:val="tx1"/>
                  </w14:solidFill>
                </w14:textFill>
              </w:rPr>
            </w:pPr>
            <w:r>
              <w:rPr>
                <w:rFonts w:hint="eastAsia" w:cs="Times New Roman"/>
                <w:color w:val="000000" w:themeColor="text1"/>
                <w:kern w:val="0"/>
                <w:sz w:val="22"/>
                <w:szCs w:val="22"/>
                <w:lang w:val="en-US" w:eastAsia="zh-CN" w:bidi="ar"/>
                <w14:textFill>
                  <w14:solidFill>
                    <w14:schemeClr w14:val="tx1"/>
                  </w14:solidFill>
                </w14:textFill>
              </w:rPr>
              <w:t>7.87</w:t>
            </w:r>
          </w:p>
        </w:tc>
        <w:tc>
          <w:tcPr>
            <w:tcW w:w="3140" w:type="dxa"/>
            <w:tcBorders>
              <w:tl2br w:val="nil"/>
              <w:tr2bl w:val="nil"/>
            </w:tcBorders>
            <w:shd w:val="clear" w:color="auto" w:fill="auto"/>
            <w:noWrap/>
            <w:vAlign w:val="bottom"/>
          </w:tcPr>
          <w:p w14:paraId="5F1A78A1">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2"/>
                <w:szCs w:val="22"/>
                <w:lang w:bidi="ar"/>
                <w14:textFill>
                  <w14:solidFill>
                    <w14:schemeClr w14:val="tx1"/>
                  </w14:solidFill>
                </w14:textFill>
              </w:rPr>
            </w:pPr>
            <w:r>
              <w:rPr>
                <w:rFonts w:hint="default" w:ascii="Times New Roman" w:hAnsi="Times New Roman" w:eastAsia="宋体" w:cs="Times New Roman"/>
                <w:color w:val="000000" w:themeColor="text1"/>
                <w:kern w:val="0"/>
                <w:sz w:val="22"/>
                <w:szCs w:val="22"/>
                <w:lang w:bidi="ar"/>
                <w14:textFill>
                  <w14:solidFill>
                    <w14:schemeClr w14:val="tx1"/>
                  </w14:solidFill>
                </w14:textFill>
              </w:rPr>
              <w:t>75.</w:t>
            </w:r>
            <w:r>
              <w:rPr>
                <w:rFonts w:hint="eastAsia" w:cs="Times New Roman"/>
                <w:color w:val="000000" w:themeColor="text1"/>
                <w:kern w:val="0"/>
                <w:sz w:val="22"/>
                <w:szCs w:val="22"/>
                <w:lang w:val="en-US" w:eastAsia="zh-CN" w:bidi="ar"/>
                <w14:textFill>
                  <w14:solidFill>
                    <w14:schemeClr w14:val="tx1"/>
                  </w14:solidFill>
                </w14:textFill>
              </w:rPr>
              <w:t>09</w:t>
            </w:r>
            <w:r>
              <w:rPr>
                <w:rFonts w:hint="default" w:ascii="Times New Roman" w:hAnsi="Times New Roman" w:eastAsia="宋体" w:cs="Times New Roman"/>
                <w:color w:val="000000" w:themeColor="text1"/>
                <w:kern w:val="0"/>
                <w:sz w:val="22"/>
                <w:szCs w:val="22"/>
                <w:lang w:bidi="ar"/>
                <w14:textFill>
                  <w14:solidFill>
                    <w14:schemeClr w14:val="tx1"/>
                  </w14:solidFill>
                </w14:textFill>
              </w:rPr>
              <w:t>%</w:t>
            </w:r>
          </w:p>
        </w:tc>
      </w:tr>
      <w:tr w14:paraId="43B4B6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3" w:hRule="atLeast"/>
        </w:trPr>
        <w:tc>
          <w:tcPr>
            <w:tcW w:w="1843" w:type="pct"/>
            <w:tcBorders>
              <w:tl2br w:val="nil"/>
              <w:tr2bl w:val="nil"/>
            </w:tcBorders>
            <w:shd w:val="clear" w:color="auto" w:fill="auto"/>
            <w:noWrap/>
          </w:tcPr>
          <w:p w14:paraId="7EE5F087">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2"/>
                <w:szCs w:val="22"/>
                <w:lang w:bidi="ar"/>
                <w14:textFill>
                  <w14:solidFill>
                    <w14:schemeClr w14:val="tx1"/>
                  </w14:solidFill>
                </w14:textFill>
              </w:rPr>
            </w:pPr>
            <w:r>
              <w:rPr>
                <w:rFonts w:hint="default" w:ascii="Times New Roman" w:hAnsi="Times New Roman" w:eastAsia="宋体" w:cs="Times New Roman"/>
                <w:color w:val="000000" w:themeColor="text1"/>
                <w:kern w:val="0"/>
                <w:sz w:val="22"/>
                <w:szCs w:val="22"/>
                <w:lang w:bidi="ar"/>
                <w14:textFill>
                  <w14:solidFill>
                    <w14:schemeClr w14:val="tx1"/>
                  </w14:solidFill>
                </w14:textFill>
              </w:rPr>
              <w:t>植被盖度30-40%</w:t>
            </w:r>
          </w:p>
        </w:tc>
        <w:tc>
          <w:tcPr>
            <w:tcW w:w="2555" w:type="dxa"/>
            <w:tcBorders>
              <w:tl2br w:val="nil"/>
              <w:tr2bl w:val="nil"/>
            </w:tcBorders>
            <w:shd w:val="clear" w:color="auto" w:fill="auto"/>
            <w:noWrap/>
            <w:vAlign w:val="bottom"/>
          </w:tcPr>
          <w:p w14:paraId="229CF395">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2"/>
                <w:szCs w:val="22"/>
                <w:lang w:val="en-US" w:eastAsia="zh-CN" w:bidi="ar"/>
                <w14:textFill>
                  <w14:solidFill>
                    <w14:schemeClr w14:val="tx1"/>
                  </w14:solidFill>
                </w14:textFill>
              </w:rPr>
            </w:pPr>
            <w:r>
              <w:rPr>
                <w:rFonts w:hint="eastAsia" w:cs="Times New Roman"/>
                <w:color w:val="000000" w:themeColor="text1"/>
                <w:kern w:val="0"/>
                <w:sz w:val="22"/>
                <w:szCs w:val="22"/>
                <w:lang w:val="en-US" w:eastAsia="zh-CN" w:bidi="ar"/>
                <w14:textFill>
                  <w14:solidFill>
                    <w14:schemeClr w14:val="tx1"/>
                  </w14:solidFill>
                </w14:textFill>
              </w:rPr>
              <w:t>2.61</w:t>
            </w:r>
          </w:p>
        </w:tc>
        <w:tc>
          <w:tcPr>
            <w:tcW w:w="3140" w:type="dxa"/>
            <w:tcBorders>
              <w:tl2br w:val="nil"/>
              <w:tr2bl w:val="nil"/>
            </w:tcBorders>
            <w:shd w:val="clear" w:color="auto" w:fill="auto"/>
            <w:noWrap/>
            <w:vAlign w:val="bottom"/>
          </w:tcPr>
          <w:p w14:paraId="38EFCC91">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2"/>
                <w:szCs w:val="22"/>
                <w:lang w:bidi="ar"/>
                <w14:textFill>
                  <w14:solidFill>
                    <w14:schemeClr w14:val="tx1"/>
                  </w14:solidFill>
                </w14:textFill>
              </w:rPr>
            </w:pPr>
            <w:r>
              <w:rPr>
                <w:rFonts w:hint="eastAsia" w:cs="Times New Roman"/>
                <w:color w:val="000000" w:themeColor="text1"/>
                <w:kern w:val="0"/>
                <w:sz w:val="22"/>
                <w:szCs w:val="22"/>
                <w:lang w:val="en-US" w:eastAsia="zh-CN" w:bidi="ar"/>
                <w14:textFill>
                  <w14:solidFill>
                    <w14:schemeClr w14:val="tx1"/>
                  </w14:solidFill>
                </w14:textFill>
              </w:rPr>
              <w:t>24.90</w:t>
            </w:r>
            <w:r>
              <w:rPr>
                <w:rFonts w:hint="default" w:ascii="Times New Roman" w:hAnsi="Times New Roman" w:eastAsia="宋体" w:cs="Times New Roman"/>
                <w:color w:val="000000" w:themeColor="text1"/>
                <w:kern w:val="0"/>
                <w:sz w:val="22"/>
                <w:szCs w:val="22"/>
                <w:lang w:bidi="ar"/>
                <w14:textFill>
                  <w14:solidFill>
                    <w14:schemeClr w14:val="tx1"/>
                  </w14:solidFill>
                </w14:textFill>
              </w:rPr>
              <w:t>%</w:t>
            </w:r>
          </w:p>
        </w:tc>
      </w:tr>
      <w:tr w14:paraId="0884F2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3" w:hRule="atLeast"/>
        </w:trPr>
        <w:tc>
          <w:tcPr>
            <w:tcW w:w="1843" w:type="pct"/>
            <w:tcBorders>
              <w:tl2br w:val="nil"/>
              <w:tr2bl w:val="nil"/>
            </w:tcBorders>
            <w:shd w:val="clear" w:color="auto" w:fill="auto"/>
            <w:noWrap/>
          </w:tcPr>
          <w:p w14:paraId="185058BA">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kern w:val="0"/>
                <w:sz w:val="22"/>
                <w:szCs w:val="22"/>
                <w:lang w:bidi="ar"/>
                <w14:textFill>
                  <w14:solidFill>
                    <w14:schemeClr w14:val="tx1"/>
                  </w14:solidFill>
                </w14:textFill>
              </w:rPr>
              <w:t>合计</w:t>
            </w:r>
          </w:p>
        </w:tc>
        <w:tc>
          <w:tcPr>
            <w:tcW w:w="2555" w:type="dxa"/>
            <w:tcBorders>
              <w:tl2br w:val="nil"/>
              <w:tr2bl w:val="nil"/>
            </w:tcBorders>
            <w:shd w:val="clear" w:color="auto" w:fill="auto"/>
            <w:noWrap/>
            <w:vAlign w:val="bottom"/>
          </w:tcPr>
          <w:p w14:paraId="0D829B66">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2"/>
                <w:szCs w:val="22"/>
                <w:lang w:bidi="ar"/>
                <w14:textFill>
                  <w14:solidFill>
                    <w14:schemeClr w14:val="tx1"/>
                  </w14:solidFill>
                </w14:textFill>
              </w:rPr>
            </w:pPr>
            <w:r>
              <w:rPr>
                <w:rFonts w:hint="default" w:ascii="Times New Roman" w:hAnsi="Times New Roman" w:eastAsia="宋体" w:cs="Times New Roman"/>
                <w:color w:val="000000" w:themeColor="text1"/>
                <w:kern w:val="0"/>
                <w:sz w:val="22"/>
                <w:szCs w:val="22"/>
                <w:lang w:bidi="ar"/>
                <w14:textFill>
                  <w14:solidFill>
                    <w14:schemeClr w14:val="tx1"/>
                  </w14:solidFill>
                </w14:textFill>
              </w:rPr>
              <w:t>10.48</w:t>
            </w:r>
          </w:p>
        </w:tc>
        <w:tc>
          <w:tcPr>
            <w:tcW w:w="1740" w:type="pct"/>
            <w:tcBorders>
              <w:tl2br w:val="nil"/>
              <w:tr2bl w:val="nil"/>
            </w:tcBorders>
            <w:shd w:val="clear" w:color="auto" w:fill="auto"/>
            <w:noWrap/>
          </w:tcPr>
          <w:p w14:paraId="2D8C4417">
            <w:pPr>
              <w:keepNext w:val="0"/>
              <w:keepLines w:val="0"/>
              <w:pageBreakBefore w:val="0"/>
              <w:widowControl/>
              <w:kinsoku/>
              <w:wordWrap/>
              <w:overflowPunct/>
              <w:topLinePunct w:val="0"/>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2"/>
                <w:szCs w:val="22"/>
                <w:lang w:bidi="ar"/>
                <w14:textFill>
                  <w14:solidFill>
                    <w14:schemeClr w14:val="tx1"/>
                  </w14:solidFill>
                </w14:textFill>
              </w:rPr>
            </w:pPr>
            <w:r>
              <w:rPr>
                <w:rFonts w:hint="default" w:ascii="Times New Roman" w:hAnsi="Times New Roman" w:eastAsia="宋体" w:cs="Times New Roman"/>
                <w:color w:val="000000" w:themeColor="text1"/>
                <w:kern w:val="0"/>
                <w:sz w:val="22"/>
                <w:szCs w:val="22"/>
                <w:lang w:bidi="ar"/>
                <w14:textFill>
                  <w14:solidFill>
                    <w14:schemeClr w14:val="tx1"/>
                  </w14:solidFill>
                </w14:textFill>
              </w:rPr>
              <w:t>100％</w:t>
            </w:r>
          </w:p>
        </w:tc>
      </w:tr>
    </w:tbl>
    <w:p w14:paraId="314D7EA6">
      <w:pPr>
        <w:keepNext w:val="0"/>
        <w:keepLines w:val="0"/>
        <w:pageBreakBefore w:val="0"/>
        <w:widowControl w:val="0"/>
        <w:kinsoku/>
        <w:wordWrap/>
        <w:overflowPunct/>
        <w:topLinePunct w:val="0"/>
        <w:bidi w:val="0"/>
        <w:spacing w:line="360" w:lineRule="auto"/>
        <w:ind w:firstLine="456" w:firstLineChars="200"/>
        <w:jc w:val="both"/>
        <w:outlineLvl w:val="9"/>
        <w:rPr>
          <w:rFonts w:hint="default" w:ascii="Times New Roman" w:hAnsi="Times New Roman" w:eastAsia="宋体" w:cs="Times New Roman"/>
          <w:color w:val="000000" w:themeColor="text1"/>
          <w:spacing w:val="-6"/>
          <w:kern w:val="2"/>
          <w:sz w:val="24"/>
          <w:szCs w:val="24"/>
          <w:lang w:val="en-US" w:eastAsia="zh-CN" w:bidi="ar-SA"/>
          <w14:textFill>
            <w14:solidFill>
              <w14:schemeClr w14:val="tx1"/>
            </w14:solidFill>
          </w14:textFill>
        </w:rPr>
      </w:pPr>
    </w:p>
    <w:p w14:paraId="449ED49D">
      <w:pPr>
        <w:keepNext w:val="0"/>
        <w:keepLines w:val="0"/>
        <w:pageBreakBefore w:val="0"/>
        <w:kinsoku/>
        <w:wordWrap/>
        <w:overflowPunct/>
        <w:topLinePunct w:val="0"/>
        <w:autoSpaceDE w:val="0"/>
        <w:autoSpaceDN w:val="0"/>
        <w:bidi w:val="0"/>
        <w:adjustRightInd w:val="0"/>
        <w:spacing w:line="240" w:lineRule="auto"/>
        <w:ind w:firstLine="0" w:firstLineChars="0"/>
        <w:jc w:val="center"/>
        <w:outlineLvl w:val="9"/>
        <w:rPr>
          <w:rFonts w:hint="eastAsia" w:ascii="Times New Roman" w:hAnsi="Times New Roman" w:eastAsia="宋体" w:cs="Times New Roman"/>
          <w:color w:val="000000" w:themeColor="text1"/>
          <w:kern w:val="0"/>
          <w:lang w:eastAsia="zh-CN"/>
          <w14:textFill>
            <w14:solidFill>
              <w14:schemeClr w14:val="tx1"/>
            </w14:solidFill>
          </w14:textFill>
        </w:rPr>
      </w:pPr>
      <w:r>
        <w:rPr>
          <w:rFonts w:hint="eastAsia" w:ascii="Times New Roman" w:hAnsi="Times New Roman" w:eastAsia="宋体" w:cs="Times New Roman"/>
          <w:color w:val="000000" w:themeColor="text1"/>
          <w:kern w:val="0"/>
          <w:lang w:eastAsia="zh-CN"/>
          <w14:textFill>
            <w14:solidFill>
              <w14:schemeClr w14:val="tx1"/>
            </w14:solidFill>
          </w14:textFill>
        </w:rPr>
        <w:drawing>
          <wp:inline distT="0" distB="0" distL="114300" distR="114300">
            <wp:extent cx="5615940" cy="3580130"/>
            <wp:effectExtent l="0" t="0" r="3810" b="1270"/>
            <wp:docPr id="57" name="图片 57" descr="植被盖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植被盖度"/>
                    <pic:cNvPicPr>
                      <a:picLocks noChangeAspect="1"/>
                    </pic:cNvPicPr>
                  </pic:nvPicPr>
                  <pic:blipFill>
                    <a:blip r:embed="rId47"/>
                    <a:stretch>
                      <a:fillRect/>
                    </a:stretch>
                  </pic:blipFill>
                  <pic:spPr>
                    <a:xfrm>
                      <a:off x="0" y="0"/>
                      <a:ext cx="5615940" cy="3580130"/>
                    </a:xfrm>
                    <a:prstGeom prst="rect">
                      <a:avLst/>
                    </a:prstGeom>
                  </pic:spPr>
                </pic:pic>
              </a:graphicData>
            </a:graphic>
          </wp:inline>
        </w:drawing>
      </w:r>
    </w:p>
    <w:p w14:paraId="04921DAB">
      <w:pPr>
        <w:keepNext w:val="0"/>
        <w:keepLines w:val="0"/>
        <w:pageBreakBefore w:val="0"/>
        <w:kinsoku/>
        <w:wordWrap/>
        <w:overflowPunct/>
        <w:topLinePunct w:val="0"/>
        <w:bidi w:val="0"/>
        <w:adjustRightInd w:val="0"/>
        <w:snapToGrid w:val="0"/>
        <w:spacing w:line="240" w:lineRule="auto"/>
        <w:ind w:firstLine="482" w:firstLineChars="0"/>
        <w:jc w:val="center"/>
        <w:outlineLvl w:val="9"/>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b/>
          <w:bCs/>
          <w:color w:val="000000" w:themeColor="text1"/>
          <w:sz w:val="21"/>
          <w14:textFill>
            <w14:solidFill>
              <w14:schemeClr w14:val="tx1"/>
            </w14:solidFill>
          </w14:textFill>
        </w:rPr>
        <w:t>图4-8植被覆盖度图</w:t>
      </w:r>
    </w:p>
    <w:p w14:paraId="139E78BC">
      <w:pPr>
        <w:keepNext w:val="0"/>
        <w:keepLines w:val="0"/>
        <w:pageBreakBefore w:val="0"/>
        <w:widowControl w:val="0"/>
        <w:kinsoku/>
        <w:wordWrap/>
        <w:overflowPunct/>
        <w:topLinePunct w:val="0"/>
        <w:autoSpaceDE/>
        <w:autoSpaceDN/>
        <w:bidi w:val="0"/>
        <w:adjustRightInd/>
        <w:snapToGrid/>
        <w:spacing w:line="360" w:lineRule="auto"/>
        <w:ind w:firstLine="456" w:firstLineChars="200"/>
        <w:jc w:val="both"/>
        <w:textAlignment w:val="auto"/>
        <w:outlineLvl w:val="9"/>
        <w:rPr>
          <w:rFonts w:hint="default" w:ascii="Times New Roman" w:hAnsi="Times New Roman" w:eastAsia="宋体" w:cs="Times New Roman"/>
          <w:color w:val="000000" w:themeColor="text1"/>
          <w:spacing w:val="-6"/>
          <w:kern w:val="2"/>
          <w:sz w:val="24"/>
          <w:szCs w:val="24"/>
          <w:lang w:val="en-US" w:eastAsia="zh-CN" w:bidi="ar-SA"/>
          <w14:textFill>
            <w14:solidFill>
              <w14:schemeClr w14:val="tx1"/>
            </w14:solidFill>
          </w14:textFill>
        </w:rPr>
      </w:pPr>
      <w:bookmarkStart w:id="165" w:name="_Toc24318"/>
      <w:bookmarkStart w:id="166" w:name="_Toc28589"/>
      <w:r>
        <w:rPr>
          <w:rFonts w:hint="default" w:ascii="Times New Roman" w:hAnsi="Times New Roman" w:eastAsia="宋体" w:cs="Times New Roman"/>
          <w:color w:val="000000" w:themeColor="text1"/>
          <w:spacing w:val="-6"/>
          <w:kern w:val="2"/>
          <w:sz w:val="24"/>
          <w:szCs w:val="24"/>
          <w:lang w:val="en-US" w:eastAsia="zh-CN" w:bidi="ar-SA"/>
          <w14:textFill>
            <w14:solidFill>
              <w14:schemeClr w14:val="tx1"/>
            </w14:solidFill>
          </w14:textFill>
        </w:rPr>
        <w:t>4.2.1.6生态功能区</w:t>
      </w:r>
      <w:bookmarkEnd w:id="165"/>
      <w:bookmarkEnd w:id="166"/>
    </w:p>
    <w:p w14:paraId="4BA2EEE3">
      <w:pPr>
        <w:keepNext w:val="0"/>
        <w:keepLines w:val="0"/>
        <w:pageBreakBefore w:val="0"/>
        <w:widowControl w:val="0"/>
        <w:kinsoku/>
        <w:wordWrap/>
        <w:overflowPunct/>
        <w:topLinePunct w:val="0"/>
        <w:autoSpaceDE/>
        <w:autoSpaceDN/>
        <w:bidi w:val="0"/>
        <w:adjustRightInd/>
        <w:snapToGrid/>
        <w:spacing w:line="360" w:lineRule="auto"/>
        <w:ind w:firstLine="480"/>
        <w:textAlignment w:val="auto"/>
        <w:outlineLvl w:val="9"/>
        <w:rPr>
          <w:rFonts w:hint="default" w:ascii="Times New Roman" w:hAnsi="Times New Roman" w:eastAsia="宋体" w:cs="Times New Roman"/>
          <w:color w:val="000000" w:themeColor="text1"/>
          <w:szCs w:val="20"/>
          <w14:textFill>
            <w14:solidFill>
              <w14:schemeClr w14:val="tx1"/>
            </w14:solidFill>
          </w14:textFill>
        </w:rPr>
      </w:pPr>
      <w:r>
        <w:rPr>
          <w:rFonts w:hint="default" w:ascii="Times New Roman" w:hAnsi="Times New Roman" w:eastAsia="宋体" w:cs="Times New Roman"/>
          <w:color w:val="000000" w:themeColor="text1"/>
          <w:szCs w:val="20"/>
          <w14:textFill>
            <w14:solidFill>
              <w14:schemeClr w14:val="tx1"/>
            </w14:solidFill>
          </w14:textFill>
        </w:rPr>
        <w:t>按照内蒙古生态环境厅编制的《内蒙古自治区生态功能区划》，项目所在区域属于东北平原农业生态区（XXX），生态功能二级区属松嫩平原农业、草原生态亚区（</w:t>
      </w:r>
      <w:r>
        <w:rPr>
          <w:rFonts w:hint="default" w:ascii="Times New Roman" w:hAnsi="Times New Roman" w:eastAsia="宋体" w:cs="Times New Roman"/>
          <w:color w:val="000000" w:themeColor="text1"/>
          <w:szCs w:val="21"/>
          <w14:textFill>
            <w14:solidFill>
              <w14:schemeClr w14:val="tx1"/>
            </w14:solidFill>
          </w14:textFill>
        </w:rPr>
        <w:t>XXX</w:t>
      </w:r>
      <w:r>
        <w:rPr>
          <w:rFonts w:hint="default" w:ascii="Times New Roman" w:hAnsi="Times New Roman" w:eastAsia="宋体" w:cs="Times New Roman"/>
          <w:color w:val="000000" w:themeColor="text1"/>
          <w:szCs w:val="21"/>
          <w:vertAlign w:val="subscript"/>
          <w14:textFill>
            <w14:solidFill>
              <w14:schemeClr w14:val="tx1"/>
            </w14:solidFill>
          </w14:textFill>
        </w:rPr>
        <w:t>-1</w:t>
      </w:r>
      <w:r>
        <w:rPr>
          <w:rFonts w:hint="default" w:ascii="Times New Roman" w:hAnsi="Times New Roman" w:eastAsia="宋体" w:cs="Times New Roman"/>
          <w:color w:val="000000" w:themeColor="text1"/>
          <w:szCs w:val="20"/>
          <w14:textFill>
            <w14:solidFill>
              <w14:schemeClr w14:val="tx1"/>
            </w14:solidFill>
          </w14:textFill>
        </w:rPr>
        <w:t>），生态功能三级区属于松嫩平原旱作、灌溉农田生态功能区（</w:t>
      </w:r>
      <w:r>
        <w:rPr>
          <w:rFonts w:hint="default" w:ascii="Times New Roman" w:hAnsi="Times New Roman" w:eastAsia="宋体" w:cs="Times New Roman"/>
          <w:b/>
          <w:color w:val="000000" w:themeColor="text1"/>
          <w:szCs w:val="21"/>
          <w14:textFill>
            <w14:solidFill>
              <w14:schemeClr w14:val="tx1"/>
            </w14:solidFill>
          </w14:textFill>
        </w:rPr>
        <w:t>XXX</w:t>
      </w:r>
      <w:r>
        <w:rPr>
          <w:rFonts w:hint="default" w:ascii="Times New Roman" w:hAnsi="Times New Roman" w:eastAsia="宋体" w:cs="Times New Roman"/>
          <w:b/>
          <w:color w:val="000000" w:themeColor="text1"/>
          <w:szCs w:val="21"/>
          <w:vertAlign w:val="subscript"/>
          <w14:textFill>
            <w14:solidFill>
              <w14:schemeClr w14:val="tx1"/>
            </w14:solidFill>
          </w14:textFill>
        </w:rPr>
        <w:t>-1-3</w:t>
      </w:r>
      <w:r>
        <w:rPr>
          <w:rFonts w:hint="default" w:ascii="Times New Roman" w:hAnsi="Times New Roman" w:eastAsia="宋体" w:cs="Times New Roman"/>
          <w:color w:val="000000" w:themeColor="text1"/>
          <w:szCs w:val="20"/>
          <w14:textFill>
            <w14:solidFill>
              <w14:schemeClr w14:val="tx1"/>
            </w14:solidFill>
          </w14:textFill>
        </w:rPr>
        <w:t>）。本区存在的主要生态问题是水浇地和水田对水资源的过度和不合理利用，旱地的土壤风蚀沙化和水土流失，土壤肥力下降。生态环境敏感性表现在土壤风蚀沙化和水土流失较为敏感。该区在食物生产上具有重要的生态功能。</w:t>
      </w:r>
    </w:p>
    <w:p w14:paraId="2F4532B5">
      <w:pPr>
        <w:keepNext w:val="0"/>
        <w:keepLines w:val="0"/>
        <w:pageBreakBefore w:val="0"/>
        <w:widowControl w:val="0"/>
        <w:kinsoku/>
        <w:wordWrap/>
        <w:overflowPunct/>
        <w:topLinePunct w:val="0"/>
        <w:autoSpaceDE/>
        <w:autoSpaceDN/>
        <w:bidi w:val="0"/>
        <w:adjustRightInd/>
        <w:snapToGrid/>
        <w:spacing w:line="360" w:lineRule="auto"/>
        <w:ind w:firstLine="480"/>
        <w:textAlignment w:val="auto"/>
        <w:outlineLvl w:val="9"/>
        <w:rPr>
          <w:rFonts w:hint="default" w:ascii="Times New Roman" w:hAnsi="Times New Roman" w:eastAsia="宋体" w:cs="Times New Roman"/>
          <w:color w:val="000000" w:themeColor="text1"/>
          <w:szCs w:val="20"/>
          <w14:textFill>
            <w14:solidFill>
              <w14:schemeClr w14:val="tx1"/>
            </w14:solidFill>
          </w14:textFill>
        </w:rPr>
      </w:pPr>
      <w:r>
        <w:rPr>
          <w:rFonts w:hint="default" w:ascii="Times New Roman" w:hAnsi="Times New Roman" w:eastAsia="宋体" w:cs="Times New Roman"/>
          <w:color w:val="000000" w:themeColor="text1"/>
          <w:szCs w:val="20"/>
          <w14:textFill>
            <w14:solidFill>
              <w14:schemeClr w14:val="tx1"/>
            </w14:solidFill>
          </w14:textFill>
        </w:rPr>
        <w:t>本区农业生产要实现节水灌溉制度，做到用地养地相结合，防治土壤风蚀沙化和水土流失，对不适合耕作的农田要逐步退耕还林还草，发展农区畜牧业。与其它工农业生产相矛盾的水资源利用的水稻田，要减少其面积，发展其它节水灌溉农业。农业生产要严格控制化肥农药用量，减少面源污染。</w:t>
      </w:r>
    </w:p>
    <w:p w14:paraId="01110F68">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color w:val="000000" w:themeColor="text1"/>
          <w:spacing w:val="-6"/>
          <w:kern w:val="2"/>
          <w:sz w:val="24"/>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0"/>
          <w:lang w:val="en-US" w:eastAsia="zh-CN" w:bidi="ar-SA"/>
          <w14:textFill>
            <w14:solidFill>
              <w14:schemeClr w14:val="tx1"/>
            </w14:solidFill>
          </w14:textFill>
        </w:rPr>
        <w:t>项目所在区域位于生态功能区划见图4-9。</w:t>
      </w:r>
    </w:p>
    <w:p w14:paraId="1C76E699">
      <w:pPr>
        <w:keepNext w:val="0"/>
        <w:keepLines w:val="0"/>
        <w:pageBreakBefore w:val="0"/>
        <w:kinsoku/>
        <w:wordWrap/>
        <w:overflowPunct/>
        <w:topLinePunct w:val="0"/>
        <w:bidi w:val="0"/>
        <w:ind w:firstLine="456"/>
        <w:outlineLvl w:val="9"/>
        <w:rPr>
          <w:rFonts w:hint="default" w:ascii="Times New Roman" w:hAnsi="Times New Roman" w:eastAsia="宋体" w:cs="Times New Roman"/>
          <w:color w:val="000000" w:themeColor="text1"/>
          <w:spacing w:val="-6"/>
          <w:lang w:eastAsia="zh-CN"/>
          <w14:textFill>
            <w14:solidFill>
              <w14:schemeClr w14:val="tx1"/>
            </w14:solidFill>
          </w14:textFill>
        </w:rPr>
        <w:sectPr>
          <w:footerReference r:id="rId14" w:type="default"/>
          <w:pgSz w:w="11906" w:h="16839"/>
          <w:pgMar w:top="1431" w:right="1529" w:bottom="1259" w:left="1528" w:header="964" w:footer="794" w:gutter="0"/>
          <w:pgNumType w:fmt="decimal"/>
          <w:cols w:space="720" w:num="1"/>
        </w:sectPr>
      </w:pPr>
    </w:p>
    <w:p w14:paraId="4E735E25">
      <w:pPr>
        <w:keepNext w:val="0"/>
        <w:keepLines w:val="0"/>
        <w:pageBreakBefore w:val="0"/>
        <w:kinsoku/>
        <w:wordWrap/>
        <w:overflowPunct/>
        <w:topLinePunct w:val="0"/>
        <w:bidi w:val="0"/>
        <w:spacing w:after="120" w:line="240" w:lineRule="auto"/>
        <w:ind w:firstLine="0" w:firstLineChars="0"/>
        <w:jc w:val="center"/>
        <w:outlineLvl w:val="9"/>
        <w:rPr>
          <w:rFonts w:hint="default" w:ascii="Times New Roman" w:hAnsi="Times New Roman" w:eastAsia="宋体" w:cs="Times New Roman"/>
          <w:color w:val="000000" w:themeColor="text1"/>
          <w:sz w:val="21"/>
          <w14:textFill>
            <w14:solidFill>
              <w14:schemeClr w14:val="tx1"/>
            </w14:solidFill>
          </w14:textFill>
        </w:rPr>
      </w:pPr>
      <w:r>
        <w:rPr>
          <w:rFonts w:ascii="Times New Roman" w:hAnsi="Times New Roman" w:eastAsia="宋体"/>
          <w:color w:val="000000" w:themeColor="text1"/>
          <w:sz w:val="21"/>
          <w14:textFill>
            <w14:solidFill>
              <w14:schemeClr w14:val="tx1"/>
            </w14:solidFill>
          </w14:textFill>
        </w:rPr>
        <mc:AlternateContent>
          <mc:Choice Requires="wps">
            <w:drawing>
              <wp:anchor distT="0" distB="0" distL="114300" distR="114300" simplePos="0" relativeHeight="251675648" behindDoc="0" locked="0" layoutInCell="1" allowOverlap="1">
                <wp:simplePos x="0" y="0"/>
                <wp:positionH relativeFrom="column">
                  <wp:posOffset>5458460</wp:posOffset>
                </wp:positionH>
                <wp:positionV relativeFrom="paragraph">
                  <wp:posOffset>2207260</wp:posOffset>
                </wp:positionV>
                <wp:extent cx="806450" cy="274320"/>
                <wp:effectExtent l="6350" t="6350" r="292100" b="33655"/>
                <wp:wrapNone/>
                <wp:docPr id="26" name="矩形标注 26"/>
                <wp:cNvGraphicFramePr/>
                <a:graphic xmlns:a="http://schemas.openxmlformats.org/drawingml/2006/main">
                  <a:graphicData uri="http://schemas.microsoft.com/office/word/2010/wordprocessingShape">
                    <wps:wsp>
                      <wps:cNvSpPr/>
                      <wps:spPr>
                        <a:xfrm>
                          <a:off x="7539990" y="3146425"/>
                          <a:ext cx="806450" cy="274320"/>
                        </a:xfrm>
                        <a:prstGeom prst="wedgeRectCallout">
                          <a:avLst>
                            <a:gd name="adj1" fmla="val 79842"/>
                            <a:gd name="adj2" fmla="val 55324"/>
                          </a:avLst>
                        </a:prstGeom>
                        <a:noFill/>
                        <a:ln w="12700" cap="flat" cmpd="sng" algn="ctr">
                          <a:solidFill>
                            <a:sysClr val="windowText" lastClr="000000"/>
                          </a:solid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txbx>
                        <w:txbxContent>
                          <w:p w14:paraId="229A767A">
                            <w:pPr>
                              <w:keepNext w:val="0"/>
                              <w:keepLines w:val="0"/>
                              <w:pageBreakBefore w:val="0"/>
                              <w:widowControl w:val="0"/>
                              <w:kinsoku/>
                              <w:wordWrap/>
                              <w:overflowPunct/>
                              <w:topLinePunct w:val="0"/>
                              <w:bidi w:val="0"/>
                              <w:adjustRightInd/>
                              <w:snapToGrid/>
                              <w:spacing w:line="240" w:lineRule="auto"/>
                              <w:ind w:left="0" w:leftChars="0" w:firstLine="0" w:firstLineChars="0"/>
                              <w:jc w:val="both"/>
                              <w:textAlignment w:val="auto"/>
                              <w:rPr>
                                <w:rFonts w:hint="default" w:ascii="Times New Roman" w:hAnsi="Times New Roman" w:eastAsia="宋体"/>
                                <w:color w:val="000000" w:themeColor="text1"/>
                                <w:sz w:val="18"/>
                                <w:szCs w:val="18"/>
                                <w:lang w:val="en-US" w:eastAsia="zh-CN"/>
                                <w14:textFill>
                                  <w14:solidFill>
                                    <w14:schemeClr w14:val="tx1"/>
                                  </w14:solidFill>
                                </w14:textFill>
                              </w:rPr>
                            </w:pPr>
                            <w:r>
                              <w:rPr>
                                <w:rFonts w:hint="eastAsia" w:ascii="Times New Roman" w:hAnsi="Times New Roman" w:eastAsia="宋体"/>
                                <w:color w:val="000000" w:themeColor="text1"/>
                                <w:sz w:val="18"/>
                                <w:szCs w:val="18"/>
                                <w:lang w:val="en-US" w:eastAsia="zh-CN"/>
                                <w14:textFill>
                                  <w14:solidFill>
                                    <w14:schemeClr w14:val="tx1"/>
                                  </w14:solidFill>
                                </w14:textFill>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429.8pt;margin-top:173.8pt;height:21.6pt;width:63.5pt;z-index:251675648;v-text-anchor:middle;mso-width-relative:page;mso-height-relative:page;" filled="f" stroked="t" coordsize="21600,21600" o:gfxdata="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" adj="28046,22750">
                <v:fill on="f" focussize="0,0"/>
                <v:stroke weight="1pt" color="#000000 [2404]" miterlimit="8" joinstyle="miter"/>
                <v:imagedata o:title=""/>
                <o:lock v:ext="edit" aspectratio="f"/>
                <v:textbox>
                  <w:txbxContent>
                    <w:p w14:paraId="229A767A">
                      <w:pPr>
                        <w:keepNext w:val="0"/>
                        <w:keepLines w:val="0"/>
                        <w:pageBreakBefore w:val="0"/>
                        <w:widowControl w:val="0"/>
                        <w:kinsoku/>
                        <w:wordWrap/>
                        <w:overflowPunct/>
                        <w:topLinePunct w:val="0"/>
                        <w:bidi w:val="0"/>
                        <w:adjustRightInd/>
                        <w:snapToGrid/>
                        <w:spacing w:line="240" w:lineRule="auto"/>
                        <w:ind w:left="0" w:leftChars="0" w:firstLine="0" w:firstLineChars="0"/>
                        <w:jc w:val="both"/>
                        <w:textAlignment w:val="auto"/>
                        <w:rPr>
                          <w:rFonts w:hint="default" w:ascii="Times New Roman" w:hAnsi="Times New Roman" w:eastAsia="宋体"/>
                          <w:color w:val="000000" w:themeColor="text1"/>
                          <w:sz w:val="18"/>
                          <w:szCs w:val="18"/>
                          <w:lang w:val="en-US" w:eastAsia="zh-CN"/>
                          <w14:textFill>
                            <w14:solidFill>
                              <w14:schemeClr w14:val="tx1"/>
                            </w14:solidFill>
                          </w14:textFill>
                        </w:rPr>
                      </w:pPr>
                      <w:r>
                        <w:rPr>
                          <w:rFonts w:hint="eastAsia" w:ascii="Times New Roman" w:hAnsi="Times New Roman" w:eastAsia="宋体"/>
                          <w:color w:val="000000" w:themeColor="text1"/>
                          <w:sz w:val="18"/>
                          <w:szCs w:val="18"/>
                          <w:lang w:val="en-US" w:eastAsia="zh-CN"/>
                          <w14:textFill>
                            <w14:solidFill>
                              <w14:schemeClr w14:val="tx1"/>
                            </w14:solidFill>
                          </w14:textFill>
                        </w:rPr>
                        <w:t>本项目位置</w:t>
                      </w:r>
                    </w:p>
                  </w:txbxContent>
                </v:textbox>
              </v:shape>
            </w:pict>
          </mc:Fallback>
        </mc:AlternateContent>
      </w:r>
      <w:r>
        <w:rPr>
          <w:rFonts w:ascii="Times New Roman" w:hAnsi="Times New Roman" w:eastAsia="宋体"/>
          <w:color w:val="000000" w:themeColor="text1"/>
          <w:sz w:val="21"/>
          <w14:textFill>
            <w14:solidFill>
              <w14:schemeClr w14:val="tx1"/>
            </w14:solidFill>
          </w14:textFill>
        </w:rPr>
        <mc:AlternateContent>
          <mc:Choice Requires="wps">
            <w:drawing>
              <wp:anchor distT="0" distB="0" distL="114300" distR="114300" simplePos="0" relativeHeight="251674624" behindDoc="0" locked="0" layoutInCell="1" allowOverlap="1">
                <wp:simplePos x="0" y="0"/>
                <wp:positionH relativeFrom="column">
                  <wp:posOffset>6507480</wp:posOffset>
                </wp:positionH>
                <wp:positionV relativeFrom="paragraph">
                  <wp:posOffset>2479040</wp:posOffset>
                </wp:positionV>
                <wp:extent cx="76200" cy="76200"/>
                <wp:effectExtent l="19050" t="21590" r="19050" b="26035"/>
                <wp:wrapNone/>
                <wp:docPr id="25" name="五角星 25"/>
                <wp:cNvGraphicFramePr/>
                <a:graphic xmlns:a="http://schemas.openxmlformats.org/drawingml/2006/main">
                  <a:graphicData uri="http://schemas.microsoft.com/office/word/2010/wordprocessingShape">
                    <wps:wsp>
                      <wps:cNvSpPr/>
                      <wps:spPr>
                        <a:xfrm>
                          <a:off x="7109460" y="3350260"/>
                          <a:ext cx="76200" cy="76200"/>
                        </a:xfrm>
                        <a:prstGeom prst="star5">
                          <a:avLst/>
                        </a:prstGeom>
                        <a:solidFill>
                          <a:schemeClr val="tx1"/>
                        </a:solidFill>
                        <a:ln w="12700" cap="flat" cmpd="sng" algn="ctr">
                          <a:solidFill>
                            <a:sysClr val="windowText" lastClr="000000"/>
                          </a:solid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512.4pt;margin-top:195.2pt;height:6pt;width:6pt;z-index:251674624;v-text-anchor:middle;mso-width-relative:page;mso-height-relative:page;" fillcolor="#000000 [3213]" filled="t" stroked="t" coordsize="76200,76200" o:gfxdata="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" path="m0,29105l29105,29105,38100,0,47094,29105,76199,29105,52652,47093,61647,76199,38100,58211,14552,76199,23547,47093xe">
                <v:path o:connectlocs="38100,0;0,29105;14552,76199;61647,76199;76199,29105" o:connectangles="247,164,82,82,0"/>
                <v:fill on="t" focussize="0,0"/>
                <v:stroke weight="1pt" color="#000000 [2404]" miterlimit="8" joinstyle="miter"/>
                <v:imagedata o:title=""/>
                <o:lock v:ext="edit" aspectratio="f"/>
              </v:shape>
            </w:pict>
          </mc:Fallback>
        </mc:AlternateContent>
      </w:r>
      <w:r>
        <w:rPr>
          <w:rFonts w:hint="default" w:ascii="Times New Roman" w:hAnsi="Times New Roman" w:eastAsia="宋体" w:cs="Times New Roman"/>
          <w:color w:val="000000" w:themeColor="text1"/>
          <w:sz w:val="21"/>
          <w14:textFill>
            <w14:solidFill>
              <w14:schemeClr w14:val="tx1"/>
            </w14:solidFill>
          </w14:textFill>
        </w:rPr>
        <w:drawing>
          <wp:inline distT="0" distB="0" distL="114300" distR="114300">
            <wp:extent cx="6360795" cy="5359400"/>
            <wp:effectExtent l="0" t="0" r="1905" b="3175"/>
            <wp:docPr id="61" name="图片 61" descr="内蒙古功能区(1：200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内蒙古功能区(1：200万)1"/>
                    <pic:cNvPicPr>
                      <a:picLocks noChangeAspect="1"/>
                    </pic:cNvPicPr>
                  </pic:nvPicPr>
                  <pic:blipFill>
                    <a:blip r:embed="rId48"/>
                    <a:stretch>
                      <a:fillRect/>
                    </a:stretch>
                  </pic:blipFill>
                  <pic:spPr>
                    <a:xfrm>
                      <a:off x="0" y="0"/>
                      <a:ext cx="6360795" cy="5359400"/>
                    </a:xfrm>
                    <a:prstGeom prst="rect">
                      <a:avLst/>
                    </a:prstGeom>
                  </pic:spPr>
                </pic:pic>
              </a:graphicData>
            </a:graphic>
          </wp:inline>
        </w:drawing>
      </w:r>
    </w:p>
    <w:p w14:paraId="2B1DBDAD">
      <w:pPr>
        <w:keepNext w:val="0"/>
        <w:keepLines w:val="0"/>
        <w:pageBreakBefore w:val="0"/>
        <w:kinsoku/>
        <w:wordWrap/>
        <w:overflowPunct/>
        <w:topLinePunct w:val="0"/>
        <w:bidi w:val="0"/>
        <w:adjustRightInd w:val="0"/>
        <w:snapToGrid w:val="0"/>
        <w:spacing w:line="240" w:lineRule="auto"/>
        <w:ind w:firstLine="482" w:firstLineChars="0"/>
        <w:jc w:val="center"/>
        <w:outlineLvl w:val="9"/>
        <w:rPr>
          <w:rFonts w:hint="default" w:ascii="Times New Roman" w:hAnsi="Times New Roman" w:eastAsia="宋体" w:cs="Times New Roman"/>
          <w:b/>
          <w:bCs/>
          <w:color w:val="000000" w:themeColor="text1"/>
          <w:sz w:val="21"/>
          <w14:textFill>
            <w14:solidFill>
              <w14:schemeClr w14:val="tx1"/>
            </w14:solidFill>
          </w14:textFill>
        </w:rPr>
        <w:sectPr>
          <w:pgSz w:w="16838" w:h="11906" w:orient="landscape"/>
          <w:pgMar w:top="1236" w:right="1440" w:bottom="1236" w:left="1440" w:header="851" w:footer="992" w:gutter="0"/>
          <w:pgNumType w:fmt="decimal"/>
          <w:cols w:space="425" w:num="1"/>
          <w:docGrid w:type="lines" w:linePitch="312" w:charSpace="0"/>
        </w:sectPr>
      </w:pPr>
      <w:r>
        <w:rPr>
          <w:rFonts w:hint="default" w:ascii="Times New Roman" w:hAnsi="Times New Roman" w:eastAsia="宋体" w:cs="Times New Roman"/>
          <w:b/>
          <w:bCs/>
          <w:color w:val="000000" w:themeColor="text1"/>
          <w:sz w:val="21"/>
          <w14:textFill>
            <w14:solidFill>
              <w14:schemeClr w14:val="tx1"/>
            </w14:solidFill>
          </w14:textFill>
        </w:rPr>
        <w:t>图4-9拟建项目生态功能区划位置图</w:t>
      </w:r>
    </w:p>
    <w:p w14:paraId="4EF3CBFD">
      <w:pPr>
        <w:keepNext w:val="0"/>
        <w:keepLines w:val="0"/>
        <w:pageBreakBefore w:val="0"/>
        <w:widowControl w:val="0"/>
        <w:kinsoku/>
        <w:wordWrap/>
        <w:overflowPunct/>
        <w:topLinePunct w:val="0"/>
        <w:bidi w:val="0"/>
        <w:spacing w:line="360" w:lineRule="auto"/>
        <w:ind w:firstLine="456" w:firstLineChars="200"/>
        <w:jc w:val="both"/>
        <w:outlineLvl w:val="9"/>
        <w:rPr>
          <w:rFonts w:hint="default" w:ascii="Times New Roman" w:hAnsi="Times New Roman" w:eastAsia="宋体" w:cs="Times New Roman"/>
          <w:color w:val="000000" w:themeColor="text1"/>
          <w:spacing w:val="-6"/>
          <w:kern w:val="2"/>
          <w:sz w:val="24"/>
          <w:szCs w:val="24"/>
          <w:lang w:val="en-US" w:eastAsia="zh-CN" w:bidi="ar-SA"/>
          <w14:textFill>
            <w14:solidFill>
              <w14:schemeClr w14:val="tx1"/>
            </w14:solidFill>
          </w14:textFill>
        </w:rPr>
      </w:pPr>
      <w:bookmarkStart w:id="167" w:name="_Toc30204"/>
      <w:bookmarkStart w:id="168" w:name="_Toc20789"/>
      <w:r>
        <w:rPr>
          <w:rFonts w:hint="default" w:ascii="Times New Roman" w:hAnsi="Times New Roman" w:eastAsia="宋体" w:cs="Times New Roman"/>
          <w:color w:val="000000" w:themeColor="text1"/>
          <w:spacing w:val="-6"/>
          <w:kern w:val="2"/>
          <w:sz w:val="24"/>
          <w:szCs w:val="24"/>
          <w:lang w:val="en-US" w:eastAsia="zh-CN" w:bidi="ar-SA"/>
          <w14:textFill>
            <w14:solidFill>
              <w14:schemeClr w14:val="tx1"/>
            </w14:solidFill>
          </w14:textFill>
        </w:rPr>
        <w:t>4.2.1.8动物现状评价</w:t>
      </w:r>
      <w:bookmarkEnd w:id="167"/>
      <w:bookmarkEnd w:id="168"/>
    </w:p>
    <w:p w14:paraId="6A704536">
      <w:pPr>
        <w:keepNext w:val="0"/>
        <w:keepLines w:val="0"/>
        <w:pageBreakBefore w:val="0"/>
        <w:kinsoku/>
        <w:wordWrap/>
        <w:overflowPunct/>
        <w:topLinePunct w:val="0"/>
        <w:bidi w:val="0"/>
        <w:ind w:firstLine="480"/>
        <w:outlineLvl w:val="9"/>
        <w:rPr>
          <w:rFonts w:hint="default" w:ascii="Times New Roman" w:hAnsi="Times New Roman" w:eastAsia="宋体" w:cs="Times New Roman"/>
          <w:color w:val="000000" w:themeColor="text1"/>
          <w:kern w:val="0"/>
          <w14:textFill>
            <w14:solidFill>
              <w14:schemeClr w14:val="tx1"/>
            </w14:solidFill>
          </w14:textFill>
        </w:rPr>
      </w:pPr>
      <w:r>
        <w:rPr>
          <w:rFonts w:hint="default" w:ascii="Times New Roman" w:hAnsi="Times New Roman" w:eastAsia="宋体" w:cs="Times New Roman"/>
          <w:color w:val="000000" w:themeColor="text1"/>
          <w:kern w:val="0"/>
          <w14:textFill>
            <w14:solidFill>
              <w14:schemeClr w14:val="tx1"/>
            </w14:solidFill>
          </w14:textFill>
        </w:rPr>
        <w:t>动物区系概况</w:t>
      </w:r>
    </w:p>
    <w:p w14:paraId="661FB8A1">
      <w:pPr>
        <w:keepNext w:val="0"/>
        <w:keepLines w:val="0"/>
        <w:pageBreakBefore w:val="0"/>
        <w:kinsoku/>
        <w:wordWrap/>
        <w:overflowPunct/>
        <w:topLinePunct w:val="0"/>
        <w:bidi w:val="0"/>
        <w:ind w:firstLine="480"/>
        <w:outlineLvl w:val="9"/>
        <w:rPr>
          <w:rFonts w:hint="default" w:ascii="Times New Roman" w:hAnsi="Times New Roman" w:eastAsia="宋体" w:cs="Times New Roman"/>
          <w:color w:val="000000" w:themeColor="text1"/>
          <w:kern w:val="0"/>
          <w14:textFill>
            <w14:solidFill>
              <w14:schemeClr w14:val="tx1"/>
            </w14:solidFill>
          </w14:textFill>
        </w:rPr>
      </w:pPr>
      <w:r>
        <w:rPr>
          <w:rFonts w:hint="default" w:ascii="Times New Roman" w:hAnsi="Times New Roman" w:eastAsia="宋体" w:cs="Times New Roman"/>
          <w:color w:val="000000" w:themeColor="text1"/>
          <w:kern w:val="0"/>
          <w14:textFill>
            <w14:solidFill>
              <w14:schemeClr w14:val="tx1"/>
            </w14:solidFill>
          </w14:textFill>
        </w:rPr>
        <w:t>中国陆地动物分属于世界陆栖动物区系的古北界和东洋界，两界在我国境内的分界线西起横断山脉北部，经过川北的岷山与陕南的泰岭，向东至淮河南岸，直抵长江口以北，我国动物区系根据陆栖脊椎动物特别是哺乳类和鸟类的分布情况，可以分为东北区、华北区、蒙新区、青藏区、西南区、华中区、华南区，其中前四个区属于古北界，后三个区属于东洋界。</w:t>
      </w:r>
    </w:p>
    <w:p w14:paraId="7B1F99BE">
      <w:pPr>
        <w:keepNext w:val="0"/>
        <w:keepLines w:val="0"/>
        <w:pageBreakBefore w:val="0"/>
        <w:kinsoku/>
        <w:wordWrap/>
        <w:overflowPunct/>
        <w:topLinePunct w:val="0"/>
        <w:bidi w:val="0"/>
        <w:ind w:firstLine="480"/>
        <w:outlineLvl w:val="9"/>
        <w:rPr>
          <w:rFonts w:hint="default" w:ascii="Times New Roman" w:hAnsi="Times New Roman" w:eastAsia="宋体" w:cs="Times New Roman"/>
          <w:color w:val="000000" w:themeColor="text1"/>
          <w:kern w:val="0"/>
          <w14:textFill>
            <w14:solidFill>
              <w14:schemeClr w14:val="tx1"/>
            </w14:solidFill>
          </w14:textFill>
        </w:rPr>
      </w:pPr>
      <w:r>
        <w:rPr>
          <w:rFonts w:hint="default" w:ascii="Times New Roman" w:hAnsi="Times New Roman" w:eastAsia="宋体" w:cs="Times New Roman"/>
          <w:color w:val="000000" w:themeColor="text1"/>
          <w:kern w:val="0"/>
          <w14:textFill>
            <w14:solidFill>
              <w14:schemeClr w14:val="tx1"/>
            </w14:solidFill>
          </w14:textFill>
        </w:rPr>
        <w:t>本项目位于内蒙古自治区兴安盟科尔沁右翼前旗额尔格图镇，根据动物区系划分图，评价范围内的动物地理区划位于蒙新区，本区干旱的气候、典型草甸为主的植被条件影响动物区系组成，动物种类相对贫乏，主要是森林和草甸的种类。</w:t>
      </w:r>
    </w:p>
    <w:p w14:paraId="7FE57CE0">
      <w:pPr>
        <w:keepNext w:val="0"/>
        <w:keepLines w:val="0"/>
        <w:pageBreakBefore w:val="0"/>
        <w:kinsoku/>
        <w:wordWrap/>
        <w:overflowPunct/>
        <w:topLinePunct w:val="0"/>
        <w:bidi w:val="0"/>
        <w:ind w:firstLine="0" w:firstLineChars="0"/>
        <w:jc w:val="center"/>
        <w:outlineLvl w:val="9"/>
        <w:rPr>
          <w:rFonts w:hint="default" w:ascii="Times New Roman" w:hAnsi="Times New Roman" w:eastAsia="宋体" w:cs="Times New Roman"/>
          <w:color w:val="000000" w:themeColor="text1"/>
          <w:spacing w:val="20"/>
          <w:szCs w:val="22"/>
          <w14:textFill>
            <w14:solidFill>
              <w14:schemeClr w14:val="tx1"/>
            </w14:solidFill>
          </w14:textFill>
        </w:rPr>
      </w:pPr>
      <w:r>
        <w:rPr>
          <w:rFonts w:ascii="Times New Roman" w:hAnsi="Times New Roman" w:eastAsia="宋体"/>
          <w:color w:val="000000" w:themeColor="text1"/>
          <w:sz w:val="24"/>
          <w14:textFill>
            <w14:solidFill>
              <w14:schemeClr w14:val="tx1"/>
            </w14:solidFill>
          </w14:textFill>
        </w:rPr>
        <mc:AlternateContent>
          <mc:Choice Requires="wps">
            <w:drawing>
              <wp:anchor distT="0" distB="0" distL="114300" distR="114300" simplePos="0" relativeHeight="251673600" behindDoc="0" locked="0" layoutInCell="1" allowOverlap="1">
                <wp:simplePos x="0" y="0"/>
                <wp:positionH relativeFrom="column">
                  <wp:posOffset>2647950</wp:posOffset>
                </wp:positionH>
                <wp:positionV relativeFrom="paragraph">
                  <wp:posOffset>860425</wp:posOffset>
                </wp:positionV>
                <wp:extent cx="767715" cy="220980"/>
                <wp:effectExtent l="6350" t="6350" r="378460" b="48895"/>
                <wp:wrapNone/>
                <wp:docPr id="19" name="矩形标注 19"/>
                <wp:cNvGraphicFramePr/>
                <a:graphic xmlns:a="http://schemas.openxmlformats.org/drawingml/2006/main">
                  <a:graphicData uri="http://schemas.microsoft.com/office/word/2010/wordprocessingShape">
                    <wps:wsp>
                      <wps:cNvSpPr/>
                      <wps:spPr>
                        <a:xfrm>
                          <a:off x="5111115" y="4711065"/>
                          <a:ext cx="767715" cy="220980"/>
                        </a:xfrm>
                        <a:prstGeom prst="wedgeRectCallout">
                          <a:avLst>
                            <a:gd name="adj1" fmla="val 92845"/>
                            <a:gd name="adj2" fmla="val 63793"/>
                          </a:avLst>
                        </a:prstGeom>
                        <a:noFill/>
                        <a:ln w="12700" cap="flat" cmpd="sng" algn="ctr">
                          <a:solidFill>
                            <a:sysClr val="windowText" lastClr="000000"/>
                          </a:solid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txbx>
                        <w:txbxContent>
                          <w:p w14:paraId="57F939D1">
                            <w:pPr>
                              <w:ind w:left="0" w:leftChars="0" w:firstLine="0" w:firstLineChars="0"/>
                              <w:jc w:val="both"/>
                              <w:rPr>
                                <w:rFonts w:hint="default" w:ascii="Times New Roman" w:hAnsi="Times New Roman" w:eastAsia="宋体"/>
                                <w:color w:val="000000" w:themeColor="text1"/>
                                <w:sz w:val="18"/>
                                <w:szCs w:val="18"/>
                                <w:lang w:val="en-US" w:eastAsia="zh-CN"/>
                                <w14:textFill>
                                  <w14:solidFill>
                                    <w14:schemeClr w14:val="tx1"/>
                                  </w14:solidFill>
                                </w14:textFill>
                              </w:rPr>
                            </w:pPr>
                            <w:r>
                              <w:rPr>
                                <w:rFonts w:hint="eastAsia" w:ascii="Times New Roman" w:hAnsi="Times New Roman" w:eastAsia="宋体"/>
                                <w:color w:val="000000" w:themeColor="text1"/>
                                <w:sz w:val="18"/>
                                <w:szCs w:val="18"/>
                                <w:lang w:val="en-US" w:eastAsia="zh-CN"/>
                                <w14:textFill>
                                  <w14:solidFill>
                                    <w14:schemeClr w14:val="tx1"/>
                                  </w14:solidFill>
                                </w14:textFill>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08.5pt;margin-top:67.75pt;height:17.4pt;width:60.45pt;z-index:251673600;v-text-anchor:middle;mso-width-relative:page;mso-height-relative:page;" filled="f" stroked="t" coordsize="21600,21600" o:gfxdata="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" adj="30855,24579">
                <v:fill on="f" focussize="0,0"/>
                <v:stroke weight="1pt" color="#000000 [2404]" miterlimit="8" joinstyle="miter"/>
                <v:imagedata o:title=""/>
                <o:lock v:ext="edit" aspectratio="f"/>
                <v:textbox>
                  <w:txbxContent>
                    <w:p w14:paraId="57F939D1">
                      <w:pPr>
                        <w:ind w:left="0" w:leftChars="0" w:firstLine="0" w:firstLineChars="0"/>
                        <w:jc w:val="both"/>
                        <w:rPr>
                          <w:rFonts w:hint="default" w:ascii="Times New Roman" w:hAnsi="Times New Roman" w:eastAsia="宋体"/>
                          <w:color w:val="000000" w:themeColor="text1"/>
                          <w:sz w:val="18"/>
                          <w:szCs w:val="18"/>
                          <w:lang w:val="en-US" w:eastAsia="zh-CN"/>
                          <w14:textFill>
                            <w14:solidFill>
                              <w14:schemeClr w14:val="tx1"/>
                            </w14:solidFill>
                          </w14:textFill>
                        </w:rPr>
                      </w:pPr>
                      <w:r>
                        <w:rPr>
                          <w:rFonts w:hint="eastAsia" w:ascii="Times New Roman" w:hAnsi="Times New Roman" w:eastAsia="宋体"/>
                          <w:color w:val="000000" w:themeColor="text1"/>
                          <w:sz w:val="18"/>
                          <w:szCs w:val="18"/>
                          <w:lang w:val="en-US" w:eastAsia="zh-CN"/>
                          <w14:textFill>
                            <w14:solidFill>
                              <w14:schemeClr w14:val="tx1"/>
                            </w14:solidFill>
                          </w14:textFill>
                        </w:rPr>
                        <w:t>本项目位置</w:t>
                      </w:r>
                    </w:p>
                  </w:txbxContent>
                </v:textbox>
              </v:shape>
            </w:pict>
          </mc:Fallback>
        </mc:AlternateContent>
      </w:r>
      <w:r>
        <w:rPr>
          <w:rFonts w:ascii="Times New Roman" w:hAnsi="Times New Roman" w:eastAsia="宋体"/>
          <w:color w:val="000000" w:themeColor="text1"/>
          <w:sz w:val="24"/>
          <w14:textFill>
            <w14:solidFill>
              <w14:schemeClr w14:val="tx1"/>
            </w14:solidFill>
          </w14:textFill>
        </w:rPr>
        <mc:AlternateContent>
          <mc:Choice Requires="wps">
            <w:drawing>
              <wp:anchor distT="0" distB="0" distL="114300" distR="114300" simplePos="0" relativeHeight="251672576" behindDoc="0" locked="0" layoutInCell="1" allowOverlap="1">
                <wp:simplePos x="0" y="0"/>
                <wp:positionH relativeFrom="column">
                  <wp:posOffset>3741420</wp:posOffset>
                </wp:positionH>
                <wp:positionV relativeFrom="paragraph">
                  <wp:posOffset>1068705</wp:posOffset>
                </wp:positionV>
                <wp:extent cx="76200" cy="76200"/>
                <wp:effectExtent l="19050" t="21590" r="19050" b="26035"/>
                <wp:wrapNone/>
                <wp:docPr id="18" name="五角星 18"/>
                <wp:cNvGraphicFramePr/>
                <a:graphic xmlns:a="http://schemas.openxmlformats.org/drawingml/2006/main">
                  <a:graphicData uri="http://schemas.microsoft.com/office/word/2010/wordprocessingShape">
                    <wps:wsp>
                      <wps:cNvSpPr/>
                      <wps:spPr>
                        <a:xfrm>
                          <a:off x="4602480" y="5061585"/>
                          <a:ext cx="76200" cy="76200"/>
                        </a:xfrm>
                        <a:prstGeom prst="star5">
                          <a:avLst/>
                        </a:prstGeom>
                        <a:solidFill>
                          <a:schemeClr val="tx1"/>
                        </a:solidFill>
                        <a:ln w="12700" cap="flat" cmpd="sng" algn="ctr">
                          <a:solidFill>
                            <a:sysClr val="windowText" lastClr="000000"/>
                          </a:solid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94.6pt;margin-top:84.15pt;height:6pt;width:6pt;z-index:251672576;v-text-anchor:middle;mso-width-relative:page;mso-height-relative:page;" fillcolor="#000000 [3213]" filled="t" stroked="t" coordsize="76200,76200" o:gfxdata="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" path="m0,29105l29105,29105,38100,0,47094,29105,76199,29105,52652,47093,61647,76199,38100,58211,14552,76199,23547,47093xe">
                <v:path o:connectlocs="38100,0;0,29105;14552,76199;61647,76199;76199,29105" o:connectangles="247,164,82,82,0"/>
                <v:fill on="t" focussize="0,0"/>
                <v:stroke weight="1pt" color="#000000 [2404]" miterlimit="8" joinstyle="miter"/>
                <v:imagedata o:title=""/>
                <o:lock v:ext="edit" aspectratio="f"/>
              </v:shape>
            </w:pict>
          </mc:Fallback>
        </mc:AlternateContent>
      </w:r>
      <w:r>
        <w:rPr>
          <w:rFonts w:hint="default" w:ascii="Times New Roman" w:hAnsi="Times New Roman" w:eastAsia="宋体" w:cs="Times New Roman"/>
          <w:color w:val="000000" w:themeColor="text1"/>
          <w:spacing w:val="20"/>
          <w:szCs w:val="22"/>
          <w14:textFill>
            <w14:solidFill>
              <w14:schemeClr w14:val="tx1"/>
            </w14:solidFill>
          </w14:textFill>
        </w:rPr>
        <w:drawing>
          <wp:inline distT="0" distB="0" distL="114300" distR="114300">
            <wp:extent cx="5280660" cy="3154680"/>
            <wp:effectExtent l="0" t="0" r="5715" b="7620"/>
            <wp:docPr id="6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0"/>
                    <pic:cNvPicPr>
                      <a:picLocks noChangeAspect="1"/>
                    </pic:cNvPicPr>
                  </pic:nvPicPr>
                  <pic:blipFill>
                    <a:blip r:embed="rId49"/>
                    <a:stretch>
                      <a:fillRect/>
                    </a:stretch>
                  </pic:blipFill>
                  <pic:spPr>
                    <a:xfrm>
                      <a:off x="0" y="0"/>
                      <a:ext cx="5280660" cy="3154680"/>
                    </a:xfrm>
                    <a:prstGeom prst="rect">
                      <a:avLst/>
                    </a:prstGeom>
                    <a:noFill/>
                    <a:ln>
                      <a:noFill/>
                    </a:ln>
                  </pic:spPr>
                </pic:pic>
              </a:graphicData>
            </a:graphic>
          </wp:inline>
        </w:drawing>
      </w:r>
    </w:p>
    <w:p w14:paraId="1232C428">
      <w:pPr>
        <w:keepNext w:val="0"/>
        <w:keepLines w:val="0"/>
        <w:pageBreakBefore w:val="0"/>
        <w:kinsoku/>
        <w:wordWrap/>
        <w:overflowPunct/>
        <w:topLinePunct w:val="0"/>
        <w:bidi w:val="0"/>
        <w:adjustRightInd w:val="0"/>
        <w:snapToGrid w:val="0"/>
        <w:spacing w:line="240" w:lineRule="auto"/>
        <w:ind w:firstLine="482" w:firstLineChars="0"/>
        <w:jc w:val="center"/>
        <w:outlineLvl w:val="9"/>
        <w:rPr>
          <w:rFonts w:hint="default" w:ascii="Times New Roman" w:hAnsi="Times New Roman" w:eastAsia="宋体" w:cs="Times New Roman"/>
          <w:b/>
          <w:bCs/>
          <w:color w:val="000000" w:themeColor="text1"/>
          <w:sz w:val="21"/>
          <w14:textFill>
            <w14:solidFill>
              <w14:schemeClr w14:val="tx1"/>
            </w14:solidFill>
          </w14:textFill>
        </w:rPr>
      </w:pPr>
      <w:r>
        <w:rPr>
          <w:rFonts w:hint="default" w:ascii="Times New Roman" w:hAnsi="Times New Roman" w:eastAsia="宋体" w:cs="Times New Roman"/>
          <w:b/>
          <w:bCs/>
          <w:color w:val="000000" w:themeColor="text1"/>
          <w:sz w:val="21"/>
          <w14:textFill>
            <w14:solidFill>
              <w14:schemeClr w14:val="tx1"/>
            </w14:solidFill>
          </w14:textFill>
        </w:rPr>
        <w:t>图4-10动物区系划分图</w:t>
      </w:r>
    </w:p>
    <w:p w14:paraId="5136E45F">
      <w:pPr>
        <w:keepNext w:val="0"/>
        <w:keepLines w:val="0"/>
        <w:pageBreakBefore w:val="0"/>
        <w:kinsoku/>
        <w:wordWrap/>
        <w:overflowPunct/>
        <w:topLinePunct w:val="0"/>
        <w:bidi w:val="0"/>
        <w:ind w:firstLine="480"/>
        <w:outlineLvl w:val="9"/>
        <w:rPr>
          <w:rFonts w:hint="default" w:ascii="Times New Roman" w:hAnsi="Times New Roman" w:eastAsia="宋体" w:cs="Times New Roman"/>
          <w:color w:val="000000" w:themeColor="text1"/>
          <w:kern w:val="0"/>
          <w14:textFill>
            <w14:solidFill>
              <w14:schemeClr w14:val="tx1"/>
            </w14:solidFill>
          </w14:textFill>
        </w:rPr>
      </w:pPr>
      <w:r>
        <w:rPr>
          <w:rFonts w:hint="default" w:ascii="Times New Roman" w:hAnsi="Times New Roman" w:eastAsia="宋体" w:cs="Times New Roman"/>
          <w:color w:val="000000" w:themeColor="text1"/>
          <w:kern w:val="0"/>
          <w14:textFill>
            <w14:solidFill>
              <w14:schemeClr w14:val="tx1"/>
            </w14:solidFill>
          </w14:textFill>
        </w:rPr>
        <w:t>根据资料记载及走访调查，评价范围内及附近区域主要为哺乳动物和鸟类，爬行类有草原沙蜥，鸟类有家燕、喜鹊、寒鸦、麻雀等，哺乳动物主要有蒙古兔等。根据2021年2月最新调整的《国家重点保护野生动物名录》，本次评价范围内无国家级重点保护野生动物；根据《内蒙古自治区重点保护陆生野生动物名录》（内政办发〔2022〕78号），</w:t>
      </w:r>
      <w:r>
        <w:rPr>
          <w:rFonts w:hint="default" w:ascii="Times New Roman" w:hAnsi="Times New Roman" w:eastAsia="宋体" w:cs="Times New Roman"/>
          <w:color w:val="000000" w:themeColor="text1"/>
          <w:kern w:val="0"/>
          <w:lang w:val="zh-CN"/>
          <w14:textFill>
            <w14:solidFill>
              <w14:schemeClr w14:val="tx1"/>
            </w14:solidFill>
          </w14:textFill>
        </w:rPr>
        <w:t>本次评价范围</w:t>
      </w:r>
      <w:r>
        <w:rPr>
          <w:rFonts w:hint="default" w:ascii="Times New Roman" w:hAnsi="Times New Roman" w:eastAsia="宋体" w:cs="Times New Roman"/>
          <w:color w:val="000000" w:themeColor="text1"/>
          <w:kern w:val="0"/>
          <w14:textFill>
            <w14:solidFill>
              <w14:schemeClr w14:val="tx1"/>
            </w14:solidFill>
          </w14:textFill>
        </w:rPr>
        <w:t>及周边</w:t>
      </w:r>
      <w:r>
        <w:rPr>
          <w:rFonts w:hint="default" w:ascii="Times New Roman" w:hAnsi="Times New Roman" w:eastAsia="宋体" w:cs="Times New Roman"/>
          <w:color w:val="000000" w:themeColor="text1"/>
          <w:kern w:val="0"/>
          <w:lang w:val="zh-CN"/>
          <w14:textFill>
            <w14:solidFill>
              <w14:schemeClr w14:val="tx1"/>
            </w14:solidFill>
          </w14:textFill>
        </w:rPr>
        <w:t>内</w:t>
      </w:r>
      <w:r>
        <w:rPr>
          <w:rFonts w:hint="default" w:ascii="Times New Roman" w:hAnsi="Times New Roman" w:eastAsia="宋体" w:cs="Times New Roman"/>
          <w:color w:val="000000" w:themeColor="text1"/>
          <w:kern w:val="0"/>
          <w14:textFill>
            <w14:solidFill>
              <w14:schemeClr w14:val="tx1"/>
            </w14:solidFill>
          </w14:textFill>
        </w:rPr>
        <w:t>有自治区</w:t>
      </w:r>
      <w:r>
        <w:rPr>
          <w:rFonts w:hint="default" w:ascii="Times New Roman" w:hAnsi="Times New Roman" w:eastAsia="宋体" w:cs="Times New Roman"/>
          <w:color w:val="000000" w:themeColor="text1"/>
          <w:kern w:val="0"/>
          <w:lang w:val="zh-CN"/>
          <w14:textFill>
            <w14:solidFill>
              <w14:schemeClr w14:val="tx1"/>
            </w14:solidFill>
          </w14:textFill>
        </w:rPr>
        <w:t>重点保护野生动物</w:t>
      </w:r>
      <w:r>
        <w:rPr>
          <w:rFonts w:hint="default" w:ascii="Times New Roman" w:hAnsi="Times New Roman" w:eastAsia="宋体" w:cs="Times New Roman"/>
          <w:color w:val="000000" w:themeColor="text1"/>
          <w:kern w:val="0"/>
          <w14:textFill>
            <w14:solidFill>
              <w14:schemeClr w14:val="tx1"/>
            </w14:solidFill>
          </w14:textFill>
        </w:rPr>
        <w:t>家麻雀、</w:t>
      </w:r>
      <w:r>
        <w:rPr>
          <w:rFonts w:hint="default" w:ascii="Times New Roman" w:hAnsi="Times New Roman" w:eastAsia="宋体" w:cs="Times New Roman"/>
          <w:color w:val="000000" w:themeColor="text1"/>
          <w:kern w:val="0"/>
          <w:lang w:val="zh-CN"/>
          <w14:textFill>
            <w14:solidFill>
              <w14:schemeClr w14:val="tx1"/>
            </w14:solidFill>
          </w14:textFill>
        </w:rPr>
        <w:t>五趾跳鼠。</w:t>
      </w:r>
      <w:r>
        <w:rPr>
          <w:rFonts w:hint="default" w:ascii="Times New Roman" w:hAnsi="Times New Roman" w:eastAsia="宋体" w:cs="Times New Roman"/>
          <w:color w:val="000000" w:themeColor="text1"/>
          <w:kern w:val="0"/>
          <w14:textFill>
            <w14:solidFill>
              <w14:schemeClr w14:val="tx1"/>
            </w14:solidFill>
          </w14:textFill>
        </w:rPr>
        <w:t>对照国家林业局2000年8月1日发布的《国家保护的有益的或者有重要经济、科学研究价值的陆生野生动物名录》，</w:t>
      </w:r>
      <w:r>
        <w:rPr>
          <w:rFonts w:hint="default" w:ascii="Times New Roman" w:hAnsi="Times New Roman" w:eastAsia="宋体" w:cs="Times New Roman"/>
          <w:color w:val="000000" w:themeColor="text1"/>
          <w:kern w:val="0"/>
          <w:lang w:val="zh-CN"/>
          <w14:textFill>
            <w14:solidFill>
              <w14:schemeClr w14:val="tx1"/>
            </w14:solidFill>
          </w14:textFill>
        </w:rPr>
        <w:t>本次评价范围</w:t>
      </w:r>
      <w:r>
        <w:rPr>
          <w:rFonts w:hint="default" w:ascii="Times New Roman" w:hAnsi="Times New Roman" w:eastAsia="宋体" w:cs="Times New Roman"/>
          <w:color w:val="000000" w:themeColor="text1"/>
          <w:kern w:val="0"/>
          <w14:textFill>
            <w14:solidFill>
              <w14:schemeClr w14:val="tx1"/>
            </w14:solidFill>
          </w14:textFill>
        </w:rPr>
        <w:t>及周边</w:t>
      </w:r>
      <w:r>
        <w:rPr>
          <w:rFonts w:hint="default" w:ascii="Times New Roman" w:hAnsi="Times New Roman" w:eastAsia="宋体" w:cs="Times New Roman"/>
          <w:color w:val="000000" w:themeColor="text1"/>
          <w:kern w:val="0"/>
          <w:lang w:val="zh-CN"/>
          <w14:textFill>
            <w14:solidFill>
              <w14:schemeClr w14:val="tx1"/>
            </w14:solidFill>
          </w14:textFill>
        </w:rPr>
        <w:t>内“</w:t>
      </w:r>
      <w:r>
        <w:rPr>
          <w:rFonts w:hint="default" w:ascii="Times New Roman" w:hAnsi="Times New Roman" w:eastAsia="宋体" w:cs="Times New Roman"/>
          <w:color w:val="000000" w:themeColor="text1"/>
          <w:kern w:val="0"/>
          <w14:textFill>
            <w14:solidFill>
              <w14:schemeClr w14:val="tx1"/>
            </w14:solidFill>
          </w14:textFill>
        </w:rPr>
        <w:t>三有</w:t>
      </w:r>
      <w:r>
        <w:rPr>
          <w:rFonts w:hint="default" w:ascii="Times New Roman" w:hAnsi="Times New Roman" w:eastAsia="宋体" w:cs="Times New Roman"/>
          <w:color w:val="000000" w:themeColor="text1"/>
          <w:kern w:val="0"/>
          <w:lang w:val="zh-CN"/>
          <w14:textFill>
            <w14:solidFill>
              <w14:schemeClr w14:val="tx1"/>
            </w14:solidFill>
          </w14:textFill>
        </w:rPr>
        <w:t>”野生动物</w:t>
      </w:r>
      <w:r>
        <w:rPr>
          <w:rFonts w:hint="default" w:ascii="Times New Roman" w:hAnsi="Times New Roman" w:eastAsia="宋体" w:cs="Times New Roman"/>
          <w:color w:val="000000" w:themeColor="text1"/>
          <w:kern w:val="0"/>
          <w14:textFill>
            <w14:solidFill>
              <w14:schemeClr w14:val="tx1"/>
            </w14:solidFill>
          </w14:textFill>
        </w:rPr>
        <w:t>家燕、（树）麻雀、达乌里寒鸦</w:t>
      </w:r>
      <w:r>
        <w:rPr>
          <w:rFonts w:hint="default" w:ascii="Times New Roman" w:hAnsi="Times New Roman" w:eastAsia="宋体" w:cs="Times New Roman"/>
          <w:color w:val="000000" w:themeColor="text1"/>
          <w:kern w:val="0"/>
          <w:lang w:val="zh-CN"/>
          <w14:textFill>
            <w14:solidFill>
              <w14:schemeClr w14:val="tx1"/>
            </w14:solidFill>
          </w14:textFill>
        </w:rPr>
        <w:t>。</w:t>
      </w:r>
      <w:r>
        <w:rPr>
          <w:rFonts w:hint="default" w:ascii="Times New Roman" w:hAnsi="Times New Roman" w:eastAsia="宋体" w:cs="Times New Roman"/>
          <w:color w:val="000000" w:themeColor="text1"/>
          <w:kern w:val="0"/>
          <w14:textFill>
            <w14:solidFill>
              <w14:schemeClr w14:val="tx1"/>
            </w14:solidFill>
          </w14:textFill>
        </w:rPr>
        <w:t>评价区无《中国生物多样性红色名录》中濒危、易危物种，无极危物种以及国家和内蒙古自治区列入拯救保护的极小种群物种、特有种，也未发现迁徙鸟类的重要繁殖地、停歇地、越冬地以及野生动物迂徙通道等。当地主要动物名录见下表。</w:t>
      </w:r>
    </w:p>
    <w:p w14:paraId="7D287BF9">
      <w:pPr>
        <w:keepNext w:val="0"/>
        <w:keepLines w:val="0"/>
        <w:pageBreakBefore w:val="0"/>
        <w:widowControl/>
        <w:numPr>
          <w:ilvl w:val="4"/>
          <w:numId w:val="0"/>
        </w:numPr>
        <w:kinsoku/>
        <w:wordWrap/>
        <w:overflowPunct/>
        <w:topLinePunct w:val="0"/>
        <w:bidi w:val="0"/>
        <w:spacing w:line="240" w:lineRule="auto"/>
        <w:jc w:val="center"/>
        <w:outlineLvl w:val="9"/>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表4.2-10评价区及周边内动物名录</w:t>
      </w:r>
    </w:p>
    <w:tbl>
      <w:tblPr>
        <w:tblStyle w:val="29"/>
        <w:tblW w:w="49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685"/>
        <w:gridCol w:w="2105"/>
        <w:gridCol w:w="1565"/>
        <w:gridCol w:w="4495"/>
      </w:tblGrid>
      <w:tr w14:paraId="214AC6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387" w:type="pct"/>
            <w:tcMar>
              <w:left w:w="0" w:type="dxa"/>
              <w:right w:w="0" w:type="dxa"/>
            </w:tcMar>
            <w:vAlign w:val="center"/>
          </w:tcPr>
          <w:p w14:paraId="4F60CAE4">
            <w:pPr>
              <w:keepNext w:val="0"/>
              <w:keepLines w:val="0"/>
              <w:pageBreakBefore w:val="0"/>
              <w:kinsoku/>
              <w:wordWrap/>
              <w:overflowPunct/>
              <w:topLinePunct w:val="0"/>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序号</w:t>
            </w:r>
          </w:p>
        </w:tc>
        <w:tc>
          <w:tcPr>
            <w:tcW w:w="1189" w:type="pct"/>
            <w:tcMar>
              <w:left w:w="0" w:type="dxa"/>
              <w:right w:w="0" w:type="dxa"/>
            </w:tcMar>
            <w:vAlign w:val="center"/>
          </w:tcPr>
          <w:p w14:paraId="71135D96">
            <w:pPr>
              <w:keepNext w:val="0"/>
              <w:keepLines w:val="0"/>
              <w:pageBreakBefore w:val="0"/>
              <w:kinsoku/>
              <w:wordWrap/>
              <w:overflowPunct/>
              <w:topLinePunct w:val="0"/>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名称</w:t>
            </w:r>
          </w:p>
        </w:tc>
        <w:tc>
          <w:tcPr>
            <w:tcW w:w="884" w:type="pct"/>
            <w:tcMar>
              <w:left w:w="0" w:type="dxa"/>
              <w:right w:w="0" w:type="dxa"/>
            </w:tcMar>
            <w:vAlign w:val="center"/>
          </w:tcPr>
          <w:p w14:paraId="6310A4F8">
            <w:pPr>
              <w:keepNext w:val="0"/>
              <w:keepLines w:val="0"/>
              <w:pageBreakBefore w:val="0"/>
              <w:kinsoku/>
              <w:wordWrap/>
              <w:overflowPunct/>
              <w:topLinePunct w:val="0"/>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保护等级</w:t>
            </w:r>
          </w:p>
        </w:tc>
        <w:tc>
          <w:tcPr>
            <w:tcW w:w="2538" w:type="pct"/>
            <w:tcMar>
              <w:left w:w="0" w:type="dxa"/>
              <w:right w:w="0" w:type="dxa"/>
            </w:tcMar>
            <w:vAlign w:val="center"/>
          </w:tcPr>
          <w:p w14:paraId="04DF23B6">
            <w:pPr>
              <w:keepNext w:val="0"/>
              <w:keepLines w:val="0"/>
              <w:pageBreakBefore w:val="0"/>
              <w:kinsoku/>
              <w:wordWrap/>
              <w:overflowPunct/>
              <w:topLinePunct w:val="0"/>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拉丁名</w:t>
            </w:r>
          </w:p>
        </w:tc>
      </w:tr>
      <w:tr w14:paraId="59F01D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387" w:type="pct"/>
            <w:tcMar>
              <w:left w:w="0" w:type="dxa"/>
              <w:right w:w="0" w:type="dxa"/>
            </w:tcMar>
            <w:vAlign w:val="center"/>
          </w:tcPr>
          <w:p w14:paraId="292E1B57">
            <w:pPr>
              <w:keepNext w:val="0"/>
              <w:keepLines w:val="0"/>
              <w:pageBreakBefore w:val="0"/>
              <w:kinsoku/>
              <w:wordWrap/>
              <w:overflowPunct/>
              <w:topLinePunct w:val="0"/>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一</w:t>
            </w:r>
          </w:p>
        </w:tc>
        <w:tc>
          <w:tcPr>
            <w:tcW w:w="1189" w:type="pct"/>
            <w:tcMar>
              <w:left w:w="0" w:type="dxa"/>
              <w:right w:w="0" w:type="dxa"/>
            </w:tcMar>
            <w:vAlign w:val="center"/>
          </w:tcPr>
          <w:p w14:paraId="0F546980">
            <w:pPr>
              <w:keepNext w:val="0"/>
              <w:keepLines w:val="0"/>
              <w:pageBreakBefore w:val="0"/>
              <w:kinsoku/>
              <w:wordWrap/>
              <w:overflowPunct/>
              <w:topLinePunct w:val="0"/>
              <w:bidi w:val="0"/>
              <w:adjustRightInd w:val="0"/>
              <w:snapToGrid w:val="0"/>
              <w:spacing w:line="240" w:lineRule="auto"/>
              <w:ind w:firstLine="0" w:firstLineChars="0"/>
              <w:jc w:val="center"/>
              <w:outlineLvl w:val="9"/>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鬣蜥科</w:t>
            </w:r>
          </w:p>
        </w:tc>
        <w:tc>
          <w:tcPr>
            <w:tcW w:w="884" w:type="pct"/>
            <w:tcMar>
              <w:left w:w="0" w:type="dxa"/>
              <w:right w:w="0" w:type="dxa"/>
            </w:tcMar>
            <w:vAlign w:val="center"/>
          </w:tcPr>
          <w:p w14:paraId="10934D98">
            <w:pPr>
              <w:keepNext w:val="0"/>
              <w:keepLines w:val="0"/>
              <w:pageBreakBefore w:val="0"/>
              <w:kinsoku/>
              <w:wordWrap/>
              <w:overflowPunct/>
              <w:topLinePunct w:val="0"/>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sz w:val="21"/>
                <w:szCs w:val="21"/>
                <w14:textFill>
                  <w14:solidFill>
                    <w14:schemeClr w14:val="tx1"/>
                  </w14:solidFill>
                </w14:textFill>
              </w:rPr>
            </w:pPr>
          </w:p>
        </w:tc>
        <w:tc>
          <w:tcPr>
            <w:tcW w:w="2538" w:type="pct"/>
            <w:tcMar>
              <w:left w:w="0" w:type="dxa"/>
              <w:right w:w="0" w:type="dxa"/>
            </w:tcMar>
            <w:vAlign w:val="center"/>
          </w:tcPr>
          <w:p w14:paraId="417C583C">
            <w:pPr>
              <w:keepNext w:val="0"/>
              <w:keepLines w:val="0"/>
              <w:pageBreakBefore w:val="0"/>
              <w:kinsoku/>
              <w:wordWrap/>
              <w:overflowPunct/>
              <w:topLinePunct w:val="0"/>
              <w:bidi w:val="0"/>
              <w:adjustRightInd w:val="0"/>
              <w:snapToGrid w:val="0"/>
              <w:spacing w:line="240" w:lineRule="auto"/>
              <w:ind w:firstLine="0" w:firstLineChars="0"/>
              <w:jc w:val="center"/>
              <w:outlineLvl w:val="9"/>
              <w:rPr>
                <w:rFonts w:hint="default" w:ascii="Times New Roman" w:hAnsi="Times New Roman" w:eastAsia="宋体" w:cs="Times New Roman"/>
                <w:i/>
                <w:color w:val="000000" w:themeColor="text1"/>
                <w:sz w:val="21"/>
                <w:szCs w:val="21"/>
                <w14:textFill>
                  <w14:solidFill>
                    <w14:schemeClr w14:val="tx1"/>
                  </w14:solidFill>
                </w14:textFill>
              </w:rPr>
            </w:pPr>
            <w:r>
              <w:rPr>
                <w:rFonts w:hint="default" w:ascii="Times New Roman" w:hAnsi="Times New Roman" w:eastAsia="宋体" w:cs="Times New Roman"/>
                <w:i/>
                <w:color w:val="000000" w:themeColor="text1"/>
                <w:sz w:val="21"/>
                <w:szCs w:val="21"/>
                <w:shd w:val="clear" w:color="auto" w:fill="FFFFFF"/>
                <w14:textFill>
                  <w14:solidFill>
                    <w14:schemeClr w14:val="tx1"/>
                  </w14:solidFill>
                </w14:textFill>
              </w:rPr>
              <w:t>Vespertilionidae</w:t>
            </w:r>
          </w:p>
        </w:tc>
      </w:tr>
      <w:tr w14:paraId="441E4D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387" w:type="pct"/>
            <w:tcMar>
              <w:left w:w="0" w:type="dxa"/>
              <w:right w:w="0" w:type="dxa"/>
            </w:tcMar>
            <w:vAlign w:val="center"/>
          </w:tcPr>
          <w:p w14:paraId="0B7171F7">
            <w:pPr>
              <w:keepNext w:val="0"/>
              <w:keepLines w:val="0"/>
              <w:pageBreakBefore w:val="0"/>
              <w:kinsoku/>
              <w:wordWrap/>
              <w:overflowPunct/>
              <w:topLinePunct w:val="0"/>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w:t>
            </w:r>
          </w:p>
        </w:tc>
        <w:tc>
          <w:tcPr>
            <w:tcW w:w="1189" w:type="pct"/>
            <w:tcMar>
              <w:left w:w="0" w:type="dxa"/>
              <w:right w:w="0" w:type="dxa"/>
            </w:tcMar>
            <w:vAlign w:val="center"/>
          </w:tcPr>
          <w:p w14:paraId="327262C1">
            <w:pPr>
              <w:keepNext w:val="0"/>
              <w:keepLines w:val="0"/>
              <w:pageBreakBefore w:val="0"/>
              <w:tabs>
                <w:tab w:val="left" w:pos="8931"/>
              </w:tabs>
              <w:kinsoku/>
              <w:wordWrap/>
              <w:overflowPunct/>
              <w:topLinePunct w:val="0"/>
              <w:autoSpaceDE w:val="0"/>
              <w:autoSpaceDN w:val="0"/>
              <w:bidi w:val="0"/>
              <w:adjustRightInd w:val="0"/>
              <w:snapToGrid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snapToGrid w:val="0"/>
                <w:color w:val="000000" w:themeColor="text1"/>
                <w:kern w:val="0"/>
                <w:sz w:val="21"/>
                <w:szCs w:val="21"/>
                <w14:textFill>
                  <w14:solidFill>
                    <w14:schemeClr w14:val="tx1"/>
                  </w14:solidFill>
                </w14:textFill>
              </w:rPr>
              <w:t>草原沙蜥</w:t>
            </w:r>
          </w:p>
        </w:tc>
        <w:tc>
          <w:tcPr>
            <w:tcW w:w="884" w:type="pct"/>
            <w:tcMar>
              <w:left w:w="0" w:type="dxa"/>
              <w:right w:w="0" w:type="dxa"/>
            </w:tcMar>
            <w:vAlign w:val="center"/>
          </w:tcPr>
          <w:p w14:paraId="2536E9B3">
            <w:pPr>
              <w:keepNext w:val="0"/>
              <w:keepLines w:val="0"/>
              <w:pageBreakBefore w:val="0"/>
              <w:tabs>
                <w:tab w:val="left" w:pos="8931"/>
              </w:tabs>
              <w:kinsoku/>
              <w:wordWrap/>
              <w:overflowPunct/>
              <w:topLinePunct w:val="0"/>
              <w:autoSpaceDE w:val="0"/>
              <w:autoSpaceDN w:val="0"/>
              <w:bidi w:val="0"/>
              <w:adjustRightInd w:val="0"/>
              <w:snapToGrid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三有</w:t>
            </w:r>
          </w:p>
        </w:tc>
        <w:tc>
          <w:tcPr>
            <w:tcW w:w="2538" w:type="pct"/>
            <w:tcMar>
              <w:left w:w="0" w:type="dxa"/>
              <w:right w:w="0" w:type="dxa"/>
            </w:tcMar>
            <w:vAlign w:val="center"/>
          </w:tcPr>
          <w:p w14:paraId="4FD37D59">
            <w:pPr>
              <w:keepNext w:val="0"/>
              <w:keepLines w:val="0"/>
              <w:pageBreakBefore w:val="0"/>
              <w:tabs>
                <w:tab w:val="left" w:pos="8931"/>
              </w:tabs>
              <w:kinsoku/>
              <w:wordWrap/>
              <w:overflowPunct/>
              <w:topLinePunct w:val="0"/>
              <w:autoSpaceDE w:val="0"/>
              <w:autoSpaceDN w:val="0"/>
              <w:bidi w:val="0"/>
              <w:adjustRightInd w:val="0"/>
              <w:snapToGrid w:val="0"/>
              <w:spacing w:line="240" w:lineRule="auto"/>
              <w:ind w:firstLine="0" w:firstLineChars="0"/>
              <w:jc w:val="center"/>
              <w:textAlignment w:val="center"/>
              <w:outlineLvl w:val="9"/>
              <w:rPr>
                <w:rFonts w:hint="default" w:ascii="Times New Roman" w:hAnsi="Times New Roman" w:eastAsia="宋体" w:cs="Times New Roman"/>
                <w:i/>
                <w:color w:val="000000" w:themeColor="text1"/>
                <w:sz w:val="21"/>
                <w:szCs w:val="21"/>
                <w14:textFill>
                  <w14:solidFill>
                    <w14:schemeClr w14:val="tx1"/>
                  </w14:solidFill>
                </w14:textFill>
              </w:rPr>
            </w:pPr>
            <w:r>
              <w:rPr>
                <w:rFonts w:hint="default" w:ascii="Times New Roman" w:hAnsi="Times New Roman" w:eastAsia="宋体" w:cs="Times New Roman"/>
                <w:i/>
                <w:snapToGrid w:val="0"/>
                <w:color w:val="000000" w:themeColor="text1"/>
                <w:kern w:val="0"/>
                <w:sz w:val="21"/>
                <w:szCs w:val="21"/>
                <w14:textFill>
                  <w14:solidFill>
                    <w14:schemeClr w14:val="tx1"/>
                  </w14:solidFill>
                </w14:textFill>
              </w:rPr>
              <w:t>Phrynocephalusfrontalis</w:t>
            </w:r>
          </w:p>
        </w:tc>
      </w:tr>
      <w:tr w14:paraId="4882E7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387" w:type="pct"/>
            <w:tcMar>
              <w:left w:w="0" w:type="dxa"/>
              <w:right w:w="0" w:type="dxa"/>
            </w:tcMar>
            <w:vAlign w:val="center"/>
          </w:tcPr>
          <w:p w14:paraId="3E8FE970">
            <w:pPr>
              <w:keepNext w:val="0"/>
              <w:keepLines w:val="0"/>
              <w:pageBreakBefore w:val="0"/>
              <w:kinsoku/>
              <w:wordWrap/>
              <w:overflowPunct/>
              <w:topLinePunct w:val="0"/>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二</w:t>
            </w:r>
          </w:p>
        </w:tc>
        <w:tc>
          <w:tcPr>
            <w:tcW w:w="1189" w:type="pct"/>
            <w:tcMar>
              <w:left w:w="0" w:type="dxa"/>
              <w:right w:w="0" w:type="dxa"/>
            </w:tcMar>
            <w:vAlign w:val="center"/>
          </w:tcPr>
          <w:p w14:paraId="1D930429">
            <w:pPr>
              <w:keepNext w:val="0"/>
              <w:keepLines w:val="0"/>
              <w:pageBreakBefore w:val="0"/>
              <w:kinsoku/>
              <w:wordWrap/>
              <w:overflowPunct/>
              <w:topLinePunct w:val="0"/>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兔科</w:t>
            </w:r>
          </w:p>
        </w:tc>
        <w:tc>
          <w:tcPr>
            <w:tcW w:w="884" w:type="pct"/>
            <w:tcMar>
              <w:left w:w="0" w:type="dxa"/>
              <w:right w:w="0" w:type="dxa"/>
            </w:tcMar>
            <w:vAlign w:val="center"/>
          </w:tcPr>
          <w:p w14:paraId="54613637">
            <w:pPr>
              <w:keepNext w:val="0"/>
              <w:keepLines w:val="0"/>
              <w:pageBreakBefore w:val="0"/>
              <w:kinsoku/>
              <w:wordWrap/>
              <w:overflowPunct/>
              <w:topLinePunct w:val="0"/>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sz w:val="21"/>
                <w:szCs w:val="21"/>
                <w14:textFill>
                  <w14:solidFill>
                    <w14:schemeClr w14:val="tx1"/>
                  </w14:solidFill>
                </w14:textFill>
              </w:rPr>
            </w:pPr>
          </w:p>
        </w:tc>
        <w:tc>
          <w:tcPr>
            <w:tcW w:w="2538" w:type="pct"/>
            <w:tcMar>
              <w:left w:w="0" w:type="dxa"/>
              <w:right w:w="0" w:type="dxa"/>
            </w:tcMar>
            <w:vAlign w:val="center"/>
          </w:tcPr>
          <w:p w14:paraId="4CAA996C">
            <w:pPr>
              <w:keepNext w:val="0"/>
              <w:keepLines w:val="0"/>
              <w:pageBreakBefore w:val="0"/>
              <w:kinsoku/>
              <w:wordWrap/>
              <w:overflowPunct/>
              <w:topLinePunct w:val="0"/>
              <w:bidi w:val="0"/>
              <w:adjustRightInd w:val="0"/>
              <w:snapToGrid w:val="0"/>
              <w:spacing w:line="240" w:lineRule="auto"/>
              <w:ind w:firstLine="0" w:firstLineChars="0"/>
              <w:jc w:val="center"/>
              <w:outlineLvl w:val="9"/>
              <w:rPr>
                <w:rFonts w:hint="default" w:ascii="Times New Roman" w:hAnsi="Times New Roman" w:eastAsia="宋体" w:cs="Times New Roman"/>
                <w:i/>
                <w:color w:val="000000" w:themeColor="text1"/>
                <w:sz w:val="21"/>
                <w:szCs w:val="21"/>
                <w14:textFill>
                  <w14:solidFill>
                    <w14:schemeClr w14:val="tx1"/>
                  </w14:solidFill>
                </w14:textFill>
              </w:rPr>
            </w:pPr>
            <w:r>
              <w:rPr>
                <w:rFonts w:hint="default" w:ascii="Times New Roman" w:hAnsi="Times New Roman" w:eastAsia="宋体" w:cs="Times New Roman"/>
                <w:i/>
                <w:color w:val="000000" w:themeColor="text1"/>
                <w:sz w:val="21"/>
                <w:szCs w:val="21"/>
                <w:shd w:val="clear" w:color="auto" w:fill="FFFFFF"/>
                <w14:textFill>
                  <w14:solidFill>
                    <w14:schemeClr w14:val="tx1"/>
                  </w14:solidFill>
                </w14:textFill>
              </w:rPr>
              <w:t>Leporidae；hares</w:t>
            </w:r>
          </w:p>
        </w:tc>
      </w:tr>
      <w:tr w14:paraId="27D90D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387" w:type="pct"/>
            <w:tcMar>
              <w:left w:w="0" w:type="dxa"/>
              <w:right w:w="0" w:type="dxa"/>
            </w:tcMar>
            <w:vAlign w:val="center"/>
          </w:tcPr>
          <w:p w14:paraId="4AB25456">
            <w:pPr>
              <w:keepNext w:val="0"/>
              <w:keepLines w:val="0"/>
              <w:pageBreakBefore w:val="0"/>
              <w:kinsoku/>
              <w:wordWrap/>
              <w:overflowPunct/>
              <w:topLinePunct w:val="0"/>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w:t>
            </w:r>
          </w:p>
        </w:tc>
        <w:tc>
          <w:tcPr>
            <w:tcW w:w="1189" w:type="pct"/>
            <w:tcMar>
              <w:left w:w="0" w:type="dxa"/>
              <w:right w:w="0" w:type="dxa"/>
            </w:tcMar>
            <w:vAlign w:val="center"/>
          </w:tcPr>
          <w:p w14:paraId="460BEA80">
            <w:pPr>
              <w:keepNext w:val="0"/>
              <w:keepLines w:val="0"/>
              <w:pageBreakBefore w:val="0"/>
              <w:kinsoku/>
              <w:wordWrap/>
              <w:overflowPunct/>
              <w:topLinePunct w:val="0"/>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东北兔</w:t>
            </w:r>
          </w:p>
        </w:tc>
        <w:tc>
          <w:tcPr>
            <w:tcW w:w="884" w:type="pct"/>
            <w:tcMar>
              <w:left w:w="0" w:type="dxa"/>
              <w:right w:w="0" w:type="dxa"/>
            </w:tcMar>
            <w:vAlign w:val="center"/>
          </w:tcPr>
          <w:p w14:paraId="1C47D2B0">
            <w:pPr>
              <w:keepNext w:val="0"/>
              <w:keepLines w:val="0"/>
              <w:pageBreakBefore w:val="0"/>
              <w:kinsoku/>
              <w:wordWrap/>
              <w:overflowPunct/>
              <w:topLinePunct w:val="0"/>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自治区</w:t>
            </w:r>
          </w:p>
        </w:tc>
        <w:tc>
          <w:tcPr>
            <w:tcW w:w="2538" w:type="pct"/>
            <w:tcMar>
              <w:left w:w="0" w:type="dxa"/>
              <w:right w:w="0" w:type="dxa"/>
            </w:tcMar>
            <w:vAlign w:val="center"/>
          </w:tcPr>
          <w:p w14:paraId="2C589BD9">
            <w:pPr>
              <w:keepNext w:val="0"/>
              <w:keepLines w:val="0"/>
              <w:pageBreakBefore w:val="0"/>
              <w:kinsoku/>
              <w:wordWrap/>
              <w:overflowPunct/>
              <w:topLinePunct w:val="0"/>
              <w:bidi w:val="0"/>
              <w:adjustRightInd w:val="0"/>
              <w:snapToGrid w:val="0"/>
              <w:spacing w:line="240" w:lineRule="auto"/>
              <w:ind w:firstLine="0" w:firstLineChars="0"/>
              <w:jc w:val="center"/>
              <w:outlineLvl w:val="9"/>
              <w:rPr>
                <w:rFonts w:hint="default" w:ascii="Times New Roman" w:hAnsi="Times New Roman" w:eastAsia="宋体" w:cs="Times New Roman"/>
                <w:i/>
                <w:color w:val="000000" w:themeColor="text1"/>
                <w:sz w:val="21"/>
                <w:szCs w:val="21"/>
                <w14:textFill>
                  <w14:solidFill>
                    <w14:schemeClr w14:val="tx1"/>
                  </w14:solidFill>
                </w14:textFill>
              </w:rPr>
            </w:pPr>
            <w:r>
              <w:rPr>
                <w:rFonts w:hint="default" w:ascii="Times New Roman" w:hAnsi="Times New Roman" w:eastAsia="宋体" w:cs="Times New Roman"/>
                <w:i/>
                <w:color w:val="000000" w:themeColor="text1"/>
                <w:sz w:val="21"/>
                <w:szCs w:val="21"/>
                <w14:textFill>
                  <w14:solidFill>
                    <w14:schemeClr w14:val="tx1"/>
                  </w14:solidFill>
                </w14:textFill>
              </w:rPr>
              <w:t>Lepusmandshuricus</w:t>
            </w:r>
          </w:p>
        </w:tc>
      </w:tr>
      <w:tr w14:paraId="1E7536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387" w:type="pct"/>
            <w:tcMar>
              <w:left w:w="0" w:type="dxa"/>
              <w:right w:w="0" w:type="dxa"/>
            </w:tcMar>
            <w:vAlign w:val="center"/>
          </w:tcPr>
          <w:p w14:paraId="05E8F8FD">
            <w:pPr>
              <w:keepNext w:val="0"/>
              <w:keepLines w:val="0"/>
              <w:pageBreakBefore w:val="0"/>
              <w:kinsoku/>
              <w:wordWrap/>
              <w:overflowPunct/>
              <w:topLinePunct w:val="0"/>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三</w:t>
            </w:r>
          </w:p>
        </w:tc>
        <w:tc>
          <w:tcPr>
            <w:tcW w:w="1189" w:type="pct"/>
            <w:tcMar>
              <w:left w:w="0" w:type="dxa"/>
              <w:right w:w="0" w:type="dxa"/>
            </w:tcMar>
            <w:vAlign w:val="center"/>
          </w:tcPr>
          <w:p w14:paraId="54AB02CA">
            <w:pPr>
              <w:keepNext w:val="0"/>
              <w:keepLines w:val="0"/>
              <w:pageBreakBefore w:val="0"/>
              <w:kinsoku/>
              <w:wordWrap/>
              <w:overflowPunct/>
              <w:topLinePunct w:val="0"/>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松鼠科</w:t>
            </w:r>
          </w:p>
        </w:tc>
        <w:tc>
          <w:tcPr>
            <w:tcW w:w="884" w:type="pct"/>
            <w:tcMar>
              <w:left w:w="0" w:type="dxa"/>
              <w:right w:w="0" w:type="dxa"/>
            </w:tcMar>
            <w:vAlign w:val="center"/>
          </w:tcPr>
          <w:p w14:paraId="790104AE">
            <w:pPr>
              <w:keepNext w:val="0"/>
              <w:keepLines w:val="0"/>
              <w:pageBreakBefore w:val="0"/>
              <w:kinsoku/>
              <w:wordWrap/>
              <w:overflowPunct/>
              <w:topLinePunct w:val="0"/>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sz w:val="21"/>
                <w:szCs w:val="21"/>
                <w14:textFill>
                  <w14:solidFill>
                    <w14:schemeClr w14:val="tx1"/>
                  </w14:solidFill>
                </w14:textFill>
              </w:rPr>
            </w:pPr>
          </w:p>
        </w:tc>
        <w:tc>
          <w:tcPr>
            <w:tcW w:w="2538" w:type="pct"/>
            <w:tcMar>
              <w:left w:w="0" w:type="dxa"/>
              <w:right w:w="0" w:type="dxa"/>
            </w:tcMar>
            <w:vAlign w:val="center"/>
          </w:tcPr>
          <w:p w14:paraId="530FCD08">
            <w:pPr>
              <w:keepNext w:val="0"/>
              <w:keepLines w:val="0"/>
              <w:pageBreakBefore w:val="0"/>
              <w:kinsoku/>
              <w:wordWrap/>
              <w:overflowPunct/>
              <w:topLinePunct w:val="0"/>
              <w:bidi w:val="0"/>
              <w:adjustRightInd w:val="0"/>
              <w:snapToGrid w:val="0"/>
              <w:spacing w:line="240" w:lineRule="auto"/>
              <w:ind w:firstLine="0" w:firstLineChars="0"/>
              <w:jc w:val="center"/>
              <w:outlineLvl w:val="9"/>
              <w:rPr>
                <w:rFonts w:hint="default" w:ascii="Times New Roman" w:hAnsi="Times New Roman" w:eastAsia="宋体" w:cs="Times New Roman"/>
                <w:i/>
                <w:color w:val="000000" w:themeColor="text1"/>
                <w:sz w:val="21"/>
                <w:szCs w:val="21"/>
                <w14:textFill>
                  <w14:solidFill>
                    <w14:schemeClr w14:val="tx1"/>
                  </w14:solidFill>
                </w14:textFill>
              </w:rPr>
            </w:pPr>
            <w:r>
              <w:rPr>
                <w:rFonts w:hint="default" w:ascii="Times New Roman" w:hAnsi="Times New Roman" w:eastAsia="宋体" w:cs="Times New Roman"/>
                <w:i/>
                <w:color w:val="000000" w:themeColor="text1"/>
                <w:sz w:val="21"/>
                <w:szCs w:val="21"/>
                <w:shd w:val="clear" w:color="auto" w:fill="FFFFFF"/>
                <w14:textFill>
                  <w14:solidFill>
                    <w14:schemeClr w14:val="tx1"/>
                  </w14:solidFill>
                </w14:textFill>
              </w:rPr>
              <w:t>Sciuridae</w:t>
            </w:r>
          </w:p>
        </w:tc>
      </w:tr>
      <w:tr w14:paraId="653668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387" w:type="pct"/>
            <w:tcMar>
              <w:left w:w="0" w:type="dxa"/>
              <w:right w:w="0" w:type="dxa"/>
            </w:tcMar>
            <w:vAlign w:val="center"/>
          </w:tcPr>
          <w:p w14:paraId="0D49F4EE">
            <w:pPr>
              <w:keepNext w:val="0"/>
              <w:keepLines w:val="0"/>
              <w:pageBreakBefore w:val="0"/>
              <w:kinsoku/>
              <w:wordWrap/>
              <w:overflowPunct/>
              <w:topLinePunct w:val="0"/>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w:t>
            </w:r>
          </w:p>
        </w:tc>
        <w:tc>
          <w:tcPr>
            <w:tcW w:w="1189" w:type="pct"/>
            <w:tcMar>
              <w:left w:w="0" w:type="dxa"/>
              <w:right w:w="0" w:type="dxa"/>
            </w:tcMar>
            <w:vAlign w:val="center"/>
          </w:tcPr>
          <w:p w14:paraId="75647258">
            <w:pPr>
              <w:keepNext w:val="0"/>
              <w:keepLines w:val="0"/>
              <w:pageBreakBefore w:val="0"/>
              <w:kinsoku/>
              <w:wordWrap/>
              <w:overflowPunct/>
              <w:topLinePunct w:val="0"/>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花鼠</w:t>
            </w:r>
          </w:p>
        </w:tc>
        <w:tc>
          <w:tcPr>
            <w:tcW w:w="884" w:type="pct"/>
            <w:tcMar>
              <w:left w:w="0" w:type="dxa"/>
              <w:right w:w="0" w:type="dxa"/>
            </w:tcMar>
            <w:vAlign w:val="center"/>
          </w:tcPr>
          <w:p w14:paraId="2BC31CA2">
            <w:pPr>
              <w:keepNext w:val="0"/>
              <w:keepLines w:val="0"/>
              <w:pageBreakBefore w:val="0"/>
              <w:kinsoku/>
              <w:wordWrap/>
              <w:overflowPunct/>
              <w:topLinePunct w:val="0"/>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sz w:val="21"/>
                <w:szCs w:val="21"/>
                <w14:textFill>
                  <w14:solidFill>
                    <w14:schemeClr w14:val="tx1"/>
                  </w14:solidFill>
                </w14:textFill>
              </w:rPr>
            </w:pPr>
          </w:p>
        </w:tc>
        <w:tc>
          <w:tcPr>
            <w:tcW w:w="2538" w:type="pct"/>
            <w:tcMar>
              <w:left w:w="0" w:type="dxa"/>
              <w:right w:w="0" w:type="dxa"/>
            </w:tcMar>
            <w:vAlign w:val="center"/>
          </w:tcPr>
          <w:p w14:paraId="44D49DE9">
            <w:pPr>
              <w:keepNext w:val="0"/>
              <w:keepLines w:val="0"/>
              <w:pageBreakBefore w:val="0"/>
              <w:kinsoku/>
              <w:wordWrap/>
              <w:overflowPunct/>
              <w:topLinePunct w:val="0"/>
              <w:bidi w:val="0"/>
              <w:adjustRightInd w:val="0"/>
              <w:snapToGrid w:val="0"/>
              <w:spacing w:line="240" w:lineRule="auto"/>
              <w:ind w:firstLine="0" w:firstLineChars="0"/>
              <w:jc w:val="center"/>
              <w:outlineLvl w:val="9"/>
              <w:rPr>
                <w:rFonts w:hint="default" w:ascii="Times New Roman" w:hAnsi="Times New Roman" w:eastAsia="宋体" w:cs="Times New Roman"/>
                <w:i/>
                <w:color w:val="000000" w:themeColor="text1"/>
                <w:sz w:val="21"/>
                <w:szCs w:val="21"/>
                <w14:textFill>
                  <w14:solidFill>
                    <w14:schemeClr w14:val="tx1"/>
                  </w14:solidFill>
                </w14:textFill>
              </w:rPr>
            </w:pPr>
            <w:r>
              <w:rPr>
                <w:rFonts w:hint="default" w:ascii="Times New Roman" w:hAnsi="Times New Roman" w:eastAsia="宋体" w:cs="Times New Roman"/>
                <w:i/>
                <w:color w:val="000000" w:themeColor="text1"/>
                <w:sz w:val="21"/>
                <w:szCs w:val="21"/>
                <w14:textFill>
                  <w14:solidFill>
                    <w14:schemeClr w14:val="tx1"/>
                  </w14:solidFill>
                </w14:textFill>
              </w:rPr>
              <w:t>Tamiassibiricusorientalis</w:t>
            </w:r>
          </w:p>
        </w:tc>
      </w:tr>
      <w:tr w14:paraId="57ECA9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387" w:type="pct"/>
            <w:tcMar>
              <w:left w:w="0" w:type="dxa"/>
              <w:right w:w="0" w:type="dxa"/>
            </w:tcMar>
            <w:vAlign w:val="center"/>
          </w:tcPr>
          <w:p w14:paraId="58A7D2B0">
            <w:pPr>
              <w:keepNext w:val="0"/>
              <w:keepLines w:val="0"/>
              <w:pageBreakBefore w:val="0"/>
              <w:kinsoku/>
              <w:wordWrap/>
              <w:overflowPunct/>
              <w:topLinePunct w:val="0"/>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w:t>
            </w:r>
          </w:p>
        </w:tc>
        <w:tc>
          <w:tcPr>
            <w:tcW w:w="1189" w:type="pct"/>
            <w:tcMar>
              <w:left w:w="0" w:type="dxa"/>
              <w:right w:w="0" w:type="dxa"/>
            </w:tcMar>
            <w:vAlign w:val="center"/>
          </w:tcPr>
          <w:p w14:paraId="6E3A8513">
            <w:pPr>
              <w:keepNext w:val="0"/>
              <w:keepLines w:val="0"/>
              <w:pageBreakBefore w:val="0"/>
              <w:kinsoku/>
              <w:wordWrap/>
              <w:overflowPunct/>
              <w:topLinePunct w:val="0"/>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松鼠</w:t>
            </w:r>
          </w:p>
        </w:tc>
        <w:tc>
          <w:tcPr>
            <w:tcW w:w="884" w:type="pct"/>
            <w:tcMar>
              <w:left w:w="0" w:type="dxa"/>
              <w:right w:w="0" w:type="dxa"/>
            </w:tcMar>
            <w:vAlign w:val="center"/>
          </w:tcPr>
          <w:p w14:paraId="695D67C3">
            <w:pPr>
              <w:keepNext w:val="0"/>
              <w:keepLines w:val="0"/>
              <w:pageBreakBefore w:val="0"/>
              <w:kinsoku/>
              <w:wordWrap/>
              <w:overflowPunct/>
              <w:topLinePunct w:val="0"/>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自治区</w:t>
            </w:r>
          </w:p>
        </w:tc>
        <w:tc>
          <w:tcPr>
            <w:tcW w:w="2538" w:type="pct"/>
            <w:tcMar>
              <w:left w:w="0" w:type="dxa"/>
              <w:right w:w="0" w:type="dxa"/>
            </w:tcMar>
            <w:vAlign w:val="center"/>
          </w:tcPr>
          <w:p w14:paraId="48A5F3BE">
            <w:pPr>
              <w:keepNext w:val="0"/>
              <w:keepLines w:val="0"/>
              <w:pageBreakBefore w:val="0"/>
              <w:kinsoku/>
              <w:wordWrap/>
              <w:overflowPunct/>
              <w:topLinePunct w:val="0"/>
              <w:bidi w:val="0"/>
              <w:adjustRightInd w:val="0"/>
              <w:snapToGrid w:val="0"/>
              <w:spacing w:line="240" w:lineRule="auto"/>
              <w:ind w:firstLine="0" w:firstLineChars="0"/>
              <w:jc w:val="center"/>
              <w:outlineLvl w:val="9"/>
              <w:rPr>
                <w:rFonts w:hint="default" w:ascii="Times New Roman" w:hAnsi="Times New Roman" w:eastAsia="宋体" w:cs="Times New Roman"/>
                <w:i/>
                <w:color w:val="000000" w:themeColor="text1"/>
                <w:sz w:val="21"/>
                <w:szCs w:val="21"/>
                <w14:textFill>
                  <w14:solidFill>
                    <w14:schemeClr w14:val="tx1"/>
                  </w14:solidFill>
                </w14:textFill>
              </w:rPr>
            </w:pPr>
            <w:r>
              <w:rPr>
                <w:rFonts w:hint="default" w:ascii="Times New Roman" w:hAnsi="Times New Roman" w:eastAsia="宋体" w:cs="Times New Roman"/>
                <w:i/>
                <w:color w:val="000000" w:themeColor="text1"/>
                <w:sz w:val="21"/>
                <w:szCs w:val="21"/>
                <w14:textFill>
                  <w14:solidFill>
                    <w14:schemeClr w14:val="tx1"/>
                  </w14:solidFill>
                </w14:textFill>
              </w:rPr>
              <w:t>Sciurusvulgaris</w:t>
            </w:r>
          </w:p>
        </w:tc>
      </w:tr>
      <w:tr w14:paraId="5865A8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387" w:type="pct"/>
            <w:tcMar>
              <w:left w:w="0" w:type="dxa"/>
              <w:right w:w="0" w:type="dxa"/>
            </w:tcMar>
            <w:vAlign w:val="center"/>
          </w:tcPr>
          <w:p w14:paraId="1E80C6A5">
            <w:pPr>
              <w:keepNext w:val="0"/>
              <w:keepLines w:val="0"/>
              <w:pageBreakBefore w:val="0"/>
              <w:kinsoku/>
              <w:wordWrap/>
              <w:overflowPunct/>
              <w:topLinePunct w:val="0"/>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四</w:t>
            </w:r>
          </w:p>
        </w:tc>
        <w:tc>
          <w:tcPr>
            <w:tcW w:w="1189" w:type="pct"/>
            <w:tcMar>
              <w:left w:w="0" w:type="dxa"/>
              <w:right w:w="0" w:type="dxa"/>
            </w:tcMar>
            <w:vAlign w:val="center"/>
          </w:tcPr>
          <w:p w14:paraId="1B6D469C">
            <w:pPr>
              <w:keepNext w:val="0"/>
              <w:keepLines w:val="0"/>
              <w:pageBreakBefore w:val="0"/>
              <w:kinsoku/>
              <w:wordWrap/>
              <w:overflowPunct/>
              <w:topLinePunct w:val="0"/>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跳鼠科</w:t>
            </w:r>
          </w:p>
        </w:tc>
        <w:tc>
          <w:tcPr>
            <w:tcW w:w="884" w:type="pct"/>
            <w:tcMar>
              <w:left w:w="0" w:type="dxa"/>
              <w:right w:w="0" w:type="dxa"/>
            </w:tcMar>
            <w:vAlign w:val="center"/>
          </w:tcPr>
          <w:p w14:paraId="7EA20B20">
            <w:pPr>
              <w:keepNext w:val="0"/>
              <w:keepLines w:val="0"/>
              <w:pageBreakBefore w:val="0"/>
              <w:kinsoku/>
              <w:wordWrap/>
              <w:overflowPunct/>
              <w:topLinePunct w:val="0"/>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sz w:val="21"/>
                <w:szCs w:val="21"/>
                <w14:textFill>
                  <w14:solidFill>
                    <w14:schemeClr w14:val="tx1"/>
                  </w14:solidFill>
                </w14:textFill>
              </w:rPr>
            </w:pPr>
          </w:p>
        </w:tc>
        <w:tc>
          <w:tcPr>
            <w:tcW w:w="2538" w:type="pct"/>
            <w:tcMar>
              <w:left w:w="0" w:type="dxa"/>
              <w:right w:w="0" w:type="dxa"/>
            </w:tcMar>
            <w:vAlign w:val="center"/>
          </w:tcPr>
          <w:p w14:paraId="36F12FDD">
            <w:pPr>
              <w:keepNext w:val="0"/>
              <w:keepLines w:val="0"/>
              <w:pageBreakBefore w:val="0"/>
              <w:kinsoku/>
              <w:wordWrap/>
              <w:overflowPunct/>
              <w:topLinePunct w:val="0"/>
              <w:bidi w:val="0"/>
              <w:adjustRightInd w:val="0"/>
              <w:snapToGrid w:val="0"/>
              <w:spacing w:line="240" w:lineRule="auto"/>
              <w:ind w:firstLine="0" w:firstLineChars="0"/>
              <w:jc w:val="center"/>
              <w:outlineLvl w:val="9"/>
              <w:rPr>
                <w:rFonts w:hint="default" w:ascii="Times New Roman" w:hAnsi="Times New Roman" w:eastAsia="宋体" w:cs="Times New Roman"/>
                <w:i/>
                <w:color w:val="000000" w:themeColor="text1"/>
                <w:sz w:val="21"/>
                <w:szCs w:val="21"/>
                <w14:textFill>
                  <w14:solidFill>
                    <w14:schemeClr w14:val="tx1"/>
                  </w14:solidFill>
                </w14:textFill>
              </w:rPr>
            </w:pPr>
            <w:r>
              <w:rPr>
                <w:rFonts w:hint="default" w:ascii="Times New Roman" w:hAnsi="Times New Roman" w:eastAsia="宋体" w:cs="Times New Roman"/>
                <w:i/>
                <w:color w:val="000000" w:themeColor="text1"/>
                <w:sz w:val="21"/>
                <w:szCs w:val="21"/>
                <w:shd w:val="clear" w:color="auto" w:fill="FFFFFF"/>
                <w14:textFill>
                  <w14:solidFill>
                    <w14:schemeClr w14:val="tx1"/>
                  </w14:solidFill>
                </w14:textFill>
              </w:rPr>
              <w:t>Dipodidae</w:t>
            </w:r>
          </w:p>
        </w:tc>
      </w:tr>
      <w:tr w14:paraId="332274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387" w:type="pct"/>
            <w:tcMar>
              <w:left w:w="0" w:type="dxa"/>
              <w:right w:w="0" w:type="dxa"/>
            </w:tcMar>
            <w:vAlign w:val="center"/>
          </w:tcPr>
          <w:p w14:paraId="0F26F19A">
            <w:pPr>
              <w:keepNext w:val="0"/>
              <w:keepLines w:val="0"/>
              <w:pageBreakBefore w:val="0"/>
              <w:kinsoku/>
              <w:wordWrap/>
              <w:overflowPunct/>
              <w:topLinePunct w:val="0"/>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w:t>
            </w:r>
          </w:p>
        </w:tc>
        <w:tc>
          <w:tcPr>
            <w:tcW w:w="1189" w:type="pct"/>
            <w:tcMar>
              <w:left w:w="0" w:type="dxa"/>
              <w:right w:w="0" w:type="dxa"/>
            </w:tcMar>
            <w:vAlign w:val="center"/>
          </w:tcPr>
          <w:p w14:paraId="5BCE5306">
            <w:pPr>
              <w:keepNext w:val="0"/>
              <w:keepLines w:val="0"/>
              <w:pageBreakBefore w:val="0"/>
              <w:kinsoku/>
              <w:wordWrap/>
              <w:overflowPunct/>
              <w:topLinePunct w:val="0"/>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三趾跳鼠</w:t>
            </w:r>
          </w:p>
        </w:tc>
        <w:tc>
          <w:tcPr>
            <w:tcW w:w="884" w:type="pct"/>
            <w:tcMar>
              <w:left w:w="0" w:type="dxa"/>
              <w:right w:w="0" w:type="dxa"/>
            </w:tcMar>
            <w:vAlign w:val="center"/>
          </w:tcPr>
          <w:p w14:paraId="29234748">
            <w:pPr>
              <w:keepNext w:val="0"/>
              <w:keepLines w:val="0"/>
              <w:pageBreakBefore w:val="0"/>
              <w:kinsoku/>
              <w:wordWrap/>
              <w:overflowPunct/>
              <w:topLinePunct w:val="0"/>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sz w:val="21"/>
                <w:szCs w:val="21"/>
                <w14:textFill>
                  <w14:solidFill>
                    <w14:schemeClr w14:val="tx1"/>
                  </w14:solidFill>
                </w14:textFill>
              </w:rPr>
            </w:pPr>
          </w:p>
        </w:tc>
        <w:tc>
          <w:tcPr>
            <w:tcW w:w="2538" w:type="pct"/>
            <w:tcMar>
              <w:left w:w="0" w:type="dxa"/>
              <w:right w:w="0" w:type="dxa"/>
            </w:tcMar>
            <w:vAlign w:val="center"/>
          </w:tcPr>
          <w:p w14:paraId="6AF3385A">
            <w:pPr>
              <w:keepNext w:val="0"/>
              <w:keepLines w:val="0"/>
              <w:pageBreakBefore w:val="0"/>
              <w:kinsoku/>
              <w:wordWrap/>
              <w:overflowPunct/>
              <w:topLinePunct w:val="0"/>
              <w:bidi w:val="0"/>
              <w:adjustRightInd w:val="0"/>
              <w:snapToGrid w:val="0"/>
              <w:spacing w:line="240" w:lineRule="auto"/>
              <w:ind w:firstLine="0" w:firstLineChars="0"/>
              <w:jc w:val="center"/>
              <w:outlineLvl w:val="9"/>
              <w:rPr>
                <w:rFonts w:hint="default" w:ascii="Times New Roman" w:hAnsi="Times New Roman" w:eastAsia="宋体" w:cs="Times New Roman"/>
                <w:i/>
                <w:color w:val="000000" w:themeColor="text1"/>
                <w:sz w:val="21"/>
                <w:szCs w:val="21"/>
                <w14:textFill>
                  <w14:solidFill>
                    <w14:schemeClr w14:val="tx1"/>
                  </w14:solidFill>
                </w14:textFill>
              </w:rPr>
            </w:pPr>
            <w:r>
              <w:rPr>
                <w:rFonts w:hint="default" w:ascii="Times New Roman" w:hAnsi="Times New Roman" w:eastAsia="宋体" w:cs="Times New Roman"/>
                <w:i/>
                <w:color w:val="000000" w:themeColor="text1"/>
                <w:sz w:val="21"/>
                <w:szCs w:val="21"/>
                <w14:textFill>
                  <w14:solidFill>
                    <w14:schemeClr w14:val="tx1"/>
                  </w14:solidFill>
                </w14:textFill>
              </w:rPr>
              <w:t>Dipussagittasowerbyi</w:t>
            </w:r>
          </w:p>
        </w:tc>
      </w:tr>
      <w:tr w14:paraId="1FF349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387" w:type="pct"/>
            <w:tcMar>
              <w:left w:w="0" w:type="dxa"/>
              <w:right w:w="0" w:type="dxa"/>
            </w:tcMar>
            <w:vAlign w:val="center"/>
          </w:tcPr>
          <w:p w14:paraId="010B4DEB">
            <w:pPr>
              <w:keepNext w:val="0"/>
              <w:keepLines w:val="0"/>
              <w:pageBreakBefore w:val="0"/>
              <w:kinsoku/>
              <w:wordWrap/>
              <w:overflowPunct/>
              <w:topLinePunct w:val="0"/>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w:t>
            </w:r>
          </w:p>
        </w:tc>
        <w:tc>
          <w:tcPr>
            <w:tcW w:w="1189" w:type="pct"/>
            <w:tcMar>
              <w:left w:w="0" w:type="dxa"/>
              <w:right w:w="0" w:type="dxa"/>
            </w:tcMar>
            <w:vAlign w:val="center"/>
          </w:tcPr>
          <w:p w14:paraId="085A6A25">
            <w:pPr>
              <w:keepNext w:val="0"/>
              <w:keepLines w:val="0"/>
              <w:pageBreakBefore w:val="0"/>
              <w:kinsoku/>
              <w:wordWrap/>
              <w:overflowPunct/>
              <w:topLinePunct w:val="0"/>
              <w:bidi w:val="0"/>
              <w:snapToGrid w:val="0"/>
              <w:spacing w:line="300" w:lineRule="exact"/>
              <w:ind w:firstLine="0" w:firstLineChars="0"/>
              <w:jc w:val="center"/>
              <w:outlineLvl w:val="9"/>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0"/>
                <w14:textFill>
                  <w14:solidFill>
                    <w14:schemeClr w14:val="tx1"/>
                  </w14:solidFill>
                </w14:textFill>
              </w:rPr>
              <w:t>五趾跳鼠</w:t>
            </w:r>
          </w:p>
        </w:tc>
        <w:tc>
          <w:tcPr>
            <w:tcW w:w="884" w:type="pct"/>
            <w:tcMar>
              <w:left w:w="0" w:type="dxa"/>
              <w:right w:w="0" w:type="dxa"/>
            </w:tcMar>
            <w:vAlign w:val="center"/>
          </w:tcPr>
          <w:p w14:paraId="7661C572">
            <w:pPr>
              <w:keepNext w:val="0"/>
              <w:keepLines w:val="0"/>
              <w:pageBreakBefore w:val="0"/>
              <w:kinsoku/>
              <w:wordWrap/>
              <w:overflowPunct/>
              <w:topLinePunct w:val="0"/>
              <w:bidi w:val="0"/>
              <w:snapToGrid w:val="0"/>
              <w:spacing w:line="300" w:lineRule="exact"/>
              <w:ind w:firstLine="0" w:firstLineChars="0"/>
              <w:jc w:val="center"/>
              <w:outlineLvl w:val="9"/>
              <w:rPr>
                <w:rFonts w:hint="default" w:ascii="Times New Roman" w:hAnsi="Times New Roman" w:eastAsia="宋体" w:cs="Times New Roman"/>
                <w:color w:val="000000" w:themeColor="text1"/>
                <w:sz w:val="21"/>
                <w:szCs w:val="21"/>
                <w14:textFill>
                  <w14:solidFill>
                    <w14:schemeClr w14:val="tx1"/>
                  </w14:solidFill>
                </w14:textFill>
              </w:rPr>
            </w:pPr>
          </w:p>
        </w:tc>
        <w:tc>
          <w:tcPr>
            <w:tcW w:w="2538" w:type="pct"/>
            <w:tcMar>
              <w:left w:w="0" w:type="dxa"/>
              <w:right w:w="0" w:type="dxa"/>
            </w:tcMar>
            <w:vAlign w:val="center"/>
          </w:tcPr>
          <w:p w14:paraId="43ADDA08">
            <w:pPr>
              <w:keepNext w:val="0"/>
              <w:keepLines w:val="0"/>
              <w:pageBreakBefore w:val="0"/>
              <w:kinsoku/>
              <w:wordWrap/>
              <w:overflowPunct/>
              <w:topLinePunct w:val="0"/>
              <w:bidi w:val="0"/>
              <w:snapToGrid w:val="0"/>
              <w:spacing w:line="300" w:lineRule="exact"/>
              <w:ind w:firstLine="0" w:firstLineChars="0"/>
              <w:jc w:val="center"/>
              <w:outlineLvl w:val="9"/>
              <w:rPr>
                <w:rFonts w:hint="default" w:ascii="Times New Roman" w:hAnsi="Times New Roman" w:eastAsia="宋体" w:cs="Times New Roman"/>
                <w:i/>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0"/>
                <w14:textFill>
                  <w14:solidFill>
                    <w14:schemeClr w14:val="tx1"/>
                  </w14:solidFill>
                </w14:textFill>
              </w:rPr>
              <w:t>A.sibiricaForster</w:t>
            </w:r>
          </w:p>
        </w:tc>
      </w:tr>
      <w:tr w14:paraId="77E0D5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387" w:type="pct"/>
            <w:tcMar>
              <w:left w:w="0" w:type="dxa"/>
              <w:right w:w="0" w:type="dxa"/>
            </w:tcMar>
            <w:vAlign w:val="center"/>
          </w:tcPr>
          <w:p w14:paraId="2227C1E5">
            <w:pPr>
              <w:keepNext w:val="0"/>
              <w:keepLines w:val="0"/>
              <w:pageBreakBefore w:val="0"/>
              <w:kinsoku/>
              <w:wordWrap/>
              <w:overflowPunct/>
              <w:topLinePunct w:val="0"/>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五</w:t>
            </w:r>
          </w:p>
        </w:tc>
        <w:tc>
          <w:tcPr>
            <w:tcW w:w="1189" w:type="pct"/>
            <w:tcMar>
              <w:left w:w="0" w:type="dxa"/>
              <w:right w:w="0" w:type="dxa"/>
            </w:tcMar>
            <w:vAlign w:val="center"/>
          </w:tcPr>
          <w:p w14:paraId="635D8E52">
            <w:pPr>
              <w:keepNext w:val="0"/>
              <w:keepLines w:val="0"/>
              <w:pageBreakBefore w:val="0"/>
              <w:kinsoku/>
              <w:wordWrap/>
              <w:overflowPunct/>
              <w:topLinePunct w:val="0"/>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仓鼠科</w:t>
            </w:r>
          </w:p>
        </w:tc>
        <w:tc>
          <w:tcPr>
            <w:tcW w:w="884" w:type="pct"/>
            <w:tcMar>
              <w:left w:w="0" w:type="dxa"/>
              <w:right w:w="0" w:type="dxa"/>
            </w:tcMar>
            <w:vAlign w:val="center"/>
          </w:tcPr>
          <w:p w14:paraId="11198BDD">
            <w:pPr>
              <w:keepNext w:val="0"/>
              <w:keepLines w:val="0"/>
              <w:pageBreakBefore w:val="0"/>
              <w:kinsoku/>
              <w:wordWrap/>
              <w:overflowPunct/>
              <w:topLinePunct w:val="0"/>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sz w:val="21"/>
                <w:szCs w:val="21"/>
                <w14:textFill>
                  <w14:solidFill>
                    <w14:schemeClr w14:val="tx1"/>
                  </w14:solidFill>
                </w14:textFill>
              </w:rPr>
            </w:pPr>
          </w:p>
        </w:tc>
        <w:tc>
          <w:tcPr>
            <w:tcW w:w="2538" w:type="pct"/>
            <w:tcMar>
              <w:left w:w="0" w:type="dxa"/>
              <w:right w:w="0" w:type="dxa"/>
            </w:tcMar>
            <w:vAlign w:val="center"/>
          </w:tcPr>
          <w:p w14:paraId="1E791C69">
            <w:pPr>
              <w:keepNext w:val="0"/>
              <w:keepLines w:val="0"/>
              <w:pageBreakBefore w:val="0"/>
              <w:kinsoku/>
              <w:wordWrap/>
              <w:overflowPunct/>
              <w:topLinePunct w:val="0"/>
              <w:bidi w:val="0"/>
              <w:adjustRightInd w:val="0"/>
              <w:snapToGrid w:val="0"/>
              <w:spacing w:line="240" w:lineRule="auto"/>
              <w:ind w:firstLine="0" w:firstLineChars="0"/>
              <w:jc w:val="center"/>
              <w:outlineLvl w:val="9"/>
              <w:rPr>
                <w:rFonts w:hint="default" w:ascii="Times New Roman" w:hAnsi="Times New Roman" w:eastAsia="宋体" w:cs="Times New Roman"/>
                <w:i/>
                <w:color w:val="000000" w:themeColor="text1"/>
                <w:sz w:val="21"/>
                <w:szCs w:val="21"/>
                <w14:textFill>
                  <w14:solidFill>
                    <w14:schemeClr w14:val="tx1"/>
                  </w14:solidFill>
                </w14:textFill>
              </w:rPr>
            </w:pPr>
            <w:r>
              <w:rPr>
                <w:rFonts w:hint="default" w:ascii="Times New Roman" w:hAnsi="Times New Roman" w:eastAsia="宋体" w:cs="Times New Roman"/>
                <w:i/>
                <w:color w:val="000000" w:themeColor="text1"/>
                <w:sz w:val="21"/>
                <w:szCs w:val="21"/>
                <w:shd w:val="clear" w:color="auto" w:fill="FFFFFF"/>
                <w14:textFill>
                  <w14:solidFill>
                    <w14:schemeClr w14:val="tx1"/>
                  </w14:solidFill>
                </w14:textFill>
              </w:rPr>
              <w:t>Circetidae</w:t>
            </w:r>
          </w:p>
        </w:tc>
      </w:tr>
      <w:tr w14:paraId="6CC73F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387" w:type="pct"/>
            <w:tcMar>
              <w:left w:w="0" w:type="dxa"/>
              <w:right w:w="0" w:type="dxa"/>
            </w:tcMar>
            <w:vAlign w:val="center"/>
          </w:tcPr>
          <w:p w14:paraId="363B09D0">
            <w:pPr>
              <w:keepNext w:val="0"/>
              <w:keepLines w:val="0"/>
              <w:pageBreakBefore w:val="0"/>
              <w:kinsoku/>
              <w:wordWrap/>
              <w:overflowPunct/>
              <w:topLinePunct w:val="0"/>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w:t>
            </w:r>
          </w:p>
        </w:tc>
        <w:tc>
          <w:tcPr>
            <w:tcW w:w="1189" w:type="pct"/>
            <w:tcMar>
              <w:left w:w="0" w:type="dxa"/>
              <w:right w:w="0" w:type="dxa"/>
            </w:tcMar>
            <w:vAlign w:val="center"/>
          </w:tcPr>
          <w:p w14:paraId="73CE83FC">
            <w:pPr>
              <w:keepNext w:val="0"/>
              <w:keepLines w:val="0"/>
              <w:pageBreakBefore w:val="0"/>
              <w:kinsoku/>
              <w:wordWrap/>
              <w:overflowPunct/>
              <w:topLinePunct w:val="0"/>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普通田鼠</w:t>
            </w:r>
          </w:p>
        </w:tc>
        <w:tc>
          <w:tcPr>
            <w:tcW w:w="884" w:type="pct"/>
            <w:tcMar>
              <w:left w:w="0" w:type="dxa"/>
              <w:right w:w="0" w:type="dxa"/>
            </w:tcMar>
            <w:vAlign w:val="center"/>
          </w:tcPr>
          <w:p w14:paraId="6EBDEE64">
            <w:pPr>
              <w:keepNext w:val="0"/>
              <w:keepLines w:val="0"/>
              <w:pageBreakBefore w:val="0"/>
              <w:kinsoku/>
              <w:wordWrap/>
              <w:overflowPunct/>
              <w:topLinePunct w:val="0"/>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sz w:val="21"/>
                <w:szCs w:val="21"/>
                <w14:textFill>
                  <w14:solidFill>
                    <w14:schemeClr w14:val="tx1"/>
                  </w14:solidFill>
                </w14:textFill>
              </w:rPr>
            </w:pPr>
          </w:p>
        </w:tc>
        <w:tc>
          <w:tcPr>
            <w:tcW w:w="2538" w:type="pct"/>
            <w:tcMar>
              <w:left w:w="0" w:type="dxa"/>
              <w:right w:w="0" w:type="dxa"/>
            </w:tcMar>
            <w:vAlign w:val="center"/>
          </w:tcPr>
          <w:p w14:paraId="2FF1EE59">
            <w:pPr>
              <w:keepNext w:val="0"/>
              <w:keepLines w:val="0"/>
              <w:pageBreakBefore w:val="0"/>
              <w:kinsoku/>
              <w:wordWrap/>
              <w:overflowPunct/>
              <w:topLinePunct w:val="0"/>
              <w:bidi w:val="0"/>
              <w:adjustRightInd w:val="0"/>
              <w:snapToGrid w:val="0"/>
              <w:spacing w:line="240" w:lineRule="auto"/>
              <w:ind w:firstLine="0" w:firstLineChars="0"/>
              <w:jc w:val="center"/>
              <w:outlineLvl w:val="9"/>
              <w:rPr>
                <w:rFonts w:hint="default" w:ascii="Times New Roman" w:hAnsi="Times New Roman" w:eastAsia="宋体" w:cs="Times New Roman"/>
                <w:i/>
                <w:color w:val="000000" w:themeColor="text1"/>
                <w:sz w:val="21"/>
                <w:szCs w:val="21"/>
                <w14:textFill>
                  <w14:solidFill>
                    <w14:schemeClr w14:val="tx1"/>
                  </w14:solidFill>
                </w14:textFill>
              </w:rPr>
            </w:pPr>
            <w:r>
              <w:rPr>
                <w:rFonts w:hint="default" w:ascii="Times New Roman" w:hAnsi="Times New Roman" w:eastAsia="宋体" w:cs="Times New Roman"/>
                <w:i/>
                <w:color w:val="000000" w:themeColor="text1"/>
                <w:sz w:val="21"/>
                <w:szCs w:val="21"/>
                <w14:textFill>
                  <w14:solidFill>
                    <w14:schemeClr w14:val="tx1"/>
                  </w14:solidFill>
                </w14:textFill>
              </w:rPr>
              <w:t>Microtusarvalis</w:t>
            </w:r>
          </w:p>
        </w:tc>
      </w:tr>
      <w:tr w14:paraId="0E5AA0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387" w:type="pct"/>
            <w:tcMar>
              <w:left w:w="0" w:type="dxa"/>
              <w:right w:w="0" w:type="dxa"/>
            </w:tcMar>
            <w:vAlign w:val="center"/>
          </w:tcPr>
          <w:p w14:paraId="5E7B7D3C">
            <w:pPr>
              <w:keepNext w:val="0"/>
              <w:keepLines w:val="0"/>
              <w:pageBreakBefore w:val="0"/>
              <w:kinsoku/>
              <w:wordWrap/>
              <w:overflowPunct/>
              <w:topLinePunct w:val="0"/>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六</w:t>
            </w:r>
          </w:p>
        </w:tc>
        <w:tc>
          <w:tcPr>
            <w:tcW w:w="1189" w:type="pct"/>
            <w:tcMar>
              <w:left w:w="0" w:type="dxa"/>
              <w:right w:w="0" w:type="dxa"/>
            </w:tcMar>
            <w:vAlign w:val="center"/>
          </w:tcPr>
          <w:p w14:paraId="25B8992E">
            <w:pPr>
              <w:keepNext w:val="0"/>
              <w:keepLines w:val="0"/>
              <w:pageBreakBefore w:val="0"/>
              <w:kinsoku/>
              <w:wordWrap/>
              <w:overflowPunct/>
              <w:topLinePunct w:val="0"/>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东方田鼠</w:t>
            </w:r>
          </w:p>
        </w:tc>
        <w:tc>
          <w:tcPr>
            <w:tcW w:w="884" w:type="pct"/>
            <w:tcMar>
              <w:left w:w="0" w:type="dxa"/>
              <w:right w:w="0" w:type="dxa"/>
            </w:tcMar>
            <w:vAlign w:val="center"/>
          </w:tcPr>
          <w:p w14:paraId="47F4A487">
            <w:pPr>
              <w:keepNext w:val="0"/>
              <w:keepLines w:val="0"/>
              <w:pageBreakBefore w:val="0"/>
              <w:kinsoku/>
              <w:wordWrap/>
              <w:overflowPunct/>
              <w:topLinePunct w:val="0"/>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sz w:val="21"/>
                <w:szCs w:val="21"/>
                <w14:textFill>
                  <w14:solidFill>
                    <w14:schemeClr w14:val="tx1"/>
                  </w14:solidFill>
                </w14:textFill>
              </w:rPr>
            </w:pPr>
          </w:p>
        </w:tc>
        <w:tc>
          <w:tcPr>
            <w:tcW w:w="2538" w:type="pct"/>
            <w:tcMar>
              <w:left w:w="0" w:type="dxa"/>
              <w:right w:w="0" w:type="dxa"/>
            </w:tcMar>
            <w:vAlign w:val="center"/>
          </w:tcPr>
          <w:p w14:paraId="64DBF68F">
            <w:pPr>
              <w:keepNext w:val="0"/>
              <w:keepLines w:val="0"/>
              <w:pageBreakBefore w:val="0"/>
              <w:kinsoku/>
              <w:wordWrap/>
              <w:overflowPunct/>
              <w:topLinePunct w:val="0"/>
              <w:bidi w:val="0"/>
              <w:adjustRightInd w:val="0"/>
              <w:snapToGrid w:val="0"/>
              <w:spacing w:line="240" w:lineRule="auto"/>
              <w:ind w:firstLine="0" w:firstLineChars="0"/>
              <w:jc w:val="center"/>
              <w:outlineLvl w:val="9"/>
              <w:rPr>
                <w:rFonts w:hint="default" w:ascii="Times New Roman" w:hAnsi="Times New Roman" w:eastAsia="宋体" w:cs="Times New Roman"/>
                <w:i/>
                <w:color w:val="000000" w:themeColor="text1"/>
                <w:sz w:val="21"/>
                <w:szCs w:val="21"/>
                <w14:textFill>
                  <w14:solidFill>
                    <w14:schemeClr w14:val="tx1"/>
                  </w14:solidFill>
                </w14:textFill>
              </w:rPr>
            </w:pPr>
            <w:r>
              <w:rPr>
                <w:rFonts w:hint="default" w:ascii="Times New Roman" w:hAnsi="Times New Roman" w:eastAsia="宋体" w:cs="Times New Roman"/>
                <w:i/>
                <w:color w:val="000000" w:themeColor="text1"/>
                <w:sz w:val="21"/>
                <w:szCs w:val="21"/>
                <w14:textFill>
                  <w14:solidFill>
                    <w14:schemeClr w14:val="tx1"/>
                  </w14:solidFill>
                </w14:textFill>
              </w:rPr>
              <w:t>Microtusfortispelliceus</w:t>
            </w:r>
          </w:p>
        </w:tc>
      </w:tr>
      <w:tr w14:paraId="3384E2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387" w:type="pct"/>
            <w:tcMar>
              <w:left w:w="0" w:type="dxa"/>
              <w:right w:w="0" w:type="dxa"/>
            </w:tcMar>
            <w:vAlign w:val="center"/>
          </w:tcPr>
          <w:p w14:paraId="7927D8DF">
            <w:pPr>
              <w:keepNext w:val="0"/>
              <w:keepLines w:val="0"/>
              <w:pageBreakBefore w:val="0"/>
              <w:kinsoku/>
              <w:wordWrap/>
              <w:overflowPunct/>
              <w:topLinePunct w:val="0"/>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w:t>
            </w:r>
          </w:p>
        </w:tc>
        <w:tc>
          <w:tcPr>
            <w:tcW w:w="1189" w:type="pct"/>
            <w:tcMar>
              <w:left w:w="0" w:type="dxa"/>
              <w:right w:w="0" w:type="dxa"/>
            </w:tcMar>
            <w:vAlign w:val="center"/>
          </w:tcPr>
          <w:p w14:paraId="2F9B6C69">
            <w:pPr>
              <w:keepNext w:val="0"/>
              <w:keepLines w:val="0"/>
              <w:pageBreakBefore w:val="0"/>
              <w:kinsoku/>
              <w:wordWrap/>
              <w:overflowPunct/>
              <w:topLinePunct w:val="0"/>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大仓鼠</w:t>
            </w:r>
          </w:p>
        </w:tc>
        <w:tc>
          <w:tcPr>
            <w:tcW w:w="884" w:type="pct"/>
            <w:tcMar>
              <w:left w:w="0" w:type="dxa"/>
              <w:right w:w="0" w:type="dxa"/>
            </w:tcMar>
            <w:vAlign w:val="center"/>
          </w:tcPr>
          <w:p w14:paraId="20E95F63">
            <w:pPr>
              <w:keepNext w:val="0"/>
              <w:keepLines w:val="0"/>
              <w:pageBreakBefore w:val="0"/>
              <w:kinsoku/>
              <w:wordWrap/>
              <w:overflowPunct/>
              <w:topLinePunct w:val="0"/>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sz w:val="21"/>
                <w:szCs w:val="21"/>
                <w14:textFill>
                  <w14:solidFill>
                    <w14:schemeClr w14:val="tx1"/>
                  </w14:solidFill>
                </w14:textFill>
              </w:rPr>
            </w:pPr>
          </w:p>
        </w:tc>
        <w:tc>
          <w:tcPr>
            <w:tcW w:w="2538" w:type="pct"/>
            <w:tcMar>
              <w:left w:w="0" w:type="dxa"/>
              <w:right w:w="0" w:type="dxa"/>
            </w:tcMar>
            <w:vAlign w:val="center"/>
          </w:tcPr>
          <w:p w14:paraId="08DA0E98">
            <w:pPr>
              <w:keepNext w:val="0"/>
              <w:keepLines w:val="0"/>
              <w:pageBreakBefore w:val="0"/>
              <w:kinsoku/>
              <w:wordWrap/>
              <w:overflowPunct/>
              <w:topLinePunct w:val="0"/>
              <w:bidi w:val="0"/>
              <w:adjustRightInd w:val="0"/>
              <w:snapToGrid w:val="0"/>
              <w:spacing w:line="240" w:lineRule="auto"/>
              <w:ind w:firstLine="0" w:firstLineChars="0"/>
              <w:jc w:val="center"/>
              <w:outlineLvl w:val="9"/>
              <w:rPr>
                <w:rFonts w:hint="default" w:ascii="Times New Roman" w:hAnsi="Times New Roman" w:eastAsia="宋体" w:cs="Times New Roman"/>
                <w:i/>
                <w:color w:val="000000" w:themeColor="text1"/>
                <w:sz w:val="21"/>
                <w:szCs w:val="21"/>
                <w14:textFill>
                  <w14:solidFill>
                    <w14:schemeClr w14:val="tx1"/>
                  </w14:solidFill>
                </w14:textFill>
              </w:rPr>
            </w:pPr>
            <w:r>
              <w:rPr>
                <w:rFonts w:hint="default" w:ascii="Times New Roman" w:hAnsi="Times New Roman" w:eastAsia="宋体" w:cs="Times New Roman"/>
                <w:i/>
                <w:color w:val="000000" w:themeColor="text1"/>
                <w:sz w:val="21"/>
                <w:szCs w:val="21"/>
                <w14:textFill>
                  <w14:solidFill>
                    <w14:schemeClr w14:val="tx1"/>
                  </w14:solidFill>
                </w14:textFill>
              </w:rPr>
              <w:t>Tscherskiatritonfuscipes</w:t>
            </w:r>
          </w:p>
        </w:tc>
      </w:tr>
      <w:tr w14:paraId="1507D7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387" w:type="pct"/>
            <w:tcMar>
              <w:left w:w="0" w:type="dxa"/>
              <w:right w:w="0" w:type="dxa"/>
            </w:tcMar>
            <w:vAlign w:val="center"/>
          </w:tcPr>
          <w:p w14:paraId="3F298B60">
            <w:pPr>
              <w:keepNext w:val="0"/>
              <w:keepLines w:val="0"/>
              <w:pageBreakBefore w:val="0"/>
              <w:kinsoku/>
              <w:wordWrap/>
              <w:overflowPunct/>
              <w:topLinePunct w:val="0"/>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七</w:t>
            </w:r>
          </w:p>
        </w:tc>
        <w:tc>
          <w:tcPr>
            <w:tcW w:w="1189" w:type="pct"/>
            <w:tcMar>
              <w:left w:w="0" w:type="dxa"/>
              <w:right w:w="0" w:type="dxa"/>
            </w:tcMar>
            <w:vAlign w:val="center"/>
          </w:tcPr>
          <w:p w14:paraId="03985542">
            <w:pPr>
              <w:keepNext w:val="0"/>
              <w:keepLines w:val="0"/>
              <w:pageBreakBefore w:val="0"/>
              <w:kinsoku/>
              <w:wordWrap/>
              <w:overflowPunct/>
              <w:topLinePunct w:val="0"/>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鼠科</w:t>
            </w:r>
          </w:p>
        </w:tc>
        <w:tc>
          <w:tcPr>
            <w:tcW w:w="884" w:type="pct"/>
            <w:tcMar>
              <w:left w:w="0" w:type="dxa"/>
              <w:right w:w="0" w:type="dxa"/>
            </w:tcMar>
            <w:vAlign w:val="center"/>
          </w:tcPr>
          <w:p w14:paraId="285CA09B">
            <w:pPr>
              <w:keepNext w:val="0"/>
              <w:keepLines w:val="0"/>
              <w:pageBreakBefore w:val="0"/>
              <w:kinsoku/>
              <w:wordWrap/>
              <w:overflowPunct/>
              <w:topLinePunct w:val="0"/>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sz w:val="21"/>
                <w:szCs w:val="21"/>
                <w14:textFill>
                  <w14:solidFill>
                    <w14:schemeClr w14:val="tx1"/>
                  </w14:solidFill>
                </w14:textFill>
              </w:rPr>
            </w:pPr>
          </w:p>
        </w:tc>
        <w:tc>
          <w:tcPr>
            <w:tcW w:w="2538" w:type="pct"/>
            <w:tcMar>
              <w:left w:w="0" w:type="dxa"/>
              <w:right w:w="0" w:type="dxa"/>
            </w:tcMar>
            <w:vAlign w:val="center"/>
          </w:tcPr>
          <w:p w14:paraId="53CF3CCB">
            <w:pPr>
              <w:keepNext w:val="0"/>
              <w:keepLines w:val="0"/>
              <w:pageBreakBefore w:val="0"/>
              <w:kinsoku/>
              <w:wordWrap/>
              <w:overflowPunct/>
              <w:topLinePunct w:val="0"/>
              <w:bidi w:val="0"/>
              <w:adjustRightInd w:val="0"/>
              <w:snapToGrid w:val="0"/>
              <w:spacing w:line="240" w:lineRule="auto"/>
              <w:ind w:firstLine="0" w:firstLineChars="0"/>
              <w:jc w:val="center"/>
              <w:outlineLvl w:val="9"/>
              <w:rPr>
                <w:rFonts w:hint="default" w:ascii="Times New Roman" w:hAnsi="Times New Roman" w:eastAsia="宋体" w:cs="Times New Roman"/>
                <w:i/>
                <w:color w:val="000000" w:themeColor="text1"/>
                <w:sz w:val="21"/>
                <w:szCs w:val="21"/>
                <w14:textFill>
                  <w14:solidFill>
                    <w14:schemeClr w14:val="tx1"/>
                  </w14:solidFill>
                </w14:textFill>
              </w:rPr>
            </w:pPr>
            <w:r>
              <w:rPr>
                <w:rFonts w:hint="default" w:ascii="Times New Roman" w:hAnsi="Times New Roman" w:eastAsia="宋体" w:cs="Times New Roman"/>
                <w:i/>
                <w:color w:val="000000" w:themeColor="text1"/>
                <w:sz w:val="21"/>
                <w:szCs w:val="21"/>
                <w:shd w:val="clear" w:color="auto" w:fill="FFFFFF"/>
                <w14:textFill>
                  <w14:solidFill>
                    <w14:schemeClr w14:val="tx1"/>
                  </w14:solidFill>
                </w14:textFill>
              </w:rPr>
              <w:t>muridae</w:t>
            </w:r>
          </w:p>
        </w:tc>
      </w:tr>
      <w:tr w14:paraId="0189BD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387" w:type="pct"/>
            <w:tcMar>
              <w:left w:w="0" w:type="dxa"/>
              <w:right w:w="0" w:type="dxa"/>
            </w:tcMar>
            <w:vAlign w:val="center"/>
          </w:tcPr>
          <w:p w14:paraId="7CCEBDED">
            <w:pPr>
              <w:keepNext w:val="0"/>
              <w:keepLines w:val="0"/>
              <w:pageBreakBefore w:val="0"/>
              <w:kinsoku/>
              <w:wordWrap/>
              <w:overflowPunct/>
              <w:topLinePunct w:val="0"/>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w:t>
            </w:r>
          </w:p>
        </w:tc>
        <w:tc>
          <w:tcPr>
            <w:tcW w:w="1189" w:type="pct"/>
            <w:tcMar>
              <w:left w:w="0" w:type="dxa"/>
              <w:right w:w="0" w:type="dxa"/>
            </w:tcMar>
            <w:vAlign w:val="center"/>
          </w:tcPr>
          <w:p w14:paraId="457B4EC2">
            <w:pPr>
              <w:keepNext w:val="0"/>
              <w:keepLines w:val="0"/>
              <w:pageBreakBefore w:val="0"/>
              <w:kinsoku/>
              <w:wordWrap/>
              <w:overflowPunct/>
              <w:topLinePunct w:val="0"/>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小家鼠</w:t>
            </w:r>
          </w:p>
        </w:tc>
        <w:tc>
          <w:tcPr>
            <w:tcW w:w="884" w:type="pct"/>
            <w:tcMar>
              <w:left w:w="0" w:type="dxa"/>
              <w:right w:w="0" w:type="dxa"/>
            </w:tcMar>
            <w:vAlign w:val="center"/>
          </w:tcPr>
          <w:p w14:paraId="243EE905">
            <w:pPr>
              <w:keepNext w:val="0"/>
              <w:keepLines w:val="0"/>
              <w:pageBreakBefore w:val="0"/>
              <w:kinsoku/>
              <w:wordWrap/>
              <w:overflowPunct/>
              <w:topLinePunct w:val="0"/>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sz w:val="21"/>
                <w:szCs w:val="21"/>
                <w14:textFill>
                  <w14:solidFill>
                    <w14:schemeClr w14:val="tx1"/>
                  </w14:solidFill>
                </w14:textFill>
              </w:rPr>
            </w:pPr>
          </w:p>
        </w:tc>
        <w:tc>
          <w:tcPr>
            <w:tcW w:w="2538" w:type="pct"/>
            <w:tcMar>
              <w:left w:w="0" w:type="dxa"/>
              <w:right w:w="0" w:type="dxa"/>
            </w:tcMar>
            <w:vAlign w:val="center"/>
          </w:tcPr>
          <w:p w14:paraId="15638AC7">
            <w:pPr>
              <w:keepNext w:val="0"/>
              <w:keepLines w:val="0"/>
              <w:pageBreakBefore w:val="0"/>
              <w:kinsoku/>
              <w:wordWrap/>
              <w:overflowPunct/>
              <w:topLinePunct w:val="0"/>
              <w:bidi w:val="0"/>
              <w:adjustRightInd w:val="0"/>
              <w:snapToGrid w:val="0"/>
              <w:spacing w:line="240" w:lineRule="auto"/>
              <w:ind w:firstLine="0" w:firstLineChars="0"/>
              <w:jc w:val="center"/>
              <w:outlineLvl w:val="9"/>
              <w:rPr>
                <w:rFonts w:hint="default" w:ascii="Times New Roman" w:hAnsi="Times New Roman" w:eastAsia="宋体" w:cs="Times New Roman"/>
                <w:i/>
                <w:color w:val="000000" w:themeColor="text1"/>
                <w:sz w:val="21"/>
                <w:szCs w:val="21"/>
                <w14:textFill>
                  <w14:solidFill>
                    <w14:schemeClr w14:val="tx1"/>
                  </w14:solidFill>
                </w14:textFill>
              </w:rPr>
            </w:pPr>
            <w:r>
              <w:rPr>
                <w:rFonts w:hint="default" w:ascii="Times New Roman" w:hAnsi="Times New Roman" w:eastAsia="宋体" w:cs="Times New Roman"/>
                <w:i/>
                <w:color w:val="000000" w:themeColor="text1"/>
                <w:sz w:val="21"/>
                <w:szCs w:val="21"/>
                <w14:textFill>
                  <w14:solidFill>
                    <w14:schemeClr w14:val="tx1"/>
                  </w14:solidFill>
                </w14:textFill>
              </w:rPr>
              <w:t>Musmusculusmancus</w:t>
            </w:r>
          </w:p>
        </w:tc>
      </w:tr>
      <w:tr w14:paraId="7A52BC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387" w:type="pct"/>
            <w:tcMar>
              <w:left w:w="0" w:type="dxa"/>
              <w:right w:w="0" w:type="dxa"/>
            </w:tcMar>
            <w:vAlign w:val="center"/>
          </w:tcPr>
          <w:p w14:paraId="617BA7B7">
            <w:pPr>
              <w:keepNext w:val="0"/>
              <w:keepLines w:val="0"/>
              <w:pageBreakBefore w:val="0"/>
              <w:kinsoku/>
              <w:wordWrap/>
              <w:overflowPunct/>
              <w:topLinePunct w:val="0"/>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八</w:t>
            </w:r>
          </w:p>
        </w:tc>
        <w:tc>
          <w:tcPr>
            <w:tcW w:w="1189" w:type="pct"/>
            <w:tcMar>
              <w:left w:w="0" w:type="dxa"/>
              <w:right w:w="0" w:type="dxa"/>
            </w:tcMar>
            <w:vAlign w:val="center"/>
          </w:tcPr>
          <w:p w14:paraId="6A409B5A">
            <w:pPr>
              <w:keepNext w:val="0"/>
              <w:keepLines w:val="0"/>
              <w:pageBreakBefore w:val="0"/>
              <w:kinsoku/>
              <w:wordWrap/>
              <w:overflowPunct/>
              <w:topLinePunct w:val="0"/>
              <w:bidi w:val="0"/>
              <w:adjustRightInd w:val="0"/>
              <w:snapToGrid w:val="0"/>
              <w:spacing w:line="240" w:lineRule="auto"/>
              <w:ind w:firstLine="0" w:firstLineChars="0"/>
              <w:jc w:val="center"/>
              <w:outlineLvl w:val="9"/>
              <w:rPr>
                <w:rFonts w:hint="eastAsia" w:ascii="Times New Roman" w:hAnsi="Times New Roman" w:eastAsia="宋体" w:cs="Times New Roman"/>
                <w:color w:val="000000" w:themeColor="text1"/>
                <w:sz w:val="22"/>
                <w:szCs w:val="22"/>
                <w:lang w:eastAsia="zh-CN" w:bidi="ar"/>
                <w14:textFill>
                  <w14:solidFill>
                    <w14:schemeClr w14:val="tx1"/>
                  </w14:solidFill>
                </w14:textFill>
              </w:rPr>
            </w:pPr>
            <w:r>
              <w:rPr>
                <w:rFonts w:hint="default" w:ascii="Times New Roman" w:hAnsi="Times New Roman" w:eastAsia="宋体" w:cs="Times New Roman"/>
                <w:color w:val="000000" w:themeColor="text1"/>
                <w:sz w:val="22"/>
                <w:szCs w:val="22"/>
                <w:lang w:bidi="ar"/>
                <w14:textFill>
                  <w14:solidFill>
                    <w14:schemeClr w14:val="tx1"/>
                  </w14:solidFill>
                </w14:textFill>
              </w:rPr>
              <w:t>鸦科</w:t>
            </w:r>
          </w:p>
        </w:tc>
        <w:tc>
          <w:tcPr>
            <w:tcW w:w="884" w:type="pct"/>
            <w:tcMar>
              <w:left w:w="0" w:type="dxa"/>
              <w:right w:w="0" w:type="dxa"/>
            </w:tcMar>
            <w:vAlign w:val="center"/>
          </w:tcPr>
          <w:p w14:paraId="3FD375D3">
            <w:pPr>
              <w:keepNext w:val="0"/>
              <w:keepLines w:val="0"/>
              <w:pageBreakBefore w:val="0"/>
              <w:kinsoku/>
              <w:wordWrap/>
              <w:overflowPunct/>
              <w:topLinePunct w:val="0"/>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sz w:val="22"/>
                <w:szCs w:val="22"/>
                <w:lang w:bidi="ar"/>
                <w14:textFill>
                  <w14:solidFill>
                    <w14:schemeClr w14:val="tx1"/>
                  </w14:solidFill>
                </w14:textFill>
              </w:rPr>
            </w:pPr>
          </w:p>
        </w:tc>
        <w:tc>
          <w:tcPr>
            <w:tcW w:w="2538" w:type="pct"/>
            <w:tcMar>
              <w:left w:w="0" w:type="dxa"/>
              <w:right w:w="0" w:type="dxa"/>
            </w:tcMar>
            <w:vAlign w:val="center"/>
          </w:tcPr>
          <w:p w14:paraId="7C400313">
            <w:pPr>
              <w:keepNext w:val="0"/>
              <w:keepLines w:val="0"/>
              <w:pageBreakBefore w:val="0"/>
              <w:kinsoku/>
              <w:wordWrap/>
              <w:overflowPunct/>
              <w:topLinePunct w:val="0"/>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sz w:val="22"/>
                <w:szCs w:val="22"/>
                <w:lang w:bidi="ar"/>
                <w14:textFill>
                  <w14:solidFill>
                    <w14:schemeClr w14:val="tx1"/>
                  </w14:solidFill>
                </w14:textFill>
              </w:rPr>
            </w:pPr>
            <w:r>
              <w:rPr>
                <w:rFonts w:hint="default" w:ascii="Times New Roman" w:hAnsi="Times New Roman" w:eastAsia="宋体" w:cs="Times New Roman"/>
                <w:i/>
                <w:color w:val="000000" w:themeColor="text1"/>
                <w:sz w:val="21"/>
                <w:szCs w:val="21"/>
                <w14:textFill>
                  <w14:solidFill>
                    <w14:schemeClr w14:val="tx1"/>
                  </w14:solidFill>
                </w14:textFill>
              </w:rPr>
              <w:t>Corvidae</w:t>
            </w:r>
          </w:p>
        </w:tc>
      </w:tr>
      <w:tr w14:paraId="23CCB5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387" w:type="pct"/>
            <w:tcMar>
              <w:left w:w="0" w:type="dxa"/>
              <w:right w:w="0" w:type="dxa"/>
            </w:tcMar>
            <w:vAlign w:val="center"/>
          </w:tcPr>
          <w:p w14:paraId="2800C477">
            <w:pPr>
              <w:keepNext w:val="0"/>
              <w:keepLines w:val="0"/>
              <w:pageBreakBefore w:val="0"/>
              <w:kinsoku/>
              <w:wordWrap/>
              <w:overflowPunct/>
              <w:topLinePunct w:val="0"/>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w:t>
            </w:r>
          </w:p>
        </w:tc>
        <w:tc>
          <w:tcPr>
            <w:tcW w:w="1189" w:type="pct"/>
            <w:tcMar>
              <w:left w:w="0" w:type="dxa"/>
              <w:right w:w="0" w:type="dxa"/>
            </w:tcMar>
            <w:vAlign w:val="center"/>
          </w:tcPr>
          <w:p w14:paraId="3ED4522F">
            <w:pPr>
              <w:keepNext w:val="0"/>
              <w:keepLines w:val="0"/>
              <w:pageBreakBefore w:val="0"/>
              <w:kinsoku/>
              <w:wordWrap/>
              <w:overflowPunct/>
              <w:topLinePunct w:val="0"/>
              <w:bidi w:val="0"/>
              <w:snapToGrid w:val="0"/>
              <w:spacing w:line="300" w:lineRule="exact"/>
              <w:ind w:firstLine="0" w:firstLineChars="0"/>
              <w:jc w:val="center"/>
              <w:outlineLvl w:val="9"/>
              <w:rPr>
                <w:rFonts w:hint="default" w:ascii="Times New Roman" w:hAnsi="Times New Roman" w:eastAsia="宋体" w:cs="Times New Roman"/>
                <w:color w:val="000000" w:themeColor="text1"/>
                <w:kern w:val="0"/>
                <w:sz w:val="21"/>
                <w:szCs w:val="20"/>
                <w14:textFill>
                  <w14:solidFill>
                    <w14:schemeClr w14:val="tx1"/>
                  </w14:solidFill>
                </w14:textFill>
              </w:rPr>
            </w:pPr>
            <w:r>
              <w:rPr>
                <w:rFonts w:hint="default" w:ascii="Times New Roman" w:hAnsi="Times New Roman" w:eastAsia="宋体" w:cs="Times New Roman"/>
                <w:color w:val="000000" w:themeColor="text1"/>
                <w:kern w:val="0"/>
                <w:sz w:val="21"/>
                <w:szCs w:val="20"/>
                <w14:textFill>
                  <w14:solidFill>
                    <w14:schemeClr w14:val="tx1"/>
                  </w14:solidFill>
                </w14:textFill>
              </w:rPr>
              <w:t>秃鼻乌鸦</w:t>
            </w:r>
          </w:p>
        </w:tc>
        <w:tc>
          <w:tcPr>
            <w:tcW w:w="884" w:type="pct"/>
            <w:tcMar>
              <w:left w:w="0" w:type="dxa"/>
              <w:right w:w="0" w:type="dxa"/>
            </w:tcMar>
            <w:vAlign w:val="center"/>
          </w:tcPr>
          <w:p w14:paraId="608863C2">
            <w:pPr>
              <w:keepNext w:val="0"/>
              <w:keepLines w:val="0"/>
              <w:pageBreakBefore w:val="0"/>
              <w:kinsoku/>
              <w:wordWrap/>
              <w:overflowPunct/>
              <w:topLinePunct w:val="0"/>
              <w:bidi w:val="0"/>
              <w:snapToGrid w:val="0"/>
              <w:spacing w:line="300" w:lineRule="exact"/>
              <w:ind w:firstLine="0" w:firstLineChars="0"/>
              <w:jc w:val="center"/>
              <w:outlineLvl w:val="9"/>
              <w:rPr>
                <w:rFonts w:hint="default" w:ascii="Times New Roman" w:hAnsi="Times New Roman" w:eastAsia="宋体" w:cs="Times New Roman"/>
                <w:color w:val="000000" w:themeColor="text1"/>
                <w:kern w:val="0"/>
                <w:sz w:val="21"/>
                <w:szCs w:val="20"/>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三有</w:t>
            </w:r>
          </w:p>
        </w:tc>
        <w:tc>
          <w:tcPr>
            <w:tcW w:w="2538" w:type="pct"/>
            <w:tcMar>
              <w:left w:w="0" w:type="dxa"/>
              <w:right w:w="0" w:type="dxa"/>
            </w:tcMar>
            <w:vAlign w:val="center"/>
          </w:tcPr>
          <w:p w14:paraId="114A75E5">
            <w:pPr>
              <w:keepNext w:val="0"/>
              <w:keepLines w:val="0"/>
              <w:pageBreakBefore w:val="0"/>
              <w:kinsoku/>
              <w:wordWrap/>
              <w:overflowPunct/>
              <w:topLinePunct w:val="0"/>
              <w:bidi w:val="0"/>
              <w:adjustRightInd w:val="0"/>
              <w:snapToGrid w:val="0"/>
              <w:spacing w:line="240" w:lineRule="auto"/>
              <w:ind w:firstLine="0" w:firstLineChars="0"/>
              <w:jc w:val="center"/>
              <w:outlineLvl w:val="9"/>
              <w:rPr>
                <w:rFonts w:hint="eastAsia" w:ascii="Times New Roman" w:hAnsi="Times New Roman" w:eastAsia="宋体" w:cs="Times New Roman"/>
                <w:color w:val="000000" w:themeColor="text1"/>
                <w:sz w:val="22"/>
                <w:szCs w:val="22"/>
                <w:lang w:eastAsia="zh-CN" w:bidi="ar"/>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Cervusfruilegus</w:t>
            </w:r>
            <w:r>
              <w:rPr>
                <w:rFonts w:hint="eastAsia" w:cs="Times New Roman"/>
                <w:color w:val="000000" w:themeColor="text1"/>
                <w:sz w:val="21"/>
                <w:lang w:eastAsia="zh-CN"/>
                <w14:textFill>
                  <w14:solidFill>
                    <w14:schemeClr w14:val="tx1"/>
                  </w14:solidFill>
                </w14:textFill>
              </w:rPr>
              <w:t>（</w:t>
            </w:r>
            <w:r>
              <w:rPr>
                <w:rFonts w:hint="default" w:ascii="Times New Roman" w:hAnsi="Times New Roman" w:eastAsia="宋体" w:cs="Times New Roman"/>
                <w:color w:val="000000" w:themeColor="text1"/>
                <w:sz w:val="21"/>
                <w14:textFill>
                  <w14:solidFill>
                    <w14:schemeClr w14:val="tx1"/>
                  </w14:solidFill>
                </w14:textFill>
              </w:rPr>
              <w:t>Linnaeus</w:t>
            </w:r>
            <w:r>
              <w:rPr>
                <w:rFonts w:hint="eastAsia" w:cs="Times New Roman"/>
                <w:color w:val="000000" w:themeColor="text1"/>
                <w:sz w:val="21"/>
                <w:lang w:eastAsia="zh-CN"/>
                <w14:textFill>
                  <w14:solidFill>
                    <w14:schemeClr w14:val="tx1"/>
                  </w14:solidFill>
                </w14:textFill>
              </w:rPr>
              <w:t>）</w:t>
            </w:r>
          </w:p>
        </w:tc>
      </w:tr>
      <w:tr w14:paraId="0743B4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387" w:type="pct"/>
            <w:tcMar>
              <w:left w:w="0" w:type="dxa"/>
              <w:right w:w="0" w:type="dxa"/>
            </w:tcMar>
            <w:vAlign w:val="center"/>
          </w:tcPr>
          <w:p w14:paraId="00F22B14">
            <w:pPr>
              <w:keepNext w:val="0"/>
              <w:keepLines w:val="0"/>
              <w:pageBreakBefore w:val="0"/>
              <w:kinsoku/>
              <w:wordWrap/>
              <w:overflowPunct/>
              <w:topLinePunct w:val="0"/>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w:t>
            </w:r>
          </w:p>
        </w:tc>
        <w:tc>
          <w:tcPr>
            <w:tcW w:w="1189" w:type="pct"/>
            <w:tcMar>
              <w:left w:w="0" w:type="dxa"/>
              <w:right w:w="0" w:type="dxa"/>
            </w:tcMar>
            <w:vAlign w:val="center"/>
          </w:tcPr>
          <w:p w14:paraId="679E5D60">
            <w:pPr>
              <w:keepNext w:val="0"/>
              <w:keepLines w:val="0"/>
              <w:pageBreakBefore w:val="0"/>
              <w:kinsoku/>
              <w:wordWrap/>
              <w:overflowPunct/>
              <w:topLinePunct w:val="0"/>
              <w:bidi w:val="0"/>
              <w:snapToGrid w:val="0"/>
              <w:spacing w:line="300" w:lineRule="exact"/>
              <w:ind w:firstLine="0" w:firstLineChars="0"/>
              <w:jc w:val="center"/>
              <w:outlineLvl w:val="9"/>
              <w:rPr>
                <w:rFonts w:hint="default" w:ascii="Times New Roman" w:hAnsi="Times New Roman" w:eastAsia="宋体" w:cs="Times New Roman"/>
                <w:color w:val="000000" w:themeColor="text1"/>
                <w:kern w:val="0"/>
                <w:sz w:val="21"/>
                <w:szCs w:val="20"/>
                <w14:textFill>
                  <w14:solidFill>
                    <w14:schemeClr w14:val="tx1"/>
                  </w14:solidFill>
                </w14:textFill>
              </w:rPr>
            </w:pPr>
            <w:r>
              <w:rPr>
                <w:rFonts w:hint="default" w:ascii="Times New Roman" w:hAnsi="Times New Roman" w:eastAsia="宋体" w:cs="Times New Roman"/>
                <w:color w:val="000000" w:themeColor="text1"/>
                <w:kern w:val="0"/>
                <w:sz w:val="21"/>
                <w:szCs w:val="20"/>
                <w14:textFill>
                  <w14:solidFill>
                    <w14:schemeClr w14:val="tx1"/>
                  </w14:solidFill>
                </w14:textFill>
              </w:rPr>
              <w:t>喜鹊</w:t>
            </w:r>
          </w:p>
        </w:tc>
        <w:tc>
          <w:tcPr>
            <w:tcW w:w="884" w:type="pct"/>
            <w:tcMar>
              <w:left w:w="0" w:type="dxa"/>
              <w:right w:w="0" w:type="dxa"/>
            </w:tcMar>
            <w:vAlign w:val="center"/>
          </w:tcPr>
          <w:p w14:paraId="5111B25C">
            <w:pPr>
              <w:keepNext w:val="0"/>
              <w:keepLines w:val="0"/>
              <w:pageBreakBefore w:val="0"/>
              <w:kinsoku/>
              <w:wordWrap/>
              <w:overflowPunct/>
              <w:topLinePunct w:val="0"/>
              <w:bidi w:val="0"/>
              <w:snapToGrid w:val="0"/>
              <w:spacing w:line="300" w:lineRule="exact"/>
              <w:ind w:firstLine="0" w:firstLineChars="0"/>
              <w:jc w:val="center"/>
              <w:outlineLvl w:val="9"/>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三有</w:t>
            </w:r>
          </w:p>
        </w:tc>
        <w:tc>
          <w:tcPr>
            <w:tcW w:w="2538" w:type="pct"/>
            <w:tcMar>
              <w:left w:w="0" w:type="dxa"/>
              <w:right w:w="0" w:type="dxa"/>
            </w:tcMar>
            <w:vAlign w:val="center"/>
          </w:tcPr>
          <w:p w14:paraId="23E84A1E">
            <w:pPr>
              <w:keepNext w:val="0"/>
              <w:keepLines w:val="0"/>
              <w:pageBreakBefore w:val="0"/>
              <w:kinsoku/>
              <w:wordWrap/>
              <w:overflowPunct/>
              <w:topLinePunct w:val="0"/>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Picapica</w:t>
            </w:r>
          </w:p>
        </w:tc>
      </w:tr>
      <w:tr w14:paraId="350578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387" w:type="pct"/>
            <w:tcMar>
              <w:left w:w="0" w:type="dxa"/>
              <w:right w:w="0" w:type="dxa"/>
            </w:tcMar>
            <w:vAlign w:val="center"/>
          </w:tcPr>
          <w:p w14:paraId="12430E0D">
            <w:pPr>
              <w:keepNext w:val="0"/>
              <w:keepLines w:val="0"/>
              <w:pageBreakBefore w:val="0"/>
              <w:kinsoku/>
              <w:wordWrap/>
              <w:overflowPunct/>
              <w:topLinePunct w:val="0"/>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九</w:t>
            </w:r>
          </w:p>
        </w:tc>
        <w:tc>
          <w:tcPr>
            <w:tcW w:w="1189" w:type="pct"/>
            <w:tcMar>
              <w:left w:w="0" w:type="dxa"/>
              <w:right w:w="0" w:type="dxa"/>
            </w:tcMar>
            <w:vAlign w:val="center"/>
          </w:tcPr>
          <w:p w14:paraId="3E184E40">
            <w:pPr>
              <w:keepNext w:val="0"/>
              <w:keepLines w:val="0"/>
              <w:pageBreakBefore w:val="0"/>
              <w:kinsoku/>
              <w:wordWrap/>
              <w:overflowPunct/>
              <w:topLinePunct w:val="0"/>
              <w:bidi w:val="0"/>
              <w:snapToGrid w:val="0"/>
              <w:spacing w:line="300" w:lineRule="exact"/>
              <w:ind w:firstLine="0" w:firstLineChars="0"/>
              <w:jc w:val="center"/>
              <w:outlineLvl w:val="9"/>
              <w:rPr>
                <w:rFonts w:hint="default" w:ascii="Times New Roman" w:hAnsi="Times New Roman" w:eastAsia="宋体" w:cs="Times New Roman"/>
                <w:color w:val="000000" w:themeColor="text1"/>
                <w:kern w:val="0"/>
                <w:sz w:val="21"/>
                <w:szCs w:val="20"/>
                <w14:textFill>
                  <w14:solidFill>
                    <w14:schemeClr w14:val="tx1"/>
                  </w14:solidFill>
                </w14:textFill>
              </w:rPr>
            </w:pPr>
            <w:r>
              <w:rPr>
                <w:rFonts w:hint="default" w:ascii="Times New Roman" w:hAnsi="Times New Roman" w:eastAsia="宋体" w:cs="Times New Roman"/>
                <w:color w:val="000000" w:themeColor="text1"/>
                <w:kern w:val="0"/>
                <w:sz w:val="21"/>
                <w:szCs w:val="20"/>
                <w14:textFill>
                  <w14:solidFill>
                    <w14:schemeClr w14:val="tx1"/>
                  </w14:solidFill>
                </w14:textFill>
              </w:rPr>
              <w:t>猬科</w:t>
            </w:r>
          </w:p>
        </w:tc>
        <w:tc>
          <w:tcPr>
            <w:tcW w:w="884" w:type="pct"/>
            <w:tcMar>
              <w:left w:w="0" w:type="dxa"/>
              <w:right w:w="0" w:type="dxa"/>
            </w:tcMar>
            <w:vAlign w:val="center"/>
          </w:tcPr>
          <w:p w14:paraId="2DD48829">
            <w:pPr>
              <w:keepNext w:val="0"/>
              <w:keepLines w:val="0"/>
              <w:pageBreakBefore w:val="0"/>
              <w:kinsoku/>
              <w:wordWrap/>
              <w:overflowPunct/>
              <w:topLinePunct w:val="0"/>
              <w:bidi w:val="0"/>
              <w:snapToGrid w:val="0"/>
              <w:spacing w:line="300" w:lineRule="exact"/>
              <w:ind w:firstLine="0" w:firstLineChars="0"/>
              <w:jc w:val="center"/>
              <w:outlineLvl w:val="9"/>
              <w:rPr>
                <w:rFonts w:hint="default" w:ascii="Times New Roman" w:hAnsi="Times New Roman" w:eastAsia="宋体" w:cs="Times New Roman"/>
                <w:color w:val="000000" w:themeColor="text1"/>
                <w:kern w:val="0"/>
                <w:sz w:val="21"/>
                <w:szCs w:val="20"/>
                <w14:textFill>
                  <w14:solidFill>
                    <w14:schemeClr w14:val="tx1"/>
                  </w14:solidFill>
                </w14:textFill>
              </w:rPr>
            </w:pPr>
          </w:p>
        </w:tc>
        <w:tc>
          <w:tcPr>
            <w:tcW w:w="2538" w:type="pct"/>
            <w:tcMar>
              <w:left w:w="0" w:type="dxa"/>
              <w:right w:w="0" w:type="dxa"/>
            </w:tcMar>
            <w:vAlign w:val="center"/>
          </w:tcPr>
          <w:p w14:paraId="41FDC88D">
            <w:pPr>
              <w:keepNext w:val="0"/>
              <w:keepLines w:val="0"/>
              <w:pageBreakBefore w:val="0"/>
              <w:kinsoku/>
              <w:wordWrap/>
              <w:overflowPunct/>
              <w:topLinePunct w:val="0"/>
              <w:bidi w:val="0"/>
              <w:snapToGrid w:val="0"/>
              <w:spacing w:line="300" w:lineRule="exact"/>
              <w:ind w:firstLine="0" w:firstLineChars="0"/>
              <w:jc w:val="center"/>
              <w:outlineLvl w:val="9"/>
              <w:rPr>
                <w:rFonts w:hint="default" w:ascii="Times New Roman" w:hAnsi="Times New Roman" w:eastAsia="宋体" w:cs="Times New Roman"/>
                <w:color w:val="000000" w:themeColor="text1"/>
                <w:kern w:val="0"/>
                <w:sz w:val="21"/>
                <w:szCs w:val="20"/>
                <w14:textFill>
                  <w14:solidFill>
                    <w14:schemeClr w14:val="tx1"/>
                  </w14:solidFill>
                </w14:textFill>
              </w:rPr>
            </w:pPr>
            <w:r>
              <w:rPr>
                <w:rFonts w:hint="default" w:ascii="Times New Roman" w:hAnsi="Times New Roman" w:eastAsia="宋体" w:cs="Times New Roman"/>
                <w:color w:val="000000" w:themeColor="text1"/>
                <w:kern w:val="0"/>
                <w:sz w:val="21"/>
                <w:szCs w:val="20"/>
                <w14:textFill>
                  <w14:solidFill>
                    <w14:schemeClr w14:val="tx1"/>
                  </w14:solidFill>
                </w14:textFill>
              </w:rPr>
              <w:t>Erinaceidae</w:t>
            </w:r>
          </w:p>
        </w:tc>
      </w:tr>
      <w:tr w14:paraId="1A0E09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387" w:type="pct"/>
            <w:tcMar>
              <w:left w:w="0" w:type="dxa"/>
              <w:right w:w="0" w:type="dxa"/>
            </w:tcMar>
            <w:vAlign w:val="center"/>
          </w:tcPr>
          <w:p w14:paraId="23EB6D4D">
            <w:pPr>
              <w:keepNext w:val="0"/>
              <w:keepLines w:val="0"/>
              <w:pageBreakBefore w:val="0"/>
              <w:kinsoku/>
              <w:wordWrap/>
              <w:overflowPunct/>
              <w:topLinePunct w:val="0"/>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w:t>
            </w:r>
          </w:p>
        </w:tc>
        <w:tc>
          <w:tcPr>
            <w:tcW w:w="1189" w:type="pct"/>
            <w:tcMar>
              <w:left w:w="0" w:type="dxa"/>
              <w:right w:w="0" w:type="dxa"/>
            </w:tcMar>
            <w:vAlign w:val="center"/>
          </w:tcPr>
          <w:p w14:paraId="561AE7B5">
            <w:pPr>
              <w:keepNext w:val="0"/>
              <w:keepLines w:val="0"/>
              <w:pageBreakBefore w:val="0"/>
              <w:kinsoku/>
              <w:wordWrap/>
              <w:overflowPunct/>
              <w:topLinePunct w:val="0"/>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达乌尔刺猬</w:t>
            </w:r>
          </w:p>
        </w:tc>
        <w:tc>
          <w:tcPr>
            <w:tcW w:w="884" w:type="pct"/>
            <w:tcMar>
              <w:left w:w="0" w:type="dxa"/>
              <w:right w:w="0" w:type="dxa"/>
            </w:tcMar>
            <w:vAlign w:val="center"/>
          </w:tcPr>
          <w:p w14:paraId="311A0B2E">
            <w:pPr>
              <w:keepNext w:val="0"/>
              <w:keepLines w:val="0"/>
              <w:pageBreakBefore w:val="0"/>
              <w:kinsoku/>
              <w:wordWrap/>
              <w:overflowPunct/>
              <w:topLinePunct w:val="0"/>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sz w:val="21"/>
                <w:szCs w:val="21"/>
                <w14:textFill>
                  <w14:solidFill>
                    <w14:schemeClr w14:val="tx1"/>
                  </w14:solidFill>
                </w14:textFill>
              </w:rPr>
            </w:pPr>
          </w:p>
        </w:tc>
        <w:tc>
          <w:tcPr>
            <w:tcW w:w="2538" w:type="pct"/>
            <w:tcMar>
              <w:left w:w="0" w:type="dxa"/>
              <w:right w:w="0" w:type="dxa"/>
            </w:tcMar>
            <w:vAlign w:val="center"/>
          </w:tcPr>
          <w:p w14:paraId="73C7DCC9">
            <w:pPr>
              <w:keepNext w:val="0"/>
              <w:keepLines w:val="0"/>
              <w:pageBreakBefore w:val="0"/>
              <w:kinsoku/>
              <w:wordWrap/>
              <w:overflowPunct/>
              <w:topLinePunct w:val="0"/>
              <w:bidi w:val="0"/>
              <w:adjustRightInd w:val="0"/>
              <w:snapToGrid w:val="0"/>
              <w:spacing w:line="240" w:lineRule="auto"/>
              <w:ind w:firstLine="0" w:firstLineChars="0"/>
              <w:jc w:val="center"/>
              <w:outlineLvl w:val="9"/>
              <w:rPr>
                <w:rFonts w:hint="eastAsia" w:ascii="Times New Roman" w:hAnsi="Times New Roman" w:eastAsia="宋体" w:cs="Times New Roman"/>
                <w:i/>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Hdauuricus</w:t>
            </w:r>
            <w:r>
              <w:rPr>
                <w:rFonts w:hint="eastAsia" w:cs="Times New Roman"/>
                <w:color w:val="000000" w:themeColor="text1"/>
                <w:sz w:val="21"/>
                <w:lang w:eastAsia="zh-CN"/>
                <w14:textFill>
                  <w14:solidFill>
                    <w14:schemeClr w14:val="tx1"/>
                  </w14:solidFill>
                </w14:textFill>
              </w:rPr>
              <w:t>（</w:t>
            </w:r>
            <w:r>
              <w:rPr>
                <w:rFonts w:hint="default" w:ascii="Times New Roman" w:hAnsi="Times New Roman" w:eastAsia="宋体" w:cs="Times New Roman"/>
                <w:color w:val="000000" w:themeColor="text1"/>
                <w:sz w:val="21"/>
                <w14:textFill>
                  <w14:solidFill>
                    <w14:schemeClr w14:val="tx1"/>
                  </w14:solidFill>
                </w14:textFill>
              </w:rPr>
              <w:t>Linnaeus</w:t>
            </w:r>
            <w:r>
              <w:rPr>
                <w:rFonts w:hint="eastAsia" w:cs="Times New Roman"/>
                <w:color w:val="000000" w:themeColor="text1"/>
                <w:sz w:val="21"/>
                <w:lang w:eastAsia="zh-CN"/>
                <w14:textFill>
                  <w14:solidFill>
                    <w14:schemeClr w14:val="tx1"/>
                  </w14:solidFill>
                </w14:textFill>
              </w:rPr>
              <w:t>）</w:t>
            </w:r>
          </w:p>
        </w:tc>
      </w:tr>
      <w:tr w14:paraId="780D84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387" w:type="pct"/>
            <w:tcMar>
              <w:left w:w="0" w:type="dxa"/>
              <w:right w:w="0" w:type="dxa"/>
            </w:tcMar>
            <w:vAlign w:val="center"/>
          </w:tcPr>
          <w:p w14:paraId="509F789F">
            <w:pPr>
              <w:keepNext w:val="0"/>
              <w:keepLines w:val="0"/>
              <w:pageBreakBefore w:val="0"/>
              <w:kinsoku/>
              <w:wordWrap/>
              <w:overflowPunct/>
              <w:topLinePunct w:val="0"/>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十</w:t>
            </w:r>
          </w:p>
        </w:tc>
        <w:tc>
          <w:tcPr>
            <w:tcW w:w="1189" w:type="pct"/>
            <w:tcMar>
              <w:left w:w="0" w:type="dxa"/>
              <w:right w:w="0" w:type="dxa"/>
            </w:tcMar>
            <w:vAlign w:val="center"/>
          </w:tcPr>
          <w:p w14:paraId="03BA6E84">
            <w:pPr>
              <w:keepNext w:val="0"/>
              <w:keepLines w:val="0"/>
              <w:pageBreakBefore w:val="0"/>
              <w:kinsoku/>
              <w:wordWrap/>
              <w:overflowPunct/>
              <w:topLinePunct w:val="0"/>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雉科</w:t>
            </w:r>
          </w:p>
        </w:tc>
        <w:tc>
          <w:tcPr>
            <w:tcW w:w="884" w:type="pct"/>
            <w:tcMar>
              <w:left w:w="0" w:type="dxa"/>
              <w:right w:w="0" w:type="dxa"/>
            </w:tcMar>
            <w:vAlign w:val="center"/>
          </w:tcPr>
          <w:p w14:paraId="6CDC6222">
            <w:pPr>
              <w:keepNext w:val="0"/>
              <w:keepLines w:val="0"/>
              <w:pageBreakBefore w:val="0"/>
              <w:kinsoku/>
              <w:wordWrap/>
              <w:overflowPunct/>
              <w:topLinePunct w:val="0"/>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sz w:val="21"/>
                <w:szCs w:val="21"/>
                <w14:textFill>
                  <w14:solidFill>
                    <w14:schemeClr w14:val="tx1"/>
                  </w14:solidFill>
                </w14:textFill>
              </w:rPr>
            </w:pPr>
          </w:p>
        </w:tc>
        <w:tc>
          <w:tcPr>
            <w:tcW w:w="2538" w:type="pct"/>
            <w:tcMar>
              <w:left w:w="0" w:type="dxa"/>
              <w:right w:w="0" w:type="dxa"/>
            </w:tcMar>
            <w:vAlign w:val="center"/>
          </w:tcPr>
          <w:p w14:paraId="32E847A8">
            <w:pPr>
              <w:keepNext w:val="0"/>
              <w:keepLines w:val="0"/>
              <w:pageBreakBefore w:val="0"/>
              <w:kinsoku/>
              <w:wordWrap/>
              <w:overflowPunct/>
              <w:topLinePunct w:val="0"/>
              <w:bidi w:val="0"/>
              <w:adjustRightInd w:val="0"/>
              <w:snapToGrid w:val="0"/>
              <w:spacing w:line="240" w:lineRule="auto"/>
              <w:ind w:firstLine="0" w:firstLineChars="0"/>
              <w:jc w:val="center"/>
              <w:outlineLvl w:val="9"/>
              <w:rPr>
                <w:rFonts w:hint="default" w:ascii="Times New Roman" w:hAnsi="Times New Roman" w:eastAsia="宋体" w:cs="Times New Roman"/>
                <w:i/>
                <w:color w:val="000000" w:themeColor="text1"/>
                <w:sz w:val="21"/>
                <w:szCs w:val="21"/>
                <w14:textFill>
                  <w14:solidFill>
                    <w14:schemeClr w14:val="tx1"/>
                  </w14:solidFill>
                </w14:textFill>
              </w:rPr>
            </w:pPr>
            <w:r>
              <w:rPr>
                <w:rFonts w:hint="default" w:ascii="Times New Roman" w:hAnsi="Times New Roman" w:eastAsia="宋体" w:cs="Times New Roman"/>
                <w:i/>
                <w:color w:val="000000" w:themeColor="text1"/>
                <w:sz w:val="21"/>
                <w:szCs w:val="21"/>
                <w:shd w:val="clear" w:color="auto" w:fill="FFFFFF"/>
                <w14:textFill>
                  <w14:solidFill>
                    <w14:schemeClr w14:val="tx1"/>
                  </w14:solidFill>
                </w14:textFill>
              </w:rPr>
              <w:t>Phasianidae</w:t>
            </w:r>
          </w:p>
        </w:tc>
      </w:tr>
      <w:tr w14:paraId="7B808D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387" w:type="pct"/>
            <w:tcMar>
              <w:left w:w="0" w:type="dxa"/>
              <w:right w:w="0" w:type="dxa"/>
            </w:tcMar>
            <w:vAlign w:val="center"/>
          </w:tcPr>
          <w:p w14:paraId="3D078B10">
            <w:pPr>
              <w:keepNext w:val="0"/>
              <w:keepLines w:val="0"/>
              <w:pageBreakBefore w:val="0"/>
              <w:kinsoku/>
              <w:wordWrap/>
              <w:overflowPunct/>
              <w:topLinePunct w:val="0"/>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w:t>
            </w:r>
          </w:p>
        </w:tc>
        <w:tc>
          <w:tcPr>
            <w:tcW w:w="1189" w:type="pct"/>
            <w:tcMar>
              <w:left w:w="0" w:type="dxa"/>
              <w:right w:w="0" w:type="dxa"/>
            </w:tcMar>
            <w:vAlign w:val="center"/>
          </w:tcPr>
          <w:p w14:paraId="574E56F1">
            <w:pPr>
              <w:keepNext w:val="0"/>
              <w:keepLines w:val="0"/>
              <w:pageBreakBefore w:val="0"/>
              <w:kinsoku/>
              <w:wordWrap/>
              <w:overflowPunct/>
              <w:topLinePunct w:val="0"/>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环颈雉</w:t>
            </w:r>
          </w:p>
        </w:tc>
        <w:tc>
          <w:tcPr>
            <w:tcW w:w="884" w:type="pct"/>
            <w:tcMar>
              <w:left w:w="0" w:type="dxa"/>
              <w:right w:w="0" w:type="dxa"/>
            </w:tcMar>
            <w:vAlign w:val="center"/>
          </w:tcPr>
          <w:p w14:paraId="3966B555">
            <w:pPr>
              <w:keepNext w:val="0"/>
              <w:keepLines w:val="0"/>
              <w:pageBreakBefore w:val="0"/>
              <w:kinsoku/>
              <w:wordWrap/>
              <w:overflowPunct/>
              <w:topLinePunct w:val="0"/>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sz w:val="21"/>
                <w:szCs w:val="21"/>
                <w14:textFill>
                  <w14:solidFill>
                    <w14:schemeClr w14:val="tx1"/>
                  </w14:solidFill>
                </w14:textFill>
              </w:rPr>
            </w:pPr>
          </w:p>
        </w:tc>
        <w:tc>
          <w:tcPr>
            <w:tcW w:w="2538" w:type="pct"/>
            <w:tcMar>
              <w:left w:w="0" w:type="dxa"/>
              <w:right w:w="0" w:type="dxa"/>
            </w:tcMar>
            <w:vAlign w:val="center"/>
          </w:tcPr>
          <w:p w14:paraId="7E546739">
            <w:pPr>
              <w:keepNext w:val="0"/>
              <w:keepLines w:val="0"/>
              <w:pageBreakBefore w:val="0"/>
              <w:kinsoku/>
              <w:wordWrap/>
              <w:overflowPunct/>
              <w:topLinePunct w:val="0"/>
              <w:bidi w:val="0"/>
              <w:adjustRightInd w:val="0"/>
              <w:snapToGrid w:val="0"/>
              <w:spacing w:line="240" w:lineRule="auto"/>
              <w:ind w:firstLine="0" w:firstLineChars="0"/>
              <w:jc w:val="center"/>
              <w:outlineLvl w:val="9"/>
              <w:rPr>
                <w:rFonts w:hint="default" w:ascii="Times New Roman" w:hAnsi="Times New Roman" w:eastAsia="宋体" w:cs="Times New Roman"/>
                <w:i/>
                <w:color w:val="000000" w:themeColor="text1"/>
                <w:sz w:val="21"/>
                <w:szCs w:val="21"/>
                <w14:textFill>
                  <w14:solidFill>
                    <w14:schemeClr w14:val="tx1"/>
                  </w14:solidFill>
                </w14:textFill>
              </w:rPr>
            </w:pPr>
            <w:r>
              <w:rPr>
                <w:rFonts w:hint="default" w:ascii="Times New Roman" w:hAnsi="Times New Roman" w:eastAsia="宋体" w:cs="Times New Roman"/>
                <w:i/>
                <w:color w:val="000000" w:themeColor="text1"/>
                <w:sz w:val="21"/>
                <w:szCs w:val="21"/>
                <w14:textFill>
                  <w14:solidFill>
                    <w14:schemeClr w14:val="tx1"/>
                  </w14:solidFill>
                </w14:textFill>
              </w:rPr>
              <w:t>Phasianuscolchicus</w:t>
            </w:r>
          </w:p>
        </w:tc>
      </w:tr>
      <w:tr w14:paraId="2E526C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387" w:type="pct"/>
            <w:tcMar>
              <w:left w:w="0" w:type="dxa"/>
              <w:right w:w="0" w:type="dxa"/>
            </w:tcMar>
            <w:vAlign w:val="center"/>
          </w:tcPr>
          <w:p w14:paraId="6BFDDA04">
            <w:pPr>
              <w:keepNext w:val="0"/>
              <w:keepLines w:val="0"/>
              <w:pageBreakBefore w:val="0"/>
              <w:kinsoku/>
              <w:wordWrap/>
              <w:overflowPunct/>
              <w:topLinePunct w:val="0"/>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十一</w:t>
            </w:r>
          </w:p>
        </w:tc>
        <w:tc>
          <w:tcPr>
            <w:tcW w:w="1189" w:type="pct"/>
            <w:tcMar>
              <w:left w:w="0" w:type="dxa"/>
              <w:right w:w="0" w:type="dxa"/>
            </w:tcMar>
            <w:vAlign w:val="center"/>
          </w:tcPr>
          <w:p w14:paraId="0A87981B">
            <w:pPr>
              <w:keepNext w:val="0"/>
              <w:keepLines w:val="0"/>
              <w:pageBreakBefore w:val="0"/>
              <w:kinsoku/>
              <w:wordWrap/>
              <w:overflowPunct/>
              <w:topLinePunct w:val="0"/>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燕科</w:t>
            </w:r>
          </w:p>
        </w:tc>
        <w:tc>
          <w:tcPr>
            <w:tcW w:w="884" w:type="pct"/>
            <w:tcMar>
              <w:left w:w="0" w:type="dxa"/>
              <w:right w:w="0" w:type="dxa"/>
            </w:tcMar>
            <w:vAlign w:val="center"/>
          </w:tcPr>
          <w:p w14:paraId="2BF8EAC3">
            <w:pPr>
              <w:keepNext w:val="0"/>
              <w:keepLines w:val="0"/>
              <w:pageBreakBefore w:val="0"/>
              <w:kinsoku/>
              <w:wordWrap/>
              <w:overflowPunct/>
              <w:topLinePunct w:val="0"/>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sz w:val="21"/>
                <w:szCs w:val="21"/>
                <w14:textFill>
                  <w14:solidFill>
                    <w14:schemeClr w14:val="tx1"/>
                  </w14:solidFill>
                </w14:textFill>
              </w:rPr>
            </w:pPr>
          </w:p>
        </w:tc>
        <w:tc>
          <w:tcPr>
            <w:tcW w:w="2538" w:type="pct"/>
            <w:tcMar>
              <w:left w:w="0" w:type="dxa"/>
              <w:right w:w="0" w:type="dxa"/>
            </w:tcMar>
            <w:vAlign w:val="center"/>
          </w:tcPr>
          <w:p w14:paraId="10671F86">
            <w:pPr>
              <w:keepNext w:val="0"/>
              <w:keepLines w:val="0"/>
              <w:pageBreakBefore w:val="0"/>
              <w:kinsoku/>
              <w:wordWrap/>
              <w:overflowPunct/>
              <w:topLinePunct w:val="0"/>
              <w:bidi w:val="0"/>
              <w:adjustRightInd w:val="0"/>
              <w:snapToGrid w:val="0"/>
              <w:spacing w:line="240" w:lineRule="auto"/>
              <w:ind w:firstLine="0" w:firstLineChars="0"/>
              <w:jc w:val="center"/>
              <w:outlineLvl w:val="9"/>
              <w:rPr>
                <w:rFonts w:hint="default" w:ascii="Times New Roman" w:hAnsi="Times New Roman" w:eastAsia="宋体" w:cs="Times New Roman"/>
                <w:i/>
                <w:color w:val="000000" w:themeColor="text1"/>
                <w:sz w:val="21"/>
                <w:szCs w:val="21"/>
                <w14:textFill>
                  <w14:solidFill>
                    <w14:schemeClr w14:val="tx1"/>
                  </w14:solidFill>
                </w14:textFill>
              </w:rPr>
            </w:pPr>
            <w:r>
              <w:rPr>
                <w:rFonts w:hint="default" w:ascii="Times New Roman" w:hAnsi="Times New Roman" w:eastAsia="宋体" w:cs="Times New Roman"/>
                <w:i/>
                <w:color w:val="000000" w:themeColor="text1"/>
                <w:sz w:val="21"/>
                <w:szCs w:val="21"/>
                <w:shd w:val="clear" w:color="auto" w:fill="FFFFFF"/>
                <w14:textFill>
                  <w14:solidFill>
                    <w14:schemeClr w14:val="tx1"/>
                  </w14:solidFill>
                </w14:textFill>
              </w:rPr>
              <w:t>Hirundinidae</w:t>
            </w:r>
          </w:p>
        </w:tc>
      </w:tr>
      <w:tr w14:paraId="5F0DBF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387" w:type="pct"/>
            <w:tcMar>
              <w:left w:w="0" w:type="dxa"/>
              <w:right w:w="0" w:type="dxa"/>
            </w:tcMar>
            <w:vAlign w:val="center"/>
          </w:tcPr>
          <w:p w14:paraId="1D3AB9A5">
            <w:pPr>
              <w:keepNext w:val="0"/>
              <w:keepLines w:val="0"/>
              <w:pageBreakBefore w:val="0"/>
              <w:kinsoku/>
              <w:wordWrap/>
              <w:overflowPunct/>
              <w:topLinePunct w:val="0"/>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w:t>
            </w:r>
          </w:p>
        </w:tc>
        <w:tc>
          <w:tcPr>
            <w:tcW w:w="1189" w:type="pct"/>
            <w:tcMar>
              <w:left w:w="0" w:type="dxa"/>
              <w:right w:w="0" w:type="dxa"/>
            </w:tcMar>
            <w:vAlign w:val="center"/>
          </w:tcPr>
          <w:p w14:paraId="70F937B4">
            <w:pPr>
              <w:keepNext w:val="0"/>
              <w:keepLines w:val="0"/>
              <w:pageBreakBefore w:val="0"/>
              <w:kinsoku/>
              <w:wordWrap/>
              <w:overflowPunct/>
              <w:topLinePunct w:val="0"/>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家燕</w:t>
            </w:r>
          </w:p>
        </w:tc>
        <w:tc>
          <w:tcPr>
            <w:tcW w:w="884" w:type="pct"/>
            <w:tcMar>
              <w:left w:w="0" w:type="dxa"/>
              <w:right w:w="0" w:type="dxa"/>
            </w:tcMar>
            <w:vAlign w:val="center"/>
          </w:tcPr>
          <w:p w14:paraId="4E7A79FD">
            <w:pPr>
              <w:keepNext w:val="0"/>
              <w:keepLines w:val="0"/>
              <w:pageBreakBefore w:val="0"/>
              <w:kinsoku/>
              <w:wordWrap/>
              <w:overflowPunct/>
              <w:topLinePunct w:val="0"/>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三有</w:t>
            </w:r>
          </w:p>
        </w:tc>
        <w:tc>
          <w:tcPr>
            <w:tcW w:w="2538" w:type="pct"/>
            <w:tcMar>
              <w:left w:w="0" w:type="dxa"/>
              <w:right w:w="0" w:type="dxa"/>
            </w:tcMar>
            <w:vAlign w:val="center"/>
          </w:tcPr>
          <w:p w14:paraId="47E8AABC">
            <w:pPr>
              <w:keepNext w:val="0"/>
              <w:keepLines w:val="0"/>
              <w:pageBreakBefore w:val="0"/>
              <w:kinsoku/>
              <w:wordWrap/>
              <w:overflowPunct/>
              <w:topLinePunct w:val="0"/>
              <w:bidi w:val="0"/>
              <w:adjustRightInd w:val="0"/>
              <w:snapToGrid w:val="0"/>
              <w:spacing w:line="240" w:lineRule="auto"/>
              <w:ind w:firstLine="0" w:firstLineChars="0"/>
              <w:jc w:val="center"/>
              <w:outlineLvl w:val="9"/>
              <w:rPr>
                <w:rFonts w:hint="default" w:ascii="Times New Roman" w:hAnsi="Times New Roman" w:eastAsia="宋体" w:cs="Times New Roman"/>
                <w:i/>
                <w:color w:val="000000" w:themeColor="text1"/>
                <w:sz w:val="21"/>
                <w:szCs w:val="21"/>
                <w14:textFill>
                  <w14:solidFill>
                    <w14:schemeClr w14:val="tx1"/>
                  </w14:solidFill>
                </w14:textFill>
              </w:rPr>
            </w:pPr>
            <w:r>
              <w:rPr>
                <w:rFonts w:hint="default" w:ascii="Times New Roman" w:hAnsi="Times New Roman" w:eastAsia="宋体" w:cs="Times New Roman"/>
                <w:i/>
                <w:color w:val="000000" w:themeColor="text1"/>
                <w:sz w:val="21"/>
                <w:szCs w:val="21"/>
                <w14:textFill>
                  <w14:solidFill>
                    <w14:schemeClr w14:val="tx1"/>
                  </w14:solidFill>
                </w14:textFill>
              </w:rPr>
              <w:t>Hirundorustica</w:t>
            </w:r>
          </w:p>
        </w:tc>
      </w:tr>
      <w:tr w14:paraId="7DECE4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387" w:type="pct"/>
            <w:tcMar>
              <w:left w:w="0" w:type="dxa"/>
              <w:right w:w="0" w:type="dxa"/>
            </w:tcMar>
            <w:vAlign w:val="center"/>
          </w:tcPr>
          <w:p w14:paraId="2323809F">
            <w:pPr>
              <w:keepNext w:val="0"/>
              <w:keepLines w:val="0"/>
              <w:pageBreakBefore w:val="0"/>
              <w:kinsoku/>
              <w:wordWrap/>
              <w:overflowPunct/>
              <w:topLinePunct w:val="0"/>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十二</w:t>
            </w:r>
          </w:p>
        </w:tc>
        <w:tc>
          <w:tcPr>
            <w:tcW w:w="1189" w:type="pct"/>
            <w:tcMar>
              <w:left w:w="0" w:type="dxa"/>
              <w:right w:w="0" w:type="dxa"/>
            </w:tcMar>
            <w:vAlign w:val="center"/>
          </w:tcPr>
          <w:p w14:paraId="4E445D24">
            <w:pPr>
              <w:keepNext w:val="0"/>
              <w:keepLines w:val="0"/>
              <w:pageBreakBefore w:val="0"/>
              <w:kinsoku/>
              <w:wordWrap/>
              <w:overflowPunct/>
              <w:topLinePunct w:val="0"/>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雀科</w:t>
            </w:r>
          </w:p>
        </w:tc>
        <w:tc>
          <w:tcPr>
            <w:tcW w:w="884" w:type="pct"/>
            <w:tcMar>
              <w:left w:w="0" w:type="dxa"/>
              <w:right w:w="0" w:type="dxa"/>
            </w:tcMar>
            <w:vAlign w:val="center"/>
          </w:tcPr>
          <w:p w14:paraId="31981058">
            <w:pPr>
              <w:keepNext w:val="0"/>
              <w:keepLines w:val="0"/>
              <w:pageBreakBefore w:val="0"/>
              <w:kinsoku/>
              <w:wordWrap/>
              <w:overflowPunct/>
              <w:topLinePunct w:val="0"/>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sz w:val="21"/>
                <w:szCs w:val="21"/>
                <w14:textFill>
                  <w14:solidFill>
                    <w14:schemeClr w14:val="tx1"/>
                  </w14:solidFill>
                </w14:textFill>
              </w:rPr>
            </w:pPr>
          </w:p>
        </w:tc>
        <w:tc>
          <w:tcPr>
            <w:tcW w:w="2538" w:type="pct"/>
            <w:tcMar>
              <w:left w:w="0" w:type="dxa"/>
              <w:right w:w="0" w:type="dxa"/>
            </w:tcMar>
            <w:vAlign w:val="center"/>
          </w:tcPr>
          <w:p w14:paraId="7BA3C71D">
            <w:pPr>
              <w:keepNext w:val="0"/>
              <w:keepLines w:val="0"/>
              <w:pageBreakBefore w:val="0"/>
              <w:kinsoku/>
              <w:wordWrap/>
              <w:overflowPunct/>
              <w:topLinePunct w:val="0"/>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Passeridea</w:t>
            </w:r>
          </w:p>
        </w:tc>
      </w:tr>
      <w:tr w14:paraId="3515B0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387" w:type="pct"/>
            <w:tcMar>
              <w:left w:w="0" w:type="dxa"/>
              <w:right w:w="0" w:type="dxa"/>
            </w:tcMar>
            <w:vAlign w:val="center"/>
          </w:tcPr>
          <w:p w14:paraId="13BE12A4">
            <w:pPr>
              <w:keepNext w:val="0"/>
              <w:keepLines w:val="0"/>
              <w:pageBreakBefore w:val="0"/>
              <w:kinsoku/>
              <w:wordWrap/>
              <w:overflowPunct/>
              <w:topLinePunct w:val="0"/>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w:t>
            </w:r>
          </w:p>
        </w:tc>
        <w:tc>
          <w:tcPr>
            <w:tcW w:w="1189" w:type="pct"/>
            <w:tcMar>
              <w:left w:w="0" w:type="dxa"/>
              <w:right w:w="0" w:type="dxa"/>
            </w:tcMar>
            <w:vAlign w:val="center"/>
          </w:tcPr>
          <w:p w14:paraId="6C1180F9">
            <w:pPr>
              <w:keepNext w:val="0"/>
              <w:keepLines w:val="0"/>
              <w:pageBreakBefore w:val="0"/>
              <w:kinsoku/>
              <w:wordWrap/>
              <w:overflowPunct/>
              <w:topLinePunct w:val="0"/>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山麻雀</w:t>
            </w:r>
          </w:p>
        </w:tc>
        <w:tc>
          <w:tcPr>
            <w:tcW w:w="884" w:type="pct"/>
            <w:tcMar>
              <w:left w:w="0" w:type="dxa"/>
              <w:right w:w="0" w:type="dxa"/>
            </w:tcMar>
            <w:vAlign w:val="center"/>
          </w:tcPr>
          <w:p w14:paraId="36C579E2">
            <w:pPr>
              <w:keepNext w:val="0"/>
              <w:keepLines w:val="0"/>
              <w:pageBreakBefore w:val="0"/>
              <w:kinsoku/>
              <w:wordWrap/>
              <w:overflowPunct/>
              <w:topLinePunct w:val="0"/>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三有</w:t>
            </w:r>
          </w:p>
        </w:tc>
        <w:tc>
          <w:tcPr>
            <w:tcW w:w="2538" w:type="pct"/>
            <w:tcMar>
              <w:left w:w="0" w:type="dxa"/>
              <w:right w:w="0" w:type="dxa"/>
            </w:tcMar>
            <w:vAlign w:val="center"/>
          </w:tcPr>
          <w:p w14:paraId="7442DFC1">
            <w:pPr>
              <w:keepNext w:val="0"/>
              <w:keepLines w:val="0"/>
              <w:pageBreakBefore w:val="0"/>
              <w:kinsoku/>
              <w:wordWrap/>
              <w:overflowPunct/>
              <w:topLinePunct w:val="0"/>
              <w:bidi w:val="0"/>
              <w:adjustRightInd w:val="0"/>
              <w:snapToGrid w:val="0"/>
              <w:spacing w:line="240" w:lineRule="auto"/>
              <w:ind w:firstLine="0" w:firstLineChars="0"/>
              <w:jc w:val="center"/>
              <w:outlineLvl w:val="9"/>
              <w:rPr>
                <w:rFonts w:hint="default" w:ascii="Times New Roman" w:hAnsi="Times New Roman" w:eastAsia="宋体" w:cs="Times New Roman"/>
                <w:i/>
                <w:color w:val="000000" w:themeColor="text1"/>
                <w:sz w:val="21"/>
                <w:szCs w:val="21"/>
                <w14:textFill>
                  <w14:solidFill>
                    <w14:schemeClr w14:val="tx1"/>
                  </w14:solidFill>
                </w14:textFill>
              </w:rPr>
            </w:pPr>
            <w:r>
              <w:rPr>
                <w:rFonts w:hint="default" w:ascii="Times New Roman" w:hAnsi="Times New Roman" w:eastAsia="宋体" w:cs="Times New Roman"/>
                <w:i/>
                <w:snapToGrid w:val="0"/>
                <w:color w:val="000000" w:themeColor="text1"/>
                <w:kern w:val="0"/>
                <w:sz w:val="21"/>
                <w:szCs w:val="21"/>
                <w14:textFill>
                  <w14:solidFill>
                    <w14:schemeClr w14:val="tx1"/>
                  </w14:solidFill>
                </w14:textFill>
              </w:rPr>
              <w:t>Passercinnamomeus</w:t>
            </w:r>
          </w:p>
        </w:tc>
      </w:tr>
      <w:tr w14:paraId="12F749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387" w:type="pct"/>
            <w:tcMar>
              <w:left w:w="0" w:type="dxa"/>
              <w:right w:w="0" w:type="dxa"/>
            </w:tcMar>
            <w:vAlign w:val="center"/>
          </w:tcPr>
          <w:p w14:paraId="03938E89">
            <w:pPr>
              <w:keepNext w:val="0"/>
              <w:keepLines w:val="0"/>
              <w:pageBreakBefore w:val="0"/>
              <w:kinsoku/>
              <w:wordWrap/>
              <w:overflowPunct/>
              <w:topLinePunct w:val="0"/>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w:t>
            </w:r>
          </w:p>
        </w:tc>
        <w:tc>
          <w:tcPr>
            <w:tcW w:w="1189" w:type="pct"/>
            <w:tcMar>
              <w:left w:w="0" w:type="dxa"/>
              <w:right w:w="0" w:type="dxa"/>
            </w:tcMar>
            <w:vAlign w:val="center"/>
          </w:tcPr>
          <w:p w14:paraId="67011EE2">
            <w:pPr>
              <w:keepNext w:val="0"/>
              <w:keepLines w:val="0"/>
              <w:pageBreakBefore w:val="0"/>
              <w:kinsoku/>
              <w:wordWrap/>
              <w:overflowPunct/>
              <w:topLinePunct w:val="0"/>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麻雀</w:t>
            </w:r>
          </w:p>
        </w:tc>
        <w:tc>
          <w:tcPr>
            <w:tcW w:w="884" w:type="pct"/>
            <w:tcMar>
              <w:left w:w="0" w:type="dxa"/>
              <w:right w:w="0" w:type="dxa"/>
            </w:tcMar>
            <w:vAlign w:val="center"/>
          </w:tcPr>
          <w:p w14:paraId="065263D9">
            <w:pPr>
              <w:keepNext w:val="0"/>
              <w:keepLines w:val="0"/>
              <w:pageBreakBefore w:val="0"/>
              <w:kinsoku/>
              <w:wordWrap/>
              <w:overflowPunct/>
              <w:topLinePunct w:val="0"/>
              <w:bidi w:val="0"/>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三有</w:t>
            </w:r>
          </w:p>
        </w:tc>
        <w:tc>
          <w:tcPr>
            <w:tcW w:w="2538" w:type="pct"/>
            <w:tcMar>
              <w:left w:w="0" w:type="dxa"/>
              <w:right w:w="0" w:type="dxa"/>
            </w:tcMar>
            <w:vAlign w:val="center"/>
          </w:tcPr>
          <w:p w14:paraId="69E42A4D">
            <w:pPr>
              <w:keepNext w:val="0"/>
              <w:keepLines w:val="0"/>
              <w:pageBreakBefore w:val="0"/>
              <w:kinsoku/>
              <w:wordWrap/>
              <w:overflowPunct/>
              <w:topLinePunct w:val="0"/>
              <w:bidi w:val="0"/>
              <w:adjustRightInd w:val="0"/>
              <w:snapToGrid w:val="0"/>
              <w:spacing w:line="240" w:lineRule="auto"/>
              <w:ind w:firstLine="0" w:firstLineChars="0"/>
              <w:jc w:val="center"/>
              <w:outlineLvl w:val="9"/>
              <w:rPr>
                <w:rFonts w:hint="default" w:ascii="Times New Roman" w:hAnsi="Times New Roman" w:eastAsia="宋体" w:cs="Times New Roman"/>
                <w:i/>
                <w:color w:val="000000" w:themeColor="text1"/>
                <w:sz w:val="21"/>
                <w:szCs w:val="21"/>
                <w14:textFill>
                  <w14:solidFill>
                    <w14:schemeClr w14:val="tx1"/>
                  </w14:solidFill>
                </w14:textFill>
              </w:rPr>
            </w:pPr>
            <w:r>
              <w:rPr>
                <w:rFonts w:hint="default" w:ascii="Times New Roman" w:hAnsi="Times New Roman" w:eastAsia="宋体" w:cs="Times New Roman"/>
                <w:i/>
                <w:snapToGrid w:val="0"/>
                <w:color w:val="000000" w:themeColor="text1"/>
                <w:kern w:val="0"/>
                <w:sz w:val="21"/>
                <w:szCs w:val="21"/>
                <w14:textFill>
                  <w14:solidFill>
                    <w14:schemeClr w14:val="tx1"/>
                  </w14:solidFill>
                </w14:textFill>
              </w:rPr>
              <w:t>Passermontanus</w:t>
            </w:r>
          </w:p>
        </w:tc>
      </w:tr>
    </w:tbl>
    <w:p w14:paraId="7E26B888">
      <w:pPr>
        <w:pStyle w:val="11"/>
        <w:ind w:firstLine="478"/>
        <w:outlineLvl w:val="2"/>
        <w:rPr>
          <w:rFonts w:hint="default" w:ascii="Times New Roman" w:hAnsi="Times New Roman" w:eastAsia="宋体" w:cs="Times New Roman"/>
          <w:b/>
          <w:bCs/>
          <w:color w:val="000000" w:themeColor="text1"/>
          <w:spacing w:val="-1"/>
          <w:lang w:eastAsia="zh-CN"/>
          <w14:textFill>
            <w14:solidFill>
              <w14:schemeClr w14:val="tx1"/>
            </w14:solidFill>
          </w14:textFill>
        </w:rPr>
      </w:pPr>
      <w:bookmarkStart w:id="169" w:name="_Toc6261"/>
      <w:r>
        <w:rPr>
          <w:rFonts w:hint="default" w:ascii="Times New Roman" w:hAnsi="Times New Roman" w:eastAsia="宋体" w:cs="Times New Roman"/>
          <w:b/>
          <w:bCs/>
          <w:color w:val="000000" w:themeColor="text1"/>
          <w:spacing w:val="-1"/>
          <w:lang w:eastAsia="zh-CN"/>
          <w14:textFill>
            <w14:solidFill>
              <w14:schemeClr w14:val="tx1"/>
            </w14:solidFill>
          </w14:textFill>
        </w:rPr>
        <w:t>4.2.2环境空气质量现状监测与评价</w:t>
      </w:r>
      <w:bookmarkEnd w:id="169"/>
    </w:p>
    <w:p w14:paraId="29EBDC73">
      <w:pPr>
        <w:pStyle w:val="11"/>
        <w:keepNext w:val="0"/>
        <w:keepLines w:val="0"/>
        <w:pageBreakBefore w:val="0"/>
        <w:kinsoku/>
        <w:wordWrap/>
        <w:overflowPunct/>
        <w:topLinePunct w:val="0"/>
        <w:autoSpaceDE/>
        <w:autoSpaceDN/>
        <w:bidi w:val="0"/>
        <w:ind w:firstLine="480"/>
        <w:outlineLvl w:val="9"/>
        <w:rPr>
          <w:rFonts w:hint="default" w:ascii="Times New Roman" w:hAnsi="Times New Roman" w:eastAsia="宋体" w:cs="Times New Roman"/>
          <w:color w:val="000000" w:themeColor="text1"/>
          <w:spacing w:val="-6"/>
          <w:lang w:eastAsia="zh-CN"/>
          <w14:textFill>
            <w14:solidFill>
              <w14:schemeClr w14:val="tx1"/>
            </w14:solidFill>
          </w14:textFill>
        </w:rPr>
      </w:pPr>
      <w:bookmarkStart w:id="170" w:name="_Toc31529"/>
      <w:bookmarkStart w:id="171" w:name="_Toc14855"/>
      <w:r>
        <w:rPr>
          <w:rFonts w:hint="default" w:ascii="Times New Roman" w:hAnsi="Times New Roman" w:eastAsia="宋体" w:cs="Times New Roman"/>
          <w:color w:val="000000" w:themeColor="text1"/>
          <w14:textFill>
            <w14:solidFill>
              <w14:schemeClr w14:val="tx1"/>
            </w14:solidFill>
          </w14:textFill>
        </w:rPr>
        <w:fldChar w:fldCharType="begin"/>
      </w:r>
      <w:r>
        <w:rPr>
          <w:rFonts w:hint="default" w:ascii="Times New Roman" w:hAnsi="Times New Roman" w:eastAsia="宋体" w:cs="Times New Roman"/>
          <w:color w:val="000000" w:themeColor="text1"/>
          <w14:textFill>
            <w14:solidFill>
              <w14:schemeClr w14:val="tx1"/>
            </w14:solidFill>
          </w14:textFill>
        </w:rPr>
        <w:instrText xml:space="preserve"> HYPERLINK "file:///C:\\Users\\Administrator\\Desktop\\科右前旗现代农牧业园区核心育种场养殖项目-修改稿\\4.3.2.1" </w:instrText>
      </w:r>
      <w:r>
        <w:rPr>
          <w:rFonts w:hint="default" w:ascii="Times New Roman" w:hAnsi="Times New Roman" w:eastAsia="宋体" w:cs="Times New Roman"/>
          <w:color w:val="000000" w:themeColor="text1"/>
          <w14:textFill>
            <w14:solidFill>
              <w14:schemeClr w14:val="tx1"/>
            </w14:solidFill>
          </w14:textFill>
        </w:rPr>
        <w:fldChar w:fldCharType="separate"/>
      </w:r>
      <w:r>
        <w:rPr>
          <w:rFonts w:hint="default" w:ascii="Times New Roman" w:hAnsi="Times New Roman" w:eastAsia="宋体" w:cs="Times New Roman"/>
          <w:color w:val="000000" w:themeColor="text1"/>
          <w:spacing w:val="-6"/>
          <w:lang w:eastAsia="zh-CN"/>
          <w14:textFill>
            <w14:solidFill>
              <w14:schemeClr w14:val="tx1"/>
            </w14:solidFill>
          </w14:textFill>
        </w:rPr>
        <w:t>4.2.2.1</w:t>
      </w:r>
      <w:r>
        <w:rPr>
          <w:rFonts w:hint="default" w:ascii="Times New Roman" w:hAnsi="Times New Roman" w:eastAsia="宋体" w:cs="Times New Roman"/>
          <w:color w:val="000000" w:themeColor="text1"/>
          <w:spacing w:val="-6"/>
          <w:lang w:eastAsia="zh-CN"/>
          <w14:textFill>
            <w14:solidFill>
              <w14:schemeClr w14:val="tx1"/>
            </w14:solidFill>
          </w14:textFill>
        </w:rPr>
        <w:fldChar w:fldCharType="end"/>
      </w:r>
      <w:r>
        <w:rPr>
          <w:rFonts w:hint="default" w:ascii="Times New Roman" w:hAnsi="Times New Roman" w:eastAsia="宋体" w:cs="Times New Roman"/>
          <w:color w:val="000000" w:themeColor="text1"/>
          <w:spacing w:val="-6"/>
          <w:lang w:eastAsia="zh-CN"/>
          <w14:textFill>
            <w14:solidFill>
              <w14:schemeClr w14:val="tx1"/>
            </w14:solidFill>
          </w14:textFill>
        </w:rPr>
        <w:t>区域达标评价</w:t>
      </w:r>
      <w:bookmarkEnd w:id="170"/>
      <w:bookmarkEnd w:id="171"/>
    </w:p>
    <w:p w14:paraId="110CE79A">
      <w:pPr>
        <w:pStyle w:val="11"/>
        <w:keepNext w:val="0"/>
        <w:keepLines w:val="0"/>
        <w:pageBreakBefore w:val="0"/>
        <w:kinsoku/>
        <w:wordWrap/>
        <w:overflowPunct/>
        <w:topLinePunct w:val="0"/>
        <w:autoSpaceDE/>
        <w:autoSpaceDN/>
        <w:bidi w:val="0"/>
        <w:ind w:firstLine="456"/>
        <w:outlineLvl w:val="9"/>
        <w:rPr>
          <w:rFonts w:hint="default" w:ascii="Times New Roman" w:hAnsi="Times New Roman" w:eastAsia="宋体" w:cs="Times New Roman"/>
          <w:color w:val="000000" w:themeColor="text1"/>
          <w:spacing w:val="-6"/>
          <w:lang w:eastAsia="zh-CN"/>
          <w14:textFill>
            <w14:solidFill>
              <w14:schemeClr w14:val="tx1"/>
            </w14:solidFill>
          </w14:textFill>
        </w:rPr>
      </w:pPr>
      <w:r>
        <w:rPr>
          <w:rFonts w:hint="default" w:ascii="Times New Roman" w:hAnsi="Times New Roman" w:eastAsia="宋体" w:cs="Times New Roman"/>
          <w:color w:val="000000" w:themeColor="text1"/>
          <w:spacing w:val="-6"/>
          <w:lang w:eastAsia="zh-CN"/>
          <w14:textFill>
            <w14:solidFill>
              <w14:schemeClr w14:val="tx1"/>
            </w14:solidFill>
          </w14:textFill>
        </w:rPr>
        <w:t>根据《环境影响评价技术导则-大气环境》（HJ2.2-2018）中6.2“基本污染物环境质量监测数据来源—6.2.1.1项目所在区域达标判定，优先采用国家或地方生态环境主管部门公开发布的评价基准年环境质量公告过环境质量报告的数据或结论；6.2.1.3评价范围内没有环境空气质量监测网数据或没有公开发布的环境空气质量现状数据的，可选择符合HJ664规定，并且与评价范围地理位置临近，地形、气候条件相近的环境空气质量城市点或区域点监测数据”。</w:t>
      </w:r>
    </w:p>
    <w:p w14:paraId="4A368020">
      <w:pPr>
        <w:pStyle w:val="11"/>
        <w:keepNext w:val="0"/>
        <w:keepLines w:val="0"/>
        <w:pageBreakBefore w:val="0"/>
        <w:kinsoku/>
        <w:wordWrap/>
        <w:overflowPunct/>
        <w:topLinePunct w:val="0"/>
        <w:autoSpaceDE/>
        <w:autoSpaceDN/>
        <w:bidi w:val="0"/>
        <w:ind w:firstLine="456"/>
        <w:outlineLvl w:val="9"/>
        <w:rPr>
          <w:rFonts w:hint="default" w:ascii="Times New Roman" w:hAnsi="Times New Roman" w:eastAsia="宋体" w:cs="Times New Roman"/>
          <w:color w:val="000000" w:themeColor="text1"/>
          <w:spacing w:val="-6"/>
          <w:lang w:eastAsia="zh-CN"/>
          <w14:textFill>
            <w14:solidFill>
              <w14:schemeClr w14:val="tx1"/>
            </w14:solidFill>
          </w14:textFill>
        </w:rPr>
      </w:pPr>
      <w:r>
        <w:rPr>
          <w:rFonts w:hint="default" w:ascii="Times New Roman" w:hAnsi="Times New Roman" w:eastAsia="宋体" w:cs="Times New Roman"/>
          <w:color w:val="000000" w:themeColor="text1"/>
          <w:spacing w:val="-6"/>
          <w:lang w:eastAsia="zh-CN"/>
          <w14:textFill>
            <w14:solidFill>
              <w14:schemeClr w14:val="tx1"/>
            </w14:solidFill>
          </w14:textFill>
        </w:rPr>
        <w:t>本项目位于兴安盟科右前旗，评价基准年为202</w:t>
      </w:r>
      <w:r>
        <w:rPr>
          <w:rFonts w:hint="eastAsia" w:ascii="Times New Roman" w:hAnsi="Times New Roman" w:cs="Times New Roman"/>
          <w:color w:val="000000" w:themeColor="text1"/>
          <w:spacing w:val="-6"/>
          <w:lang w:val="en-US" w:eastAsia="zh-CN"/>
          <w14:textFill>
            <w14:solidFill>
              <w14:schemeClr w14:val="tx1"/>
            </w14:solidFill>
          </w14:textFill>
        </w:rPr>
        <w:t>3</w:t>
      </w:r>
      <w:r>
        <w:rPr>
          <w:rFonts w:hint="default" w:ascii="Times New Roman" w:hAnsi="Times New Roman" w:eastAsia="宋体" w:cs="Times New Roman"/>
          <w:color w:val="000000" w:themeColor="text1"/>
          <w:spacing w:val="-6"/>
          <w:lang w:eastAsia="zh-CN"/>
          <w14:textFill>
            <w14:solidFill>
              <w14:schemeClr w14:val="tx1"/>
            </w14:solidFill>
          </w14:textFill>
        </w:rPr>
        <w:t>年。根据《环境影响评价技术导则大气环境》（HJ2.2-2018）相关要求，本次区域环境质量现状采用内蒙古自治区生态环境厅202</w:t>
      </w:r>
      <w:r>
        <w:rPr>
          <w:rFonts w:hint="eastAsia" w:ascii="Times New Roman" w:hAnsi="Times New Roman" w:cs="Times New Roman"/>
          <w:color w:val="000000" w:themeColor="text1"/>
          <w:spacing w:val="-6"/>
          <w:lang w:val="en-US" w:eastAsia="zh-CN"/>
          <w14:textFill>
            <w14:solidFill>
              <w14:schemeClr w14:val="tx1"/>
            </w14:solidFill>
          </w14:textFill>
        </w:rPr>
        <w:t>4</w:t>
      </w:r>
      <w:r>
        <w:rPr>
          <w:rFonts w:hint="default" w:ascii="Times New Roman" w:hAnsi="Times New Roman" w:eastAsia="宋体" w:cs="Times New Roman"/>
          <w:color w:val="000000" w:themeColor="text1"/>
          <w:spacing w:val="-6"/>
          <w:lang w:eastAsia="zh-CN"/>
          <w14:textFill>
            <w14:solidFill>
              <w14:schemeClr w14:val="tx1"/>
            </w14:solidFill>
          </w14:textFill>
        </w:rPr>
        <w:t>年6月发布的《202</w:t>
      </w:r>
      <w:r>
        <w:rPr>
          <w:rFonts w:hint="eastAsia" w:ascii="Times New Roman" w:hAnsi="Times New Roman" w:cs="Times New Roman"/>
          <w:color w:val="000000" w:themeColor="text1"/>
          <w:spacing w:val="-6"/>
          <w:lang w:val="en-US" w:eastAsia="zh-CN"/>
          <w14:textFill>
            <w14:solidFill>
              <w14:schemeClr w14:val="tx1"/>
            </w14:solidFill>
          </w14:textFill>
        </w:rPr>
        <w:t>3</w:t>
      </w:r>
      <w:r>
        <w:rPr>
          <w:rFonts w:hint="default" w:ascii="Times New Roman" w:hAnsi="Times New Roman" w:eastAsia="宋体" w:cs="Times New Roman"/>
          <w:color w:val="000000" w:themeColor="text1"/>
          <w:spacing w:val="-6"/>
          <w:lang w:eastAsia="zh-CN"/>
          <w14:textFill>
            <w14:solidFill>
              <w14:schemeClr w14:val="tx1"/>
            </w14:solidFill>
          </w14:textFill>
        </w:rPr>
        <w:t>年内蒙古自治区生态环境状况公报》，公报中关于</w:t>
      </w:r>
      <w:r>
        <w:rPr>
          <w:rFonts w:hint="default" w:ascii="Times New Roman" w:hAnsi="Times New Roman" w:eastAsia="宋体" w:cs="Times New Roman"/>
          <w:color w:val="000000" w:themeColor="text1"/>
          <w:spacing w:val="-6"/>
          <w:lang w:val="en-US" w:eastAsia="zh-CN"/>
          <w14:textFill>
            <w14:solidFill>
              <w14:schemeClr w14:val="tx1"/>
            </w14:solidFill>
          </w14:textFill>
        </w:rPr>
        <w:t>2023年，全区12盟市中，除乌海市，其他11个盟市环境空气质量均达标。全区城市环境空气质量平均优良天数比例为87.2%，同比下降5.7个百分点；扣除异常沙尘天气影响后，全区环境空气质量优良天数比例为90.2%，重污染天数比例（未扣除沙尘天气影响）为2.1%，同比上升1.5个百分点。</w:t>
      </w:r>
    </w:p>
    <w:p w14:paraId="303CD2F2">
      <w:pPr>
        <w:pStyle w:val="11"/>
        <w:keepNext w:val="0"/>
        <w:keepLines w:val="0"/>
        <w:pageBreakBefore w:val="0"/>
        <w:kinsoku/>
        <w:wordWrap/>
        <w:overflowPunct/>
        <w:topLinePunct w:val="0"/>
        <w:autoSpaceDE/>
        <w:autoSpaceDN/>
        <w:bidi w:val="0"/>
        <w:ind w:firstLine="480"/>
        <w:outlineLvl w:val="9"/>
        <w:rPr>
          <w:rFonts w:hint="default" w:ascii="Times New Roman" w:hAnsi="Times New Roman" w:eastAsia="宋体" w:cs="Times New Roman"/>
          <w:color w:val="000000" w:themeColor="text1"/>
          <w:spacing w:val="-6"/>
          <w:lang w:eastAsia="zh-CN"/>
          <w14:textFill>
            <w14:solidFill>
              <w14:schemeClr w14:val="tx1"/>
            </w14:solidFill>
          </w14:textFill>
        </w:rPr>
      </w:pPr>
      <w:bookmarkStart w:id="172" w:name="_Toc1867"/>
      <w:bookmarkStart w:id="173" w:name="_Toc2267"/>
      <w:r>
        <w:rPr>
          <w:rFonts w:hint="default" w:ascii="Times New Roman" w:hAnsi="Times New Roman" w:eastAsia="宋体" w:cs="Times New Roman"/>
          <w:color w:val="000000" w:themeColor="text1"/>
          <w14:textFill>
            <w14:solidFill>
              <w14:schemeClr w14:val="tx1"/>
            </w14:solidFill>
          </w14:textFill>
        </w:rPr>
        <w:fldChar w:fldCharType="begin"/>
      </w:r>
      <w:r>
        <w:rPr>
          <w:rFonts w:hint="default" w:ascii="Times New Roman" w:hAnsi="Times New Roman" w:eastAsia="宋体" w:cs="Times New Roman"/>
          <w:color w:val="000000" w:themeColor="text1"/>
          <w14:textFill>
            <w14:solidFill>
              <w14:schemeClr w14:val="tx1"/>
            </w14:solidFill>
          </w14:textFill>
        </w:rPr>
        <w:instrText xml:space="preserve"> HYPERLINK "file:///C:\\Users\\Administrator\\Desktop\\科右前旗现代农牧业园区核心育种场养殖项目-修改稿\\4.3.2.2" </w:instrText>
      </w:r>
      <w:r>
        <w:rPr>
          <w:rFonts w:hint="default" w:ascii="Times New Roman" w:hAnsi="Times New Roman" w:eastAsia="宋体" w:cs="Times New Roman"/>
          <w:color w:val="000000" w:themeColor="text1"/>
          <w14:textFill>
            <w14:solidFill>
              <w14:schemeClr w14:val="tx1"/>
            </w14:solidFill>
          </w14:textFill>
        </w:rPr>
        <w:fldChar w:fldCharType="separate"/>
      </w:r>
      <w:r>
        <w:rPr>
          <w:rFonts w:hint="default" w:ascii="Times New Roman" w:hAnsi="Times New Roman" w:eastAsia="宋体" w:cs="Times New Roman"/>
          <w:color w:val="000000" w:themeColor="text1"/>
          <w:spacing w:val="-6"/>
          <w:lang w:eastAsia="zh-CN"/>
          <w14:textFill>
            <w14:solidFill>
              <w14:schemeClr w14:val="tx1"/>
            </w14:solidFill>
          </w14:textFill>
        </w:rPr>
        <w:t>4.2.2.2</w:t>
      </w:r>
      <w:r>
        <w:rPr>
          <w:rFonts w:hint="default" w:ascii="Times New Roman" w:hAnsi="Times New Roman" w:eastAsia="宋体" w:cs="Times New Roman"/>
          <w:color w:val="000000" w:themeColor="text1"/>
          <w:spacing w:val="-6"/>
          <w:lang w:eastAsia="zh-CN"/>
          <w14:textFill>
            <w14:solidFill>
              <w14:schemeClr w14:val="tx1"/>
            </w14:solidFill>
          </w14:textFill>
        </w:rPr>
        <w:fldChar w:fldCharType="end"/>
      </w:r>
      <w:r>
        <w:rPr>
          <w:rFonts w:hint="default" w:ascii="Times New Roman" w:hAnsi="Times New Roman" w:eastAsia="宋体" w:cs="Times New Roman"/>
          <w:color w:val="000000" w:themeColor="text1"/>
          <w:spacing w:val="-6"/>
          <w:lang w:eastAsia="zh-CN"/>
          <w14:textFill>
            <w14:solidFill>
              <w14:schemeClr w14:val="tx1"/>
            </w14:solidFill>
          </w14:textFill>
        </w:rPr>
        <w:t>大气环境质量补充监测</w:t>
      </w:r>
      <w:bookmarkEnd w:id="172"/>
      <w:bookmarkEnd w:id="173"/>
    </w:p>
    <w:p w14:paraId="6D9DBB2A">
      <w:pPr>
        <w:pStyle w:val="11"/>
        <w:keepNext w:val="0"/>
        <w:keepLines w:val="0"/>
        <w:pageBreakBefore w:val="0"/>
        <w:kinsoku/>
        <w:wordWrap/>
        <w:overflowPunct/>
        <w:topLinePunct w:val="0"/>
        <w:autoSpaceDE/>
        <w:autoSpaceDN/>
        <w:bidi w:val="0"/>
        <w:ind w:firstLine="456"/>
        <w:outlineLvl w:val="9"/>
        <w:rPr>
          <w:rFonts w:hint="default" w:ascii="Times New Roman" w:hAnsi="Times New Roman" w:eastAsia="宋体" w:cs="Times New Roman"/>
          <w:color w:val="000000" w:themeColor="text1"/>
          <w:spacing w:val="-6"/>
          <w:lang w:eastAsia="zh-CN"/>
          <w14:textFill>
            <w14:solidFill>
              <w14:schemeClr w14:val="tx1"/>
            </w14:solidFill>
          </w14:textFill>
        </w:rPr>
      </w:pPr>
      <w:r>
        <w:rPr>
          <w:rFonts w:hint="default" w:ascii="Times New Roman" w:hAnsi="Times New Roman" w:eastAsia="宋体" w:cs="Times New Roman"/>
          <w:color w:val="000000" w:themeColor="text1"/>
          <w:spacing w:val="-6"/>
          <w:lang w:eastAsia="zh-CN"/>
          <w14:textFill>
            <w14:solidFill>
              <w14:schemeClr w14:val="tx1"/>
            </w14:solidFill>
          </w14:textFill>
        </w:rPr>
        <w:t>综合项目环境空气污染源特点、区域风频特征，本项目委托北京华成星科检测服务有限公司对项目区域大气环境质量现状进行检测。</w:t>
      </w:r>
    </w:p>
    <w:p w14:paraId="410D5700">
      <w:pPr>
        <w:pStyle w:val="11"/>
        <w:keepNext w:val="0"/>
        <w:keepLines w:val="0"/>
        <w:pageBreakBefore w:val="0"/>
        <w:kinsoku/>
        <w:wordWrap/>
        <w:overflowPunct/>
        <w:topLinePunct w:val="0"/>
        <w:autoSpaceDE/>
        <w:autoSpaceDN/>
        <w:bidi w:val="0"/>
        <w:ind w:firstLine="456"/>
        <w:outlineLvl w:val="9"/>
        <w:rPr>
          <w:rFonts w:hint="default" w:ascii="Times New Roman" w:hAnsi="Times New Roman" w:eastAsia="宋体" w:cs="Times New Roman"/>
          <w:color w:val="000000" w:themeColor="text1"/>
          <w:spacing w:val="-6"/>
          <w:lang w:eastAsia="zh-CN"/>
          <w14:textFill>
            <w14:solidFill>
              <w14:schemeClr w14:val="tx1"/>
            </w14:solidFill>
          </w14:textFill>
        </w:rPr>
      </w:pPr>
      <w:bookmarkStart w:id="174" w:name="_Toc22068"/>
      <w:bookmarkStart w:id="175" w:name="_Toc27987"/>
      <w:r>
        <w:rPr>
          <w:rFonts w:hint="default" w:ascii="Times New Roman" w:hAnsi="Times New Roman" w:eastAsia="宋体" w:cs="Times New Roman"/>
          <w:color w:val="000000" w:themeColor="text1"/>
          <w:spacing w:val="-6"/>
          <w:lang w:eastAsia="zh-CN"/>
          <w14:textFill>
            <w14:solidFill>
              <w14:schemeClr w14:val="tx1"/>
            </w14:solidFill>
          </w14:textFill>
        </w:rPr>
        <w:t>（1）检测项目</w:t>
      </w:r>
      <w:bookmarkEnd w:id="174"/>
      <w:bookmarkEnd w:id="175"/>
    </w:p>
    <w:p w14:paraId="3C553B2A">
      <w:pPr>
        <w:pStyle w:val="11"/>
        <w:keepNext w:val="0"/>
        <w:keepLines w:val="0"/>
        <w:pageBreakBefore w:val="0"/>
        <w:kinsoku/>
        <w:wordWrap/>
        <w:overflowPunct/>
        <w:topLinePunct w:val="0"/>
        <w:autoSpaceDE/>
        <w:autoSpaceDN/>
        <w:bidi w:val="0"/>
        <w:ind w:firstLine="456"/>
        <w:outlineLvl w:val="9"/>
        <w:rPr>
          <w:rFonts w:hint="default" w:ascii="Times New Roman" w:hAnsi="Times New Roman" w:eastAsia="宋体" w:cs="Times New Roman"/>
          <w:color w:val="000000" w:themeColor="text1"/>
          <w:spacing w:val="-6"/>
          <w:lang w:eastAsia="zh-CN"/>
          <w14:textFill>
            <w14:solidFill>
              <w14:schemeClr w14:val="tx1"/>
            </w14:solidFill>
          </w14:textFill>
        </w:rPr>
      </w:pPr>
      <w:r>
        <w:rPr>
          <w:rFonts w:hint="default" w:ascii="Times New Roman" w:hAnsi="Times New Roman" w:eastAsia="宋体" w:cs="Times New Roman"/>
          <w:color w:val="000000" w:themeColor="text1"/>
          <w:spacing w:val="-6"/>
          <w:lang w:eastAsia="zh-CN"/>
          <w14:textFill>
            <w14:solidFill>
              <w14:schemeClr w14:val="tx1"/>
            </w14:solidFill>
          </w14:textFill>
        </w:rPr>
        <w:t>NH</w:t>
      </w:r>
      <w:r>
        <w:rPr>
          <w:rFonts w:hint="default" w:ascii="Times New Roman" w:hAnsi="Times New Roman" w:eastAsia="宋体" w:cs="Times New Roman"/>
          <w:color w:val="000000" w:themeColor="text1"/>
          <w:spacing w:val="-6"/>
          <w:vertAlign w:val="subscript"/>
          <w:lang w:eastAsia="zh-CN"/>
          <w14:textFill>
            <w14:solidFill>
              <w14:schemeClr w14:val="tx1"/>
            </w14:solidFill>
          </w14:textFill>
        </w:rPr>
        <w:t>3</w:t>
      </w:r>
      <w:r>
        <w:rPr>
          <w:rFonts w:hint="default" w:ascii="Times New Roman" w:hAnsi="Times New Roman" w:eastAsia="宋体" w:cs="Times New Roman"/>
          <w:color w:val="000000" w:themeColor="text1"/>
          <w:spacing w:val="-6"/>
          <w:lang w:eastAsia="zh-CN"/>
          <w14:textFill>
            <w14:solidFill>
              <w14:schemeClr w14:val="tx1"/>
            </w14:solidFill>
          </w14:textFill>
        </w:rPr>
        <w:t>、H</w:t>
      </w:r>
      <w:r>
        <w:rPr>
          <w:rFonts w:hint="default" w:ascii="Times New Roman" w:hAnsi="Times New Roman" w:eastAsia="宋体" w:cs="Times New Roman"/>
          <w:color w:val="000000" w:themeColor="text1"/>
          <w:spacing w:val="-6"/>
          <w:vertAlign w:val="subscript"/>
          <w:lang w:eastAsia="zh-CN"/>
          <w14:textFill>
            <w14:solidFill>
              <w14:schemeClr w14:val="tx1"/>
            </w14:solidFill>
          </w14:textFill>
        </w:rPr>
        <w:t>2</w:t>
      </w:r>
      <w:r>
        <w:rPr>
          <w:rFonts w:hint="default" w:ascii="Times New Roman" w:hAnsi="Times New Roman" w:eastAsia="宋体" w:cs="Times New Roman"/>
          <w:color w:val="000000" w:themeColor="text1"/>
          <w:spacing w:val="-6"/>
          <w:lang w:eastAsia="zh-CN"/>
          <w14:textFill>
            <w14:solidFill>
              <w14:schemeClr w14:val="tx1"/>
            </w14:solidFill>
          </w14:textFill>
        </w:rPr>
        <w:t>S</w:t>
      </w:r>
      <w:r>
        <w:rPr>
          <w:rFonts w:hint="eastAsia" w:ascii="Times New Roman" w:hAnsi="Times New Roman" w:cs="Times New Roman"/>
          <w:color w:val="000000" w:themeColor="text1"/>
          <w:spacing w:val="-6"/>
          <w:lang w:eastAsia="zh-CN"/>
          <w14:textFill>
            <w14:solidFill>
              <w14:schemeClr w14:val="tx1"/>
            </w14:solidFill>
          </w14:textFill>
        </w:rPr>
        <w:t>、</w:t>
      </w:r>
      <w:r>
        <w:rPr>
          <w:rFonts w:hint="eastAsia" w:ascii="Times New Roman" w:hAnsi="Times New Roman" w:cs="Times New Roman"/>
          <w:color w:val="000000" w:themeColor="text1"/>
          <w:spacing w:val="-6"/>
          <w:lang w:val="en-US" w:eastAsia="zh-CN"/>
          <w14:textFill>
            <w14:solidFill>
              <w14:schemeClr w14:val="tx1"/>
            </w14:solidFill>
          </w14:textFill>
        </w:rPr>
        <w:t>臭气浓度</w:t>
      </w:r>
      <w:r>
        <w:rPr>
          <w:rFonts w:hint="default" w:ascii="Times New Roman" w:hAnsi="Times New Roman" w:eastAsia="宋体" w:cs="Times New Roman"/>
          <w:color w:val="000000" w:themeColor="text1"/>
          <w:spacing w:val="-6"/>
          <w:lang w:eastAsia="zh-CN"/>
          <w14:textFill>
            <w14:solidFill>
              <w14:schemeClr w14:val="tx1"/>
            </w14:solidFill>
          </w14:textFill>
        </w:rPr>
        <w:t>，TSP。检测期间同步观测气温、气压、风向、风速。</w:t>
      </w:r>
    </w:p>
    <w:p w14:paraId="1F7F6DA6">
      <w:pPr>
        <w:pStyle w:val="11"/>
        <w:keepNext w:val="0"/>
        <w:keepLines w:val="0"/>
        <w:pageBreakBefore w:val="0"/>
        <w:kinsoku/>
        <w:wordWrap/>
        <w:overflowPunct/>
        <w:topLinePunct w:val="0"/>
        <w:autoSpaceDE/>
        <w:autoSpaceDN/>
        <w:bidi w:val="0"/>
        <w:ind w:firstLine="456"/>
        <w:outlineLvl w:val="9"/>
        <w:rPr>
          <w:rFonts w:hint="default" w:ascii="Times New Roman" w:hAnsi="Times New Roman" w:eastAsia="宋体" w:cs="Times New Roman"/>
          <w:color w:val="000000" w:themeColor="text1"/>
          <w:spacing w:val="-6"/>
          <w:lang w:eastAsia="zh-CN"/>
          <w14:textFill>
            <w14:solidFill>
              <w14:schemeClr w14:val="tx1"/>
            </w14:solidFill>
          </w14:textFill>
        </w:rPr>
      </w:pPr>
      <w:bookmarkStart w:id="176" w:name="_Toc4256"/>
      <w:bookmarkStart w:id="177" w:name="_Toc19490"/>
      <w:r>
        <w:rPr>
          <w:rFonts w:hint="default" w:ascii="Times New Roman" w:hAnsi="Times New Roman" w:eastAsia="宋体" w:cs="Times New Roman"/>
          <w:color w:val="000000" w:themeColor="text1"/>
          <w:spacing w:val="-6"/>
          <w:lang w:eastAsia="zh-CN"/>
          <w14:textFill>
            <w14:solidFill>
              <w14:schemeClr w14:val="tx1"/>
            </w14:solidFill>
          </w14:textFill>
        </w:rPr>
        <w:t>（2）检测点位</w:t>
      </w:r>
      <w:bookmarkEnd w:id="176"/>
      <w:bookmarkEnd w:id="177"/>
    </w:p>
    <w:p w14:paraId="5BE80E9D">
      <w:pPr>
        <w:pStyle w:val="11"/>
        <w:keepNext w:val="0"/>
        <w:keepLines w:val="0"/>
        <w:pageBreakBefore w:val="0"/>
        <w:kinsoku/>
        <w:wordWrap/>
        <w:overflowPunct/>
        <w:topLinePunct w:val="0"/>
        <w:autoSpaceDE/>
        <w:autoSpaceDN/>
        <w:bidi w:val="0"/>
        <w:ind w:firstLine="456"/>
        <w:outlineLvl w:val="9"/>
        <w:rPr>
          <w:rFonts w:hint="default" w:ascii="Times New Roman" w:hAnsi="Times New Roman" w:eastAsia="宋体" w:cs="Times New Roman"/>
          <w:color w:val="000000" w:themeColor="text1"/>
          <w:spacing w:val="-6"/>
          <w:lang w:eastAsia="zh-CN"/>
          <w14:textFill>
            <w14:solidFill>
              <w14:schemeClr w14:val="tx1"/>
            </w14:solidFill>
          </w14:textFill>
        </w:rPr>
      </w:pPr>
      <w:r>
        <w:rPr>
          <w:rFonts w:hint="default" w:ascii="Times New Roman" w:hAnsi="Times New Roman" w:eastAsia="宋体" w:cs="Times New Roman"/>
          <w:color w:val="000000" w:themeColor="text1"/>
          <w:spacing w:val="-6"/>
          <w:lang w:eastAsia="zh-CN"/>
          <w14:textFill>
            <w14:solidFill>
              <w14:schemeClr w14:val="tx1"/>
            </w14:solidFill>
          </w14:textFill>
        </w:rPr>
        <w:t>检测点位详见表4.2-11，监测点位图见附图。</w:t>
      </w:r>
    </w:p>
    <w:p w14:paraId="2B7EB84B">
      <w:pPr>
        <w:pStyle w:val="11"/>
        <w:keepNext w:val="0"/>
        <w:keepLines w:val="0"/>
        <w:pageBreakBefore w:val="0"/>
        <w:kinsoku/>
        <w:wordWrap/>
        <w:overflowPunct/>
        <w:topLinePunct w:val="0"/>
        <w:autoSpaceDE/>
        <w:autoSpaceDN/>
        <w:bidi w:val="0"/>
        <w:ind w:firstLine="0" w:firstLineChars="0"/>
        <w:jc w:val="center"/>
        <w:outlineLvl w:val="9"/>
        <w:rPr>
          <w:rFonts w:hint="default" w:ascii="Times New Roman" w:hAnsi="Times New Roman" w:eastAsia="宋体" w:cs="Times New Roman"/>
          <w:b/>
          <w:bCs/>
          <w:color w:val="000000" w:themeColor="text1"/>
          <w:spacing w:val="-6"/>
          <w14:textFill>
            <w14:solidFill>
              <w14:schemeClr w14:val="tx1"/>
            </w14:solidFill>
          </w14:textFill>
        </w:rPr>
      </w:pPr>
      <w:r>
        <w:rPr>
          <w:rFonts w:hint="default" w:ascii="Times New Roman" w:hAnsi="Times New Roman" w:eastAsia="宋体" w:cs="Times New Roman"/>
          <w:b/>
          <w:bCs/>
          <w:color w:val="000000" w:themeColor="text1"/>
          <w:spacing w:val="-6"/>
          <w14:textFill>
            <w14:solidFill>
              <w14:schemeClr w14:val="tx1"/>
            </w14:solidFill>
          </w14:textFill>
        </w:rPr>
        <w:t>表</w:t>
      </w:r>
      <w:r>
        <w:rPr>
          <w:rFonts w:hint="default" w:ascii="Times New Roman" w:hAnsi="Times New Roman" w:eastAsia="宋体" w:cs="Times New Roman"/>
          <w:b/>
          <w:bCs/>
          <w:color w:val="000000" w:themeColor="text1"/>
          <w:spacing w:val="-6"/>
          <w:lang w:eastAsia="zh-CN"/>
          <w14:textFill>
            <w14:solidFill>
              <w14:schemeClr w14:val="tx1"/>
            </w14:solidFill>
          </w14:textFill>
        </w:rPr>
        <w:t>4.2-11</w:t>
      </w:r>
      <w:r>
        <w:rPr>
          <w:rFonts w:hint="default" w:ascii="Times New Roman" w:hAnsi="Times New Roman" w:eastAsia="宋体" w:cs="Times New Roman"/>
          <w:b/>
          <w:bCs/>
          <w:color w:val="000000" w:themeColor="text1"/>
          <w:spacing w:val="-6"/>
          <w14:textFill>
            <w14:solidFill>
              <w14:schemeClr w14:val="tx1"/>
            </w14:solidFill>
          </w14:textFill>
        </w:rPr>
        <w:t>检测点位一览表</w:t>
      </w:r>
    </w:p>
    <w:tbl>
      <w:tblPr>
        <w:tblStyle w:val="2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2"/>
        <w:gridCol w:w="2198"/>
        <w:gridCol w:w="1018"/>
        <w:gridCol w:w="932"/>
        <w:gridCol w:w="3228"/>
      </w:tblGrid>
      <w:tr w14:paraId="4248A1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682" w:type="dxa"/>
            <w:vAlign w:val="center"/>
          </w:tcPr>
          <w:p w14:paraId="29082FF9">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b/>
                <w:bCs/>
                <w:color w:val="000000" w:themeColor="text1"/>
                <w:spacing w:val="-6"/>
                <w:sz w:val="21"/>
                <w:szCs w:val="21"/>
                <w14:textFill>
                  <w14:solidFill>
                    <w14:schemeClr w14:val="tx1"/>
                  </w14:solidFill>
                </w14:textFill>
              </w:rPr>
            </w:pPr>
            <w:r>
              <w:rPr>
                <w:rFonts w:hint="default" w:ascii="Times New Roman" w:hAnsi="Times New Roman" w:eastAsia="宋体" w:cs="Times New Roman"/>
                <w:b/>
                <w:bCs/>
                <w:color w:val="000000" w:themeColor="text1"/>
                <w:spacing w:val="-6"/>
                <w:sz w:val="21"/>
                <w:szCs w:val="21"/>
                <w14:textFill>
                  <w14:solidFill>
                    <w14:schemeClr w14:val="tx1"/>
                  </w14:solidFill>
                </w14:textFill>
              </w:rPr>
              <w:t>序号</w:t>
            </w:r>
          </w:p>
        </w:tc>
        <w:tc>
          <w:tcPr>
            <w:tcW w:w="2198" w:type="dxa"/>
            <w:vAlign w:val="center"/>
          </w:tcPr>
          <w:p w14:paraId="599DEE6C">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b/>
                <w:bCs/>
                <w:color w:val="000000" w:themeColor="text1"/>
                <w:spacing w:val="-6"/>
                <w:sz w:val="21"/>
                <w:szCs w:val="21"/>
                <w14:textFill>
                  <w14:solidFill>
                    <w14:schemeClr w14:val="tx1"/>
                  </w14:solidFill>
                </w14:textFill>
              </w:rPr>
            </w:pPr>
            <w:r>
              <w:rPr>
                <w:rFonts w:hint="default" w:ascii="Times New Roman" w:hAnsi="Times New Roman" w:eastAsia="宋体" w:cs="Times New Roman"/>
                <w:b/>
                <w:bCs/>
                <w:color w:val="000000" w:themeColor="text1"/>
                <w:spacing w:val="-6"/>
                <w:sz w:val="21"/>
                <w:szCs w:val="21"/>
                <w14:textFill>
                  <w14:solidFill>
                    <w14:schemeClr w14:val="tx1"/>
                  </w14:solidFill>
                </w14:textFill>
              </w:rPr>
              <w:t>名称</w:t>
            </w:r>
          </w:p>
        </w:tc>
        <w:tc>
          <w:tcPr>
            <w:tcW w:w="1018" w:type="dxa"/>
            <w:vAlign w:val="center"/>
          </w:tcPr>
          <w:p w14:paraId="0E7BB260">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b/>
                <w:bCs/>
                <w:color w:val="000000" w:themeColor="text1"/>
                <w:spacing w:val="-6"/>
                <w:sz w:val="21"/>
                <w:szCs w:val="21"/>
                <w14:textFill>
                  <w14:solidFill>
                    <w14:schemeClr w14:val="tx1"/>
                  </w14:solidFill>
                </w14:textFill>
              </w:rPr>
            </w:pPr>
            <w:r>
              <w:rPr>
                <w:rFonts w:hint="default" w:ascii="Times New Roman" w:hAnsi="Times New Roman" w:eastAsia="宋体" w:cs="Times New Roman"/>
                <w:b/>
                <w:bCs/>
                <w:color w:val="000000" w:themeColor="text1"/>
                <w:spacing w:val="-6"/>
                <w:sz w:val="21"/>
                <w:szCs w:val="21"/>
                <w14:textFill>
                  <w14:solidFill>
                    <w14:schemeClr w14:val="tx1"/>
                  </w14:solidFill>
                </w14:textFill>
              </w:rPr>
              <w:t>方位</w:t>
            </w:r>
          </w:p>
        </w:tc>
        <w:tc>
          <w:tcPr>
            <w:tcW w:w="932" w:type="dxa"/>
            <w:vAlign w:val="center"/>
          </w:tcPr>
          <w:p w14:paraId="5F7B51E6">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b/>
                <w:bCs/>
                <w:color w:val="000000" w:themeColor="text1"/>
                <w:spacing w:val="-6"/>
                <w:sz w:val="21"/>
                <w:szCs w:val="21"/>
                <w14:textFill>
                  <w14:solidFill>
                    <w14:schemeClr w14:val="tx1"/>
                  </w14:solidFill>
                </w14:textFill>
              </w:rPr>
            </w:pPr>
            <w:r>
              <w:rPr>
                <w:rFonts w:hint="default" w:ascii="Times New Roman" w:hAnsi="Times New Roman" w:eastAsia="宋体" w:cs="Times New Roman"/>
                <w:b/>
                <w:bCs/>
                <w:color w:val="000000" w:themeColor="text1"/>
                <w:spacing w:val="-6"/>
                <w:sz w:val="21"/>
                <w:szCs w:val="21"/>
                <w14:textFill>
                  <w14:solidFill>
                    <w14:schemeClr w14:val="tx1"/>
                  </w14:solidFill>
                </w14:textFill>
              </w:rPr>
              <w:t>距离/m</w:t>
            </w:r>
          </w:p>
        </w:tc>
        <w:tc>
          <w:tcPr>
            <w:tcW w:w="3228" w:type="dxa"/>
          </w:tcPr>
          <w:p w14:paraId="535D5DB5">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b/>
                <w:bCs/>
                <w:color w:val="000000" w:themeColor="text1"/>
                <w:spacing w:val="-6"/>
                <w:sz w:val="21"/>
                <w:szCs w:val="21"/>
                <w14:textFill>
                  <w14:solidFill>
                    <w14:schemeClr w14:val="tx1"/>
                  </w14:solidFill>
                </w14:textFill>
              </w:rPr>
            </w:pPr>
            <w:r>
              <w:rPr>
                <w:rFonts w:hint="default" w:ascii="Times New Roman" w:hAnsi="Times New Roman" w:eastAsia="宋体" w:cs="Times New Roman"/>
                <w:b/>
                <w:bCs/>
                <w:color w:val="000000" w:themeColor="text1"/>
                <w:spacing w:val="-6"/>
                <w:sz w:val="21"/>
                <w:szCs w:val="21"/>
                <w14:textFill>
                  <w14:solidFill>
                    <w14:schemeClr w14:val="tx1"/>
                  </w14:solidFill>
                </w14:textFill>
              </w:rPr>
              <w:t>坐标</w:t>
            </w:r>
          </w:p>
        </w:tc>
      </w:tr>
      <w:tr w14:paraId="465AC3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682" w:type="dxa"/>
            <w:vAlign w:val="center"/>
          </w:tcPr>
          <w:p w14:paraId="58018754">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1</w:t>
            </w:r>
          </w:p>
        </w:tc>
        <w:tc>
          <w:tcPr>
            <w:tcW w:w="2198" w:type="dxa"/>
          </w:tcPr>
          <w:p w14:paraId="1F08C506">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项目厂区</w:t>
            </w:r>
          </w:p>
        </w:tc>
        <w:tc>
          <w:tcPr>
            <w:tcW w:w="1018" w:type="dxa"/>
            <w:vAlign w:val="center"/>
          </w:tcPr>
          <w:p w14:paraId="42D0447C">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eastAsia" w:ascii="Times New Roman" w:hAnsi="Times New Roman" w:eastAsia="宋体" w:cs="Times New Roman"/>
                <w:color w:val="000000" w:themeColor="text1"/>
                <w:spacing w:val="-6"/>
                <w:sz w:val="21"/>
                <w:szCs w:val="21"/>
                <w:lang w:val="en-US" w:eastAsia="zh-CN"/>
                <w14:textFill>
                  <w14:solidFill>
                    <w14:schemeClr w14:val="tx1"/>
                  </w14:solidFill>
                </w14:textFill>
              </w:rPr>
            </w:pPr>
            <w:r>
              <w:rPr>
                <w:rFonts w:hint="eastAsia" w:ascii="Times New Roman" w:hAnsi="Times New Roman" w:cs="Times New Roman"/>
                <w:color w:val="000000" w:themeColor="text1"/>
                <w:spacing w:val="-6"/>
                <w:sz w:val="21"/>
                <w:szCs w:val="21"/>
                <w:lang w:val="en-US" w:eastAsia="zh-CN"/>
                <w14:textFill>
                  <w14:solidFill>
                    <w14:schemeClr w14:val="tx1"/>
                  </w14:solidFill>
                </w14:textFill>
              </w:rPr>
              <w:t>/</w:t>
            </w:r>
          </w:p>
        </w:tc>
        <w:tc>
          <w:tcPr>
            <w:tcW w:w="932" w:type="dxa"/>
            <w:vAlign w:val="center"/>
          </w:tcPr>
          <w:p w14:paraId="45077990">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eastAsia" w:ascii="Times New Roman" w:hAnsi="Times New Roman" w:eastAsia="宋体" w:cs="Times New Roman"/>
                <w:color w:val="000000" w:themeColor="text1"/>
                <w:spacing w:val="-6"/>
                <w:sz w:val="21"/>
                <w:szCs w:val="21"/>
                <w:lang w:val="en-US" w:eastAsia="zh-CN"/>
                <w14:textFill>
                  <w14:solidFill>
                    <w14:schemeClr w14:val="tx1"/>
                  </w14:solidFill>
                </w14:textFill>
              </w:rPr>
            </w:pPr>
            <w:r>
              <w:rPr>
                <w:rFonts w:hint="eastAsia" w:ascii="Times New Roman" w:hAnsi="Times New Roman" w:cs="Times New Roman"/>
                <w:color w:val="000000" w:themeColor="text1"/>
                <w:spacing w:val="-6"/>
                <w:sz w:val="21"/>
                <w:szCs w:val="21"/>
                <w:lang w:val="en-US" w:eastAsia="zh-CN"/>
                <w14:textFill>
                  <w14:solidFill>
                    <w14:schemeClr w14:val="tx1"/>
                  </w14:solidFill>
                </w14:textFill>
              </w:rPr>
              <w:t>/</w:t>
            </w:r>
          </w:p>
        </w:tc>
        <w:tc>
          <w:tcPr>
            <w:tcW w:w="3228" w:type="dxa"/>
          </w:tcPr>
          <w:p w14:paraId="2869390F">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eastAsia" w:ascii="Times New Roman" w:hAnsi="Times New Roman" w:cs="Times New Roman"/>
                <w:color w:val="000000" w:themeColor="text1"/>
                <w:spacing w:val="-6"/>
                <w:sz w:val="21"/>
                <w:szCs w:val="21"/>
                <w:lang w:val="en-US" w:eastAsia="zh-CN"/>
                <w14:textFill>
                  <w14:solidFill>
                    <w14:schemeClr w14:val="tx1"/>
                  </w14:solidFill>
                </w14:textFill>
              </w:rPr>
              <w:t>东经</w:t>
            </w:r>
            <w:r>
              <w:rPr>
                <w:rFonts w:hint="default" w:ascii="Times New Roman" w:hAnsi="Times New Roman" w:eastAsia="宋体" w:cs="Times New Roman"/>
                <w:color w:val="000000" w:themeColor="text1"/>
                <w:spacing w:val="-6"/>
                <w:sz w:val="21"/>
                <w:szCs w:val="21"/>
                <w14:textFill>
                  <w14:solidFill>
                    <w14:schemeClr w14:val="tx1"/>
                  </w14:solidFill>
                </w14:textFill>
              </w:rPr>
              <w:t>122°16′33.78″</w:t>
            </w:r>
            <w:r>
              <w:rPr>
                <w:rFonts w:hint="eastAsia" w:ascii="Times New Roman" w:hAnsi="Times New Roman" w:cs="Times New Roman"/>
                <w:color w:val="000000" w:themeColor="text1"/>
                <w:spacing w:val="-6"/>
                <w:sz w:val="21"/>
                <w:szCs w:val="21"/>
                <w:lang w:val="en-US" w:eastAsia="zh-CN"/>
                <w14:textFill>
                  <w14:solidFill>
                    <w14:schemeClr w14:val="tx1"/>
                  </w14:solidFill>
                </w14:textFill>
              </w:rPr>
              <w:t>北纬</w:t>
            </w:r>
            <w:r>
              <w:rPr>
                <w:rFonts w:hint="default" w:ascii="Times New Roman" w:hAnsi="Times New Roman" w:eastAsia="宋体" w:cs="Times New Roman"/>
                <w:color w:val="000000" w:themeColor="text1"/>
                <w:spacing w:val="-6"/>
                <w:sz w:val="21"/>
                <w:szCs w:val="21"/>
                <w14:textFill>
                  <w14:solidFill>
                    <w14:schemeClr w14:val="tx1"/>
                  </w14:solidFill>
                </w14:textFill>
              </w:rPr>
              <w:t>46°11′10.90″</w:t>
            </w:r>
          </w:p>
        </w:tc>
      </w:tr>
      <w:tr w14:paraId="5C7EDD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682" w:type="dxa"/>
            <w:vAlign w:val="center"/>
          </w:tcPr>
          <w:p w14:paraId="5BAB681E">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2</w:t>
            </w:r>
          </w:p>
        </w:tc>
        <w:tc>
          <w:tcPr>
            <w:tcW w:w="2198" w:type="dxa"/>
          </w:tcPr>
          <w:p w14:paraId="30FEDB8B">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厂区下风向</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1</w:t>
            </w:r>
          </w:p>
        </w:tc>
        <w:tc>
          <w:tcPr>
            <w:tcW w:w="1018" w:type="dxa"/>
            <w:vAlign w:val="center"/>
          </w:tcPr>
          <w:p w14:paraId="32EC4E53">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SE</w:t>
            </w:r>
          </w:p>
        </w:tc>
        <w:tc>
          <w:tcPr>
            <w:tcW w:w="932" w:type="dxa"/>
            <w:vAlign w:val="center"/>
          </w:tcPr>
          <w:p w14:paraId="52C47828">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236</w:t>
            </w:r>
          </w:p>
        </w:tc>
        <w:tc>
          <w:tcPr>
            <w:tcW w:w="3228" w:type="dxa"/>
          </w:tcPr>
          <w:p w14:paraId="2C137DFF">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东经122°16'42.90"北纬</w:t>
            </w:r>
            <w:r>
              <w:rPr>
                <w:rFonts w:hint="default" w:ascii="Times New Roman" w:hAnsi="Times New Roman" w:eastAsia="宋体" w:cs="Times New Roman"/>
                <w:color w:val="000000" w:themeColor="text1"/>
                <w:spacing w:val="-6"/>
                <w:sz w:val="21"/>
                <w:szCs w:val="21"/>
                <w14:textFill>
                  <w14:solidFill>
                    <w14:schemeClr w14:val="tx1"/>
                  </w14:solidFill>
                </w14:textFill>
              </w:rPr>
              <w:t>46°10'59.50"</w:t>
            </w:r>
          </w:p>
        </w:tc>
      </w:tr>
      <w:tr w14:paraId="17ED1F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8" w:hRule="atLeast"/>
          <w:jc w:val="center"/>
        </w:trPr>
        <w:tc>
          <w:tcPr>
            <w:tcW w:w="682" w:type="dxa"/>
            <w:vAlign w:val="center"/>
          </w:tcPr>
          <w:p w14:paraId="2B6FB527">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3</w:t>
            </w:r>
          </w:p>
        </w:tc>
        <w:tc>
          <w:tcPr>
            <w:tcW w:w="2198" w:type="dxa"/>
          </w:tcPr>
          <w:p w14:paraId="0CAB4735">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厂区下风向2</w:t>
            </w:r>
          </w:p>
        </w:tc>
        <w:tc>
          <w:tcPr>
            <w:tcW w:w="1018" w:type="dxa"/>
            <w:vAlign w:val="center"/>
          </w:tcPr>
          <w:p w14:paraId="45E63F7E">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SE</w:t>
            </w:r>
          </w:p>
        </w:tc>
        <w:tc>
          <w:tcPr>
            <w:tcW w:w="932" w:type="dxa"/>
            <w:vAlign w:val="center"/>
          </w:tcPr>
          <w:p w14:paraId="4EC36F7A">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590</w:t>
            </w:r>
          </w:p>
        </w:tc>
        <w:tc>
          <w:tcPr>
            <w:tcW w:w="3228" w:type="dxa"/>
          </w:tcPr>
          <w:p w14:paraId="211E6221">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东经122°16'57.53"北纬</w:t>
            </w:r>
            <w:r>
              <w:rPr>
                <w:rFonts w:hint="default" w:ascii="Times New Roman" w:hAnsi="Times New Roman" w:eastAsia="宋体" w:cs="Times New Roman"/>
                <w:color w:val="000000" w:themeColor="text1"/>
                <w:spacing w:val="-6"/>
                <w:sz w:val="21"/>
                <w:szCs w:val="21"/>
                <w14:textFill>
                  <w14:solidFill>
                    <w14:schemeClr w14:val="tx1"/>
                  </w14:solidFill>
                </w14:textFill>
              </w:rPr>
              <w:t>46°10'52.92"</w:t>
            </w:r>
          </w:p>
        </w:tc>
      </w:tr>
    </w:tbl>
    <w:p w14:paraId="5C6B6751">
      <w:pPr>
        <w:pStyle w:val="11"/>
        <w:keepNext w:val="0"/>
        <w:keepLines w:val="0"/>
        <w:pageBreakBefore w:val="0"/>
        <w:kinsoku/>
        <w:wordWrap/>
        <w:overflowPunct/>
        <w:topLinePunct w:val="0"/>
        <w:autoSpaceDE/>
        <w:autoSpaceDN/>
        <w:bidi w:val="0"/>
        <w:ind w:firstLine="456"/>
        <w:outlineLvl w:val="9"/>
        <w:rPr>
          <w:rFonts w:hint="default" w:ascii="Times New Roman" w:hAnsi="Times New Roman" w:eastAsia="宋体" w:cs="Times New Roman"/>
          <w:color w:val="000000" w:themeColor="text1"/>
          <w:spacing w:val="-6"/>
          <w14:textFill>
            <w14:solidFill>
              <w14:schemeClr w14:val="tx1"/>
            </w14:solidFill>
          </w14:textFill>
        </w:rPr>
      </w:pPr>
      <w:bookmarkStart w:id="178" w:name="_Toc11381"/>
      <w:bookmarkStart w:id="179" w:name="_Toc18984"/>
      <w:r>
        <w:rPr>
          <w:rFonts w:hint="default" w:ascii="Times New Roman" w:hAnsi="Times New Roman" w:eastAsia="宋体" w:cs="Times New Roman"/>
          <w:color w:val="000000" w:themeColor="text1"/>
          <w:spacing w:val="-6"/>
          <w:lang w:eastAsia="zh-CN"/>
          <w14:textFill>
            <w14:solidFill>
              <w14:schemeClr w14:val="tx1"/>
            </w14:solidFill>
          </w14:textFill>
        </w:rPr>
        <w:t>（3）</w:t>
      </w:r>
      <w:r>
        <w:rPr>
          <w:rFonts w:hint="default" w:ascii="Times New Roman" w:hAnsi="Times New Roman" w:eastAsia="宋体" w:cs="Times New Roman"/>
          <w:color w:val="000000" w:themeColor="text1"/>
          <w:spacing w:val="-6"/>
          <w14:textFill>
            <w14:solidFill>
              <w14:schemeClr w14:val="tx1"/>
            </w14:solidFill>
          </w14:textFill>
        </w:rPr>
        <w:t>检测时间和频次</w:t>
      </w:r>
      <w:bookmarkEnd w:id="178"/>
      <w:bookmarkEnd w:id="179"/>
    </w:p>
    <w:p w14:paraId="71A0BB18">
      <w:pPr>
        <w:pStyle w:val="11"/>
        <w:keepNext w:val="0"/>
        <w:keepLines w:val="0"/>
        <w:pageBreakBefore w:val="0"/>
        <w:kinsoku/>
        <w:wordWrap/>
        <w:overflowPunct/>
        <w:topLinePunct w:val="0"/>
        <w:autoSpaceDE/>
        <w:autoSpaceDN/>
        <w:bidi w:val="0"/>
        <w:ind w:firstLine="456"/>
        <w:outlineLvl w:val="9"/>
        <w:rPr>
          <w:rFonts w:hint="default" w:ascii="Times New Roman" w:hAnsi="Times New Roman" w:eastAsia="宋体" w:cs="Times New Roman"/>
          <w:color w:val="000000" w:themeColor="text1"/>
          <w:spacing w:val="-6"/>
          <w:lang w:eastAsia="zh-CN"/>
          <w14:textFill>
            <w14:solidFill>
              <w14:schemeClr w14:val="tx1"/>
            </w14:solidFill>
          </w14:textFill>
        </w:rPr>
      </w:pPr>
      <w:r>
        <w:rPr>
          <w:rFonts w:hint="default" w:ascii="Times New Roman" w:hAnsi="Times New Roman" w:eastAsia="宋体" w:cs="Times New Roman"/>
          <w:color w:val="000000" w:themeColor="text1"/>
          <w:spacing w:val="-6"/>
          <w:lang w:eastAsia="zh-CN"/>
          <w14:textFill>
            <w14:solidFill>
              <w14:schemeClr w14:val="tx1"/>
            </w14:solidFill>
          </w14:textFill>
        </w:rPr>
        <w:t>NH</w:t>
      </w:r>
      <w:r>
        <w:rPr>
          <w:rFonts w:hint="default" w:ascii="Times New Roman" w:hAnsi="Times New Roman" w:eastAsia="宋体" w:cs="Times New Roman"/>
          <w:color w:val="000000" w:themeColor="text1"/>
          <w:spacing w:val="-6"/>
          <w:vertAlign w:val="subscript"/>
          <w:lang w:eastAsia="zh-CN"/>
          <w14:textFill>
            <w14:solidFill>
              <w14:schemeClr w14:val="tx1"/>
            </w14:solidFill>
          </w14:textFill>
        </w:rPr>
        <w:t>3</w:t>
      </w:r>
      <w:r>
        <w:rPr>
          <w:rFonts w:hint="default" w:ascii="Times New Roman" w:hAnsi="Times New Roman" w:eastAsia="宋体" w:cs="Times New Roman"/>
          <w:color w:val="000000" w:themeColor="text1"/>
          <w:spacing w:val="-6"/>
          <w:lang w:eastAsia="zh-CN"/>
          <w14:textFill>
            <w14:solidFill>
              <w14:schemeClr w14:val="tx1"/>
            </w14:solidFill>
          </w14:textFill>
        </w:rPr>
        <w:t>、H</w:t>
      </w:r>
      <w:r>
        <w:rPr>
          <w:rFonts w:hint="default" w:ascii="Times New Roman" w:hAnsi="Times New Roman" w:eastAsia="宋体" w:cs="Times New Roman"/>
          <w:color w:val="000000" w:themeColor="text1"/>
          <w:spacing w:val="-6"/>
          <w:vertAlign w:val="subscript"/>
          <w:lang w:eastAsia="zh-CN"/>
          <w14:textFill>
            <w14:solidFill>
              <w14:schemeClr w14:val="tx1"/>
            </w14:solidFill>
          </w14:textFill>
        </w:rPr>
        <w:t>2</w:t>
      </w:r>
      <w:r>
        <w:rPr>
          <w:rFonts w:hint="default" w:ascii="Times New Roman" w:hAnsi="Times New Roman" w:eastAsia="宋体" w:cs="Times New Roman"/>
          <w:color w:val="000000" w:themeColor="text1"/>
          <w:spacing w:val="-6"/>
          <w:lang w:eastAsia="zh-CN"/>
          <w14:textFill>
            <w14:solidFill>
              <w14:schemeClr w14:val="tx1"/>
            </w14:solidFill>
          </w14:textFill>
        </w:rPr>
        <w:t>S、臭气浓度，TSP采样时间为2023年8月13日-19日，连续检测7天。TSP检测日均值，每天24h平均浓度值或采样时间，NH</w:t>
      </w:r>
      <w:r>
        <w:rPr>
          <w:rFonts w:hint="default" w:ascii="Times New Roman" w:hAnsi="Times New Roman" w:eastAsia="宋体" w:cs="Times New Roman"/>
          <w:color w:val="000000" w:themeColor="text1"/>
          <w:spacing w:val="-6"/>
          <w:vertAlign w:val="subscript"/>
          <w:lang w:eastAsia="zh-CN"/>
          <w14:textFill>
            <w14:solidFill>
              <w14:schemeClr w14:val="tx1"/>
            </w14:solidFill>
          </w14:textFill>
        </w:rPr>
        <w:t>3</w:t>
      </w:r>
      <w:r>
        <w:rPr>
          <w:rFonts w:hint="default" w:ascii="Times New Roman" w:hAnsi="Times New Roman" w:eastAsia="宋体" w:cs="Times New Roman"/>
          <w:color w:val="000000" w:themeColor="text1"/>
          <w:spacing w:val="-6"/>
          <w:lang w:eastAsia="zh-CN"/>
          <w14:textFill>
            <w14:solidFill>
              <w14:schemeClr w14:val="tx1"/>
            </w14:solidFill>
          </w14:textFill>
        </w:rPr>
        <w:t>、H</w:t>
      </w:r>
      <w:r>
        <w:rPr>
          <w:rFonts w:hint="default" w:ascii="Times New Roman" w:hAnsi="Times New Roman" w:eastAsia="宋体" w:cs="Times New Roman"/>
          <w:color w:val="000000" w:themeColor="text1"/>
          <w:spacing w:val="-6"/>
          <w:vertAlign w:val="subscript"/>
          <w:lang w:eastAsia="zh-CN"/>
          <w14:textFill>
            <w14:solidFill>
              <w14:schemeClr w14:val="tx1"/>
            </w14:solidFill>
          </w14:textFill>
        </w:rPr>
        <w:t>2</w:t>
      </w:r>
      <w:r>
        <w:rPr>
          <w:rFonts w:hint="default" w:ascii="Times New Roman" w:hAnsi="Times New Roman" w:eastAsia="宋体" w:cs="Times New Roman"/>
          <w:color w:val="000000" w:themeColor="text1"/>
          <w:spacing w:val="-6"/>
          <w:lang w:eastAsia="zh-CN"/>
          <w14:textFill>
            <w14:solidFill>
              <w14:schemeClr w14:val="tx1"/>
            </w14:solidFill>
          </w14:textFill>
        </w:rPr>
        <w:t>S检测小时均值，每小时连续采样时间不少于45min，采样时间分别为02：00-03：00、08：00-09：00、14：00-15：00、20：00-21：00。</w:t>
      </w:r>
    </w:p>
    <w:p w14:paraId="22AE31E5">
      <w:pPr>
        <w:pStyle w:val="11"/>
        <w:keepNext w:val="0"/>
        <w:keepLines w:val="0"/>
        <w:pageBreakBefore w:val="0"/>
        <w:kinsoku/>
        <w:wordWrap/>
        <w:overflowPunct/>
        <w:topLinePunct w:val="0"/>
        <w:autoSpaceDE/>
        <w:autoSpaceDN/>
        <w:bidi w:val="0"/>
        <w:ind w:firstLine="456"/>
        <w:outlineLvl w:val="9"/>
        <w:rPr>
          <w:rFonts w:hint="default" w:ascii="Times New Roman" w:hAnsi="Times New Roman" w:eastAsia="宋体" w:cs="Times New Roman"/>
          <w:color w:val="000000" w:themeColor="text1"/>
          <w:spacing w:val="-6"/>
          <w:lang w:eastAsia="zh-CN"/>
          <w14:textFill>
            <w14:solidFill>
              <w14:schemeClr w14:val="tx1"/>
            </w14:solidFill>
          </w14:textFill>
        </w:rPr>
      </w:pPr>
      <w:bookmarkStart w:id="180" w:name="_Toc18152"/>
      <w:bookmarkStart w:id="181" w:name="_Toc12952"/>
      <w:r>
        <w:rPr>
          <w:rFonts w:hint="default" w:ascii="Times New Roman" w:hAnsi="Times New Roman" w:eastAsia="宋体" w:cs="Times New Roman"/>
          <w:color w:val="000000" w:themeColor="text1"/>
          <w:spacing w:val="-6"/>
          <w:lang w:eastAsia="zh-CN"/>
          <w14:textFill>
            <w14:solidFill>
              <w14:schemeClr w14:val="tx1"/>
            </w14:solidFill>
          </w14:textFill>
        </w:rPr>
        <w:t>（4）采样和检测分析方法</w:t>
      </w:r>
      <w:bookmarkEnd w:id="180"/>
      <w:bookmarkEnd w:id="181"/>
    </w:p>
    <w:p w14:paraId="5D4CEE1D">
      <w:pPr>
        <w:pStyle w:val="11"/>
        <w:keepNext w:val="0"/>
        <w:keepLines w:val="0"/>
        <w:pageBreakBefore w:val="0"/>
        <w:kinsoku/>
        <w:wordWrap/>
        <w:overflowPunct/>
        <w:topLinePunct w:val="0"/>
        <w:autoSpaceDE/>
        <w:autoSpaceDN/>
        <w:bidi w:val="0"/>
        <w:ind w:firstLine="456"/>
        <w:outlineLvl w:val="9"/>
        <w:rPr>
          <w:rFonts w:hint="default" w:ascii="Times New Roman" w:hAnsi="Times New Roman" w:eastAsia="宋体" w:cs="Times New Roman"/>
          <w:color w:val="000000" w:themeColor="text1"/>
          <w:spacing w:val="-6"/>
          <w:lang w:eastAsia="zh-CN"/>
          <w14:textFill>
            <w14:solidFill>
              <w14:schemeClr w14:val="tx1"/>
            </w14:solidFill>
          </w14:textFill>
        </w:rPr>
      </w:pPr>
      <w:r>
        <w:rPr>
          <w:rFonts w:hint="default" w:ascii="Times New Roman" w:hAnsi="Times New Roman" w:eastAsia="宋体" w:cs="Times New Roman"/>
          <w:color w:val="000000" w:themeColor="text1"/>
          <w:spacing w:val="-6"/>
          <w:lang w:eastAsia="zh-CN"/>
          <w14:textFill>
            <w14:solidFill>
              <w14:schemeClr w14:val="tx1"/>
            </w14:solidFill>
          </w14:textFill>
        </w:rPr>
        <w:t>采样仪器及分析方法见表4.2-12。</w:t>
      </w:r>
    </w:p>
    <w:p w14:paraId="2DF066F5">
      <w:pPr>
        <w:pStyle w:val="11"/>
        <w:keepNext w:val="0"/>
        <w:keepLines w:val="0"/>
        <w:pageBreakBefore w:val="0"/>
        <w:kinsoku/>
        <w:wordWrap/>
        <w:overflowPunct/>
        <w:topLinePunct w:val="0"/>
        <w:autoSpaceDE/>
        <w:autoSpaceDN/>
        <w:bidi w:val="0"/>
        <w:ind w:firstLine="0" w:firstLineChars="0"/>
        <w:jc w:val="center"/>
        <w:outlineLvl w:val="9"/>
        <w:rPr>
          <w:rFonts w:hint="default" w:ascii="Times New Roman" w:hAnsi="Times New Roman" w:eastAsia="宋体" w:cs="Times New Roman"/>
          <w:b/>
          <w:bCs/>
          <w:color w:val="000000" w:themeColor="text1"/>
          <w:spacing w:val="-6"/>
          <w:lang w:eastAsia="zh-CN"/>
          <w14:textFill>
            <w14:solidFill>
              <w14:schemeClr w14:val="tx1"/>
            </w14:solidFill>
          </w14:textFill>
        </w:rPr>
      </w:pPr>
      <w:r>
        <w:rPr>
          <w:rFonts w:hint="default" w:ascii="Times New Roman" w:hAnsi="Times New Roman" w:eastAsia="宋体" w:cs="Times New Roman"/>
          <w:b/>
          <w:bCs/>
          <w:color w:val="000000" w:themeColor="text1"/>
          <w:spacing w:val="-6"/>
          <w:lang w:eastAsia="zh-CN"/>
          <w14:textFill>
            <w14:solidFill>
              <w14:schemeClr w14:val="tx1"/>
            </w14:solidFill>
          </w14:textFill>
        </w:rPr>
        <w:t>表4.2-12采样仪器及分析方法一览表</w:t>
      </w:r>
    </w:p>
    <w:tbl>
      <w:tblPr>
        <w:tblStyle w:val="29"/>
        <w:tblW w:w="86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8"/>
        <w:gridCol w:w="1215"/>
        <w:gridCol w:w="1305"/>
        <w:gridCol w:w="3395"/>
        <w:gridCol w:w="1805"/>
      </w:tblGrid>
      <w:tr w14:paraId="51F8FB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5" w:hRule="atLeast"/>
          <w:jc w:val="center"/>
        </w:trPr>
        <w:tc>
          <w:tcPr>
            <w:tcW w:w="958" w:type="dxa"/>
            <w:vAlign w:val="center"/>
          </w:tcPr>
          <w:p w14:paraId="208B7FAC">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b/>
                <w:bCs/>
                <w:color w:val="000000" w:themeColor="text1"/>
                <w:spacing w:val="-6"/>
                <w:sz w:val="21"/>
                <w:szCs w:val="21"/>
                <w14:textFill>
                  <w14:solidFill>
                    <w14:schemeClr w14:val="tx1"/>
                  </w14:solidFill>
                </w14:textFill>
              </w:rPr>
            </w:pPr>
            <w:r>
              <w:rPr>
                <w:rFonts w:hint="default" w:ascii="Times New Roman" w:hAnsi="Times New Roman" w:eastAsia="宋体" w:cs="Times New Roman"/>
                <w:b/>
                <w:bCs/>
                <w:color w:val="000000" w:themeColor="text1"/>
                <w:spacing w:val="-6"/>
                <w:sz w:val="21"/>
                <w:szCs w:val="21"/>
                <w14:textFill>
                  <w14:solidFill>
                    <w14:schemeClr w14:val="tx1"/>
                  </w14:solidFill>
                </w14:textFill>
              </w:rPr>
              <w:t>类别</w:t>
            </w:r>
          </w:p>
        </w:tc>
        <w:tc>
          <w:tcPr>
            <w:tcW w:w="1215" w:type="dxa"/>
            <w:vAlign w:val="center"/>
          </w:tcPr>
          <w:p w14:paraId="7207384A">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b/>
                <w:bCs/>
                <w:color w:val="000000" w:themeColor="text1"/>
                <w:spacing w:val="-6"/>
                <w:sz w:val="21"/>
                <w:szCs w:val="21"/>
                <w14:textFill>
                  <w14:solidFill>
                    <w14:schemeClr w14:val="tx1"/>
                  </w14:solidFill>
                </w14:textFill>
              </w:rPr>
            </w:pPr>
            <w:r>
              <w:rPr>
                <w:rFonts w:hint="default" w:ascii="Times New Roman" w:hAnsi="Times New Roman" w:eastAsia="宋体" w:cs="Times New Roman"/>
                <w:b/>
                <w:bCs/>
                <w:color w:val="000000" w:themeColor="text1"/>
                <w:spacing w:val="-6"/>
                <w:sz w:val="21"/>
                <w:szCs w:val="21"/>
                <w14:textFill>
                  <w14:solidFill>
                    <w14:schemeClr w14:val="tx1"/>
                  </w14:solidFill>
                </w14:textFill>
              </w:rPr>
              <w:t>检测项目</w:t>
            </w:r>
          </w:p>
        </w:tc>
        <w:tc>
          <w:tcPr>
            <w:tcW w:w="1305" w:type="dxa"/>
            <w:vAlign w:val="center"/>
          </w:tcPr>
          <w:p w14:paraId="740C8706">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b/>
                <w:bCs/>
                <w:color w:val="000000" w:themeColor="text1"/>
                <w:spacing w:val="-6"/>
                <w:sz w:val="21"/>
                <w:szCs w:val="21"/>
                <w14:textFill>
                  <w14:solidFill>
                    <w14:schemeClr w14:val="tx1"/>
                  </w14:solidFill>
                </w14:textFill>
              </w:rPr>
            </w:pPr>
            <w:r>
              <w:rPr>
                <w:rFonts w:hint="default" w:ascii="Times New Roman" w:hAnsi="Times New Roman" w:eastAsia="宋体" w:cs="Times New Roman"/>
                <w:b/>
                <w:bCs/>
                <w:color w:val="000000" w:themeColor="text1"/>
                <w:spacing w:val="-6"/>
                <w:sz w:val="21"/>
                <w:szCs w:val="21"/>
                <w14:textFill>
                  <w14:solidFill>
                    <w14:schemeClr w14:val="tx1"/>
                  </w14:solidFill>
                </w14:textFill>
              </w:rPr>
              <w:t>检出限</w:t>
            </w:r>
          </w:p>
        </w:tc>
        <w:tc>
          <w:tcPr>
            <w:tcW w:w="3395" w:type="dxa"/>
            <w:vAlign w:val="center"/>
          </w:tcPr>
          <w:p w14:paraId="1E5AE422">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b/>
                <w:bCs/>
                <w:color w:val="000000" w:themeColor="text1"/>
                <w:spacing w:val="-6"/>
                <w:sz w:val="21"/>
                <w:szCs w:val="21"/>
                <w14:textFill>
                  <w14:solidFill>
                    <w14:schemeClr w14:val="tx1"/>
                  </w14:solidFill>
                </w14:textFill>
              </w:rPr>
            </w:pPr>
            <w:r>
              <w:rPr>
                <w:rFonts w:hint="default" w:ascii="Times New Roman" w:hAnsi="Times New Roman" w:eastAsia="宋体" w:cs="Times New Roman"/>
                <w:b/>
                <w:bCs/>
                <w:color w:val="000000" w:themeColor="text1"/>
                <w:spacing w:val="-6"/>
                <w:sz w:val="21"/>
                <w:szCs w:val="21"/>
                <w14:textFill>
                  <w14:solidFill>
                    <w14:schemeClr w14:val="tx1"/>
                  </w14:solidFill>
                </w14:textFill>
              </w:rPr>
              <w:t>检测</w:t>
            </w:r>
            <w:r>
              <w:rPr>
                <w:rFonts w:hint="default" w:ascii="Times New Roman" w:hAnsi="Times New Roman" w:eastAsia="宋体" w:cs="Times New Roman"/>
                <w:b/>
                <w:bCs/>
                <w:color w:val="000000" w:themeColor="text1"/>
                <w:spacing w:val="-6"/>
                <w:sz w:val="21"/>
                <w:szCs w:val="21"/>
                <w:lang w:val="zh-TW" w:eastAsia="zh-TW"/>
                <w14:textFill>
                  <w14:solidFill>
                    <w14:schemeClr w14:val="tx1"/>
                  </w14:solidFill>
                </w14:textFill>
              </w:rPr>
              <w:t>标准（方法）</w:t>
            </w:r>
          </w:p>
        </w:tc>
        <w:tc>
          <w:tcPr>
            <w:tcW w:w="1805" w:type="dxa"/>
            <w:vAlign w:val="center"/>
          </w:tcPr>
          <w:p w14:paraId="4F532081">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b/>
                <w:bCs/>
                <w:color w:val="000000" w:themeColor="text1"/>
                <w:spacing w:val="-6"/>
                <w:sz w:val="21"/>
                <w:szCs w:val="21"/>
                <w14:textFill>
                  <w14:solidFill>
                    <w14:schemeClr w14:val="tx1"/>
                  </w14:solidFill>
                </w14:textFill>
              </w:rPr>
            </w:pPr>
            <w:r>
              <w:rPr>
                <w:rFonts w:hint="default" w:ascii="Times New Roman" w:hAnsi="Times New Roman" w:eastAsia="宋体" w:cs="Times New Roman"/>
                <w:b/>
                <w:bCs/>
                <w:color w:val="000000" w:themeColor="text1"/>
                <w:spacing w:val="-6"/>
                <w:sz w:val="21"/>
                <w:szCs w:val="21"/>
                <w14:textFill>
                  <w14:solidFill>
                    <w14:schemeClr w14:val="tx1"/>
                  </w14:solidFill>
                </w14:textFill>
              </w:rPr>
              <w:t>主要检测仪器及编号</w:t>
            </w:r>
          </w:p>
        </w:tc>
      </w:tr>
      <w:tr w14:paraId="276BF6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5" w:hRule="atLeast"/>
          <w:jc w:val="center"/>
        </w:trPr>
        <w:tc>
          <w:tcPr>
            <w:tcW w:w="958" w:type="dxa"/>
            <w:vMerge w:val="restart"/>
            <w:vAlign w:val="center"/>
          </w:tcPr>
          <w:p w14:paraId="60F98D4D">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环境</w:t>
            </w:r>
          </w:p>
          <w:p w14:paraId="3A16D6EB">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空气</w:t>
            </w:r>
          </w:p>
        </w:tc>
        <w:tc>
          <w:tcPr>
            <w:tcW w:w="1215" w:type="dxa"/>
            <w:vAlign w:val="center"/>
          </w:tcPr>
          <w:p w14:paraId="3518DDCE">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氨</w:t>
            </w:r>
          </w:p>
        </w:tc>
        <w:tc>
          <w:tcPr>
            <w:tcW w:w="1305" w:type="dxa"/>
            <w:vAlign w:val="center"/>
          </w:tcPr>
          <w:p w14:paraId="32B45F6E">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0.01mg/m</w:t>
            </w:r>
            <w:r>
              <w:rPr>
                <w:rFonts w:hint="default" w:ascii="Times New Roman" w:hAnsi="Times New Roman" w:eastAsia="宋体" w:cs="Times New Roman"/>
                <w:color w:val="000000" w:themeColor="text1"/>
                <w:spacing w:val="-6"/>
                <w:sz w:val="21"/>
                <w:szCs w:val="21"/>
                <w:vertAlign w:val="superscript"/>
                <w14:textFill>
                  <w14:solidFill>
                    <w14:schemeClr w14:val="tx1"/>
                  </w14:solidFill>
                </w14:textFill>
              </w:rPr>
              <w:t>3</w:t>
            </w:r>
          </w:p>
        </w:tc>
        <w:tc>
          <w:tcPr>
            <w:tcW w:w="3395" w:type="dxa"/>
            <w:vAlign w:val="center"/>
          </w:tcPr>
          <w:p w14:paraId="7288FF84">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《环境空气氨的测定纳氏试剂分光光度法》/HJ533-2009</w:t>
            </w:r>
          </w:p>
        </w:tc>
        <w:tc>
          <w:tcPr>
            <w:tcW w:w="1805" w:type="dxa"/>
            <w:vAlign w:val="center"/>
          </w:tcPr>
          <w:p w14:paraId="13AD3B71">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可见分光光度计721、YQ-016</w:t>
            </w:r>
          </w:p>
        </w:tc>
      </w:tr>
      <w:tr w14:paraId="2E94A6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8" w:hRule="atLeast"/>
          <w:jc w:val="center"/>
        </w:trPr>
        <w:tc>
          <w:tcPr>
            <w:tcW w:w="958" w:type="dxa"/>
            <w:vMerge w:val="continue"/>
            <w:vAlign w:val="center"/>
          </w:tcPr>
          <w:p w14:paraId="5E762BA4">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p>
        </w:tc>
        <w:tc>
          <w:tcPr>
            <w:tcW w:w="1215" w:type="dxa"/>
            <w:vAlign w:val="center"/>
          </w:tcPr>
          <w:p w14:paraId="0ECC3C41">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硫化氢</w:t>
            </w:r>
          </w:p>
        </w:tc>
        <w:tc>
          <w:tcPr>
            <w:tcW w:w="1305" w:type="dxa"/>
            <w:vAlign w:val="center"/>
          </w:tcPr>
          <w:p w14:paraId="4E92A275">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0.001</w:t>
            </w:r>
            <w:r>
              <w:rPr>
                <w:rFonts w:hint="default" w:ascii="Times New Roman" w:hAnsi="Times New Roman" w:eastAsia="宋体" w:cs="Times New Roman"/>
                <w:color w:val="000000" w:themeColor="text1"/>
                <w:spacing w:val="-6"/>
                <w:sz w:val="21"/>
                <w:szCs w:val="21"/>
                <w:lang w:val="zh-TW" w:eastAsia="zh-TW"/>
                <w14:textFill>
                  <w14:solidFill>
                    <w14:schemeClr w14:val="tx1"/>
                  </w14:solidFill>
                </w14:textFill>
              </w:rPr>
              <w:t>mg/m</w:t>
            </w:r>
            <w:r>
              <w:rPr>
                <w:rFonts w:hint="default" w:ascii="Times New Roman" w:hAnsi="Times New Roman" w:eastAsia="宋体" w:cs="Times New Roman"/>
                <w:color w:val="000000" w:themeColor="text1"/>
                <w:spacing w:val="-6"/>
                <w:sz w:val="21"/>
                <w:szCs w:val="21"/>
                <w:vertAlign w:val="superscript"/>
                <w:lang w:val="zh-TW" w:eastAsia="zh-TW"/>
                <w14:textFill>
                  <w14:solidFill>
                    <w14:schemeClr w14:val="tx1"/>
                  </w14:solidFill>
                </w14:textFill>
              </w:rPr>
              <w:t>3</w:t>
            </w:r>
          </w:p>
        </w:tc>
        <w:tc>
          <w:tcPr>
            <w:tcW w:w="3395" w:type="dxa"/>
            <w:vAlign w:val="center"/>
          </w:tcPr>
          <w:p w14:paraId="717FD001">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《空气和废气监测分析方法》第四版增补版第三篇第一章十一硫化氢（二）亚甲基蓝分光光度法（B）</w:t>
            </w:r>
          </w:p>
        </w:tc>
        <w:tc>
          <w:tcPr>
            <w:tcW w:w="1805" w:type="dxa"/>
            <w:vAlign w:val="center"/>
          </w:tcPr>
          <w:p w14:paraId="1A782B89">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可见分光光度计</w:t>
            </w:r>
          </w:p>
          <w:p w14:paraId="7793C355">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721、YQ-016</w:t>
            </w:r>
          </w:p>
        </w:tc>
      </w:tr>
      <w:tr w14:paraId="2C397A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9" w:hRule="atLeast"/>
          <w:jc w:val="center"/>
        </w:trPr>
        <w:tc>
          <w:tcPr>
            <w:tcW w:w="958" w:type="dxa"/>
            <w:vMerge w:val="continue"/>
            <w:vAlign w:val="center"/>
          </w:tcPr>
          <w:p w14:paraId="11AE4FDD">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p>
        </w:tc>
        <w:tc>
          <w:tcPr>
            <w:tcW w:w="1215" w:type="dxa"/>
            <w:vAlign w:val="center"/>
          </w:tcPr>
          <w:p w14:paraId="7D9D8614">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臭气浓度</w:t>
            </w:r>
          </w:p>
        </w:tc>
        <w:tc>
          <w:tcPr>
            <w:tcW w:w="1305" w:type="dxa"/>
            <w:vAlign w:val="center"/>
          </w:tcPr>
          <w:p w14:paraId="7192BB15">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10</w:t>
            </w:r>
          </w:p>
        </w:tc>
        <w:tc>
          <w:tcPr>
            <w:tcW w:w="3395" w:type="dxa"/>
            <w:vAlign w:val="center"/>
          </w:tcPr>
          <w:p w14:paraId="7B13DF0C">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《环境空气和废气臭气的测定三点比较式臭袋法》/HJ/T1262-2022</w:t>
            </w:r>
          </w:p>
        </w:tc>
        <w:tc>
          <w:tcPr>
            <w:tcW w:w="1805" w:type="dxa"/>
            <w:vAlign w:val="center"/>
          </w:tcPr>
          <w:p w14:paraId="166862A1">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无臭气体制备系统</w:t>
            </w:r>
          </w:p>
          <w:p w14:paraId="60276854">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JK-WC007、</w:t>
            </w:r>
          </w:p>
          <w:p w14:paraId="6F984698">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YQ-174</w:t>
            </w:r>
          </w:p>
        </w:tc>
      </w:tr>
      <w:tr w14:paraId="492174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1" w:hRule="atLeast"/>
          <w:jc w:val="center"/>
        </w:trPr>
        <w:tc>
          <w:tcPr>
            <w:tcW w:w="958" w:type="dxa"/>
            <w:vMerge w:val="continue"/>
            <w:vAlign w:val="center"/>
          </w:tcPr>
          <w:p w14:paraId="5CCCCC93">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p>
        </w:tc>
        <w:tc>
          <w:tcPr>
            <w:tcW w:w="1215" w:type="dxa"/>
            <w:vAlign w:val="center"/>
          </w:tcPr>
          <w:p w14:paraId="28DE66D5">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总悬浮</w:t>
            </w:r>
          </w:p>
          <w:p w14:paraId="6E828FB3">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颗粒物</w:t>
            </w:r>
          </w:p>
        </w:tc>
        <w:tc>
          <w:tcPr>
            <w:tcW w:w="1305" w:type="dxa"/>
            <w:vAlign w:val="center"/>
          </w:tcPr>
          <w:p w14:paraId="42A8C0C7">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7μg/m</w:t>
            </w:r>
            <w:r>
              <w:rPr>
                <w:rFonts w:hint="default" w:ascii="Times New Roman" w:hAnsi="Times New Roman" w:eastAsia="宋体" w:cs="Times New Roman"/>
                <w:color w:val="000000" w:themeColor="text1"/>
                <w:spacing w:val="-6"/>
                <w:sz w:val="21"/>
                <w:szCs w:val="21"/>
                <w:vertAlign w:val="superscript"/>
                <w14:textFill>
                  <w14:solidFill>
                    <w14:schemeClr w14:val="tx1"/>
                  </w14:solidFill>
                </w14:textFill>
              </w:rPr>
              <w:t>3</w:t>
            </w:r>
          </w:p>
        </w:tc>
        <w:tc>
          <w:tcPr>
            <w:tcW w:w="3395" w:type="dxa"/>
            <w:vAlign w:val="center"/>
          </w:tcPr>
          <w:p w14:paraId="71BA273C">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《环境空气总悬浮颗粒物的测定重量法》/HJ1263-2022</w:t>
            </w:r>
          </w:p>
        </w:tc>
        <w:tc>
          <w:tcPr>
            <w:tcW w:w="1805" w:type="dxa"/>
            <w:vAlign w:val="center"/>
          </w:tcPr>
          <w:p w14:paraId="6CAE2FE6">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综合大气采样器</w:t>
            </w:r>
          </w:p>
          <w:p w14:paraId="142CE810">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KB-6120、YQ-022</w:t>
            </w:r>
          </w:p>
          <w:p w14:paraId="49516A4D">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电子天平</w:t>
            </w:r>
          </w:p>
          <w:p w14:paraId="06F80033">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FA1035、YQ-075</w:t>
            </w:r>
          </w:p>
        </w:tc>
      </w:tr>
    </w:tbl>
    <w:p w14:paraId="79FBD425">
      <w:pPr>
        <w:pStyle w:val="11"/>
        <w:keepNext w:val="0"/>
        <w:keepLines w:val="0"/>
        <w:pageBreakBefore w:val="0"/>
        <w:kinsoku/>
        <w:wordWrap/>
        <w:overflowPunct/>
        <w:topLinePunct w:val="0"/>
        <w:autoSpaceDE/>
        <w:autoSpaceDN/>
        <w:bidi w:val="0"/>
        <w:ind w:firstLine="456"/>
        <w:outlineLvl w:val="9"/>
        <w:rPr>
          <w:rFonts w:hint="default" w:ascii="Times New Roman" w:hAnsi="Times New Roman" w:eastAsia="宋体" w:cs="Times New Roman"/>
          <w:color w:val="000000" w:themeColor="text1"/>
          <w:spacing w:val="-6"/>
          <w14:textFill>
            <w14:solidFill>
              <w14:schemeClr w14:val="tx1"/>
            </w14:solidFill>
          </w14:textFill>
        </w:rPr>
      </w:pPr>
      <w:bookmarkStart w:id="182" w:name="_Toc3040"/>
      <w:bookmarkStart w:id="183" w:name="_Toc28725"/>
      <w:r>
        <w:rPr>
          <w:rFonts w:hint="default" w:ascii="Times New Roman" w:hAnsi="Times New Roman" w:eastAsia="宋体" w:cs="Times New Roman"/>
          <w:color w:val="000000" w:themeColor="text1"/>
          <w:spacing w:val="-6"/>
          <w:lang w:eastAsia="zh-CN"/>
          <w14:textFill>
            <w14:solidFill>
              <w14:schemeClr w14:val="tx1"/>
            </w14:solidFill>
          </w14:textFill>
        </w:rPr>
        <w:t>（5）</w:t>
      </w:r>
      <w:r>
        <w:rPr>
          <w:rFonts w:hint="default" w:ascii="Times New Roman" w:hAnsi="Times New Roman" w:eastAsia="宋体" w:cs="Times New Roman"/>
          <w:color w:val="000000" w:themeColor="text1"/>
          <w:spacing w:val="-6"/>
          <w14:textFill>
            <w14:solidFill>
              <w14:schemeClr w14:val="tx1"/>
            </w14:solidFill>
          </w14:textFill>
        </w:rPr>
        <w:t>执行标准</w:t>
      </w:r>
      <w:bookmarkEnd w:id="182"/>
      <w:bookmarkEnd w:id="183"/>
    </w:p>
    <w:p w14:paraId="54667869">
      <w:pPr>
        <w:pStyle w:val="11"/>
        <w:keepNext w:val="0"/>
        <w:keepLines w:val="0"/>
        <w:pageBreakBefore w:val="0"/>
        <w:kinsoku/>
        <w:wordWrap/>
        <w:overflowPunct/>
        <w:topLinePunct w:val="0"/>
        <w:autoSpaceDE/>
        <w:autoSpaceDN/>
        <w:bidi w:val="0"/>
        <w:ind w:firstLine="456"/>
        <w:outlineLvl w:val="9"/>
        <w:rPr>
          <w:rFonts w:hint="default" w:ascii="Times New Roman" w:hAnsi="Times New Roman" w:eastAsia="宋体" w:cs="Times New Roman"/>
          <w:color w:val="000000" w:themeColor="text1"/>
          <w:spacing w:val="-6"/>
          <w:lang w:eastAsia="zh-CN"/>
          <w14:textFill>
            <w14:solidFill>
              <w14:schemeClr w14:val="tx1"/>
            </w14:solidFill>
          </w14:textFill>
        </w:rPr>
      </w:pPr>
      <w:r>
        <w:rPr>
          <w:rFonts w:hint="default" w:ascii="Times New Roman" w:hAnsi="Times New Roman" w:eastAsia="宋体" w:cs="Times New Roman"/>
          <w:color w:val="000000" w:themeColor="text1"/>
          <w:spacing w:val="-6"/>
          <w:lang w:eastAsia="zh-CN"/>
          <w14:textFill>
            <w14:solidFill>
              <w14:schemeClr w14:val="tx1"/>
            </w14:solidFill>
          </w14:textFill>
        </w:rPr>
        <w:t>TSP执行《环境空气质量标准》（GB3095-2012）二级标准及其修改单；NH</w:t>
      </w:r>
      <w:r>
        <w:rPr>
          <w:rFonts w:hint="default" w:ascii="Times New Roman" w:hAnsi="Times New Roman" w:eastAsia="宋体" w:cs="Times New Roman"/>
          <w:color w:val="000000" w:themeColor="text1"/>
          <w:spacing w:val="-6"/>
          <w:vertAlign w:val="subscript"/>
          <w:lang w:eastAsia="zh-CN"/>
          <w14:textFill>
            <w14:solidFill>
              <w14:schemeClr w14:val="tx1"/>
            </w14:solidFill>
          </w14:textFill>
        </w:rPr>
        <w:t>3</w:t>
      </w:r>
      <w:r>
        <w:rPr>
          <w:rFonts w:hint="default" w:ascii="Times New Roman" w:hAnsi="Times New Roman" w:eastAsia="宋体" w:cs="Times New Roman"/>
          <w:color w:val="000000" w:themeColor="text1"/>
          <w:spacing w:val="-6"/>
          <w:lang w:eastAsia="zh-CN"/>
          <w14:textFill>
            <w14:solidFill>
              <w14:schemeClr w14:val="tx1"/>
            </w14:solidFill>
          </w14:textFill>
        </w:rPr>
        <w:t>、H</w:t>
      </w:r>
      <w:r>
        <w:rPr>
          <w:rFonts w:hint="default" w:ascii="Times New Roman" w:hAnsi="Times New Roman" w:eastAsia="宋体" w:cs="Times New Roman"/>
          <w:color w:val="000000" w:themeColor="text1"/>
          <w:spacing w:val="-6"/>
          <w:vertAlign w:val="subscript"/>
          <w:lang w:eastAsia="zh-CN"/>
          <w14:textFill>
            <w14:solidFill>
              <w14:schemeClr w14:val="tx1"/>
            </w14:solidFill>
          </w14:textFill>
        </w:rPr>
        <w:t>2</w:t>
      </w:r>
      <w:r>
        <w:rPr>
          <w:rFonts w:hint="default" w:ascii="Times New Roman" w:hAnsi="Times New Roman" w:eastAsia="宋体" w:cs="Times New Roman"/>
          <w:color w:val="000000" w:themeColor="text1"/>
          <w:spacing w:val="-6"/>
          <w:lang w:eastAsia="zh-CN"/>
          <w14:textFill>
            <w14:solidFill>
              <w14:schemeClr w14:val="tx1"/>
            </w14:solidFill>
          </w14:textFill>
        </w:rPr>
        <w:t>S执行《环境影响评价技术导则大气环境》（HJ2.2-2018）附录D其他污染物空气浓度参考限值。</w:t>
      </w:r>
    </w:p>
    <w:p w14:paraId="79E3389D">
      <w:pPr>
        <w:pStyle w:val="11"/>
        <w:keepNext w:val="0"/>
        <w:keepLines w:val="0"/>
        <w:pageBreakBefore w:val="0"/>
        <w:kinsoku/>
        <w:wordWrap/>
        <w:overflowPunct/>
        <w:topLinePunct w:val="0"/>
        <w:autoSpaceDE/>
        <w:autoSpaceDN/>
        <w:bidi w:val="0"/>
        <w:ind w:firstLine="456"/>
        <w:outlineLvl w:val="9"/>
        <w:rPr>
          <w:rFonts w:hint="default" w:ascii="Times New Roman" w:hAnsi="Times New Roman" w:eastAsia="宋体" w:cs="Times New Roman"/>
          <w:color w:val="000000" w:themeColor="text1"/>
          <w:spacing w:val="-6"/>
          <w:lang w:eastAsia="zh-CN"/>
          <w14:textFill>
            <w14:solidFill>
              <w14:schemeClr w14:val="tx1"/>
            </w14:solidFill>
          </w14:textFill>
        </w:rPr>
      </w:pPr>
      <w:bookmarkStart w:id="184" w:name="_Toc4918"/>
      <w:bookmarkStart w:id="185" w:name="_Toc18828"/>
      <w:r>
        <w:rPr>
          <w:rFonts w:hint="default" w:ascii="Times New Roman" w:hAnsi="Times New Roman" w:eastAsia="宋体" w:cs="Times New Roman"/>
          <w:color w:val="000000" w:themeColor="text1"/>
          <w:spacing w:val="-6"/>
          <w:lang w:eastAsia="zh-CN"/>
          <w14:textFill>
            <w14:solidFill>
              <w14:schemeClr w14:val="tx1"/>
            </w14:solidFill>
          </w14:textFill>
        </w:rPr>
        <w:t>（6）评价方法</w:t>
      </w:r>
      <w:bookmarkEnd w:id="184"/>
      <w:bookmarkEnd w:id="185"/>
    </w:p>
    <w:p w14:paraId="40BB8A77">
      <w:pPr>
        <w:pStyle w:val="11"/>
        <w:keepNext w:val="0"/>
        <w:keepLines w:val="0"/>
        <w:pageBreakBefore w:val="0"/>
        <w:kinsoku/>
        <w:wordWrap/>
        <w:overflowPunct/>
        <w:topLinePunct w:val="0"/>
        <w:autoSpaceDE/>
        <w:autoSpaceDN/>
        <w:bidi w:val="0"/>
        <w:ind w:firstLine="456"/>
        <w:outlineLvl w:val="9"/>
        <w:rPr>
          <w:rFonts w:hint="default" w:ascii="Times New Roman" w:hAnsi="Times New Roman" w:eastAsia="宋体" w:cs="Times New Roman"/>
          <w:color w:val="000000" w:themeColor="text1"/>
          <w:spacing w:val="-6"/>
          <w:lang w:eastAsia="zh-CN"/>
          <w14:textFill>
            <w14:solidFill>
              <w14:schemeClr w14:val="tx1"/>
            </w14:solidFill>
          </w14:textFill>
        </w:rPr>
      </w:pPr>
      <w:r>
        <w:rPr>
          <w:rFonts w:hint="default" w:ascii="Times New Roman" w:hAnsi="Times New Roman" w:eastAsia="宋体" w:cs="Times New Roman"/>
          <w:color w:val="000000" w:themeColor="text1"/>
          <w:spacing w:val="-6"/>
          <w:lang w:eastAsia="zh-CN"/>
          <w14:textFill>
            <w14:solidFill>
              <w14:schemeClr w14:val="tx1"/>
            </w14:solidFill>
          </w14:textFill>
        </w:rPr>
        <w:t>环境空气质量现状评价采用单因子指数法对污染物进行评价，其评价公式如下：</w:t>
      </w:r>
    </w:p>
    <w:p w14:paraId="0DC9284A">
      <w:pPr>
        <w:pStyle w:val="11"/>
        <w:keepNext w:val="0"/>
        <w:keepLines w:val="0"/>
        <w:pageBreakBefore w:val="0"/>
        <w:kinsoku/>
        <w:wordWrap/>
        <w:overflowPunct/>
        <w:topLinePunct w:val="0"/>
        <w:autoSpaceDE/>
        <w:autoSpaceDN/>
        <w:bidi w:val="0"/>
        <w:ind w:firstLine="0" w:firstLineChars="0"/>
        <w:jc w:val="center"/>
        <w:outlineLvl w:val="9"/>
        <w:rPr>
          <w:rFonts w:hint="default" w:ascii="Times New Roman" w:hAnsi="Times New Roman" w:eastAsia="宋体" w:cs="Times New Roman"/>
          <w:color w:val="000000" w:themeColor="text1"/>
          <w:spacing w:val="-6"/>
          <w14:textFill>
            <w14:solidFill>
              <w14:schemeClr w14:val="tx1"/>
            </w14:solidFill>
          </w14:textFill>
        </w:rPr>
      </w:pPr>
      <w:r>
        <w:rPr>
          <w:rFonts w:hint="default" w:ascii="Times New Roman" w:hAnsi="Times New Roman" w:eastAsia="宋体" w:cs="Times New Roman"/>
          <w:color w:val="000000" w:themeColor="text1"/>
          <w:spacing w:val="-6"/>
          <w:lang w:eastAsia="zh-CN"/>
          <w14:textFill>
            <w14:solidFill>
              <w14:schemeClr w14:val="tx1"/>
            </w14:solidFill>
          </w14:textFill>
        </w:rPr>
        <w:drawing>
          <wp:inline distT="0" distB="0" distL="114300" distR="114300">
            <wp:extent cx="661670" cy="560705"/>
            <wp:effectExtent l="0" t="0" r="0" b="11430"/>
            <wp:docPr id="1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5"/>
                    <pic:cNvPicPr>
                      <a:picLocks noChangeAspect="1"/>
                    </pic:cNvPicPr>
                  </pic:nvPicPr>
                  <pic:blipFill>
                    <a:blip r:embed="rId50"/>
                    <a:stretch>
                      <a:fillRect/>
                    </a:stretch>
                  </pic:blipFill>
                  <pic:spPr>
                    <a:xfrm>
                      <a:off x="0" y="0"/>
                      <a:ext cx="661670" cy="560705"/>
                    </a:xfrm>
                    <a:prstGeom prst="rect">
                      <a:avLst/>
                    </a:prstGeom>
                    <a:noFill/>
                    <a:ln>
                      <a:noFill/>
                    </a:ln>
                  </pic:spPr>
                </pic:pic>
              </a:graphicData>
            </a:graphic>
          </wp:inline>
        </w:drawing>
      </w:r>
    </w:p>
    <w:p w14:paraId="54E913BE">
      <w:pPr>
        <w:pStyle w:val="11"/>
        <w:keepNext w:val="0"/>
        <w:keepLines w:val="0"/>
        <w:pageBreakBefore w:val="0"/>
        <w:kinsoku/>
        <w:wordWrap/>
        <w:overflowPunct/>
        <w:topLinePunct w:val="0"/>
        <w:autoSpaceDE/>
        <w:autoSpaceDN/>
        <w:bidi w:val="0"/>
        <w:ind w:firstLine="456"/>
        <w:outlineLvl w:val="9"/>
        <w:rPr>
          <w:rFonts w:hint="default" w:ascii="Times New Roman" w:hAnsi="Times New Roman" w:eastAsia="宋体" w:cs="Times New Roman"/>
          <w:color w:val="000000" w:themeColor="text1"/>
          <w:spacing w:val="-6"/>
          <w:lang w:eastAsia="zh-CN"/>
          <w14:textFill>
            <w14:solidFill>
              <w14:schemeClr w14:val="tx1"/>
            </w14:solidFill>
          </w14:textFill>
        </w:rPr>
      </w:pPr>
      <w:r>
        <w:rPr>
          <w:rFonts w:hint="default" w:ascii="Times New Roman" w:hAnsi="Times New Roman" w:eastAsia="宋体" w:cs="Times New Roman"/>
          <w:color w:val="000000" w:themeColor="text1"/>
          <w:spacing w:val="-6"/>
          <w:lang w:eastAsia="zh-CN"/>
          <w14:textFill>
            <w14:solidFill>
              <w14:schemeClr w14:val="tx1"/>
            </w14:solidFill>
          </w14:textFill>
        </w:rPr>
        <w:t>式中：</w:t>
      </w:r>
      <w:r>
        <w:rPr>
          <w:rFonts w:hint="default" w:ascii="Times New Roman" w:hAnsi="Times New Roman" w:eastAsia="宋体" w:cs="Times New Roman"/>
          <w:color w:val="000000" w:themeColor="text1"/>
          <w:spacing w:val="-6"/>
          <w:lang w:eastAsia="zh-CN"/>
          <w14:textFill>
            <w14:solidFill>
              <w14:schemeClr w14:val="tx1"/>
            </w14:solidFill>
          </w14:textFill>
        </w:rPr>
        <w:drawing>
          <wp:inline distT="0" distB="0" distL="114300" distR="114300">
            <wp:extent cx="153670" cy="227965"/>
            <wp:effectExtent l="0" t="0" r="17780" b="635"/>
            <wp:docPr id="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pic:cNvPicPr>
                      <a:picLocks noChangeAspect="1"/>
                    </pic:cNvPicPr>
                  </pic:nvPicPr>
                  <pic:blipFill>
                    <a:blip r:embed="rId51"/>
                    <a:stretch>
                      <a:fillRect/>
                    </a:stretch>
                  </pic:blipFill>
                  <pic:spPr>
                    <a:xfrm>
                      <a:off x="0" y="0"/>
                      <a:ext cx="153670" cy="227965"/>
                    </a:xfrm>
                    <a:prstGeom prst="rect">
                      <a:avLst/>
                    </a:prstGeom>
                    <a:noFill/>
                    <a:ln>
                      <a:noFill/>
                    </a:ln>
                  </pic:spPr>
                </pic:pic>
              </a:graphicData>
            </a:graphic>
          </wp:inline>
        </w:drawing>
      </w:r>
      <w:r>
        <w:rPr>
          <w:rFonts w:hint="default" w:ascii="Times New Roman" w:hAnsi="Times New Roman" w:eastAsia="宋体" w:cs="Times New Roman"/>
          <w:color w:val="000000" w:themeColor="text1"/>
          <w:spacing w:val="-6"/>
          <w:lang w:eastAsia="zh-CN"/>
          <w14:textFill>
            <w14:solidFill>
              <w14:schemeClr w14:val="tx1"/>
            </w14:solidFill>
          </w14:textFill>
        </w:rPr>
        <w:t>—第i种污染物的污染指数；</w:t>
      </w:r>
    </w:p>
    <w:p w14:paraId="41BF3080">
      <w:pPr>
        <w:pStyle w:val="11"/>
        <w:keepNext w:val="0"/>
        <w:keepLines w:val="0"/>
        <w:pageBreakBefore w:val="0"/>
        <w:kinsoku/>
        <w:wordWrap/>
        <w:overflowPunct/>
        <w:topLinePunct w:val="0"/>
        <w:autoSpaceDE/>
        <w:autoSpaceDN/>
        <w:bidi w:val="0"/>
        <w:ind w:firstLine="912" w:firstLineChars="400"/>
        <w:outlineLvl w:val="9"/>
        <w:rPr>
          <w:rFonts w:hint="default" w:ascii="Times New Roman" w:hAnsi="Times New Roman" w:eastAsia="宋体" w:cs="Times New Roman"/>
          <w:color w:val="000000" w:themeColor="text1"/>
          <w:spacing w:val="-6"/>
          <w:lang w:eastAsia="zh-CN"/>
          <w14:textFill>
            <w14:solidFill>
              <w14:schemeClr w14:val="tx1"/>
            </w14:solidFill>
          </w14:textFill>
        </w:rPr>
      </w:pPr>
      <w:r>
        <w:rPr>
          <w:rFonts w:hint="default" w:ascii="Times New Roman" w:hAnsi="Times New Roman" w:eastAsia="宋体" w:cs="Times New Roman"/>
          <w:color w:val="000000" w:themeColor="text1"/>
          <w:spacing w:val="-6"/>
          <w:lang w:eastAsia="zh-CN"/>
          <w14:textFill>
            <w14:solidFill>
              <w14:schemeClr w14:val="tx1"/>
            </w14:solidFill>
          </w14:textFill>
        </w:rPr>
        <w:drawing>
          <wp:inline distT="0" distB="0" distL="114300" distR="114300">
            <wp:extent cx="180975" cy="227965"/>
            <wp:effectExtent l="0" t="0" r="9525" b="635"/>
            <wp:docPr id="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pic:cNvPicPr>
                      <a:picLocks noChangeAspect="1"/>
                    </pic:cNvPicPr>
                  </pic:nvPicPr>
                  <pic:blipFill>
                    <a:blip r:embed="rId52"/>
                    <a:stretch>
                      <a:fillRect/>
                    </a:stretch>
                  </pic:blipFill>
                  <pic:spPr>
                    <a:xfrm>
                      <a:off x="0" y="0"/>
                      <a:ext cx="180975" cy="227965"/>
                    </a:xfrm>
                    <a:prstGeom prst="rect">
                      <a:avLst/>
                    </a:prstGeom>
                    <a:noFill/>
                    <a:ln>
                      <a:noFill/>
                    </a:ln>
                  </pic:spPr>
                </pic:pic>
              </a:graphicData>
            </a:graphic>
          </wp:inline>
        </w:drawing>
      </w:r>
      <w:r>
        <w:rPr>
          <w:rFonts w:hint="default" w:ascii="Times New Roman" w:hAnsi="Times New Roman" w:eastAsia="宋体" w:cs="Times New Roman"/>
          <w:color w:val="000000" w:themeColor="text1"/>
          <w:spacing w:val="-6"/>
          <w:lang w:eastAsia="zh-CN"/>
          <w14:textFill>
            <w14:solidFill>
              <w14:schemeClr w14:val="tx1"/>
            </w14:solidFill>
          </w14:textFill>
        </w:rPr>
        <w:t>—第i种污染物的实测浓度或均值浓度，mg/Nm</w:t>
      </w:r>
      <w:r>
        <w:rPr>
          <w:rFonts w:hint="default" w:ascii="Times New Roman" w:hAnsi="Times New Roman" w:eastAsia="宋体" w:cs="Times New Roman"/>
          <w:color w:val="000000" w:themeColor="text1"/>
          <w:spacing w:val="-6"/>
          <w:vertAlign w:val="superscript"/>
          <w:lang w:eastAsia="zh-CN"/>
          <w14:textFill>
            <w14:solidFill>
              <w14:schemeClr w14:val="tx1"/>
            </w14:solidFill>
          </w14:textFill>
        </w:rPr>
        <w:t>3</w:t>
      </w:r>
      <w:r>
        <w:rPr>
          <w:rFonts w:hint="default" w:ascii="Times New Roman" w:hAnsi="Times New Roman" w:eastAsia="宋体" w:cs="Times New Roman"/>
          <w:color w:val="000000" w:themeColor="text1"/>
          <w:spacing w:val="-6"/>
          <w:lang w:eastAsia="zh-CN"/>
          <w14:textFill>
            <w14:solidFill>
              <w14:schemeClr w14:val="tx1"/>
            </w14:solidFill>
          </w14:textFill>
        </w:rPr>
        <w:t>；</w:t>
      </w:r>
    </w:p>
    <w:p w14:paraId="0E6BDFD7">
      <w:pPr>
        <w:pStyle w:val="11"/>
        <w:keepNext w:val="0"/>
        <w:keepLines w:val="0"/>
        <w:pageBreakBefore w:val="0"/>
        <w:kinsoku/>
        <w:wordWrap/>
        <w:overflowPunct/>
        <w:topLinePunct w:val="0"/>
        <w:autoSpaceDE/>
        <w:autoSpaceDN/>
        <w:bidi w:val="0"/>
        <w:ind w:firstLine="912" w:firstLineChars="400"/>
        <w:outlineLvl w:val="9"/>
        <w:rPr>
          <w:rFonts w:hint="default" w:ascii="Times New Roman" w:hAnsi="Times New Roman" w:eastAsia="宋体" w:cs="Times New Roman"/>
          <w:color w:val="000000" w:themeColor="text1"/>
          <w:spacing w:val="-6"/>
          <w:lang w:eastAsia="zh-CN"/>
          <w14:textFill>
            <w14:solidFill>
              <w14:schemeClr w14:val="tx1"/>
            </w14:solidFill>
          </w14:textFill>
        </w:rPr>
      </w:pPr>
      <w:r>
        <w:rPr>
          <w:rFonts w:hint="default" w:ascii="Times New Roman" w:hAnsi="Times New Roman" w:eastAsia="宋体" w:cs="Times New Roman"/>
          <w:color w:val="000000" w:themeColor="text1"/>
          <w:spacing w:val="-6"/>
          <w:lang w:eastAsia="zh-CN"/>
          <w14:textFill>
            <w14:solidFill>
              <w14:schemeClr w14:val="tx1"/>
            </w14:solidFill>
          </w14:textFill>
        </w:rPr>
        <w:drawing>
          <wp:inline distT="0" distB="0" distL="114300" distR="114300">
            <wp:extent cx="227965" cy="227965"/>
            <wp:effectExtent l="0" t="0" r="635" b="635"/>
            <wp:docPr id="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pic:cNvPicPr>
                      <a:picLocks noChangeAspect="1"/>
                    </pic:cNvPicPr>
                  </pic:nvPicPr>
                  <pic:blipFill>
                    <a:blip r:embed="rId53"/>
                    <a:stretch>
                      <a:fillRect/>
                    </a:stretch>
                  </pic:blipFill>
                  <pic:spPr>
                    <a:xfrm>
                      <a:off x="0" y="0"/>
                      <a:ext cx="227965" cy="227965"/>
                    </a:xfrm>
                    <a:prstGeom prst="rect">
                      <a:avLst/>
                    </a:prstGeom>
                    <a:noFill/>
                    <a:ln>
                      <a:noFill/>
                    </a:ln>
                  </pic:spPr>
                </pic:pic>
              </a:graphicData>
            </a:graphic>
          </wp:inline>
        </w:drawing>
      </w:r>
      <w:r>
        <w:rPr>
          <w:rFonts w:hint="default" w:ascii="Times New Roman" w:hAnsi="Times New Roman" w:eastAsia="宋体" w:cs="Times New Roman"/>
          <w:color w:val="000000" w:themeColor="text1"/>
          <w:spacing w:val="-6"/>
          <w:lang w:eastAsia="zh-CN"/>
          <w14:textFill>
            <w14:solidFill>
              <w14:schemeClr w14:val="tx1"/>
            </w14:solidFill>
          </w14:textFill>
        </w:rPr>
        <w:t>—第i种污染物的评价标准，mg/Nm</w:t>
      </w:r>
      <w:r>
        <w:rPr>
          <w:rFonts w:hint="default" w:ascii="Times New Roman" w:hAnsi="Times New Roman" w:eastAsia="宋体" w:cs="Times New Roman"/>
          <w:color w:val="000000" w:themeColor="text1"/>
          <w:spacing w:val="-6"/>
          <w:vertAlign w:val="superscript"/>
          <w:lang w:eastAsia="zh-CN"/>
          <w14:textFill>
            <w14:solidFill>
              <w14:schemeClr w14:val="tx1"/>
            </w14:solidFill>
          </w14:textFill>
        </w:rPr>
        <w:t>3</w:t>
      </w:r>
      <w:r>
        <w:rPr>
          <w:rFonts w:hint="default" w:ascii="Times New Roman" w:hAnsi="Times New Roman" w:eastAsia="宋体" w:cs="Times New Roman"/>
          <w:color w:val="000000" w:themeColor="text1"/>
          <w:spacing w:val="-6"/>
          <w:lang w:eastAsia="zh-CN"/>
          <w14:textFill>
            <w14:solidFill>
              <w14:schemeClr w14:val="tx1"/>
            </w14:solidFill>
          </w14:textFill>
        </w:rPr>
        <w:t>。</w:t>
      </w:r>
    </w:p>
    <w:p w14:paraId="0CD3036D">
      <w:pPr>
        <w:pStyle w:val="11"/>
        <w:keepNext w:val="0"/>
        <w:keepLines w:val="0"/>
        <w:pageBreakBefore w:val="0"/>
        <w:kinsoku/>
        <w:wordWrap/>
        <w:overflowPunct/>
        <w:topLinePunct w:val="0"/>
        <w:autoSpaceDE/>
        <w:autoSpaceDN/>
        <w:bidi w:val="0"/>
        <w:ind w:firstLine="456"/>
        <w:outlineLvl w:val="9"/>
        <w:rPr>
          <w:rFonts w:hint="default" w:ascii="Times New Roman" w:hAnsi="Times New Roman" w:eastAsia="宋体" w:cs="Times New Roman"/>
          <w:color w:val="000000" w:themeColor="text1"/>
          <w:spacing w:val="-6"/>
          <w:lang w:eastAsia="zh-CN"/>
          <w14:textFill>
            <w14:solidFill>
              <w14:schemeClr w14:val="tx1"/>
            </w14:solidFill>
          </w14:textFill>
        </w:rPr>
      </w:pPr>
      <w:bookmarkStart w:id="186" w:name="_Toc16447"/>
      <w:bookmarkStart w:id="187" w:name="_Toc14974_WPSOffice_Level3"/>
      <w:bookmarkStart w:id="188" w:name="_Toc8921"/>
      <w:bookmarkStart w:id="189" w:name="_Toc3721_WPSOffice_Level3"/>
      <w:r>
        <w:rPr>
          <w:rFonts w:hint="default" w:ascii="Times New Roman" w:hAnsi="Times New Roman" w:eastAsia="宋体" w:cs="Times New Roman"/>
          <w:color w:val="000000" w:themeColor="text1"/>
          <w:spacing w:val="-6"/>
          <w:lang w:eastAsia="zh-CN"/>
          <w14:textFill>
            <w14:solidFill>
              <w14:schemeClr w14:val="tx1"/>
            </w14:solidFill>
          </w14:textFill>
        </w:rPr>
        <w:t>（7）评价标准</w:t>
      </w:r>
      <w:bookmarkEnd w:id="186"/>
      <w:bookmarkEnd w:id="187"/>
      <w:bookmarkEnd w:id="188"/>
      <w:bookmarkEnd w:id="189"/>
    </w:p>
    <w:p w14:paraId="347DF3A7">
      <w:pPr>
        <w:pStyle w:val="11"/>
        <w:keepNext w:val="0"/>
        <w:keepLines w:val="0"/>
        <w:pageBreakBefore w:val="0"/>
        <w:kinsoku/>
        <w:wordWrap/>
        <w:overflowPunct/>
        <w:topLinePunct w:val="0"/>
        <w:autoSpaceDE/>
        <w:autoSpaceDN/>
        <w:bidi w:val="0"/>
        <w:ind w:firstLine="456"/>
        <w:outlineLvl w:val="9"/>
        <w:rPr>
          <w:rFonts w:hint="default" w:ascii="Times New Roman" w:hAnsi="Times New Roman" w:eastAsia="宋体" w:cs="Times New Roman"/>
          <w:color w:val="000000" w:themeColor="text1"/>
          <w:spacing w:val="-6"/>
          <w:lang w:eastAsia="zh-CN"/>
          <w14:textFill>
            <w14:solidFill>
              <w14:schemeClr w14:val="tx1"/>
            </w14:solidFill>
          </w14:textFill>
        </w:rPr>
      </w:pPr>
      <w:r>
        <w:rPr>
          <w:rFonts w:hint="default" w:ascii="Times New Roman" w:hAnsi="Times New Roman" w:eastAsia="宋体" w:cs="Times New Roman"/>
          <w:color w:val="000000" w:themeColor="text1"/>
          <w:spacing w:val="-6"/>
          <w:lang w:eastAsia="zh-CN"/>
          <w14:textFill>
            <w14:solidFill>
              <w14:schemeClr w14:val="tx1"/>
            </w14:solidFill>
          </w14:textFill>
        </w:rPr>
        <w:t>本次大气环境质量评价标准执行《环境空气质量标准》（GB3095-2012）二级标准。</w:t>
      </w:r>
    </w:p>
    <w:p w14:paraId="6D3FFB26">
      <w:pPr>
        <w:pStyle w:val="11"/>
        <w:keepNext w:val="0"/>
        <w:keepLines w:val="0"/>
        <w:pageBreakBefore w:val="0"/>
        <w:kinsoku/>
        <w:wordWrap/>
        <w:overflowPunct/>
        <w:topLinePunct w:val="0"/>
        <w:autoSpaceDE/>
        <w:autoSpaceDN/>
        <w:bidi w:val="0"/>
        <w:ind w:firstLine="456"/>
        <w:outlineLvl w:val="9"/>
        <w:rPr>
          <w:rFonts w:hint="default" w:ascii="Times New Roman" w:hAnsi="Times New Roman" w:eastAsia="宋体" w:cs="Times New Roman"/>
          <w:color w:val="000000" w:themeColor="text1"/>
          <w:spacing w:val="-6"/>
          <w:lang w:eastAsia="zh-CN"/>
          <w14:textFill>
            <w14:solidFill>
              <w14:schemeClr w14:val="tx1"/>
            </w14:solidFill>
          </w14:textFill>
        </w:rPr>
      </w:pPr>
      <w:bookmarkStart w:id="190" w:name="_Toc3251"/>
      <w:bookmarkStart w:id="191" w:name="_Toc9581"/>
      <w:r>
        <w:rPr>
          <w:rFonts w:hint="default" w:ascii="Times New Roman" w:hAnsi="Times New Roman" w:eastAsia="宋体" w:cs="Times New Roman"/>
          <w:color w:val="000000" w:themeColor="text1"/>
          <w:spacing w:val="-6"/>
          <w:lang w:eastAsia="zh-CN"/>
          <w14:textFill>
            <w14:solidFill>
              <w14:schemeClr w14:val="tx1"/>
            </w14:solidFill>
          </w14:textFill>
        </w:rPr>
        <w:t>（9）检测结果</w:t>
      </w:r>
      <w:bookmarkEnd w:id="190"/>
      <w:bookmarkEnd w:id="191"/>
    </w:p>
    <w:p w14:paraId="2FD417E5">
      <w:pPr>
        <w:pStyle w:val="11"/>
        <w:keepNext w:val="0"/>
        <w:keepLines w:val="0"/>
        <w:pageBreakBefore w:val="0"/>
        <w:kinsoku/>
        <w:wordWrap/>
        <w:overflowPunct/>
        <w:topLinePunct w:val="0"/>
        <w:autoSpaceDE/>
        <w:autoSpaceDN/>
        <w:bidi w:val="0"/>
        <w:ind w:firstLine="456"/>
        <w:outlineLvl w:val="9"/>
        <w:rPr>
          <w:rFonts w:hint="default" w:ascii="Times New Roman" w:hAnsi="Times New Roman" w:eastAsia="宋体" w:cs="Times New Roman"/>
          <w:color w:val="000000" w:themeColor="text1"/>
          <w:spacing w:val="-6"/>
          <w:lang w:eastAsia="zh-CN"/>
          <w14:textFill>
            <w14:solidFill>
              <w14:schemeClr w14:val="tx1"/>
            </w14:solidFill>
          </w14:textFill>
        </w:rPr>
      </w:pPr>
      <w:r>
        <w:rPr>
          <w:rFonts w:hint="default" w:ascii="Times New Roman" w:hAnsi="Times New Roman" w:eastAsia="宋体" w:cs="Times New Roman"/>
          <w:color w:val="000000" w:themeColor="text1"/>
          <w:spacing w:val="-6"/>
          <w:lang w:eastAsia="zh-CN"/>
          <w14:textFill>
            <w14:solidFill>
              <w14:schemeClr w14:val="tx1"/>
            </w14:solidFill>
          </w14:textFill>
        </w:rPr>
        <w:t>利用所选评价方法和标准对监测因子浓度进行评价，检测期间气象条件见表4.2-13，监测及评价结果详见表表4.2-14。</w:t>
      </w:r>
    </w:p>
    <w:p w14:paraId="11987D9B">
      <w:pPr>
        <w:pStyle w:val="11"/>
        <w:keepNext w:val="0"/>
        <w:keepLines w:val="0"/>
        <w:pageBreakBefore w:val="0"/>
        <w:kinsoku/>
        <w:wordWrap/>
        <w:overflowPunct/>
        <w:topLinePunct w:val="0"/>
        <w:autoSpaceDE/>
        <w:autoSpaceDN/>
        <w:bidi w:val="0"/>
        <w:ind w:firstLine="0" w:firstLineChars="0"/>
        <w:jc w:val="center"/>
        <w:outlineLvl w:val="9"/>
        <w:rPr>
          <w:rFonts w:hint="default" w:ascii="Times New Roman" w:hAnsi="Times New Roman" w:eastAsia="宋体" w:cs="Times New Roman"/>
          <w:b/>
          <w:bCs/>
          <w:color w:val="000000" w:themeColor="text1"/>
          <w:spacing w:val="-6"/>
          <w:lang w:eastAsia="zh-CN"/>
          <w14:textFill>
            <w14:solidFill>
              <w14:schemeClr w14:val="tx1"/>
            </w14:solidFill>
          </w14:textFill>
        </w:rPr>
      </w:pPr>
      <w:r>
        <w:rPr>
          <w:rFonts w:hint="default" w:ascii="Times New Roman" w:hAnsi="Times New Roman" w:eastAsia="宋体" w:cs="Times New Roman"/>
          <w:b/>
          <w:bCs/>
          <w:color w:val="000000" w:themeColor="text1"/>
          <w:spacing w:val="-6"/>
          <w:lang w:eastAsia="zh-CN"/>
          <w14:textFill>
            <w14:solidFill>
              <w14:schemeClr w14:val="tx1"/>
            </w14:solidFill>
          </w14:textFill>
        </w:rPr>
        <w:t>表4.2-13检测期间气象条件一览表</w:t>
      </w:r>
    </w:p>
    <w:tbl>
      <w:tblPr>
        <w:tblStyle w:val="29"/>
        <w:tblW w:w="847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81"/>
        <w:gridCol w:w="1181"/>
        <w:gridCol w:w="1181"/>
        <w:gridCol w:w="1083"/>
        <w:gridCol w:w="1129"/>
        <w:gridCol w:w="1226"/>
        <w:gridCol w:w="1494"/>
      </w:tblGrid>
      <w:tr w14:paraId="1EE8C0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tblHeader/>
          <w:jc w:val="center"/>
        </w:trPr>
        <w:tc>
          <w:tcPr>
            <w:tcW w:w="1181" w:type="dxa"/>
            <w:vAlign w:val="center"/>
          </w:tcPr>
          <w:p w14:paraId="2796BABD">
            <w:pPr>
              <w:pStyle w:val="11"/>
              <w:keepNext w:val="0"/>
              <w:keepLines w:val="0"/>
              <w:pageBreakBefore w:val="0"/>
              <w:kinsoku/>
              <w:wordWrap/>
              <w:overflowPunct/>
              <w:topLinePunct w:val="0"/>
              <w:autoSpaceDE/>
              <w:autoSpaceDN/>
              <w:bidi w:val="0"/>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监测日期</w:t>
            </w:r>
          </w:p>
        </w:tc>
        <w:tc>
          <w:tcPr>
            <w:tcW w:w="1181" w:type="dxa"/>
            <w:vAlign w:val="center"/>
          </w:tcPr>
          <w:p w14:paraId="2B4731EF">
            <w:pPr>
              <w:pStyle w:val="11"/>
              <w:keepNext w:val="0"/>
              <w:keepLines w:val="0"/>
              <w:pageBreakBefore w:val="0"/>
              <w:kinsoku/>
              <w:wordWrap/>
              <w:overflowPunct/>
              <w:topLinePunct w:val="0"/>
              <w:autoSpaceDE/>
              <w:autoSpaceDN/>
              <w:bidi w:val="0"/>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风向</w:t>
            </w:r>
          </w:p>
        </w:tc>
        <w:tc>
          <w:tcPr>
            <w:tcW w:w="1181" w:type="dxa"/>
            <w:vAlign w:val="center"/>
          </w:tcPr>
          <w:p w14:paraId="1654878B">
            <w:pPr>
              <w:pStyle w:val="11"/>
              <w:keepNext w:val="0"/>
              <w:keepLines w:val="0"/>
              <w:pageBreakBefore w:val="0"/>
              <w:kinsoku/>
              <w:wordWrap/>
              <w:overflowPunct/>
              <w:topLinePunct w:val="0"/>
              <w:autoSpaceDE/>
              <w:autoSpaceDN/>
              <w:bidi w:val="0"/>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风速（m/s）</w:t>
            </w:r>
          </w:p>
        </w:tc>
        <w:tc>
          <w:tcPr>
            <w:tcW w:w="1083" w:type="dxa"/>
            <w:vAlign w:val="center"/>
          </w:tcPr>
          <w:p w14:paraId="46D69AC4">
            <w:pPr>
              <w:pStyle w:val="11"/>
              <w:keepNext w:val="0"/>
              <w:keepLines w:val="0"/>
              <w:pageBreakBefore w:val="0"/>
              <w:kinsoku/>
              <w:wordWrap/>
              <w:overflowPunct/>
              <w:topLinePunct w:val="0"/>
              <w:autoSpaceDE/>
              <w:autoSpaceDN/>
              <w:bidi w:val="0"/>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总云量</w:t>
            </w:r>
          </w:p>
        </w:tc>
        <w:tc>
          <w:tcPr>
            <w:tcW w:w="1129" w:type="dxa"/>
            <w:vAlign w:val="center"/>
          </w:tcPr>
          <w:p w14:paraId="21621D63">
            <w:pPr>
              <w:pStyle w:val="11"/>
              <w:keepNext w:val="0"/>
              <w:keepLines w:val="0"/>
              <w:pageBreakBefore w:val="0"/>
              <w:kinsoku/>
              <w:wordWrap/>
              <w:overflowPunct/>
              <w:topLinePunct w:val="0"/>
              <w:autoSpaceDE/>
              <w:autoSpaceDN/>
              <w:bidi w:val="0"/>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低云量</w:t>
            </w:r>
          </w:p>
        </w:tc>
        <w:tc>
          <w:tcPr>
            <w:tcW w:w="1226" w:type="dxa"/>
            <w:vAlign w:val="center"/>
          </w:tcPr>
          <w:p w14:paraId="10B0052D">
            <w:pPr>
              <w:pStyle w:val="11"/>
              <w:keepNext w:val="0"/>
              <w:keepLines w:val="0"/>
              <w:pageBreakBefore w:val="0"/>
              <w:kinsoku/>
              <w:wordWrap/>
              <w:overflowPunct/>
              <w:topLinePunct w:val="0"/>
              <w:autoSpaceDE/>
              <w:autoSpaceDN/>
              <w:bidi w:val="0"/>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气温（℃）</w:t>
            </w:r>
          </w:p>
        </w:tc>
        <w:tc>
          <w:tcPr>
            <w:tcW w:w="1494" w:type="dxa"/>
            <w:vAlign w:val="center"/>
          </w:tcPr>
          <w:p w14:paraId="4F3A9EC3">
            <w:pPr>
              <w:pStyle w:val="11"/>
              <w:keepNext w:val="0"/>
              <w:keepLines w:val="0"/>
              <w:pageBreakBefore w:val="0"/>
              <w:kinsoku/>
              <w:wordWrap/>
              <w:overflowPunct/>
              <w:topLinePunct w:val="0"/>
              <w:autoSpaceDE/>
              <w:autoSpaceDN/>
              <w:bidi w:val="0"/>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大气压（kPa）</w:t>
            </w:r>
          </w:p>
        </w:tc>
      </w:tr>
      <w:tr w14:paraId="54F5EF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2" w:hRule="atLeast"/>
          <w:tblHeader/>
          <w:jc w:val="center"/>
        </w:trPr>
        <w:tc>
          <w:tcPr>
            <w:tcW w:w="1181" w:type="dxa"/>
            <w:vAlign w:val="center"/>
          </w:tcPr>
          <w:p w14:paraId="71F2F00B">
            <w:pPr>
              <w:pStyle w:val="11"/>
              <w:keepNext w:val="0"/>
              <w:keepLines w:val="0"/>
              <w:pageBreakBefore w:val="0"/>
              <w:kinsoku/>
              <w:wordWrap/>
              <w:overflowPunct/>
              <w:topLinePunct w:val="0"/>
              <w:autoSpaceDE/>
              <w:autoSpaceDN/>
              <w:bidi w:val="0"/>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2023.08.13</w:t>
            </w:r>
          </w:p>
        </w:tc>
        <w:tc>
          <w:tcPr>
            <w:tcW w:w="1181" w:type="dxa"/>
            <w:vAlign w:val="center"/>
          </w:tcPr>
          <w:p w14:paraId="5F0CE834">
            <w:pPr>
              <w:pStyle w:val="11"/>
              <w:keepNext w:val="0"/>
              <w:keepLines w:val="0"/>
              <w:pageBreakBefore w:val="0"/>
              <w:kinsoku/>
              <w:wordWrap/>
              <w:overflowPunct/>
              <w:topLinePunct w:val="0"/>
              <w:autoSpaceDE/>
              <w:autoSpaceDN/>
              <w:bidi w:val="0"/>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西南</w:t>
            </w:r>
          </w:p>
        </w:tc>
        <w:tc>
          <w:tcPr>
            <w:tcW w:w="1181" w:type="dxa"/>
            <w:vAlign w:val="center"/>
          </w:tcPr>
          <w:p w14:paraId="327D3563">
            <w:pPr>
              <w:pStyle w:val="11"/>
              <w:keepNext w:val="0"/>
              <w:keepLines w:val="0"/>
              <w:pageBreakBefore w:val="0"/>
              <w:kinsoku/>
              <w:wordWrap/>
              <w:overflowPunct/>
              <w:topLinePunct w:val="0"/>
              <w:autoSpaceDE/>
              <w:autoSpaceDN/>
              <w:bidi w:val="0"/>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2.9</w:t>
            </w:r>
          </w:p>
        </w:tc>
        <w:tc>
          <w:tcPr>
            <w:tcW w:w="1083" w:type="dxa"/>
            <w:vAlign w:val="center"/>
          </w:tcPr>
          <w:p w14:paraId="1BDFB6D2">
            <w:pPr>
              <w:pStyle w:val="11"/>
              <w:keepNext w:val="0"/>
              <w:keepLines w:val="0"/>
              <w:pageBreakBefore w:val="0"/>
              <w:kinsoku/>
              <w:wordWrap/>
              <w:overflowPunct/>
              <w:topLinePunct w:val="0"/>
              <w:autoSpaceDE/>
              <w:autoSpaceDN/>
              <w:bidi w:val="0"/>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4</w:t>
            </w:r>
          </w:p>
        </w:tc>
        <w:tc>
          <w:tcPr>
            <w:tcW w:w="1129" w:type="dxa"/>
            <w:vAlign w:val="center"/>
          </w:tcPr>
          <w:p w14:paraId="1E9697E9">
            <w:pPr>
              <w:pStyle w:val="11"/>
              <w:keepNext w:val="0"/>
              <w:keepLines w:val="0"/>
              <w:pageBreakBefore w:val="0"/>
              <w:kinsoku/>
              <w:wordWrap/>
              <w:overflowPunct/>
              <w:topLinePunct w:val="0"/>
              <w:autoSpaceDE/>
              <w:autoSpaceDN/>
              <w:bidi w:val="0"/>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1</w:t>
            </w:r>
          </w:p>
        </w:tc>
        <w:tc>
          <w:tcPr>
            <w:tcW w:w="1226" w:type="dxa"/>
            <w:vAlign w:val="center"/>
          </w:tcPr>
          <w:p w14:paraId="7689D007">
            <w:pPr>
              <w:pStyle w:val="11"/>
              <w:keepNext w:val="0"/>
              <w:keepLines w:val="0"/>
              <w:pageBreakBefore w:val="0"/>
              <w:kinsoku/>
              <w:wordWrap/>
              <w:overflowPunct/>
              <w:topLinePunct w:val="0"/>
              <w:autoSpaceDE/>
              <w:autoSpaceDN/>
              <w:bidi w:val="0"/>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24.1</w:t>
            </w:r>
          </w:p>
        </w:tc>
        <w:tc>
          <w:tcPr>
            <w:tcW w:w="1494" w:type="dxa"/>
            <w:vAlign w:val="center"/>
          </w:tcPr>
          <w:p w14:paraId="66AE6090">
            <w:pPr>
              <w:pStyle w:val="11"/>
              <w:keepNext w:val="0"/>
              <w:keepLines w:val="0"/>
              <w:pageBreakBefore w:val="0"/>
              <w:kinsoku/>
              <w:wordWrap/>
              <w:overflowPunct/>
              <w:topLinePunct w:val="0"/>
              <w:autoSpaceDE/>
              <w:autoSpaceDN/>
              <w:bidi w:val="0"/>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92.4</w:t>
            </w:r>
          </w:p>
        </w:tc>
      </w:tr>
      <w:tr w14:paraId="33D6EF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2" w:hRule="atLeast"/>
          <w:tblHeader/>
          <w:jc w:val="center"/>
        </w:trPr>
        <w:tc>
          <w:tcPr>
            <w:tcW w:w="1181" w:type="dxa"/>
            <w:vAlign w:val="center"/>
          </w:tcPr>
          <w:p w14:paraId="32B94161">
            <w:pPr>
              <w:pStyle w:val="11"/>
              <w:keepNext w:val="0"/>
              <w:keepLines w:val="0"/>
              <w:pageBreakBefore w:val="0"/>
              <w:kinsoku/>
              <w:wordWrap/>
              <w:overflowPunct/>
              <w:topLinePunct w:val="0"/>
              <w:autoSpaceDE/>
              <w:autoSpaceDN/>
              <w:bidi w:val="0"/>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2023.08.14</w:t>
            </w:r>
          </w:p>
        </w:tc>
        <w:tc>
          <w:tcPr>
            <w:tcW w:w="1181" w:type="dxa"/>
            <w:vAlign w:val="center"/>
          </w:tcPr>
          <w:p w14:paraId="6F41F7F6">
            <w:pPr>
              <w:pStyle w:val="11"/>
              <w:keepNext w:val="0"/>
              <w:keepLines w:val="0"/>
              <w:pageBreakBefore w:val="0"/>
              <w:kinsoku/>
              <w:wordWrap/>
              <w:overflowPunct/>
              <w:topLinePunct w:val="0"/>
              <w:autoSpaceDE/>
              <w:autoSpaceDN/>
              <w:bidi w:val="0"/>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南</w:t>
            </w:r>
          </w:p>
        </w:tc>
        <w:tc>
          <w:tcPr>
            <w:tcW w:w="1181" w:type="dxa"/>
            <w:vAlign w:val="center"/>
          </w:tcPr>
          <w:p w14:paraId="20D8FBFA">
            <w:pPr>
              <w:pStyle w:val="11"/>
              <w:keepNext w:val="0"/>
              <w:keepLines w:val="0"/>
              <w:pageBreakBefore w:val="0"/>
              <w:kinsoku/>
              <w:wordWrap/>
              <w:overflowPunct/>
              <w:topLinePunct w:val="0"/>
              <w:autoSpaceDE/>
              <w:autoSpaceDN/>
              <w:bidi w:val="0"/>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2.6</w:t>
            </w:r>
          </w:p>
        </w:tc>
        <w:tc>
          <w:tcPr>
            <w:tcW w:w="1083" w:type="dxa"/>
            <w:vAlign w:val="center"/>
          </w:tcPr>
          <w:p w14:paraId="27A1A6A9">
            <w:pPr>
              <w:pStyle w:val="11"/>
              <w:keepNext w:val="0"/>
              <w:keepLines w:val="0"/>
              <w:pageBreakBefore w:val="0"/>
              <w:kinsoku/>
              <w:wordWrap/>
              <w:overflowPunct/>
              <w:topLinePunct w:val="0"/>
              <w:autoSpaceDE/>
              <w:autoSpaceDN/>
              <w:bidi w:val="0"/>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5</w:t>
            </w:r>
          </w:p>
        </w:tc>
        <w:tc>
          <w:tcPr>
            <w:tcW w:w="1129" w:type="dxa"/>
            <w:vAlign w:val="center"/>
          </w:tcPr>
          <w:p w14:paraId="62AD2356">
            <w:pPr>
              <w:pStyle w:val="11"/>
              <w:keepNext w:val="0"/>
              <w:keepLines w:val="0"/>
              <w:pageBreakBefore w:val="0"/>
              <w:kinsoku/>
              <w:wordWrap/>
              <w:overflowPunct/>
              <w:topLinePunct w:val="0"/>
              <w:autoSpaceDE/>
              <w:autoSpaceDN/>
              <w:bidi w:val="0"/>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2</w:t>
            </w:r>
          </w:p>
        </w:tc>
        <w:tc>
          <w:tcPr>
            <w:tcW w:w="1226" w:type="dxa"/>
            <w:vAlign w:val="center"/>
          </w:tcPr>
          <w:p w14:paraId="1075D09B">
            <w:pPr>
              <w:pStyle w:val="11"/>
              <w:keepNext w:val="0"/>
              <w:keepLines w:val="0"/>
              <w:pageBreakBefore w:val="0"/>
              <w:kinsoku/>
              <w:wordWrap/>
              <w:overflowPunct/>
              <w:topLinePunct w:val="0"/>
              <w:autoSpaceDE/>
              <w:autoSpaceDN/>
              <w:bidi w:val="0"/>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24.5</w:t>
            </w:r>
          </w:p>
        </w:tc>
        <w:tc>
          <w:tcPr>
            <w:tcW w:w="1494" w:type="dxa"/>
            <w:vAlign w:val="center"/>
          </w:tcPr>
          <w:p w14:paraId="4E18B0FE">
            <w:pPr>
              <w:pStyle w:val="11"/>
              <w:keepNext w:val="0"/>
              <w:keepLines w:val="0"/>
              <w:pageBreakBefore w:val="0"/>
              <w:kinsoku/>
              <w:wordWrap/>
              <w:overflowPunct/>
              <w:topLinePunct w:val="0"/>
              <w:autoSpaceDE/>
              <w:autoSpaceDN/>
              <w:bidi w:val="0"/>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92.2</w:t>
            </w:r>
          </w:p>
        </w:tc>
      </w:tr>
      <w:tr w14:paraId="782266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2" w:hRule="atLeast"/>
          <w:tblHeader/>
          <w:jc w:val="center"/>
        </w:trPr>
        <w:tc>
          <w:tcPr>
            <w:tcW w:w="1181" w:type="dxa"/>
            <w:vAlign w:val="center"/>
          </w:tcPr>
          <w:p w14:paraId="51BAE90C">
            <w:pPr>
              <w:pStyle w:val="11"/>
              <w:keepNext w:val="0"/>
              <w:keepLines w:val="0"/>
              <w:pageBreakBefore w:val="0"/>
              <w:kinsoku/>
              <w:wordWrap/>
              <w:overflowPunct/>
              <w:topLinePunct w:val="0"/>
              <w:autoSpaceDE/>
              <w:autoSpaceDN/>
              <w:bidi w:val="0"/>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2023.08.15</w:t>
            </w:r>
          </w:p>
        </w:tc>
        <w:tc>
          <w:tcPr>
            <w:tcW w:w="1181" w:type="dxa"/>
            <w:vAlign w:val="center"/>
          </w:tcPr>
          <w:p w14:paraId="438FE2A6">
            <w:pPr>
              <w:pStyle w:val="11"/>
              <w:keepNext w:val="0"/>
              <w:keepLines w:val="0"/>
              <w:pageBreakBefore w:val="0"/>
              <w:kinsoku/>
              <w:wordWrap/>
              <w:overflowPunct/>
              <w:topLinePunct w:val="0"/>
              <w:autoSpaceDE/>
              <w:autoSpaceDN/>
              <w:bidi w:val="0"/>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东南</w:t>
            </w:r>
          </w:p>
        </w:tc>
        <w:tc>
          <w:tcPr>
            <w:tcW w:w="1181" w:type="dxa"/>
            <w:vAlign w:val="center"/>
          </w:tcPr>
          <w:p w14:paraId="3CDA3186">
            <w:pPr>
              <w:pStyle w:val="11"/>
              <w:keepNext w:val="0"/>
              <w:keepLines w:val="0"/>
              <w:pageBreakBefore w:val="0"/>
              <w:kinsoku/>
              <w:wordWrap/>
              <w:overflowPunct/>
              <w:topLinePunct w:val="0"/>
              <w:autoSpaceDE/>
              <w:autoSpaceDN/>
              <w:bidi w:val="0"/>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3.0</w:t>
            </w:r>
          </w:p>
        </w:tc>
        <w:tc>
          <w:tcPr>
            <w:tcW w:w="1083" w:type="dxa"/>
            <w:vAlign w:val="center"/>
          </w:tcPr>
          <w:p w14:paraId="28DFD175">
            <w:pPr>
              <w:pStyle w:val="11"/>
              <w:keepNext w:val="0"/>
              <w:keepLines w:val="0"/>
              <w:pageBreakBefore w:val="0"/>
              <w:kinsoku/>
              <w:wordWrap/>
              <w:overflowPunct/>
              <w:topLinePunct w:val="0"/>
              <w:autoSpaceDE/>
              <w:autoSpaceDN/>
              <w:bidi w:val="0"/>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4</w:t>
            </w:r>
          </w:p>
        </w:tc>
        <w:tc>
          <w:tcPr>
            <w:tcW w:w="1129" w:type="dxa"/>
            <w:vAlign w:val="center"/>
          </w:tcPr>
          <w:p w14:paraId="0DF11166">
            <w:pPr>
              <w:pStyle w:val="11"/>
              <w:keepNext w:val="0"/>
              <w:keepLines w:val="0"/>
              <w:pageBreakBefore w:val="0"/>
              <w:kinsoku/>
              <w:wordWrap/>
              <w:overflowPunct/>
              <w:topLinePunct w:val="0"/>
              <w:autoSpaceDE/>
              <w:autoSpaceDN/>
              <w:bidi w:val="0"/>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1</w:t>
            </w:r>
          </w:p>
        </w:tc>
        <w:tc>
          <w:tcPr>
            <w:tcW w:w="1226" w:type="dxa"/>
            <w:vAlign w:val="center"/>
          </w:tcPr>
          <w:p w14:paraId="2DB522E7">
            <w:pPr>
              <w:pStyle w:val="11"/>
              <w:keepNext w:val="0"/>
              <w:keepLines w:val="0"/>
              <w:pageBreakBefore w:val="0"/>
              <w:kinsoku/>
              <w:wordWrap/>
              <w:overflowPunct/>
              <w:topLinePunct w:val="0"/>
              <w:autoSpaceDE/>
              <w:autoSpaceDN/>
              <w:bidi w:val="0"/>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24.4</w:t>
            </w:r>
          </w:p>
        </w:tc>
        <w:tc>
          <w:tcPr>
            <w:tcW w:w="1494" w:type="dxa"/>
            <w:vAlign w:val="center"/>
          </w:tcPr>
          <w:p w14:paraId="2DD08292">
            <w:pPr>
              <w:pStyle w:val="11"/>
              <w:keepNext w:val="0"/>
              <w:keepLines w:val="0"/>
              <w:pageBreakBefore w:val="0"/>
              <w:kinsoku/>
              <w:wordWrap/>
              <w:overflowPunct/>
              <w:topLinePunct w:val="0"/>
              <w:autoSpaceDE/>
              <w:autoSpaceDN/>
              <w:bidi w:val="0"/>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92.1</w:t>
            </w:r>
          </w:p>
        </w:tc>
      </w:tr>
      <w:tr w14:paraId="2BBE75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2" w:hRule="atLeast"/>
          <w:tblHeader/>
          <w:jc w:val="center"/>
        </w:trPr>
        <w:tc>
          <w:tcPr>
            <w:tcW w:w="1181" w:type="dxa"/>
            <w:vAlign w:val="center"/>
          </w:tcPr>
          <w:p w14:paraId="7360244A">
            <w:pPr>
              <w:pStyle w:val="11"/>
              <w:keepNext w:val="0"/>
              <w:keepLines w:val="0"/>
              <w:pageBreakBefore w:val="0"/>
              <w:kinsoku/>
              <w:wordWrap/>
              <w:overflowPunct/>
              <w:topLinePunct w:val="0"/>
              <w:autoSpaceDE/>
              <w:autoSpaceDN/>
              <w:bidi w:val="0"/>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2023.08.16</w:t>
            </w:r>
          </w:p>
        </w:tc>
        <w:tc>
          <w:tcPr>
            <w:tcW w:w="1181" w:type="dxa"/>
            <w:vAlign w:val="center"/>
          </w:tcPr>
          <w:p w14:paraId="0BC593C5">
            <w:pPr>
              <w:pStyle w:val="11"/>
              <w:keepNext w:val="0"/>
              <w:keepLines w:val="0"/>
              <w:pageBreakBefore w:val="0"/>
              <w:kinsoku/>
              <w:wordWrap/>
              <w:overflowPunct/>
              <w:topLinePunct w:val="0"/>
              <w:autoSpaceDE/>
              <w:autoSpaceDN/>
              <w:bidi w:val="0"/>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西北</w:t>
            </w:r>
          </w:p>
        </w:tc>
        <w:tc>
          <w:tcPr>
            <w:tcW w:w="1181" w:type="dxa"/>
            <w:vAlign w:val="center"/>
          </w:tcPr>
          <w:p w14:paraId="46495E00">
            <w:pPr>
              <w:pStyle w:val="11"/>
              <w:keepNext w:val="0"/>
              <w:keepLines w:val="0"/>
              <w:pageBreakBefore w:val="0"/>
              <w:kinsoku/>
              <w:wordWrap/>
              <w:overflowPunct/>
              <w:topLinePunct w:val="0"/>
              <w:autoSpaceDE/>
              <w:autoSpaceDN/>
              <w:bidi w:val="0"/>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3.1</w:t>
            </w:r>
          </w:p>
        </w:tc>
        <w:tc>
          <w:tcPr>
            <w:tcW w:w="1083" w:type="dxa"/>
            <w:vAlign w:val="center"/>
          </w:tcPr>
          <w:p w14:paraId="66CF60AB">
            <w:pPr>
              <w:pStyle w:val="11"/>
              <w:keepNext w:val="0"/>
              <w:keepLines w:val="0"/>
              <w:pageBreakBefore w:val="0"/>
              <w:kinsoku/>
              <w:wordWrap/>
              <w:overflowPunct/>
              <w:topLinePunct w:val="0"/>
              <w:autoSpaceDE/>
              <w:autoSpaceDN/>
              <w:bidi w:val="0"/>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5</w:t>
            </w:r>
          </w:p>
        </w:tc>
        <w:tc>
          <w:tcPr>
            <w:tcW w:w="1129" w:type="dxa"/>
            <w:vAlign w:val="center"/>
          </w:tcPr>
          <w:p w14:paraId="59B95741">
            <w:pPr>
              <w:pStyle w:val="11"/>
              <w:keepNext w:val="0"/>
              <w:keepLines w:val="0"/>
              <w:pageBreakBefore w:val="0"/>
              <w:kinsoku/>
              <w:wordWrap/>
              <w:overflowPunct/>
              <w:topLinePunct w:val="0"/>
              <w:autoSpaceDE/>
              <w:autoSpaceDN/>
              <w:bidi w:val="0"/>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2</w:t>
            </w:r>
          </w:p>
        </w:tc>
        <w:tc>
          <w:tcPr>
            <w:tcW w:w="1226" w:type="dxa"/>
            <w:vAlign w:val="center"/>
          </w:tcPr>
          <w:p w14:paraId="3D62E19C">
            <w:pPr>
              <w:pStyle w:val="11"/>
              <w:keepNext w:val="0"/>
              <w:keepLines w:val="0"/>
              <w:pageBreakBefore w:val="0"/>
              <w:kinsoku/>
              <w:wordWrap/>
              <w:overflowPunct/>
              <w:topLinePunct w:val="0"/>
              <w:autoSpaceDE/>
              <w:autoSpaceDN/>
              <w:bidi w:val="0"/>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22.9</w:t>
            </w:r>
          </w:p>
        </w:tc>
        <w:tc>
          <w:tcPr>
            <w:tcW w:w="1494" w:type="dxa"/>
            <w:vAlign w:val="center"/>
          </w:tcPr>
          <w:p w14:paraId="549CD2F4">
            <w:pPr>
              <w:pStyle w:val="11"/>
              <w:keepNext w:val="0"/>
              <w:keepLines w:val="0"/>
              <w:pageBreakBefore w:val="0"/>
              <w:kinsoku/>
              <w:wordWrap/>
              <w:overflowPunct/>
              <w:topLinePunct w:val="0"/>
              <w:autoSpaceDE/>
              <w:autoSpaceDN/>
              <w:bidi w:val="0"/>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92.3</w:t>
            </w:r>
          </w:p>
        </w:tc>
      </w:tr>
      <w:tr w14:paraId="4ECE65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2" w:hRule="atLeast"/>
          <w:tblHeader/>
          <w:jc w:val="center"/>
        </w:trPr>
        <w:tc>
          <w:tcPr>
            <w:tcW w:w="1181" w:type="dxa"/>
            <w:vAlign w:val="center"/>
          </w:tcPr>
          <w:p w14:paraId="66D04F0F">
            <w:pPr>
              <w:pStyle w:val="11"/>
              <w:keepNext w:val="0"/>
              <w:keepLines w:val="0"/>
              <w:pageBreakBefore w:val="0"/>
              <w:kinsoku/>
              <w:wordWrap/>
              <w:overflowPunct/>
              <w:topLinePunct w:val="0"/>
              <w:autoSpaceDE/>
              <w:autoSpaceDN/>
              <w:bidi w:val="0"/>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2023.08.17</w:t>
            </w:r>
          </w:p>
        </w:tc>
        <w:tc>
          <w:tcPr>
            <w:tcW w:w="1181" w:type="dxa"/>
            <w:vAlign w:val="center"/>
          </w:tcPr>
          <w:p w14:paraId="062224E3">
            <w:pPr>
              <w:pStyle w:val="11"/>
              <w:keepNext w:val="0"/>
              <w:keepLines w:val="0"/>
              <w:pageBreakBefore w:val="0"/>
              <w:kinsoku/>
              <w:wordWrap/>
              <w:overflowPunct/>
              <w:topLinePunct w:val="0"/>
              <w:autoSpaceDE/>
              <w:autoSpaceDN/>
              <w:bidi w:val="0"/>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东</w:t>
            </w:r>
          </w:p>
        </w:tc>
        <w:tc>
          <w:tcPr>
            <w:tcW w:w="1181" w:type="dxa"/>
            <w:vAlign w:val="center"/>
          </w:tcPr>
          <w:p w14:paraId="58990525">
            <w:pPr>
              <w:pStyle w:val="11"/>
              <w:keepNext w:val="0"/>
              <w:keepLines w:val="0"/>
              <w:pageBreakBefore w:val="0"/>
              <w:kinsoku/>
              <w:wordWrap/>
              <w:overflowPunct/>
              <w:topLinePunct w:val="0"/>
              <w:autoSpaceDE/>
              <w:autoSpaceDN/>
              <w:bidi w:val="0"/>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2.7</w:t>
            </w:r>
          </w:p>
        </w:tc>
        <w:tc>
          <w:tcPr>
            <w:tcW w:w="1083" w:type="dxa"/>
            <w:vAlign w:val="center"/>
          </w:tcPr>
          <w:p w14:paraId="63BA1405">
            <w:pPr>
              <w:pStyle w:val="11"/>
              <w:keepNext w:val="0"/>
              <w:keepLines w:val="0"/>
              <w:pageBreakBefore w:val="0"/>
              <w:kinsoku/>
              <w:wordWrap/>
              <w:overflowPunct/>
              <w:topLinePunct w:val="0"/>
              <w:autoSpaceDE/>
              <w:autoSpaceDN/>
              <w:bidi w:val="0"/>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4</w:t>
            </w:r>
          </w:p>
        </w:tc>
        <w:tc>
          <w:tcPr>
            <w:tcW w:w="1129" w:type="dxa"/>
            <w:vAlign w:val="center"/>
          </w:tcPr>
          <w:p w14:paraId="7A8BC90C">
            <w:pPr>
              <w:pStyle w:val="11"/>
              <w:keepNext w:val="0"/>
              <w:keepLines w:val="0"/>
              <w:pageBreakBefore w:val="0"/>
              <w:kinsoku/>
              <w:wordWrap/>
              <w:overflowPunct/>
              <w:topLinePunct w:val="0"/>
              <w:autoSpaceDE/>
              <w:autoSpaceDN/>
              <w:bidi w:val="0"/>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1</w:t>
            </w:r>
          </w:p>
        </w:tc>
        <w:tc>
          <w:tcPr>
            <w:tcW w:w="1226" w:type="dxa"/>
            <w:vAlign w:val="center"/>
          </w:tcPr>
          <w:p w14:paraId="1E327CF6">
            <w:pPr>
              <w:pStyle w:val="11"/>
              <w:keepNext w:val="0"/>
              <w:keepLines w:val="0"/>
              <w:pageBreakBefore w:val="0"/>
              <w:kinsoku/>
              <w:wordWrap/>
              <w:overflowPunct/>
              <w:topLinePunct w:val="0"/>
              <w:autoSpaceDE/>
              <w:autoSpaceDN/>
              <w:bidi w:val="0"/>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24.5</w:t>
            </w:r>
          </w:p>
        </w:tc>
        <w:tc>
          <w:tcPr>
            <w:tcW w:w="1494" w:type="dxa"/>
            <w:vAlign w:val="center"/>
          </w:tcPr>
          <w:p w14:paraId="79428F3B">
            <w:pPr>
              <w:pStyle w:val="11"/>
              <w:keepNext w:val="0"/>
              <w:keepLines w:val="0"/>
              <w:pageBreakBefore w:val="0"/>
              <w:kinsoku/>
              <w:wordWrap/>
              <w:overflowPunct/>
              <w:topLinePunct w:val="0"/>
              <w:autoSpaceDE/>
              <w:autoSpaceDN/>
              <w:bidi w:val="0"/>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92.2</w:t>
            </w:r>
          </w:p>
        </w:tc>
      </w:tr>
      <w:tr w14:paraId="476BEA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2" w:hRule="atLeast"/>
          <w:tblHeader/>
          <w:jc w:val="center"/>
        </w:trPr>
        <w:tc>
          <w:tcPr>
            <w:tcW w:w="1181" w:type="dxa"/>
            <w:vAlign w:val="center"/>
          </w:tcPr>
          <w:p w14:paraId="501EC688">
            <w:pPr>
              <w:pStyle w:val="11"/>
              <w:keepNext w:val="0"/>
              <w:keepLines w:val="0"/>
              <w:pageBreakBefore w:val="0"/>
              <w:kinsoku/>
              <w:wordWrap/>
              <w:overflowPunct/>
              <w:topLinePunct w:val="0"/>
              <w:autoSpaceDE/>
              <w:autoSpaceDN/>
              <w:bidi w:val="0"/>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2023.08.18</w:t>
            </w:r>
          </w:p>
        </w:tc>
        <w:tc>
          <w:tcPr>
            <w:tcW w:w="1181" w:type="dxa"/>
            <w:vAlign w:val="center"/>
          </w:tcPr>
          <w:p w14:paraId="7AA87B36">
            <w:pPr>
              <w:pStyle w:val="11"/>
              <w:keepNext w:val="0"/>
              <w:keepLines w:val="0"/>
              <w:pageBreakBefore w:val="0"/>
              <w:kinsoku/>
              <w:wordWrap/>
              <w:overflowPunct/>
              <w:topLinePunct w:val="0"/>
              <w:autoSpaceDE/>
              <w:autoSpaceDN/>
              <w:bidi w:val="0"/>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东北</w:t>
            </w:r>
          </w:p>
        </w:tc>
        <w:tc>
          <w:tcPr>
            <w:tcW w:w="1181" w:type="dxa"/>
            <w:vAlign w:val="center"/>
          </w:tcPr>
          <w:p w14:paraId="28FE5CEC">
            <w:pPr>
              <w:pStyle w:val="11"/>
              <w:keepNext w:val="0"/>
              <w:keepLines w:val="0"/>
              <w:pageBreakBefore w:val="0"/>
              <w:kinsoku/>
              <w:wordWrap/>
              <w:overflowPunct/>
              <w:topLinePunct w:val="0"/>
              <w:autoSpaceDE/>
              <w:autoSpaceDN/>
              <w:bidi w:val="0"/>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2.9</w:t>
            </w:r>
          </w:p>
        </w:tc>
        <w:tc>
          <w:tcPr>
            <w:tcW w:w="1083" w:type="dxa"/>
            <w:vAlign w:val="center"/>
          </w:tcPr>
          <w:p w14:paraId="38D3368A">
            <w:pPr>
              <w:pStyle w:val="11"/>
              <w:keepNext w:val="0"/>
              <w:keepLines w:val="0"/>
              <w:pageBreakBefore w:val="0"/>
              <w:kinsoku/>
              <w:wordWrap/>
              <w:overflowPunct/>
              <w:topLinePunct w:val="0"/>
              <w:autoSpaceDE/>
              <w:autoSpaceDN/>
              <w:bidi w:val="0"/>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5</w:t>
            </w:r>
          </w:p>
        </w:tc>
        <w:tc>
          <w:tcPr>
            <w:tcW w:w="1129" w:type="dxa"/>
            <w:vAlign w:val="center"/>
          </w:tcPr>
          <w:p w14:paraId="119DF4FD">
            <w:pPr>
              <w:pStyle w:val="11"/>
              <w:keepNext w:val="0"/>
              <w:keepLines w:val="0"/>
              <w:pageBreakBefore w:val="0"/>
              <w:kinsoku/>
              <w:wordWrap/>
              <w:overflowPunct/>
              <w:topLinePunct w:val="0"/>
              <w:autoSpaceDE/>
              <w:autoSpaceDN/>
              <w:bidi w:val="0"/>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2</w:t>
            </w:r>
          </w:p>
        </w:tc>
        <w:tc>
          <w:tcPr>
            <w:tcW w:w="1226" w:type="dxa"/>
            <w:vAlign w:val="center"/>
          </w:tcPr>
          <w:p w14:paraId="3B658110">
            <w:pPr>
              <w:pStyle w:val="11"/>
              <w:keepNext w:val="0"/>
              <w:keepLines w:val="0"/>
              <w:pageBreakBefore w:val="0"/>
              <w:kinsoku/>
              <w:wordWrap/>
              <w:overflowPunct/>
              <w:topLinePunct w:val="0"/>
              <w:autoSpaceDE/>
              <w:autoSpaceDN/>
              <w:bidi w:val="0"/>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23.6</w:t>
            </w:r>
          </w:p>
        </w:tc>
        <w:tc>
          <w:tcPr>
            <w:tcW w:w="1494" w:type="dxa"/>
            <w:vAlign w:val="center"/>
          </w:tcPr>
          <w:p w14:paraId="207E4841">
            <w:pPr>
              <w:pStyle w:val="11"/>
              <w:keepNext w:val="0"/>
              <w:keepLines w:val="0"/>
              <w:pageBreakBefore w:val="0"/>
              <w:kinsoku/>
              <w:wordWrap/>
              <w:overflowPunct/>
              <w:topLinePunct w:val="0"/>
              <w:autoSpaceDE/>
              <w:autoSpaceDN/>
              <w:bidi w:val="0"/>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92.1</w:t>
            </w:r>
          </w:p>
        </w:tc>
      </w:tr>
      <w:tr w14:paraId="63E52D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tblHeader/>
          <w:jc w:val="center"/>
        </w:trPr>
        <w:tc>
          <w:tcPr>
            <w:tcW w:w="1181" w:type="dxa"/>
            <w:vAlign w:val="center"/>
          </w:tcPr>
          <w:p w14:paraId="5ADFCFAB">
            <w:pPr>
              <w:pStyle w:val="11"/>
              <w:keepNext w:val="0"/>
              <w:keepLines w:val="0"/>
              <w:pageBreakBefore w:val="0"/>
              <w:kinsoku/>
              <w:wordWrap/>
              <w:overflowPunct/>
              <w:topLinePunct w:val="0"/>
              <w:autoSpaceDE/>
              <w:autoSpaceDN/>
              <w:bidi w:val="0"/>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2023.08.19</w:t>
            </w:r>
          </w:p>
        </w:tc>
        <w:tc>
          <w:tcPr>
            <w:tcW w:w="1181" w:type="dxa"/>
            <w:vAlign w:val="center"/>
          </w:tcPr>
          <w:p w14:paraId="4C8DA303">
            <w:pPr>
              <w:pStyle w:val="11"/>
              <w:keepNext w:val="0"/>
              <w:keepLines w:val="0"/>
              <w:pageBreakBefore w:val="0"/>
              <w:kinsoku/>
              <w:wordWrap/>
              <w:overflowPunct/>
              <w:topLinePunct w:val="0"/>
              <w:autoSpaceDE/>
              <w:autoSpaceDN/>
              <w:bidi w:val="0"/>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东</w:t>
            </w:r>
          </w:p>
        </w:tc>
        <w:tc>
          <w:tcPr>
            <w:tcW w:w="1181" w:type="dxa"/>
            <w:vAlign w:val="center"/>
          </w:tcPr>
          <w:p w14:paraId="486E1300">
            <w:pPr>
              <w:pStyle w:val="11"/>
              <w:keepNext w:val="0"/>
              <w:keepLines w:val="0"/>
              <w:pageBreakBefore w:val="0"/>
              <w:kinsoku/>
              <w:wordWrap/>
              <w:overflowPunct/>
              <w:topLinePunct w:val="0"/>
              <w:autoSpaceDE/>
              <w:autoSpaceDN/>
              <w:bidi w:val="0"/>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2.7</w:t>
            </w:r>
          </w:p>
        </w:tc>
        <w:tc>
          <w:tcPr>
            <w:tcW w:w="1083" w:type="dxa"/>
            <w:vAlign w:val="center"/>
          </w:tcPr>
          <w:p w14:paraId="5930CE96">
            <w:pPr>
              <w:pStyle w:val="11"/>
              <w:keepNext w:val="0"/>
              <w:keepLines w:val="0"/>
              <w:pageBreakBefore w:val="0"/>
              <w:kinsoku/>
              <w:wordWrap/>
              <w:overflowPunct/>
              <w:topLinePunct w:val="0"/>
              <w:autoSpaceDE/>
              <w:autoSpaceDN/>
              <w:bidi w:val="0"/>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3</w:t>
            </w:r>
          </w:p>
        </w:tc>
        <w:tc>
          <w:tcPr>
            <w:tcW w:w="1129" w:type="dxa"/>
            <w:vAlign w:val="center"/>
          </w:tcPr>
          <w:p w14:paraId="0584D931">
            <w:pPr>
              <w:pStyle w:val="11"/>
              <w:keepNext w:val="0"/>
              <w:keepLines w:val="0"/>
              <w:pageBreakBefore w:val="0"/>
              <w:kinsoku/>
              <w:wordWrap/>
              <w:overflowPunct/>
              <w:topLinePunct w:val="0"/>
              <w:autoSpaceDE/>
              <w:autoSpaceDN/>
              <w:bidi w:val="0"/>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0</w:t>
            </w:r>
          </w:p>
        </w:tc>
        <w:tc>
          <w:tcPr>
            <w:tcW w:w="1226" w:type="dxa"/>
            <w:vAlign w:val="center"/>
          </w:tcPr>
          <w:p w14:paraId="6642E24E">
            <w:pPr>
              <w:pStyle w:val="11"/>
              <w:keepNext w:val="0"/>
              <w:keepLines w:val="0"/>
              <w:pageBreakBefore w:val="0"/>
              <w:kinsoku/>
              <w:wordWrap/>
              <w:overflowPunct/>
              <w:topLinePunct w:val="0"/>
              <w:autoSpaceDE/>
              <w:autoSpaceDN/>
              <w:bidi w:val="0"/>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23.07</w:t>
            </w:r>
          </w:p>
        </w:tc>
        <w:tc>
          <w:tcPr>
            <w:tcW w:w="1494" w:type="dxa"/>
            <w:vAlign w:val="center"/>
          </w:tcPr>
          <w:p w14:paraId="6EABAD3F">
            <w:pPr>
              <w:pStyle w:val="11"/>
              <w:keepNext w:val="0"/>
              <w:keepLines w:val="0"/>
              <w:pageBreakBefore w:val="0"/>
              <w:kinsoku/>
              <w:wordWrap/>
              <w:overflowPunct/>
              <w:topLinePunct w:val="0"/>
              <w:autoSpaceDE/>
              <w:autoSpaceDN/>
              <w:bidi w:val="0"/>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92.5</w:t>
            </w:r>
          </w:p>
        </w:tc>
      </w:tr>
    </w:tbl>
    <w:p w14:paraId="05D0EBC3">
      <w:pPr>
        <w:pStyle w:val="11"/>
        <w:keepNext w:val="0"/>
        <w:keepLines w:val="0"/>
        <w:pageBreakBefore w:val="0"/>
        <w:kinsoku/>
        <w:wordWrap/>
        <w:overflowPunct/>
        <w:topLinePunct w:val="0"/>
        <w:autoSpaceDE/>
        <w:autoSpaceDN/>
        <w:bidi w:val="0"/>
        <w:ind w:firstLine="456"/>
        <w:outlineLvl w:val="9"/>
        <w:rPr>
          <w:rFonts w:hint="default" w:ascii="Times New Roman" w:hAnsi="Times New Roman" w:eastAsia="宋体" w:cs="Times New Roman"/>
          <w:color w:val="000000" w:themeColor="text1"/>
          <w:spacing w:val="-6"/>
          <w14:textFill>
            <w14:solidFill>
              <w14:schemeClr w14:val="tx1"/>
            </w14:solidFill>
          </w14:textFill>
        </w:rPr>
      </w:pPr>
    </w:p>
    <w:p w14:paraId="3AA50932">
      <w:pPr>
        <w:pStyle w:val="11"/>
        <w:keepNext w:val="0"/>
        <w:keepLines w:val="0"/>
        <w:pageBreakBefore w:val="0"/>
        <w:kinsoku/>
        <w:wordWrap/>
        <w:overflowPunct/>
        <w:topLinePunct w:val="0"/>
        <w:autoSpaceDE/>
        <w:autoSpaceDN/>
        <w:bidi w:val="0"/>
        <w:ind w:firstLine="0" w:firstLineChars="0"/>
        <w:outlineLvl w:val="9"/>
        <w:rPr>
          <w:rFonts w:hint="default" w:ascii="Times New Roman" w:hAnsi="Times New Roman" w:eastAsia="宋体" w:cs="Times New Roman"/>
          <w:b/>
          <w:bCs/>
          <w:color w:val="000000" w:themeColor="text1"/>
          <w:spacing w:val="-6"/>
          <w14:textFill>
            <w14:solidFill>
              <w14:schemeClr w14:val="tx1"/>
            </w14:solidFill>
          </w14:textFill>
        </w:rPr>
        <w:sectPr>
          <w:footerReference r:id="rId15" w:type="default"/>
          <w:pgSz w:w="11906" w:h="16839"/>
          <w:pgMar w:top="1431" w:right="1529" w:bottom="1259" w:left="1528" w:header="964" w:footer="794" w:gutter="0"/>
          <w:pgNumType w:fmt="decimal"/>
          <w:cols w:space="720" w:num="1"/>
        </w:sectPr>
      </w:pPr>
    </w:p>
    <w:p w14:paraId="32051D4E">
      <w:pPr>
        <w:pStyle w:val="11"/>
        <w:keepNext w:val="0"/>
        <w:keepLines w:val="0"/>
        <w:pageBreakBefore w:val="0"/>
        <w:kinsoku/>
        <w:wordWrap/>
        <w:overflowPunct/>
        <w:topLinePunct w:val="0"/>
        <w:autoSpaceDE/>
        <w:autoSpaceDN/>
        <w:bidi w:val="0"/>
        <w:ind w:firstLine="0" w:firstLineChars="0"/>
        <w:jc w:val="center"/>
        <w:outlineLvl w:val="9"/>
        <w:rPr>
          <w:rFonts w:hint="default" w:ascii="Times New Roman" w:hAnsi="Times New Roman" w:eastAsia="宋体" w:cs="Times New Roman"/>
          <w:b/>
          <w:bCs/>
          <w:color w:val="000000" w:themeColor="text1"/>
          <w:spacing w:val="-6"/>
          <w14:textFill>
            <w14:solidFill>
              <w14:schemeClr w14:val="tx1"/>
            </w14:solidFill>
          </w14:textFill>
        </w:rPr>
      </w:pPr>
      <w:r>
        <w:rPr>
          <w:rFonts w:hint="default" w:ascii="Times New Roman" w:hAnsi="Times New Roman" w:eastAsia="宋体" w:cs="Times New Roman"/>
          <w:b/>
          <w:bCs/>
          <w:color w:val="000000" w:themeColor="text1"/>
          <w:spacing w:val="-6"/>
          <w14:textFill>
            <w14:solidFill>
              <w14:schemeClr w14:val="tx1"/>
            </w14:solidFill>
          </w14:textFill>
        </w:rPr>
        <w:t>表</w:t>
      </w:r>
      <w:r>
        <w:rPr>
          <w:rFonts w:hint="default" w:ascii="Times New Roman" w:hAnsi="Times New Roman" w:eastAsia="宋体" w:cs="Times New Roman"/>
          <w:b/>
          <w:bCs/>
          <w:color w:val="000000" w:themeColor="text1"/>
          <w:spacing w:val="-6"/>
          <w:lang w:eastAsia="zh-CN"/>
          <w14:textFill>
            <w14:solidFill>
              <w14:schemeClr w14:val="tx1"/>
            </w14:solidFill>
          </w14:textFill>
        </w:rPr>
        <w:t>4.2-14</w:t>
      </w:r>
      <w:r>
        <w:rPr>
          <w:rFonts w:hint="default" w:ascii="Times New Roman" w:hAnsi="Times New Roman" w:eastAsia="宋体" w:cs="Times New Roman"/>
          <w:b/>
          <w:bCs/>
          <w:color w:val="000000" w:themeColor="text1"/>
          <w:spacing w:val="-6"/>
          <w14:textFill>
            <w14:solidFill>
              <w14:schemeClr w14:val="tx1"/>
            </w14:solidFill>
          </w14:textFill>
        </w:rPr>
        <w:t>检测结果统计及评价</w:t>
      </w:r>
    </w:p>
    <w:tbl>
      <w:tblPr>
        <w:tblStyle w:val="29"/>
        <w:tblW w:w="516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5"/>
        <w:gridCol w:w="1470"/>
        <w:gridCol w:w="1050"/>
        <w:gridCol w:w="1080"/>
        <w:gridCol w:w="1076"/>
        <w:gridCol w:w="1043"/>
        <w:gridCol w:w="1068"/>
        <w:gridCol w:w="1056"/>
        <w:gridCol w:w="1078"/>
        <w:gridCol w:w="1069"/>
        <w:gridCol w:w="1049"/>
        <w:gridCol w:w="1043"/>
        <w:gridCol w:w="1043"/>
        <w:gridCol w:w="1043"/>
      </w:tblGrid>
      <w:tr w14:paraId="047CC3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2145" w:type="dxa"/>
            <w:gridSpan w:val="2"/>
            <w:vAlign w:val="center"/>
          </w:tcPr>
          <w:p w14:paraId="2BE9CF79">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采样位置</w:t>
            </w:r>
          </w:p>
        </w:tc>
        <w:tc>
          <w:tcPr>
            <w:tcW w:w="4249" w:type="dxa"/>
            <w:gridSpan w:val="4"/>
            <w:vAlign w:val="center"/>
          </w:tcPr>
          <w:p w14:paraId="5AB40998">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厂区内</w:t>
            </w:r>
          </w:p>
        </w:tc>
        <w:tc>
          <w:tcPr>
            <w:tcW w:w="4271" w:type="dxa"/>
            <w:gridSpan w:val="4"/>
            <w:vAlign w:val="center"/>
          </w:tcPr>
          <w:p w14:paraId="2C9FDDF8">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厂区下风向1</w:t>
            </w:r>
          </w:p>
        </w:tc>
        <w:tc>
          <w:tcPr>
            <w:tcW w:w="4178" w:type="dxa"/>
            <w:gridSpan w:val="4"/>
            <w:vAlign w:val="center"/>
          </w:tcPr>
          <w:p w14:paraId="1E539A72">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厂区下风向</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2</w:t>
            </w:r>
          </w:p>
        </w:tc>
      </w:tr>
      <w:tr w14:paraId="145182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2145" w:type="dxa"/>
            <w:gridSpan w:val="2"/>
            <w:vAlign w:val="center"/>
          </w:tcPr>
          <w:p w14:paraId="15377D75">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检测项目</w:t>
            </w:r>
          </w:p>
          <w:p w14:paraId="708D24A7">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采样日期</w:t>
            </w:r>
          </w:p>
        </w:tc>
        <w:tc>
          <w:tcPr>
            <w:tcW w:w="1050" w:type="dxa"/>
            <w:vAlign w:val="center"/>
          </w:tcPr>
          <w:p w14:paraId="6805E9D5">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氨</w:t>
            </w:r>
          </w:p>
          <w:p w14:paraId="515E10A4">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w:t>
            </w:r>
            <w:r>
              <w:rPr>
                <w:rFonts w:hint="default" w:ascii="Times New Roman" w:hAnsi="Times New Roman" w:eastAsia="宋体" w:cs="Times New Roman"/>
                <w:color w:val="000000" w:themeColor="text1"/>
                <w:spacing w:val="-6"/>
                <w:sz w:val="21"/>
                <w:szCs w:val="21"/>
                <w14:textFill>
                  <w14:solidFill>
                    <w14:schemeClr w14:val="tx1"/>
                  </w14:solidFill>
                </w14:textFill>
              </w:rPr>
              <w:t>mg/m</w:t>
            </w:r>
            <w:r>
              <w:rPr>
                <w:rFonts w:hint="default" w:ascii="Times New Roman" w:hAnsi="Times New Roman" w:eastAsia="宋体" w:cs="Times New Roman"/>
                <w:color w:val="000000" w:themeColor="text1"/>
                <w:spacing w:val="-6"/>
                <w:sz w:val="21"/>
                <w:szCs w:val="21"/>
                <w:vertAlign w:val="superscript"/>
                <w14:textFill>
                  <w14:solidFill>
                    <w14:schemeClr w14:val="tx1"/>
                  </w14:solidFill>
                </w14:textFill>
              </w:rPr>
              <w:t>3</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w:t>
            </w:r>
          </w:p>
        </w:tc>
        <w:tc>
          <w:tcPr>
            <w:tcW w:w="1080" w:type="dxa"/>
            <w:vAlign w:val="center"/>
          </w:tcPr>
          <w:p w14:paraId="55E636E6">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硫化氢</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w:t>
            </w:r>
            <w:r>
              <w:rPr>
                <w:rFonts w:hint="default" w:ascii="Times New Roman" w:hAnsi="Times New Roman" w:eastAsia="宋体" w:cs="Times New Roman"/>
                <w:color w:val="000000" w:themeColor="text1"/>
                <w:spacing w:val="-6"/>
                <w:sz w:val="21"/>
                <w:szCs w:val="21"/>
                <w14:textFill>
                  <w14:solidFill>
                    <w14:schemeClr w14:val="tx1"/>
                  </w14:solidFill>
                </w14:textFill>
              </w:rPr>
              <w:t>mg/m</w:t>
            </w:r>
            <w:r>
              <w:rPr>
                <w:rFonts w:hint="default" w:ascii="Times New Roman" w:hAnsi="Times New Roman" w:eastAsia="宋体" w:cs="Times New Roman"/>
                <w:color w:val="000000" w:themeColor="text1"/>
                <w:spacing w:val="-6"/>
                <w:sz w:val="21"/>
                <w:szCs w:val="21"/>
                <w:vertAlign w:val="superscript"/>
                <w14:textFill>
                  <w14:solidFill>
                    <w14:schemeClr w14:val="tx1"/>
                  </w14:solidFill>
                </w14:textFill>
              </w:rPr>
              <w:t>3</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w:t>
            </w:r>
          </w:p>
        </w:tc>
        <w:tc>
          <w:tcPr>
            <w:tcW w:w="1076" w:type="dxa"/>
            <w:vAlign w:val="center"/>
          </w:tcPr>
          <w:p w14:paraId="550229BB">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臭气浓度</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w:t>
            </w:r>
            <w:r>
              <w:rPr>
                <w:rFonts w:hint="default" w:ascii="Times New Roman" w:hAnsi="Times New Roman" w:eastAsia="宋体" w:cs="Times New Roman"/>
                <w:color w:val="000000" w:themeColor="text1"/>
                <w:spacing w:val="-6"/>
                <w:sz w:val="21"/>
                <w:szCs w:val="21"/>
                <w14:textFill>
                  <w14:solidFill>
                    <w14:schemeClr w14:val="tx1"/>
                  </w14:solidFill>
                </w14:textFill>
              </w:rPr>
              <w:t>mg/m</w:t>
            </w:r>
            <w:r>
              <w:rPr>
                <w:rFonts w:hint="default" w:ascii="Times New Roman" w:hAnsi="Times New Roman" w:eastAsia="宋体" w:cs="Times New Roman"/>
                <w:color w:val="000000" w:themeColor="text1"/>
                <w:spacing w:val="-6"/>
                <w:sz w:val="21"/>
                <w:szCs w:val="21"/>
                <w:vertAlign w:val="superscript"/>
                <w14:textFill>
                  <w14:solidFill>
                    <w14:schemeClr w14:val="tx1"/>
                  </w14:solidFill>
                </w14:textFill>
              </w:rPr>
              <w:t>3</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w:t>
            </w:r>
          </w:p>
        </w:tc>
        <w:tc>
          <w:tcPr>
            <w:tcW w:w="1043" w:type="dxa"/>
            <w:vAlign w:val="center"/>
          </w:tcPr>
          <w:p w14:paraId="1F9ADE4B">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总悬浮颗粒物（mg/m</w:t>
            </w:r>
            <w:r>
              <w:rPr>
                <w:rFonts w:hint="default" w:ascii="Times New Roman" w:hAnsi="Times New Roman" w:eastAsia="宋体" w:cs="Times New Roman"/>
                <w:color w:val="000000" w:themeColor="text1"/>
                <w:spacing w:val="-6"/>
                <w:sz w:val="21"/>
                <w:szCs w:val="21"/>
                <w:vertAlign w:val="superscript"/>
                <w:lang w:eastAsia="zh-CN"/>
                <w14:textFill>
                  <w14:solidFill>
                    <w14:schemeClr w14:val="tx1"/>
                  </w14:solidFill>
                </w14:textFill>
              </w:rPr>
              <w:t>3</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w:t>
            </w:r>
          </w:p>
        </w:tc>
        <w:tc>
          <w:tcPr>
            <w:tcW w:w="1068" w:type="dxa"/>
            <w:vAlign w:val="center"/>
          </w:tcPr>
          <w:p w14:paraId="0F6CB36C">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氨</w:t>
            </w:r>
          </w:p>
          <w:p w14:paraId="0E7FFF23">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w:t>
            </w:r>
            <w:r>
              <w:rPr>
                <w:rFonts w:hint="default" w:ascii="Times New Roman" w:hAnsi="Times New Roman" w:eastAsia="宋体" w:cs="Times New Roman"/>
                <w:color w:val="000000" w:themeColor="text1"/>
                <w:spacing w:val="-6"/>
                <w:sz w:val="21"/>
                <w:szCs w:val="21"/>
                <w14:textFill>
                  <w14:solidFill>
                    <w14:schemeClr w14:val="tx1"/>
                  </w14:solidFill>
                </w14:textFill>
              </w:rPr>
              <w:t>mg/m</w:t>
            </w:r>
            <w:r>
              <w:rPr>
                <w:rFonts w:hint="default" w:ascii="Times New Roman" w:hAnsi="Times New Roman" w:eastAsia="宋体" w:cs="Times New Roman"/>
                <w:color w:val="000000" w:themeColor="text1"/>
                <w:spacing w:val="-6"/>
                <w:sz w:val="21"/>
                <w:szCs w:val="21"/>
                <w:vertAlign w:val="superscript"/>
                <w14:textFill>
                  <w14:solidFill>
                    <w14:schemeClr w14:val="tx1"/>
                  </w14:solidFill>
                </w14:textFill>
              </w:rPr>
              <w:t>3</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w:t>
            </w:r>
          </w:p>
        </w:tc>
        <w:tc>
          <w:tcPr>
            <w:tcW w:w="1056" w:type="dxa"/>
            <w:vAlign w:val="center"/>
          </w:tcPr>
          <w:p w14:paraId="3F012450">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硫化氢</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w:t>
            </w:r>
            <w:r>
              <w:rPr>
                <w:rFonts w:hint="default" w:ascii="Times New Roman" w:hAnsi="Times New Roman" w:eastAsia="宋体" w:cs="Times New Roman"/>
                <w:color w:val="000000" w:themeColor="text1"/>
                <w:spacing w:val="-6"/>
                <w:sz w:val="21"/>
                <w:szCs w:val="21"/>
                <w14:textFill>
                  <w14:solidFill>
                    <w14:schemeClr w14:val="tx1"/>
                  </w14:solidFill>
                </w14:textFill>
              </w:rPr>
              <w:t>mg/m</w:t>
            </w:r>
            <w:r>
              <w:rPr>
                <w:rFonts w:hint="default" w:ascii="Times New Roman" w:hAnsi="Times New Roman" w:eastAsia="宋体" w:cs="Times New Roman"/>
                <w:color w:val="000000" w:themeColor="text1"/>
                <w:spacing w:val="-6"/>
                <w:sz w:val="21"/>
                <w:szCs w:val="21"/>
                <w:vertAlign w:val="superscript"/>
                <w14:textFill>
                  <w14:solidFill>
                    <w14:schemeClr w14:val="tx1"/>
                  </w14:solidFill>
                </w14:textFill>
              </w:rPr>
              <w:t>3</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w:t>
            </w:r>
          </w:p>
        </w:tc>
        <w:tc>
          <w:tcPr>
            <w:tcW w:w="1078" w:type="dxa"/>
            <w:vAlign w:val="center"/>
          </w:tcPr>
          <w:p w14:paraId="0238F7CD">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臭气浓度</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w:t>
            </w:r>
            <w:r>
              <w:rPr>
                <w:rFonts w:hint="default" w:ascii="Times New Roman" w:hAnsi="Times New Roman" w:eastAsia="宋体" w:cs="Times New Roman"/>
                <w:color w:val="000000" w:themeColor="text1"/>
                <w:spacing w:val="-6"/>
                <w:sz w:val="21"/>
                <w:szCs w:val="21"/>
                <w14:textFill>
                  <w14:solidFill>
                    <w14:schemeClr w14:val="tx1"/>
                  </w14:solidFill>
                </w14:textFill>
              </w:rPr>
              <w:t>mg/m</w:t>
            </w:r>
            <w:r>
              <w:rPr>
                <w:rFonts w:hint="default" w:ascii="Times New Roman" w:hAnsi="Times New Roman" w:eastAsia="宋体" w:cs="Times New Roman"/>
                <w:color w:val="000000" w:themeColor="text1"/>
                <w:spacing w:val="-6"/>
                <w:sz w:val="21"/>
                <w:szCs w:val="21"/>
                <w:vertAlign w:val="superscript"/>
                <w14:textFill>
                  <w14:solidFill>
                    <w14:schemeClr w14:val="tx1"/>
                  </w14:solidFill>
                </w14:textFill>
              </w:rPr>
              <w:t>3</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w:t>
            </w:r>
          </w:p>
        </w:tc>
        <w:tc>
          <w:tcPr>
            <w:tcW w:w="1069" w:type="dxa"/>
            <w:vAlign w:val="center"/>
          </w:tcPr>
          <w:p w14:paraId="27985B14">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总悬浮颗粒物（</w:t>
            </w:r>
            <w:r>
              <w:rPr>
                <w:rFonts w:hint="eastAsia" w:ascii="Times New Roman" w:hAnsi="Times New Roman" w:cs="Times New Roman"/>
                <w:color w:val="000000" w:themeColor="text1"/>
                <w:spacing w:val="-6"/>
                <w:sz w:val="21"/>
                <w:szCs w:val="21"/>
                <w:lang w:val="en-US" w:eastAsia="zh-CN"/>
                <w14:textFill>
                  <w14:solidFill>
                    <w14:schemeClr w14:val="tx1"/>
                  </w14:solidFill>
                </w14:textFill>
              </w:rPr>
              <w:t>m</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g/m</w:t>
            </w:r>
            <w:r>
              <w:rPr>
                <w:rFonts w:hint="default" w:ascii="Times New Roman" w:hAnsi="Times New Roman" w:eastAsia="宋体" w:cs="Times New Roman"/>
                <w:color w:val="000000" w:themeColor="text1"/>
                <w:spacing w:val="-6"/>
                <w:sz w:val="21"/>
                <w:szCs w:val="21"/>
                <w:vertAlign w:val="superscript"/>
                <w:lang w:eastAsia="zh-CN"/>
                <w14:textFill>
                  <w14:solidFill>
                    <w14:schemeClr w14:val="tx1"/>
                  </w14:solidFill>
                </w14:textFill>
              </w:rPr>
              <w:t>3</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w:t>
            </w:r>
          </w:p>
        </w:tc>
        <w:tc>
          <w:tcPr>
            <w:tcW w:w="1049" w:type="dxa"/>
            <w:vAlign w:val="center"/>
          </w:tcPr>
          <w:p w14:paraId="1017F8A5">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氨</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w:t>
            </w:r>
            <w:r>
              <w:rPr>
                <w:rFonts w:hint="default" w:ascii="Times New Roman" w:hAnsi="Times New Roman" w:eastAsia="宋体" w:cs="Times New Roman"/>
                <w:color w:val="000000" w:themeColor="text1"/>
                <w:spacing w:val="-6"/>
                <w:sz w:val="21"/>
                <w:szCs w:val="21"/>
                <w14:textFill>
                  <w14:solidFill>
                    <w14:schemeClr w14:val="tx1"/>
                  </w14:solidFill>
                </w14:textFill>
              </w:rPr>
              <w:t>mg/m</w:t>
            </w:r>
            <w:r>
              <w:rPr>
                <w:rFonts w:hint="default" w:ascii="Times New Roman" w:hAnsi="Times New Roman" w:eastAsia="宋体" w:cs="Times New Roman"/>
                <w:color w:val="000000" w:themeColor="text1"/>
                <w:spacing w:val="-6"/>
                <w:sz w:val="21"/>
                <w:szCs w:val="21"/>
                <w:vertAlign w:val="superscript"/>
                <w14:textFill>
                  <w14:solidFill>
                    <w14:schemeClr w14:val="tx1"/>
                  </w14:solidFill>
                </w14:textFill>
              </w:rPr>
              <w:t>3</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w:t>
            </w:r>
          </w:p>
        </w:tc>
        <w:tc>
          <w:tcPr>
            <w:tcW w:w="1043" w:type="dxa"/>
            <w:vAlign w:val="center"/>
          </w:tcPr>
          <w:p w14:paraId="219DDE73">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硫化氢</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w:t>
            </w:r>
            <w:r>
              <w:rPr>
                <w:rFonts w:hint="default" w:ascii="Times New Roman" w:hAnsi="Times New Roman" w:eastAsia="宋体" w:cs="Times New Roman"/>
                <w:color w:val="000000" w:themeColor="text1"/>
                <w:spacing w:val="-6"/>
                <w:sz w:val="21"/>
                <w:szCs w:val="21"/>
                <w14:textFill>
                  <w14:solidFill>
                    <w14:schemeClr w14:val="tx1"/>
                  </w14:solidFill>
                </w14:textFill>
              </w:rPr>
              <w:t>mg/m</w:t>
            </w:r>
            <w:r>
              <w:rPr>
                <w:rFonts w:hint="default" w:ascii="Times New Roman" w:hAnsi="Times New Roman" w:eastAsia="宋体" w:cs="Times New Roman"/>
                <w:color w:val="000000" w:themeColor="text1"/>
                <w:spacing w:val="-6"/>
                <w:sz w:val="21"/>
                <w:szCs w:val="21"/>
                <w:vertAlign w:val="superscript"/>
                <w14:textFill>
                  <w14:solidFill>
                    <w14:schemeClr w14:val="tx1"/>
                  </w14:solidFill>
                </w14:textFill>
              </w:rPr>
              <w:t>3</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w:t>
            </w:r>
          </w:p>
        </w:tc>
        <w:tc>
          <w:tcPr>
            <w:tcW w:w="1043" w:type="dxa"/>
            <w:vAlign w:val="center"/>
          </w:tcPr>
          <w:p w14:paraId="1E125B3C">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臭气浓度</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w:t>
            </w:r>
            <w:r>
              <w:rPr>
                <w:rFonts w:hint="default" w:ascii="Times New Roman" w:hAnsi="Times New Roman" w:eastAsia="宋体" w:cs="Times New Roman"/>
                <w:color w:val="000000" w:themeColor="text1"/>
                <w:spacing w:val="-6"/>
                <w:sz w:val="21"/>
                <w:szCs w:val="21"/>
                <w14:textFill>
                  <w14:solidFill>
                    <w14:schemeClr w14:val="tx1"/>
                  </w14:solidFill>
                </w14:textFill>
              </w:rPr>
              <w:t>mg/m</w:t>
            </w:r>
            <w:r>
              <w:rPr>
                <w:rFonts w:hint="default" w:ascii="Times New Roman" w:hAnsi="Times New Roman" w:eastAsia="宋体" w:cs="Times New Roman"/>
                <w:color w:val="000000" w:themeColor="text1"/>
                <w:spacing w:val="-6"/>
                <w:sz w:val="21"/>
                <w:szCs w:val="21"/>
                <w:vertAlign w:val="superscript"/>
                <w14:textFill>
                  <w14:solidFill>
                    <w14:schemeClr w14:val="tx1"/>
                  </w14:solidFill>
                </w14:textFill>
              </w:rPr>
              <w:t>3</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w:t>
            </w:r>
          </w:p>
        </w:tc>
        <w:tc>
          <w:tcPr>
            <w:tcW w:w="1043" w:type="dxa"/>
            <w:vAlign w:val="center"/>
          </w:tcPr>
          <w:p w14:paraId="2571AE7B">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总悬浮颗粒物（</w:t>
            </w:r>
            <w:r>
              <w:rPr>
                <w:rFonts w:hint="eastAsia" w:ascii="Times New Roman" w:hAnsi="Times New Roman" w:cs="Times New Roman"/>
                <w:color w:val="000000" w:themeColor="text1"/>
                <w:spacing w:val="-6"/>
                <w:sz w:val="21"/>
                <w:szCs w:val="21"/>
                <w:lang w:val="en-US" w:eastAsia="zh-CN"/>
                <w14:textFill>
                  <w14:solidFill>
                    <w14:schemeClr w14:val="tx1"/>
                  </w14:solidFill>
                </w14:textFill>
              </w:rPr>
              <w:t>m</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g/m</w:t>
            </w:r>
            <w:r>
              <w:rPr>
                <w:rFonts w:hint="default" w:ascii="Times New Roman" w:hAnsi="Times New Roman" w:eastAsia="宋体" w:cs="Times New Roman"/>
                <w:color w:val="000000" w:themeColor="text1"/>
                <w:spacing w:val="-6"/>
                <w:sz w:val="21"/>
                <w:szCs w:val="21"/>
                <w:vertAlign w:val="superscript"/>
                <w:lang w:eastAsia="zh-CN"/>
                <w14:textFill>
                  <w14:solidFill>
                    <w14:schemeClr w14:val="tx1"/>
                  </w14:solidFill>
                </w14:textFill>
              </w:rPr>
              <w:t>3</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w:t>
            </w:r>
          </w:p>
        </w:tc>
      </w:tr>
      <w:tr w14:paraId="742F97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675" w:type="dxa"/>
            <w:vMerge w:val="restart"/>
            <w:vAlign w:val="center"/>
          </w:tcPr>
          <w:p w14:paraId="0A052B1E">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2023.08.13</w:t>
            </w:r>
          </w:p>
        </w:tc>
        <w:tc>
          <w:tcPr>
            <w:tcW w:w="1470" w:type="dxa"/>
            <w:vAlign w:val="center"/>
          </w:tcPr>
          <w:p w14:paraId="43E80BF6">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02</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w:t>
            </w:r>
            <w:r>
              <w:rPr>
                <w:rFonts w:hint="default" w:ascii="Times New Roman" w:hAnsi="Times New Roman" w:eastAsia="宋体" w:cs="Times New Roman"/>
                <w:color w:val="000000" w:themeColor="text1"/>
                <w:spacing w:val="-6"/>
                <w:sz w:val="21"/>
                <w:szCs w:val="21"/>
                <w14:textFill>
                  <w14:solidFill>
                    <w14:schemeClr w14:val="tx1"/>
                  </w14:solidFill>
                </w14:textFill>
              </w:rPr>
              <w:t>00-03</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w:t>
            </w:r>
            <w:r>
              <w:rPr>
                <w:rFonts w:hint="default" w:ascii="Times New Roman" w:hAnsi="Times New Roman" w:eastAsia="宋体" w:cs="Times New Roman"/>
                <w:color w:val="000000" w:themeColor="text1"/>
                <w:spacing w:val="-6"/>
                <w:sz w:val="21"/>
                <w:szCs w:val="21"/>
                <w14:textFill>
                  <w14:solidFill>
                    <w14:schemeClr w14:val="tx1"/>
                  </w14:solidFill>
                </w14:textFill>
              </w:rPr>
              <w:t>00</w:t>
            </w:r>
          </w:p>
        </w:tc>
        <w:tc>
          <w:tcPr>
            <w:tcW w:w="1050" w:type="dxa"/>
            <w:vAlign w:val="center"/>
          </w:tcPr>
          <w:p w14:paraId="1B7C0EBE">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0.0</w:t>
            </w:r>
            <w:r>
              <w:rPr>
                <w:rFonts w:hint="eastAsia" w:ascii="Times New Roman" w:hAnsi="Times New Roman" w:cs="Times New Roman"/>
                <w:color w:val="000000" w:themeColor="text1"/>
                <w:spacing w:val="-6"/>
                <w:sz w:val="21"/>
                <w:szCs w:val="21"/>
                <w:lang w:val="en-US" w:eastAsia="zh-CN"/>
                <w14:textFill>
                  <w14:solidFill>
                    <w14:schemeClr w14:val="tx1"/>
                  </w14:solidFill>
                </w14:textFill>
              </w:rPr>
              <w:t>0</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2</w:t>
            </w:r>
          </w:p>
        </w:tc>
        <w:tc>
          <w:tcPr>
            <w:tcW w:w="1080" w:type="dxa"/>
            <w:vAlign w:val="center"/>
          </w:tcPr>
          <w:p w14:paraId="5ACA1C67">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&lt;0.001</w:t>
            </w:r>
          </w:p>
        </w:tc>
        <w:tc>
          <w:tcPr>
            <w:tcW w:w="1076" w:type="dxa"/>
            <w:vAlign w:val="center"/>
          </w:tcPr>
          <w:p w14:paraId="16B172F1">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&lt;10</w:t>
            </w:r>
          </w:p>
        </w:tc>
        <w:tc>
          <w:tcPr>
            <w:tcW w:w="1043" w:type="dxa"/>
            <w:vMerge w:val="restart"/>
            <w:vAlign w:val="center"/>
          </w:tcPr>
          <w:p w14:paraId="56EB63D8">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vertAlign w:val="superscript"/>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0.112</w:t>
            </w:r>
          </w:p>
        </w:tc>
        <w:tc>
          <w:tcPr>
            <w:tcW w:w="1068" w:type="dxa"/>
            <w:vAlign w:val="center"/>
          </w:tcPr>
          <w:p w14:paraId="735DBAC9">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vertAlign w:val="superscript"/>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&lt;0.01</w:t>
            </w:r>
          </w:p>
        </w:tc>
        <w:tc>
          <w:tcPr>
            <w:tcW w:w="1056" w:type="dxa"/>
            <w:vAlign w:val="center"/>
          </w:tcPr>
          <w:p w14:paraId="26829439">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vertAlign w:val="superscript"/>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0.002</w:t>
            </w:r>
          </w:p>
        </w:tc>
        <w:tc>
          <w:tcPr>
            <w:tcW w:w="1078" w:type="dxa"/>
            <w:vAlign w:val="center"/>
          </w:tcPr>
          <w:p w14:paraId="17F13E14">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vertAlign w:val="superscript"/>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&lt;10</w:t>
            </w:r>
          </w:p>
        </w:tc>
        <w:tc>
          <w:tcPr>
            <w:tcW w:w="1069" w:type="dxa"/>
            <w:vMerge w:val="restart"/>
            <w:vAlign w:val="center"/>
          </w:tcPr>
          <w:p w14:paraId="2C7AE206">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0.129</w:t>
            </w:r>
          </w:p>
        </w:tc>
        <w:tc>
          <w:tcPr>
            <w:tcW w:w="1049" w:type="dxa"/>
            <w:vAlign w:val="center"/>
          </w:tcPr>
          <w:p w14:paraId="414D667A">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vertAlign w:val="superscript"/>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0.0</w:t>
            </w:r>
            <w:r>
              <w:rPr>
                <w:rFonts w:hint="eastAsia" w:cs="Times New Roman"/>
                <w:color w:val="000000" w:themeColor="text1"/>
                <w:kern w:val="0"/>
                <w:sz w:val="21"/>
                <w:szCs w:val="21"/>
                <w:lang w:val="en-US" w:eastAsia="zh-CN" w:bidi="ar"/>
                <w14:textFill>
                  <w14:solidFill>
                    <w14:schemeClr w14:val="tx1"/>
                  </w14:solidFill>
                </w14:textFill>
              </w:rPr>
              <w:t>0</w:t>
            </w:r>
            <w:r>
              <w:rPr>
                <w:rFonts w:hint="default" w:ascii="Times New Roman" w:hAnsi="Times New Roman" w:eastAsia="宋体" w:cs="Times New Roman"/>
                <w:color w:val="000000" w:themeColor="text1"/>
                <w:kern w:val="0"/>
                <w:sz w:val="21"/>
                <w:szCs w:val="21"/>
                <w:lang w:bidi="ar"/>
                <w14:textFill>
                  <w14:solidFill>
                    <w14:schemeClr w14:val="tx1"/>
                  </w14:solidFill>
                </w14:textFill>
              </w:rPr>
              <w:t>2</w:t>
            </w:r>
          </w:p>
        </w:tc>
        <w:tc>
          <w:tcPr>
            <w:tcW w:w="1043" w:type="dxa"/>
            <w:vAlign w:val="center"/>
          </w:tcPr>
          <w:p w14:paraId="2F4A3DAB">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vertAlign w:val="superscript"/>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&lt;0.001</w:t>
            </w:r>
          </w:p>
        </w:tc>
        <w:tc>
          <w:tcPr>
            <w:tcW w:w="1043" w:type="dxa"/>
            <w:vAlign w:val="center"/>
          </w:tcPr>
          <w:p w14:paraId="070972AA">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vertAlign w:val="superscript"/>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&lt;10</w:t>
            </w:r>
          </w:p>
        </w:tc>
        <w:tc>
          <w:tcPr>
            <w:tcW w:w="1043" w:type="dxa"/>
            <w:vMerge w:val="restart"/>
            <w:vAlign w:val="center"/>
          </w:tcPr>
          <w:p w14:paraId="508B1B57">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0.123</w:t>
            </w:r>
          </w:p>
        </w:tc>
      </w:tr>
      <w:tr w14:paraId="3AC08D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675" w:type="dxa"/>
            <w:vMerge w:val="continue"/>
            <w:vAlign w:val="center"/>
          </w:tcPr>
          <w:p w14:paraId="7170AC26">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p>
        </w:tc>
        <w:tc>
          <w:tcPr>
            <w:tcW w:w="1470" w:type="dxa"/>
            <w:vAlign w:val="center"/>
          </w:tcPr>
          <w:p w14:paraId="5BEBF563">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08</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w:t>
            </w:r>
            <w:r>
              <w:rPr>
                <w:rFonts w:hint="default" w:ascii="Times New Roman" w:hAnsi="Times New Roman" w:eastAsia="宋体" w:cs="Times New Roman"/>
                <w:color w:val="000000" w:themeColor="text1"/>
                <w:spacing w:val="-6"/>
                <w:sz w:val="21"/>
                <w:szCs w:val="21"/>
                <w14:textFill>
                  <w14:solidFill>
                    <w14:schemeClr w14:val="tx1"/>
                  </w14:solidFill>
                </w14:textFill>
              </w:rPr>
              <w:t>00-09</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w:t>
            </w:r>
            <w:r>
              <w:rPr>
                <w:rFonts w:hint="default" w:ascii="Times New Roman" w:hAnsi="Times New Roman" w:eastAsia="宋体" w:cs="Times New Roman"/>
                <w:color w:val="000000" w:themeColor="text1"/>
                <w:spacing w:val="-6"/>
                <w:sz w:val="21"/>
                <w:szCs w:val="21"/>
                <w14:textFill>
                  <w14:solidFill>
                    <w14:schemeClr w14:val="tx1"/>
                  </w14:solidFill>
                </w14:textFill>
              </w:rPr>
              <w:t>00</w:t>
            </w:r>
          </w:p>
        </w:tc>
        <w:tc>
          <w:tcPr>
            <w:tcW w:w="1050" w:type="dxa"/>
            <w:vAlign w:val="center"/>
          </w:tcPr>
          <w:p w14:paraId="03A6E076">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0.0</w:t>
            </w:r>
            <w:r>
              <w:rPr>
                <w:rFonts w:hint="eastAsia" w:ascii="Times New Roman" w:hAnsi="Times New Roman" w:cs="Times New Roman"/>
                <w:color w:val="000000" w:themeColor="text1"/>
                <w:spacing w:val="-6"/>
                <w:sz w:val="21"/>
                <w:szCs w:val="21"/>
                <w:lang w:val="en-US" w:eastAsia="zh-CN"/>
                <w14:textFill>
                  <w14:solidFill>
                    <w14:schemeClr w14:val="tx1"/>
                  </w14:solidFill>
                </w14:textFill>
              </w:rPr>
              <w:t>0</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5</w:t>
            </w:r>
          </w:p>
        </w:tc>
        <w:tc>
          <w:tcPr>
            <w:tcW w:w="1080" w:type="dxa"/>
            <w:vAlign w:val="center"/>
          </w:tcPr>
          <w:p w14:paraId="082D3B28">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0.003</w:t>
            </w:r>
          </w:p>
        </w:tc>
        <w:tc>
          <w:tcPr>
            <w:tcW w:w="1076" w:type="dxa"/>
            <w:vAlign w:val="center"/>
          </w:tcPr>
          <w:p w14:paraId="3210BE4A">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&lt;10</w:t>
            </w:r>
          </w:p>
        </w:tc>
        <w:tc>
          <w:tcPr>
            <w:tcW w:w="1043" w:type="dxa"/>
            <w:vMerge w:val="continue"/>
            <w:vAlign w:val="center"/>
          </w:tcPr>
          <w:p w14:paraId="1F7D417D">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vertAlign w:val="superscript"/>
                <w14:textFill>
                  <w14:solidFill>
                    <w14:schemeClr w14:val="tx1"/>
                  </w14:solidFill>
                </w14:textFill>
              </w:rPr>
            </w:pPr>
          </w:p>
        </w:tc>
        <w:tc>
          <w:tcPr>
            <w:tcW w:w="1068" w:type="dxa"/>
            <w:vAlign w:val="center"/>
          </w:tcPr>
          <w:p w14:paraId="3EA7AEF1">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0.0</w:t>
            </w:r>
            <w:r>
              <w:rPr>
                <w:rFonts w:hint="eastAsia" w:cs="Times New Roman"/>
                <w:color w:val="000000" w:themeColor="text1"/>
                <w:kern w:val="0"/>
                <w:sz w:val="21"/>
                <w:szCs w:val="21"/>
                <w:lang w:val="en-US" w:eastAsia="zh-CN" w:bidi="ar"/>
                <w14:textFill>
                  <w14:solidFill>
                    <w14:schemeClr w14:val="tx1"/>
                  </w14:solidFill>
                </w14:textFill>
              </w:rPr>
              <w:t>0</w:t>
            </w:r>
            <w:r>
              <w:rPr>
                <w:rFonts w:hint="default" w:ascii="Times New Roman" w:hAnsi="Times New Roman" w:eastAsia="宋体" w:cs="Times New Roman"/>
                <w:color w:val="000000" w:themeColor="text1"/>
                <w:kern w:val="0"/>
                <w:sz w:val="21"/>
                <w:szCs w:val="21"/>
                <w:lang w:bidi="ar"/>
                <w14:textFill>
                  <w14:solidFill>
                    <w14:schemeClr w14:val="tx1"/>
                  </w14:solidFill>
                </w14:textFill>
              </w:rPr>
              <w:t>3</w:t>
            </w:r>
          </w:p>
        </w:tc>
        <w:tc>
          <w:tcPr>
            <w:tcW w:w="1056" w:type="dxa"/>
            <w:vAlign w:val="center"/>
          </w:tcPr>
          <w:p w14:paraId="0C426B2A">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0.006</w:t>
            </w:r>
          </w:p>
        </w:tc>
        <w:tc>
          <w:tcPr>
            <w:tcW w:w="1078" w:type="dxa"/>
            <w:vAlign w:val="center"/>
          </w:tcPr>
          <w:p w14:paraId="6484DD5D">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&lt;10</w:t>
            </w:r>
          </w:p>
        </w:tc>
        <w:tc>
          <w:tcPr>
            <w:tcW w:w="1069" w:type="dxa"/>
            <w:vMerge w:val="continue"/>
            <w:vAlign w:val="center"/>
          </w:tcPr>
          <w:p w14:paraId="2911DCDE">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p>
        </w:tc>
        <w:tc>
          <w:tcPr>
            <w:tcW w:w="1049" w:type="dxa"/>
            <w:vAlign w:val="center"/>
          </w:tcPr>
          <w:p w14:paraId="2CAA93DB">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0.0</w:t>
            </w:r>
            <w:r>
              <w:rPr>
                <w:rFonts w:hint="eastAsia" w:cs="Times New Roman"/>
                <w:color w:val="000000" w:themeColor="text1"/>
                <w:kern w:val="0"/>
                <w:sz w:val="21"/>
                <w:szCs w:val="21"/>
                <w:lang w:val="en-US" w:eastAsia="zh-CN" w:bidi="ar"/>
                <w14:textFill>
                  <w14:solidFill>
                    <w14:schemeClr w14:val="tx1"/>
                  </w14:solidFill>
                </w14:textFill>
              </w:rPr>
              <w:t>0</w:t>
            </w:r>
            <w:r>
              <w:rPr>
                <w:rFonts w:hint="default" w:ascii="Times New Roman" w:hAnsi="Times New Roman" w:eastAsia="宋体" w:cs="Times New Roman"/>
                <w:color w:val="000000" w:themeColor="text1"/>
                <w:kern w:val="0"/>
                <w:sz w:val="21"/>
                <w:szCs w:val="21"/>
                <w:lang w:bidi="ar"/>
                <w14:textFill>
                  <w14:solidFill>
                    <w14:schemeClr w14:val="tx1"/>
                  </w14:solidFill>
                </w14:textFill>
              </w:rPr>
              <w:t>6</w:t>
            </w:r>
          </w:p>
        </w:tc>
        <w:tc>
          <w:tcPr>
            <w:tcW w:w="1043" w:type="dxa"/>
            <w:vAlign w:val="center"/>
          </w:tcPr>
          <w:p w14:paraId="5E903CF0">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0.006</w:t>
            </w:r>
          </w:p>
        </w:tc>
        <w:tc>
          <w:tcPr>
            <w:tcW w:w="1043" w:type="dxa"/>
            <w:vAlign w:val="center"/>
          </w:tcPr>
          <w:p w14:paraId="63604C34">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&lt;10</w:t>
            </w:r>
          </w:p>
        </w:tc>
        <w:tc>
          <w:tcPr>
            <w:tcW w:w="1043" w:type="dxa"/>
            <w:vMerge w:val="continue"/>
            <w:vAlign w:val="center"/>
          </w:tcPr>
          <w:p w14:paraId="1F5CCE23">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p>
        </w:tc>
      </w:tr>
      <w:tr w14:paraId="1BA4EA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675" w:type="dxa"/>
            <w:vMerge w:val="continue"/>
            <w:vAlign w:val="center"/>
          </w:tcPr>
          <w:p w14:paraId="7BA1ABF5">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p>
        </w:tc>
        <w:tc>
          <w:tcPr>
            <w:tcW w:w="1470" w:type="dxa"/>
            <w:vAlign w:val="center"/>
          </w:tcPr>
          <w:p w14:paraId="08C3BF29">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14</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w:t>
            </w:r>
            <w:r>
              <w:rPr>
                <w:rFonts w:hint="default" w:ascii="Times New Roman" w:hAnsi="Times New Roman" w:eastAsia="宋体" w:cs="Times New Roman"/>
                <w:color w:val="000000" w:themeColor="text1"/>
                <w:spacing w:val="-6"/>
                <w:sz w:val="21"/>
                <w:szCs w:val="21"/>
                <w14:textFill>
                  <w14:solidFill>
                    <w14:schemeClr w14:val="tx1"/>
                  </w14:solidFill>
                </w14:textFill>
              </w:rPr>
              <w:t>00-15</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w:t>
            </w:r>
            <w:r>
              <w:rPr>
                <w:rFonts w:hint="default" w:ascii="Times New Roman" w:hAnsi="Times New Roman" w:eastAsia="宋体" w:cs="Times New Roman"/>
                <w:color w:val="000000" w:themeColor="text1"/>
                <w:spacing w:val="-6"/>
                <w:sz w:val="21"/>
                <w:szCs w:val="21"/>
                <w14:textFill>
                  <w14:solidFill>
                    <w14:schemeClr w14:val="tx1"/>
                  </w14:solidFill>
                </w14:textFill>
              </w:rPr>
              <w:t>00</w:t>
            </w:r>
          </w:p>
        </w:tc>
        <w:tc>
          <w:tcPr>
            <w:tcW w:w="1050" w:type="dxa"/>
            <w:vAlign w:val="center"/>
          </w:tcPr>
          <w:p w14:paraId="4BA1E81E">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0.0</w:t>
            </w:r>
            <w:r>
              <w:rPr>
                <w:rFonts w:hint="eastAsia" w:ascii="Times New Roman" w:hAnsi="Times New Roman" w:cs="Times New Roman"/>
                <w:color w:val="000000" w:themeColor="text1"/>
                <w:spacing w:val="-6"/>
                <w:sz w:val="21"/>
                <w:szCs w:val="21"/>
                <w:lang w:val="en-US" w:eastAsia="zh-CN"/>
                <w14:textFill>
                  <w14:solidFill>
                    <w14:schemeClr w14:val="tx1"/>
                  </w14:solidFill>
                </w14:textFill>
              </w:rPr>
              <w:t>0</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3</w:t>
            </w:r>
          </w:p>
        </w:tc>
        <w:tc>
          <w:tcPr>
            <w:tcW w:w="1080" w:type="dxa"/>
            <w:vAlign w:val="center"/>
          </w:tcPr>
          <w:p w14:paraId="475C1F2E">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0.003</w:t>
            </w:r>
          </w:p>
        </w:tc>
        <w:tc>
          <w:tcPr>
            <w:tcW w:w="1076" w:type="dxa"/>
            <w:vAlign w:val="center"/>
          </w:tcPr>
          <w:p w14:paraId="7133A964">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&lt;10</w:t>
            </w:r>
          </w:p>
        </w:tc>
        <w:tc>
          <w:tcPr>
            <w:tcW w:w="1043" w:type="dxa"/>
            <w:vMerge w:val="continue"/>
            <w:vAlign w:val="center"/>
          </w:tcPr>
          <w:p w14:paraId="5C7CD198">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vertAlign w:val="superscript"/>
                <w14:textFill>
                  <w14:solidFill>
                    <w14:schemeClr w14:val="tx1"/>
                  </w14:solidFill>
                </w14:textFill>
              </w:rPr>
            </w:pPr>
          </w:p>
        </w:tc>
        <w:tc>
          <w:tcPr>
            <w:tcW w:w="1068" w:type="dxa"/>
            <w:vAlign w:val="center"/>
          </w:tcPr>
          <w:p w14:paraId="2D77A6DC">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0.0</w:t>
            </w:r>
            <w:r>
              <w:rPr>
                <w:rFonts w:hint="eastAsia" w:cs="Times New Roman"/>
                <w:color w:val="000000" w:themeColor="text1"/>
                <w:kern w:val="0"/>
                <w:sz w:val="21"/>
                <w:szCs w:val="21"/>
                <w:lang w:val="en-US" w:eastAsia="zh-CN" w:bidi="ar"/>
                <w14:textFill>
                  <w14:solidFill>
                    <w14:schemeClr w14:val="tx1"/>
                  </w14:solidFill>
                </w14:textFill>
              </w:rPr>
              <w:t>0</w:t>
            </w:r>
            <w:r>
              <w:rPr>
                <w:rFonts w:hint="default" w:ascii="Times New Roman" w:hAnsi="Times New Roman" w:eastAsia="宋体" w:cs="Times New Roman"/>
                <w:color w:val="000000" w:themeColor="text1"/>
                <w:kern w:val="0"/>
                <w:sz w:val="21"/>
                <w:szCs w:val="21"/>
                <w:lang w:bidi="ar"/>
                <w14:textFill>
                  <w14:solidFill>
                    <w14:schemeClr w14:val="tx1"/>
                  </w14:solidFill>
                </w14:textFill>
              </w:rPr>
              <w:t>3</w:t>
            </w:r>
          </w:p>
        </w:tc>
        <w:tc>
          <w:tcPr>
            <w:tcW w:w="1056" w:type="dxa"/>
            <w:vAlign w:val="center"/>
          </w:tcPr>
          <w:p w14:paraId="5A3BF053">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0.006</w:t>
            </w:r>
          </w:p>
        </w:tc>
        <w:tc>
          <w:tcPr>
            <w:tcW w:w="1078" w:type="dxa"/>
            <w:vAlign w:val="center"/>
          </w:tcPr>
          <w:p w14:paraId="62179F1A">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&lt;10</w:t>
            </w:r>
          </w:p>
        </w:tc>
        <w:tc>
          <w:tcPr>
            <w:tcW w:w="1069" w:type="dxa"/>
            <w:vMerge w:val="continue"/>
            <w:vAlign w:val="center"/>
          </w:tcPr>
          <w:p w14:paraId="0EDAE4EE">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p>
        </w:tc>
        <w:tc>
          <w:tcPr>
            <w:tcW w:w="1049" w:type="dxa"/>
            <w:vAlign w:val="center"/>
          </w:tcPr>
          <w:p w14:paraId="5FD16CF6">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0.0</w:t>
            </w:r>
            <w:r>
              <w:rPr>
                <w:rFonts w:hint="eastAsia" w:cs="Times New Roman"/>
                <w:color w:val="000000" w:themeColor="text1"/>
                <w:kern w:val="0"/>
                <w:sz w:val="21"/>
                <w:szCs w:val="21"/>
                <w:lang w:val="en-US" w:eastAsia="zh-CN" w:bidi="ar"/>
                <w14:textFill>
                  <w14:solidFill>
                    <w14:schemeClr w14:val="tx1"/>
                  </w14:solidFill>
                </w14:textFill>
              </w:rPr>
              <w:t>0</w:t>
            </w:r>
            <w:r>
              <w:rPr>
                <w:rFonts w:hint="default" w:ascii="Times New Roman" w:hAnsi="Times New Roman" w:eastAsia="宋体" w:cs="Times New Roman"/>
                <w:color w:val="000000" w:themeColor="text1"/>
                <w:kern w:val="0"/>
                <w:sz w:val="21"/>
                <w:szCs w:val="21"/>
                <w:lang w:bidi="ar"/>
                <w14:textFill>
                  <w14:solidFill>
                    <w14:schemeClr w14:val="tx1"/>
                  </w14:solidFill>
                </w14:textFill>
              </w:rPr>
              <w:t>6</w:t>
            </w:r>
          </w:p>
        </w:tc>
        <w:tc>
          <w:tcPr>
            <w:tcW w:w="1043" w:type="dxa"/>
            <w:vAlign w:val="center"/>
          </w:tcPr>
          <w:p w14:paraId="62AA53E8">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0.005</w:t>
            </w:r>
          </w:p>
        </w:tc>
        <w:tc>
          <w:tcPr>
            <w:tcW w:w="1043" w:type="dxa"/>
            <w:vAlign w:val="center"/>
          </w:tcPr>
          <w:p w14:paraId="23D071EE">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&lt;10</w:t>
            </w:r>
          </w:p>
        </w:tc>
        <w:tc>
          <w:tcPr>
            <w:tcW w:w="1043" w:type="dxa"/>
            <w:vMerge w:val="continue"/>
            <w:vAlign w:val="center"/>
          </w:tcPr>
          <w:p w14:paraId="6995D9F6">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p>
        </w:tc>
      </w:tr>
      <w:tr w14:paraId="3FF98C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675" w:type="dxa"/>
            <w:vMerge w:val="continue"/>
            <w:vAlign w:val="center"/>
          </w:tcPr>
          <w:p w14:paraId="74876B57">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p>
        </w:tc>
        <w:tc>
          <w:tcPr>
            <w:tcW w:w="1470" w:type="dxa"/>
            <w:vAlign w:val="center"/>
          </w:tcPr>
          <w:p w14:paraId="507E8ABE">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20</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w:t>
            </w:r>
            <w:r>
              <w:rPr>
                <w:rFonts w:hint="default" w:ascii="Times New Roman" w:hAnsi="Times New Roman" w:eastAsia="宋体" w:cs="Times New Roman"/>
                <w:color w:val="000000" w:themeColor="text1"/>
                <w:spacing w:val="-6"/>
                <w:sz w:val="21"/>
                <w:szCs w:val="21"/>
                <w14:textFill>
                  <w14:solidFill>
                    <w14:schemeClr w14:val="tx1"/>
                  </w14:solidFill>
                </w14:textFill>
              </w:rPr>
              <w:t>00-21</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w:t>
            </w:r>
            <w:r>
              <w:rPr>
                <w:rFonts w:hint="default" w:ascii="Times New Roman" w:hAnsi="Times New Roman" w:eastAsia="宋体" w:cs="Times New Roman"/>
                <w:color w:val="000000" w:themeColor="text1"/>
                <w:spacing w:val="-6"/>
                <w:sz w:val="21"/>
                <w:szCs w:val="21"/>
                <w14:textFill>
                  <w14:solidFill>
                    <w14:schemeClr w14:val="tx1"/>
                  </w14:solidFill>
                </w14:textFill>
              </w:rPr>
              <w:t>00</w:t>
            </w:r>
          </w:p>
        </w:tc>
        <w:tc>
          <w:tcPr>
            <w:tcW w:w="1050" w:type="dxa"/>
            <w:vAlign w:val="center"/>
          </w:tcPr>
          <w:p w14:paraId="5375E8A9">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0.0</w:t>
            </w:r>
            <w:r>
              <w:rPr>
                <w:rFonts w:hint="eastAsia" w:ascii="Times New Roman" w:hAnsi="Times New Roman" w:cs="Times New Roman"/>
                <w:color w:val="000000" w:themeColor="text1"/>
                <w:spacing w:val="-6"/>
                <w:sz w:val="21"/>
                <w:szCs w:val="21"/>
                <w:lang w:val="en-US" w:eastAsia="zh-CN"/>
                <w14:textFill>
                  <w14:solidFill>
                    <w14:schemeClr w14:val="tx1"/>
                  </w14:solidFill>
                </w14:textFill>
              </w:rPr>
              <w:t>0</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3</w:t>
            </w:r>
          </w:p>
        </w:tc>
        <w:tc>
          <w:tcPr>
            <w:tcW w:w="1080" w:type="dxa"/>
            <w:vAlign w:val="center"/>
          </w:tcPr>
          <w:p w14:paraId="61E18664">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0.005</w:t>
            </w:r>
          </w:p>
        </w:tc>
        <w:tc>
          <w:tcPr>
            <w:tcW w:w="1076" w:type="dxa"/>
            <w:vAlign w:val="center"/>
          </w:tcPr>
          <w:p w14:paraId="7862258B">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&lt;10</w:t>
            </w:r>
          </w:p>
        </w:tc>
        <w:tc>
          <w:tcPr>
            <w:tcW w:w="1043" w:type="dxa"/>
            <w:vMerge w:val="continue"/>
            <w:vAlign w:val="center"/>
          </w:tcPr>
          <w:p w14:paraId="7DAE9D2F">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vertAlign w:val="superscript"/>
                <w14:textFill>
                  <w14:solidFill>
                    <w14:schemeClr w14:val="tx1"/>
                  </w14:solidFill>
                </w14:textFill>
              </w:rPr>
            </w:pPr>
          </w:p>
        </w:tc>
        <w:tc>
          <w:tcPr>
            <w:tcW w:w="1068" w:type="dxa"/>
            <w:vAlign w:val="center"/>
          </w:tcPr>
          <w:p w14:paraId="298125B5">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0.0</w:t>
            </w:r>
            <w:r>
              <w:rPr>
                <w:rFonts w:hint="eastAsia" w:cs="Times New Roman"/>
                <w:color w:val="000000" w:themeColor="text1"/>
                <w:kern w:val="0"/>
                <w:sz w:val="21"/>
                <w:szCs w:val="21"/>
                <w:lang w:val="en-US" w:eastAsia="zh-CN" w:bidi="ar"/>
                <w14:textFill>
                  <w14:solidFill>
                    <w14:schemeClr w14:val="tx1"/>
                  </w14:solidFill>
                </w14:textFill>
              </w:rPr>
              <w:t>0</w:t>
            </w:r>
            <w:r>
              <w:rPr>
                <w:rFonts w:hint="default" w:ascii="Times New Roman" w:hAnsi="Times New Roman" w:eastAsia="宋体" w:cs="Times New Roman"/>
                <w:color w:val="000000" w:themeColor="text1"/>
                <w:kern w:val="0"/>
                <w:sz w:val="21"/>
                <w:szCs w:val="21"/>
                <w:lang w:bidi="ar"/>
                <w14:textFill>
                  <w14:solidFill>
                    <w14:schemeClr w14:val="tx1"/>
                  </w14:solidFill>
                </w14:textFill>
              </w:rPr>
              <w:t>4</w:t>
            </w:r>
          </w:p>
        </w:tc>
        <w:tc>
          <w:tcPr>
            <w:tcW w:w="1056" w:type="dxa"/>
            <w:vAlign w:val="center"/>
          </w:tcPr>
          <w:p w14:paraId="4D4B8A75">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0.007</w:t>
            </w:r>
          </w:p>
        </w:tc>
        <w:tc>
          <w:tcPr>
            <w:tcW w:w="1078" w:type="dxa"/>
            <w:vAlign w:val="center"/>
          </w:tcPr>
          <w:p w14:paraId="288075F5">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&lt;10</w:t>
            </w:r>
          </w:p>
        </w:tc>
        <w:tc>
          <w:tcPr>
            <w:tcW w:w="1069" w:type="dxa"/>
            <w:vMerge w:val="continue"/>
            <w:vAlign w:val="center"/>
          </w:tcPr>
          <w:p w14:paraId="7F9CE784">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p>
        </w:tc>
        <w:tc>
          <w:tcPr>
            <w:tcW w:w="1049" w:type="dxa"/>
            <w:vAlign w:val="center"/>
          </w:tcPr>
          <w:p w14:paraId="1EAB3F7A">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w:t>
            </w:r>
            <w:r>
              <w:rPr>
                <w:rFonts w:hint="eastAsia" w:cs="Times New Roman"/>
                <w:color w:val="000000" w:themeColor="text1"/>
                <w:kern w:val="0"/>
                <w:sz w:val="21"/>
                <w:szCs w:val="21"/>
                <w:lang w:val="en-US" w:eastAsia="zh-CN" w:bidi="ar"/>
                <w14:textFill>
                  <w14:solidFill>
                    <w14:schemeClr w14:val="tx1"/>
                  </w14:solidFill>
                </w14:textFill>
              </w:rPr>
              <w:t>0</w:t>
            </w:r>
            <w:r>
              <w:rPr>
                <w:rFonts w:hint="default" w:ascii="Times New Roman" w:hAnsi="Times New Roman" w:eastAsia="宋体" w:cs="Times New Roman"/>
                <w:color w:val="000000" w:themeColor="text1"/>
                <w:kern w:val="0"/>
                <w:sz w:val="21"/>
                <w:szCs w:val="21"/>
                <w:lang w:bidi="ar"/>
                <w14:textFill>
                  <w14:solidFill>
                    <w14:schemeClr w14:val="tx1"/>
                  </w14:solidFill>
                </w14:textFill>
              </w:rPr>
              <w:t>07</w:t>
            </w:r>
          </w:p>
        </w:tc>
        <w:tc>
          <w:tcPr>
            <w:tcW w:w="1043" w:type="dxa"/>
            <w:vAlign w:val="center"/>
          </w:tcPr>
          <w:p w14:paraId="6B06225A">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0.005</w:t>
            </w:r>
          </w:p>
        </w:tc>
        <w:tc>
          <w:tcPr>
            <w:tcW w:w="1043" w:type="dxa"/>
            <w:vAlign w:val="center"/>
          </w:tcPr>
          <w:p w14:paraId="26678B71">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&lt;10</w:t>
            </w:r>
          </w:p>
        </w:tc>
        <w:tc>
          <w:tcPr>
            <w:tcW w:w="1043" w:type="dxa"/>
            <w:vMerge w:val="continue"/>
            <w:vAlign w:val="center"/>
          </w:tcPr>
          <w:p w14:paraId="5C243AC2">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p>
        </w:tc>
      </w:tr>
      <w:tr w14:paraId="7F1513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675" w:type="dxa"/>
            <w:vMerge w:val="restart"/>
            <w:vAlign w:val="center"/>
          </w:tcPr>
          <w:p w14:paraId="2C4F75DC">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2023.08.14</w:t>
            </w:r>
          </w:p>
        </w:tc>
        <w:tc>
          <w:tcPr>
            <w:tcW w:w="1470" w:type="dxa"/>
            <w:vAlign w:val="center"/>
          </w:tcPr>
          <w:p w14:paraId="36F639D2">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02</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w:t>
            </w:r>
            <w:r>
              <w:rPr>
                <w:rFonts w:hint="default" w:ascii="Times New Roman" w:hAnsi="Times New Roman" w:eastAsia="宋体" w:cs="Times New Roman"/>
                <w:color w:val="000000" w:themeColor="text1"/>
                <w:spacing w:val="-6"/>
                <w:sz w:val="21"/>
                <w:szCs w:val="21"/>
                <w14:textFill>
                  <w14:solidFill>
                    <w14:schemeClr w14:val="tx1"/>
                  </w14:solidFill>
                </w14:textFill>
              </w:rPr>
              <w:t>00-03</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w:t>
            </w:r>
            <w:r>
              <w:rPr>
                <w:rFonts w:hint="default" w:ascii="Times New Roman" w:hAnsi="Times New Roman" w:eastAsia="宋体" w:cs="Times New Roman"/>
                <w:color w:val="000000" w:themeColor="text1"/>
                <w:spacing w:val="-6"/>
                <w:sz w:val="21"/>
                <w:szCs w:val="21"/>
                <w14:textFill>
                  <w14:solidFill>
                    <w14:schemeClr w14:val="tx1"/>
                  </w14:solidFill>
                </w14:textFill>
              </w:rPr>
              <w:t>00</w:t>
            </w:r>
          </w:p>
        </w:tc>
        <w:tc>
          <w:tcPr>
            <w:tcW w:w="1050" w:type="dxa"/>
            <w:vAlign w:val="center"/>
          </w:tcPr>
          <w:p w14:paraId="660F9C0B">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&lt;0.01</w:t>
            </w:r>
          </w:p>
        </w:tc>
        <w:tc>
          <w:tcPr>
            <w:tcW w:w="1080" w:type="dxa"/>
            <w:vAlign w:val="center"/>
          </w:tcPr>
          <w:p w14:paraId="5D2DDDFE">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0.003</w:t>
            </w:r>
          </w:p>
        </w:tc>
        <w:tc>
          <w:tcPr>
            <w:tcW w:w="1076" w:type="dxa"/>
            <w:vAlign w:val="center"/>
          </w:tcPr>
          <w:p w14:paraId="15D96ED2">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&lt;10</w:t>
            </w:r>
          </w:p>
        </w:tc>
        <w:tc>
          <w:tcPr>
            <w:tcW w:w="1043" w:type="dxa"/>
            <w:vMerge w:val="restart"/>
            <w:vAlign w:val="center"/>
          </w:tcPr>
          <w:p w14:paraId="124AAFEF">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vertAlign w:val="superscript"/>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0.125</w:t>
            </w:r>
          </w:p>
        </w:tc>
        <w:tc>
          <w:tcPr>
            <w:tcW w:w="1068" w:type="dxa"/>
            <w:vAlign w:val="center"/>
          </w:tcPr>
          <w:p w14:paraId="033C0970">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0.0</w:t>
            </w:r>
            <w:r>
              <w:rPr>
                <w:rFonts w:hint="eastAsia" w:cs="Times New Roman"/>
                <w:color w:val="000000" w:themeColor="text1"/>
                <w:kern w:val="0"/>
                <w:sz w:val="21"/>
                <w:szCs w:val="21"/>
                <w:lang w:val="en-US" w:eastAsia="zh-CN" w:bidi="ar"/>
                <w14:textFill>
                  <w14:solidFill>
                    <w14:schemeClr w14:val="tx1"/>
                  </w14:solidFill>
                </w14:textFill>
              </w:rPr>
              <w:t>0</w:t>
            </w:r>
            <w:r>
              <w:rPr>
                <w:rFonts w:hint="default" w:ascii="Times New Roman" w:hAnsi="Times New Roman" w:eastAsia="宋体" w:cs="Times New Roman"/>
                <w:color w:val="000000" w:themeColor="text1"/>
                <w:kern w:val="0"/>
                <w:sz w:val="21"/>
                <w:szCs w:val="21"/>
                <w:lang w:bidi="ar"/>
                <w14:textFill>
                  <w14:solidFill>
                    <w14:schemeClr w14:val="tx1"/>
                  </w14:solidFill>
                </w14:textFill>
              </w:rPr>
              <w:t>2</w:t>
            </w:r>
          </w:p>
        </w:tc>
        <w:tc>
          <w:tcPr>
            <w:tcW w:w="1056" w:type="dxa"/>
            <w:vAlign w:val="center"/>
          </w:tcPr>
          <w:p w14:paraId="1E7FD348">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&lt;0.001</w:t>
            </w:r>
          </w:p>
        </w:tc>
        <w:tc>
          <w:tcPr>
            <w:tcW w:w="1078" w:type="dxa"/>
            <w:vAlign w:val="center"/>
          </w:tcPr>
          <w:p w14:paraId="5E92A173">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&lt;10</w:t>
            </w:r>
          </w:p>
        </w:tc>
        <w:tc>
          <w:tcPr>
            <w:tcW w:w="1069" w:type="dxa"/>
            <w:vMerge w:val="restart"/>
            <w:vAlign w:val="center"/>
          </w:tcPr>
          <w:p w14:paraId="55F5F537">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0.141</w:t>
            </w:r>
          </w:p>
        </w:tc>
        <w:tc>
          <w:tcPr>
            <w:tcW w:w="1049" w:type="dxa"/>
            <w:vAlign w:val="center"/>
          </w:tcPr>
          <w:p w14:paraId="7F03AD07">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0.0</w:t>
            </w:r>
            <w:r>
              <w:rPr>
                <w:rFonts w:hint="eastAsia" w:cs="Times New Roman"/>
                <w:color w:val="000000" w:themeColor="text1"/>
                <w:kern w:val="0"/>
                <w:sz w:val="21"/>
                <w:szCs w:val="21"/>
                <w:lang w:val="en-US" w:eastAsia="zh-CN" w:bidi="ar"/>
                <w14:textFill>
                  <w14:solidFill>
                    <w14:schemeClr w14:val="tx1"/>
                  </w14:solidFill>
                </w14:textFill>
              </w:rPr>
              <w:t>0</w:t>
            </w:r>
            <w:r>
              <w:rPr>
                <w:rFonts w:hint="default" w:ascii="Times New Roman" w:hAnsi="Times New Roman" w:eastAsia="宋体" w:cs="Times New Roman"/>
                <w:color w:val="000000" w:themeColor="text1"/>
                <w:kern w:val="0"/>
                <w:sz w:val="21"/>
                <w:szCs w:val="21"/>
                <w:lang w:bidi="ar"/>
                <w14:textFill>
                  <w14:solidFill>
                    <w14:schemeClr w14:val="tx1"/>
                  </w14:solidFill>
                </w14:textFill>
              </w:rPr>
              <w:t>3</w:t>
            </w:r>
          </w:p>
        </w:tc>
        <w:tc>
          <w:tcPr>
            <w:tcW w:w="1043" w:type="dxa"/>
            <w:vAlign w:val="center"/>
          </w:tcPr>
          <w:p w14:paraId="39637738">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0.002</w:t>
            </w:r>
          </w:p>
        </w:tc>
        <w:tc>
          <w:tcPr>
            <w:tcW w:w="1043" w:type="dxa"/>
            <w:vAlign w:val="center"/>
          </w:tcPr>
          <w:p w14:paraId="70E556C7">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&lt;10</w:t>
            </w:r>
          </w:p>
        </w:tc>
        <w:tc>
          <w:tcPr>
            <w:tcW w:w="1043" w:type="dxa"/>
            <w:vMerge w:val="restart"/>
            <w:vAlign w:val="center"/>
          </w:tcPr>
          <w:p w14:paraId="7FF68C54">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0.137</w:t>
            </w:r>
          </w:p>
        </w:tc>
      </w:tr>
      <w:tr w14:paraId="74AA9B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675" w:type="dxa"/>
            <w:vMerge w:val="continue"/>
            <w:vAlign w:val="center"/>
          </w:tcPr>
          <w:p w14:paraId="6B983D5F">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p>
        </w:tc>
        <w:tc>
          <w:tcPr>
            <w:tcW w:w="1470" w:type="dxa"/>
            <w:vAlign w:val="center"/>
          </w:tcPr>
          <w:p w14:paraId="635F4D5E">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08</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w:t>
            </w:r>
            <w:r>
              <w:rPr>
                <w:rFonts w:hint="default" w:ascii="Times New Roman" w:hAnsi="Times New Roman" w:eastAsia="宋体" w:cs="Times New Roman"/>
                <w:color w:val="000000" w:themeColor="text1"/>
                <w:spacing w:val="-6"/>
                <w:sz w:val="21"/>
                <w:szCs w:val="21"/>
                <w14:textFill>
                  <w14:solidFill>
                    <w14:schemeClr w14:val="tx1"/>
                  </w14:solidFill>
                </w14:textFill>
              </w:rPr>
              <w:t>00-09</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w:t>
            </w:r>
            <w:r>
              <w:rPr>
                <w:rFonts w:hint="default" w:ascii="Times New Roman" w:hAnsi="Times New Roman" w:eastAsia="宋体" w:cs="Times New Roman"/>
                <w:color w:val="000000" w:themeColor="text1"/>
                <w:spacing w:val="-6"/>
                <w:sz w:val="21"/>
                <w:szCs w:val="21"/>
                <w14:textFill>
                  <w14:solidFill>
                    <w14:schemeClr w14:val="tx1"/>
                  </w14:solidFill>
                </w14:textFill>
              </w:rPr>
              <w:t>00</w:t>
            </w:r>
          </w:p>
        </w:tc>
        <w:tc>
          <w:tcPr>
            <w:tcW w:w="1050" w:type="dxa"/>
            <w:vAlign w:val="center"/>
          </w:tcPr>
          <w:p w14:paraId="60FE0722">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0.0</w:t>
            </w:r>
            <w:r>
              <w:rPr>
                <w:rFonts w:hint="eastAsia" w:ascii="Times New Roman" w:hAnsi="Times New Roman" w:cs="Times New Roman"/>
                <w:color w:val="000000" w:themeColor="text1"/>
                <w:spacing w:val="-6"/>
                <w:sz w:val="21"/>
                <w:szCs w:val="21"/>
                <w:lang w:val="en-US" w:eastAsia="zh-CN"/>
                <w14:textFill>
                  <w14:solidFill>
                    <w14:schemeClr w14:val="tx1"/>
                  </w14:solidFill>
                </w14:textFill>
              </w:rPr>
              <w:t>0</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3</w:t>
            </w:r>
          </w:p>
        </w:tc>
        <w:tc>
          <w:tcPr>
            <w:tcW w:w="1080" w:type="dxa"/>
            <w:vAlign w:val="center"/>
          </w:tcPr>
          <w:p w14:paraId="79A075CD">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0.006</w:t>
            </w:r>
          </w:p>
        </w:tc>
        <w:tc>
          <w:tcPr>
            <w:tcW w:w="1076" w:type="dxa"/>
            <w:vAlign w:val="center"/>
          </w:tcPr>
          <w:p w14:paraId="0D691DA7">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&lt;10</w:t>
            </w:r>
          </w:p>
        </w:tc>
        <w:tc>
          <w:tcPr>
            <w:tcW w:w="1043" w:type="dxa"/>
            <w:vMerge w:val="continue"/>
            <w:vAlign w:val="center"/>
          </w:tcPr>
          <w:p w14:paraId="0FF35763">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vertAlign w:val="superscript"/>
                <w14:textFill>
                  <w14:solidFill>
                    <w14:schemeClr w14:val="tx1"/>
                  </w14:solidFill>
                </w14:textFill>
              </w:rPr>
            </w:pPr>
          </w:p>
        </w:tc>
        <w:tc>
          <w:tcPr>
            <w:tcW w:w="1068" w:type="dxa"/>
            <w:vAlign w:val="center"/>
          </w:tcPr>
          <w:p w14:paraId="1EF0D188">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0.0</w:t>
            </w:r>
            <w:r>
              <w:rPr>
                <w:rFonts w:hint="eastAsia" w:cs="Times New Roman"/>
                <w:color w:val="000000" w:themeColor="text1"/>
                <w:kern w:val="0"/>
                <w:sz w:val="21"/>
                <w:szCs w:val="21"/>
                <w:lang w:val="en-US" w:eastAsia="zh-CN" w:bidi="ar"/>
                <w14:textFill>
                  <w14:solidFill>
                    <w14:schemeClr w14:val="tx1"/>
                  </w14:solidFill>
                </w14:textFill>
              </w:rPr>
              <w:t>0</w:t>
            </w:r>
            <w:r>
              <w:rPr>
                <w:rFonts w:hint="default" w:ascii="Times New Roman" w:hAnsi="Times New Roman" w:eastAsia="宋体" w:cs="Times New Roman"/>
                <w:color w:val="000000" w:themeColor="text1"/>
                <w:kern w:val="0"/>
                <w:sz w:val="21"/>
                <w:szCs w:val="21"/>
                <w:lang w:bidi="ar"/>
                <w14:textFill>
                  <w14:solidFill>
                    <w14:schemeClr w14:val="tx1"/>
                  </w14:solidFill>
                </w14:textFill>
              </w:rPr>
              <w:t>5</w:t>
            </w:r>
          </w:p>
        </w:tc>
        <w:tc>
          <w:tcPr>
            <w:tcW w:w="1056" w:type="dxa"/>
            <w:vAlign w:val="center"/>
          </w:tcPr>
          <w:p w14:paraId="5332EC02">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0.003</w:t>
            </w:r>
          </w:p>
        </w:tc>
        <w:tc>
          <w:tcPr>
            <w:tcW w:w="1078" w:type="dxa"/>
            <w:vAlign w:val="center"/>
          </w:tcPr>
          <w:p w14:paraId="0DF18B1D">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&lt;10</w:t>
            </w:r>
          </w:p>
        </w:tc>
        <w:tc>
          <w:tcPr>
            <w:tcW w:w="1069" w:type="dxa"/>
            <w:vMerge w:val="continue"/>
            <w:vAlign w:val="center"/>
          </w:tcPr>
          <w:p w14:paraId="4C98373C">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p>
        </w:tc>
        <w:tc>
          <w:tcPr>
            <w:tcW w:w="1049" w:type="dxa"/>
            <w:vAlign w:val="center"/>
          </w:tcPr>
          <w:p w14:paraId="0ECA90BE">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0.0</w:t>
            </w:r>
            <w:r>
              <w:rPr>
                <w:rFonts w:hint="eastAsia" w:cs="Times New Roman"/>
                <w:color w:val="000000" w:themeColor="text1"/>
                <w:kern w:val="0"/>
                <w:sz w:val="21"/>
                <w:szCs w:val="21"/>
                <w:lang w:val="en-US" w:eastAsia="zh-CN" w:bidi="ar"/>
                <w14:textFill>
                  <w14:solidFill>
                    <w14:schemeClr w14:val="tx1"/>
                  </w14:solidFill>
                </w14:textFill>
              </w:rPr>
              <w:t>0</w:t>
            </w:r>
            <w:r>
              <w:rPr>
                <w:rFonts w:hint="default" w:ascii="Times New Roman" w:hAnsi="Times New Roman" w:eastAsia="宋体" w:cs="Times New Roman"/>
                <w:color w:val="000000" w:themeColor="text1"/>
                <w:kern w:val="0"/>
                <w:sz w:val="21"/>
                <w:szCs w:val="21"/>
                <w:lang w:bidi="ar"/>
                <w14:textFill>
                  <w14:solidFill>
                    <w14:schemeClr w14:val="tx1"/>
                  </w14:solidFill>
                </w14:textFill>
              </w:rPr>
              <w:t>5</w:t>
            </w:r>
          </w:p>
        </w:tc>
        <w:tc>
          <w:tcPr>
            <w:tcW w:w="1043" w:type="dxa"/>
            <w:vAlign w:val="center"/>
          </w:tcPr>
          <w:p w14:paraId="74514DCB">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0.006</w:t>
            </w:r>
          </w:p>
        </w:tc>
        <w:tc>
          <w:tcPr>
            <w:tcW w:w="1043" w:type="dxa"/>
            <w:vAlign w:val="center"/>
          </w:tcPr>
          <w:p w14:paraId="32D16843">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&lt;10</w:t>
            </w:r>
          </w:p>
        </w:tc>
        <w:tc>
          <w:tcPr>
            <w:tcW w:w="1043" w:type="dxa"/>
            <w:vMerge w:val="continue"/>
            <w:vAlign w:val="center"/>
          </w:tcPr>
          <w:p w14:paraId="1DEC7147">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p>
        </w:tc>
      </w:tr>
      <w:tr w14:paraId="040D12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675" w:type="dxa"/>
            <w:vMerge w:val="continue"/>
            <w:vAlign w:val="center"/>
          </w:tcPr>
          <w:p w14:paraId="4C92D9A6">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p>
        </w:tc>
        <w:tc>
          <w:tcPr>
            <w:tcW w:w="1470" w:type="dxa"/>
            <w:vAlign w:val="center"/>
          </w:tcPr>
          <w:p w14:paraId="6E6E7B7B">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14</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w:t>
            </w:r>
            <w:r>
              <w:rPr>
                <w:rFonts w:hint="default" w:ascii="Times New Roman" w:hAnsi="Times New Roman" w:eastAsia="宋体" w:cs="Times New Roman"/>
                <w:color w:val="000000" w:themeColor="text1"/>
                <w:spacing w:val="-6"/>
                <w:sz w:val="21"/>
                <w:szCs w:val="21"/>
                <w14:textFill>
                  <w14:solidFill>
                    <w14:schemeClr w14:val="tx1"/>
                  </w14:solidFill>
                </w14:textFill>
              </w:rPr>
              <w:t>00-15</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w:t>
            </w:r>
            <w:r>
              <w:rPr>
                <w:rFonts w:hint="default" w:ascii="Times New Roman" w:hAnsi="Times New Roman" w:eastAsia="宋体" w:cs="Times New Roman"/>
                <w:color w:val="000000" w:themeColor="text1"/>
                <w:spacing w:val="-6"/>
                <w:sz w:val="21"/>
                <w:szCs w:val="21"/>
                <w14:textFill>
                  <w14:solidFill>
                    <w14:schemeClr w14:val="tx1"/>
                  </w14:solidFill>
                </w14:textFill>
              </w:rPr>
              <w:t>00</w:t>
            </w:r>
          </w:p>
        </w:tc>
        <w:tc>
          <w:tcPr>
            <w:tcW w:w="1050" w:type="dxa"/>
            <w:vAlign w:val="center"/>
          </w:tcPr>
          <w:p w14:paraId="13ECD3F9">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0.0</w:t>
            </w:r>
            <w:r>
              <w:rPr>
                <w:rFonts w:hint="eastAsia" w:ascii="Times New Roman" w:hAnsi="Times New Roman" w:cs="Times New Roman"/>
                <w:color w:val="000000" w:themeColor="text1"/>
                <w:spacing w:val="-6"/>
                <w:sz w:val="21"/>
                <w:szCs w:val="21"/>
                <w:lang w:val="en-US" w:eastAsia="zh-CN"/>
                <w14:textFill>
                  <w14:solidFill>
                    <w14:schemeClr w14:val="tx1"/>
                  </w14:solidFill>
                </w14:textFill>
              </w:rPr>
              <w:t>0</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3</w:t>
            </w:r>
          </w:p>
        </w:tc>
        <w:tc>
          <w:tcPr>
            <w:tcW w:w="1080" w:type="dxa"/>
            <w:vAlign w:val="center"/>
          </w:tcPr>
          <w:p w14:paraId="62E40F11">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0.007</w:t>
            </w:r>
          </w:p>
        </w:tc>
        <w:tc>
          <w:tcPr>
            <w:tcW w:w="1076" w:type="dxa"/>
            <w:vAlign w:val="center"/>
          </w:tcPr>
          <w:p w14:paraId="63B22F6C">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&lt;10</w:t>
            </w:r>
          </w:p>
        </w:tc>
        <w:tc>
          <w:tcPr>
            <w:tcW w:w="1043" w:type="dxa"/>
            <w:vMerge w:val="continue"/>
            <w:vAlign w:val="center"/>
          </w:tcPr>
          <w:p w14:paraId="0D56DF3D">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vertAlign w:val="superscript"/>
                <w14:textFill>
                  <w14:solidFill>
                    <w14:schemeClr w14:val="tx1"/>
                  </w14:solidFill>
                </w14:textFill>
              </w:rPr>
            </w:pPr>
          </w:p>
        </w:tc>
        <w:tc>
          <w:tcPr>
            <w:tcW w:w="1068" w:type="dxa"/>
            <w:vAlign w:val="center"/>
          </w:tcPr>
          <w:p w14:paraId="058B1DF0">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0.0</w:t>
            </w:r>
            <w:r>
              <w:rPr>
                <w:rFonts w:hint="eastAsia" w:cs="Times New Roman"/>
                <w:color w:val="000000" w:themeColor="text1"/>
                <w:kern w:val="0"/>
                <w:sz w:val="21"/>
                <w:szCs w:val="21"/>
                <w:lang w:val="en-US" w:eastAsia="zh-CN" w:bidi="ar"/>
                <w14:textFill>
                  <w14:solidFill>
                    <w14:schemeClr w14:val="tx1"/>
                  </w14:solidFill>
                </w14:textFill>
              </w:rPr>
              <w:t>0</w:t>
            </w:r>
            <w:r>
              <w:rPr>
                <w:rFonts w:hint="default" w:ascii="Times New Roman" w:hAnsi="Times New Roman" w:eastAsia="宋体" w:cs="Times New Roman"/>
                <w:color w:val="000000" w:themeColor="text1"/>
                <w:kern w:val="0"/>
                <w:sz w:val="21"/>
                <w:szCs w:val="21"/>
                <w:lang w:bidi="ar"/>
                <w14:textFill>
                  <w14:solidFill>
                    <w14:schemeClr w14:val="tx1"/>
                  </w14:solidFill>
                </w14:textFill>
              </w:rPr>
              <w:t>5</w:t>
            </w:r>
          </w:p>
        </w:tc>
        <w:tc>
          <w:tcPr>
            <w:tcW w:w="1056" w:type="dxa"/>
            <w:vAlign w:val="center"/>
          </w:tcPr>
          <w:p w14:paraId="672E6608">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0.003</w:t>
            </w:r>
          </w:p>
        </w:tc>
        <w:tc>
          <w:tcPr>
            <w:tcW w:w="1078" w:type="dxa"/>
            <w:vAlign w:val="center"/>
          </w:tcPr>
          <w:p w14:paraId="7962C7E2">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&lt;10</w:t>
            </w:r>
          </w:p>
        </w:tc>
        <w:tc>
          <w:tcPr>
            <w:tcW w:w="1069" w:type="dxa"/>
            <w:vMerge w:val="continue"/>
            <w:vAlign w:val="center"/>
          </w:tcPr>
          <w:p w14:paraId="6374B659">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p>
        </w:tc>
        <w:tc>
          <w:tcPr>
            <w:tcW w:w="1049" w:type="dxa"/>
            <w:vAlign w:val="center"/>
          </w:tcPr>
          <w:p w14:paraId="6CB6F633">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0.0</w:t>
            </w:r>
            <w:r>
              <w:rPr>
                <w:rFonts w:hint="eastAsia" w:cs="Times New Roman"/>
                <w:color w:val="000000" w:themeColor="text1"/>
                <w:kern w:val="0"/>
                <w:sz w:val="21"/>
                <w:szCs w:val="21"/>
                <w:lang w:val="en-US" w:eastAsia="zh-CN" w:bidi="ar"/>
                <w14:textFill>
                  <w14:solidFill>
                    <w14:schemeClr w14:val="tx1"/>
                  </w14:solidFill>
                </w14:textFill>
              </w:rPr>
              <w:t>0</w:t>
            </w:r>
            <w:r>
              <w:rPr>
                <w:rFonts w:hint="default" w:ascii="Times New Roman" w:hAnsi="Times New Roman" w:eastAsia="宋体" w:cs="Times New Roman"/>
                <w:color w:val="000000" w:themeColor="text1"/>
                <w:kern w:val="0"/>
                <w:sz w:val="21"/>
                <w:szCs w:val="21"/>
                <w:lang w:bidi="ar"/>
                <w14:textFill>
                  <w14:solidFill>
                    <w14:schemeClr w14:val="tx1"/>
                  </w14:solidFill>
                </w14:textFill>
              </w:rPr>
              <w:t>5</w:t>
            </w:r>
          </w:p>
        </w:tc>
        <w:tc>
          <w:tcPr>
            <w:tcW w:w="1043" w:type="dxa"/>
            <w:vAlign w:val="center"/>
          </w:tcPr>
          <w:p w14:paraId="7F5448C3">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0.004</w:t>
            </w:r>
          </w:p>
        </w:tc>
        <w:tc>
          <w:tcPr>
            <w:tcW w:w="1043" w:type="dxa"/>
            <w:vAlign w:val="center"/>
          </w:tcPr>
          <w:p w14:paraId="413C73C3">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&lt;10</w:t>
            </w:r>
          </w:p>
        </w:tc>
        <w:tc>
          <w:tcPr>
            <w:tcW w:w="1043" w:type="dxa"/>
            <w:vMerge w:val="continue"/>
            <w:vAlign w:val="center"/>
          </w:tcPr>
          <w:p w14:paraId="21DADDC4">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p>
        </w:tc>
      </w:tr>
      <w:tr w14:paraId="59758D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675" w:type="dxa"/>
            <w:vMerge w:val="continue"/>
            <w:vAlign w:val="center"/>
          </w:tcPr>
          <w:p w14:paraId="3142CBA4">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p>
        </w:tc>
        <w:tc>
          <w:tcPr>
            <w:tcW w:w="1470" w:type="dxa"/>
            <w:vAlign w:val="center"/>
          </w:tcPr>
          <w:p w14:paraId="7D731DCD">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20</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w:t>
            </w:r>
            <w:r>
              <w:rPr>
                <w:rFonts w:hint="default" w:ascii="Times New Roman" w:hAnsi="Times New Roman" w:eastAsia="宋体" w:cs="Times New Roman"/>
                <w:color w:val="000000" w:themeColor="text1"/>
                <w:spacing w:val="-6"/>
                <w:sz w:val="21"/>
                <w:szCs w:val="21"/>
                <w14:textFill>
                  <w14:solidFill>
                    <w14:schemeClr w14:val="tx1"/>
                  </w14:solidFill>
                </w14:textFill>
              </w:rPr>
              <w:t>00-21</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w:t>
            </w:r>
            <w:r>
              <w:rPr>
                <w:rFonts w:hint="default" w:ascii="Times New Roman" w:hAnsi="Times New Roman" w:eastAsia="宋体" w:cs="Times New Roman"/>
                <w:color w:val="000000" w:themeColor="text1"/>
                <w:spacing w:val="-6"/>
                <w:sz w:val="21"/>
                <w:szCs w:val="21"/>
                <w14:textFill>
                  <w14:solidFill>
                    <w14:schemeClr w14:val="tx1"/>
                  </w14:solidFill>
                </w14:textFill>
              </w:rPr>
              <w:t>00</w:t>
            </w:r>
          </w:p>
        </w:tc>
        <w:tc>
          <w:tcPr>
            <w:tcW w:w="1050" w:type="dxa"/>
            <w:vAlign w:val="center"/>
          </w:tcPr>
          <w:p w14:paraId="3D2FCA92">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0.0</w:t>
            </w:r>
            <w:r>
              <w:rPr>
                <w:rFonts w:hint="eastAsia" w:ascii="Times New Roman" w:hAnsi="Times New Roman" w:cs="Times New Roman"/>
                <w:color w:val="000000" w:themeColor="text1"/>
                <w:spacing w:val="-6"/>
                <w:sz w:val="21"/>
                <w:szCs w:val="21"/>
                <w:lang w:val="en-US" w:eastAsia="zh-CN"/>
                <w14:textFill>
                  <w14:solidFill>
                    <w14:schemeClr w14:val="tx1"/>
                  </w14:solidFill>
                </w14:textFill>
              </w:rPr>
              <w:t>0</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4</w:t>
            </w:r>
          </w:p>
        </w:tc>
        <w:tc>
          <w:tcPr>
            <w:tcW w:w="1080" w:type="dxa"/>
            <w:vAlign w:val="center"/>
          </w:tcPr>
          <w:p w14:paraId="469A2BBD">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0.005</w:t>
            </w:r>
          </w:p>
        </w:tc>
        <w:tc>
          <w:tcPr>
            <w:tcW w:w="1076" w:type="dxa"/>
            <w:vAlign w:val="center"/>
          </w:tcPr>
          <w:p w14:paraId="46F7479F">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&lt;10</w:t>
            </w:r>
          </w:p>
        </w:tc>
        <w:tc>
          <w:tcPr>
            <w:tcW w:w="1043" w:type="dxa"/>
            <w:vMerge w:val="continue"/>
            <w:vAlign w:val="center"/>
          </w:tcPr>
          <w:p w14:paraId="499FC892">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vertAlign w:val="superscript"/>
                <w14:textFill>
                  <w14:solidFill>
                    <w14:schemeClr w14:val="tx1"/>
                  </w14:solidFill>
                </w14:textFill>
              </w:rPr>
            </w:pPr>
          </w:p>
        </w:tc>
        <w:tc>
          <w:tcPr>
            <w:tcW w:w="1068" w:type="dxa"/>
            <w:vAlign w:val="center"/>
          </w:tcPr>
          <w:p w14:paraId="41181795">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0.0</w:t>
            </w:r>
            <w:r>
              <w:rPr>
                <w:rFonts w:hint="eastAsia" w:cs="Times New Roman"/>
                <w:color w:val="000000" w:themeColor="text1"/>
                <w:kern w:val="0"/>
                <w:sz w:val="21"/>
                <w:szCs w:val="21"/>
                <w:lang w:val="en-US" w:eastAsia="zh-CN" w:bidi="ar"/>
                <w14:textFill>
                  <w14:solidFill>
                    <w14:schemeClr w14:val="tx1"/>
                  </w14:solidFill>
                </w14:textFill>
              </w:rPr>
              <w:t>0</w:t>
            </w:r>
            <w:r>
              <w:rPr>
                <w:rFonts w:hint="default" w:ascii="Times New Roman" w:hAnsi="Times New Roman" w:eastAsia="宋体" w:cs="Times New Roman"/>
                <w:color w:val="000000" w:themeColor="text1"/>
                <w:kern w:val="0"/>
                <w:sz w:val="21"/>
                <w:szCs w:val="21"/>
                <w:lang w:bidi="ar"/>
                <w14:textFill>
                  <w14:solidFill>
                    <w14:schemeClr w14:val="tx1"/>
                  </w14:solidFill>
                </w14:textFill>
              </w:rPr>
              <w:t>4</w:t>
            </w:r>
          </w:p>
        </w:tc>
        <w:tc>
          <w:tcPr>
            <w:tcW w:w="1056" w:type="dxa"/>
            <w:vAlign w:val="center"/>
          </w:tcPr>
          <w:p w14:paraId="2B2A1F45">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0.004</w:t>
            </w:r>
          </w:p>
        </w:tc>
        <w:tc>
          <w:tcPr>
            <w:tcW w:w="1078" w:type="dxa"/>
            <w:vAlign w:val="center"/>
          </w:tcPr>
          <w:p w14:paraId="3E72320F">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&lt;10</w:t>
            </w:r>
          </w:p>
        </w:tc>
        <w:tc>
          <w:tcPr>
            <w:tcW w:w="1069" w:type="dxa"/>
            <w:vMerge w:val="continue"/>
            <w:vAlign w:val="center"/>
          </w:tcPr>
          <w:p w14:paraId="62DC95FA">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p>
        </w:tc>
        <w:tc>
          <w:tcPr>
            <w:tcW w:w="1049" w:type="dxa"/>
            <w:vAlign w:val="center"/>
          </w:tcPr>
          <w:p w14:paraId="331F24E4">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0.0</w:t>
            </w:r>
            <w:r>
              <w:rPr>
                <w:rFonts w:hint="eastAsia" w:cs="Times New Roman"/>
                <w:color w:val="000000" w:themeColor="text1"/>
                <w:kern w:val="0"/>
                <w:sz w:val="21"/>
                <w:szCs w:val="21"/>
                <w:lang w:val="en-US" w:eastAsia="zh-CN" w:bidi="ar"/>
                <w14:textFill>
                  <w14:solidFill>
                    <w14:schemeClr w14:val="tx1"/>
                  </w14:solidFill>
                </w14:textFill>
              </w:rPr>
              <w:t>0</w:t>
            </w:r>
            <w:r>
              <w:rPr>
                <w:rFonts w:hint="default" w:ascii="Times New Roman" w:hAnsi="Times New Roman" w:eastAsia="宋体" w:cs="Times New Roman"/>
                <w:color w:val="000000" w:themeColor="text1"/>
                <w:kern w:val="0"/>
                <w:sz w:val="21"/>
                <w:szCs w:val="21"/>
                <w:lang w:bidi="ar"/>
                <w14:textFill>
                  <w14:solidFill>
                    <w14:schemeClr w14:val="tx1"/>
                  </w14:solidFill>
                </w14:textFill>
              </w:rPr>
              <w:t>4</w:t>
            </w:r>
          </w:p>
        </w:tc>
        <w:tc>
          <w:tcPr>
            <w:tcW w:w="1043" w:type="dxa"/>
            <w:vAlign w:val="center"/>
          </w:tcPr>
          <w:p w14:paraId="5D006E81">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0.005</w:t>
            </w:r>
          </w:p>
        </w:tc>
        <w:tc>
          <w:tcPr>
            <w:tcW w:w="1043" w:type="dxa"/>
            <w:vAlign w:val="center"/>
          </w:tcPr>
          <w:p w14:paraId="6D068BDD">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&lt;10</w:t>
            </w:r>
          </w:p>
        </w:tc>
        <w:tc>
          <w:tcPr>
            <w:tcW w:w="1043" w:type="dxa"/>
            <w:vMerge w:val="continue"/>
            <w:vAlign w:val="center"/>
          </w:tcPr>
          <w:p w14:paraId="3607F9C9">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p>
        </w:tc>
      </w:tr>
      <w:tr w14:paraId="10FAA9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675" w:type="dxa"/>
            <w:vMerge w:val="restart"/>
            <w:vAlign w:val="center"/>
          </w:tcPr>
          <w:p w14:paraId="2A23C1B5">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2023.08.15</w:t>
            </w:r>
          </w:p>
        </w:tc>
        <w:tc>
          <w:tcPr>
            <w:tcW w:w="1470" w:type="dxa"/>
            <w:vAlign w:val="center"/>
          </w:tcPr>
          <w:p w14:paraId="2A827522">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02</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w:t>
            </w:r>
            <w:r>
              <w:rPr>
                <w:rFonts w:hint="default" w:ascii="Times New Roman" w:hAnsi="Times New Roman" w:eastAsia="宋体" w:cs="Times New Roman"/>
                <w:color w:val="000000" w:themeColor="text1"/>
                <w:spacing w:val="-6"/>
                <w:sz w:val="21"/>
                <w:szCs w:val="21"/>
                <w14:textFill>
                  <w14:solidFill>
                    <w14:schemeClr w14:val="tx1"/>
                  </w14:solidFill>
                </w14:textFill>
              </w:rPr>
              <w:t>00-03</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w:t>
            </w:r>
            <w:r>
              <w:rPr>
                <w:rFonts w:hint="default" w:ascii="Times New Roman" w:hAnsi="Times New Roman" w:eastAsia="宋体" w:cs="Times New Roman"/>
                <w:color w:val="000000" w:themeColor="text1"/>
                <w:spacing w:val="-6"/>
                <w:sz w:val="21"/>
                <w:szCs w:val="21"/>
                <w14:textFill>
                  <w14:solidFill>
                    <w14:schemeClr w14:val="tx1"/>
                  </w14:solidFill>
                </w14:textFill>
              </w:rPr>
              <w:t>00</w:t>
            </w:r>
          </w:p>
        </w:tc>
        <w:tc>
          <w:tcPr>
            <w:tcW w:w="1050" w:type="dxa"/>
            <w:vAlign w:val="center"/>
          </w:tcPr>
          <w:p w14:paraId="2CD8F1A4">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0.0</w:t>
            </w:r>
            <w:r>
              <w:rPr>
                <w:rFonts w:hint="eastAsia" w:ascii="Times New Roman" w:hAnsi="Times New Roman" w:cs="Times New Roman"/>
                <w:color w:val="000000" w:themeColor="text1"/>
                <w:spacing w:val="-6"/>
                <w:sz w:val="21"/>
                <w:szCs w:val="21"/>
                <w:lang w:val="en-US" w:eastAsia="zh-CN"/>
                <w14:textFill>
                  <w14:solidFill>
                    <w14:schemeClr w14:val="tx1"/>
                  </w14:solidFill>
                </w14:textFill>
              </w:rPr>
              <w:t>0</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2</w:t>
            </w:r>
          </w:p>
        </w:tc>
        <w:tc>
          <w:tcPr>
            <w:tcW w:w="1080" w:type="dxa"/>
            <w:vAlign w:val="center"/>
          </w:tcPr>
          <w:p w14:paraId="048BBD9A">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0.002</w:t>
            </w:r>
          </w:p>
        </w:tc>
        <w:tc>
          <w:tcPr>
            <w:tcW w:w="1076" w:type="dxa"/>
            <w:vAlign w:val="center"/>
          </w:tcPr>
          <w:p w14:paraId="1F1026C6">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&lt;10</w:t>
            </w:r>
          </w:p>
        </w:tc>
        <w:tc>
          <w:tcPr>
            <w:tcW w:w="1043" w:type="dxa"/>
            <w:vMerge w:val="restart"/>
            <w:vAlign w:val="center"/>
          </w:tcPr>
          <w:p w14:paraId="6D6BBE47">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vertAlign w:val="superscript"/>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0.103</w:t>
            </w:r>
          </w:p>
        </w:tc>
        <w:tc>
          <w:tcPr>
            <w:tcW w:w="1068" w:type="dxa"/>
            <w:vAlign w:val="center"/>
          </w:tcPr>
          <w:p w14:paraId="36C3BFEF">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&lt;0.01</w:t>
            </w:r>
          </w:p>
        </w:tc>
        <w:tc>
          <w:tcPr>
            <w:tcW w:w="1056" w:type="dxa"/>
            <w:vAlign w:val="center"/>
          </w:tcPr>
          <w:p w14:paraId="07227B57">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0.002</w:t>
            </w:r>
          </w:p>
        </w:tc>
        <w:tc>
          <w:tcPr>
            <w:tcW w:w="1078" w:type="dxa"/>
            <w:vAlign w:val="center"/>
          </w:tcPr>
          <w:p w14:paraId="559638D0">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&lt;10</w:t>
            </w:r>
          </w:p>
        </w:tc>
        <w:tc>
          <w:tcPr>
            <w:tcW w:w="1069" w:type="dxa"/>
            <w:vMerge w:val="restart"/>
            <w:vAlign w:val="center"/>
          </w:tcPr>
          <w:p w14:paraId="38F8E3AD">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0.112</w:t>
            </w:r>
          </w:p>
        </w:tc>
        <w:tc>
          <w:tcPr>
            <w:tcW w:w="1049" w:type="dxa"/>
            <w:vAlign w:val="center"/>
          </w:tcPr>
          <w:p w14:paraId="3EC474BB">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&lt;0.01</w:t>
            </w:r>
          </w:p>
        </w:tc>
        <w:tc>
          <w:tcPr>
            <w:tcW w:w="1043" w:type="dxa"/>
            <w:vAlign w:val="center"/>
          </w:tcPr>
          <w:p w14:paraId="1489F8B2">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&lt;0.001</w:t>
            </w:r>
          </w:p>
        </w:tc>
        <w:tc>
          <w:tcPr>
            <w:tcW w:w="1043" w:type="dxa"/>
            <w:vAlign w:val="center"/>
          </w:tcPr>
          <w:p w14:paraId="35EB1D06">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&lt;10</w:t>
            </w:r>
          </w:p>
        </w:tc>
        <w:tc>
          <w:tcPr>
            <w:tcW w:w="1043" w:type="dxa"/>
            <w:vMerge w:val="restart"/>
            <w:vAlign w:val="center"/>
          </w:tcPr>
          <w:p w14:paraId="0B1C87FE">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0.109</w:t>
            </w:r>
          </w:p>
        </w:tc>
      </w:tr>
      <w:tr w14:paraId="4EFEB9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675" w:type="dxa"/>
            <w:vMerge w:val="continue"/>
            <w:vAlign w:val="center"/>
          </w:tcPr>
          <w:p w14:paraId="1CDBFBD5">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p>
        </w:tc>
        <w:tc>
          <w:tcPr>
            <w:tcW w:w="1470" w:type="dxa"/>
            <w:vAlign w:val="center"/>
          </w:tcPr>
          <w:p w14:paraId="0833AEC6">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08</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w:t>
            </w:r>
            <w:r>
              <w:rPr>
                <w:rFonts w:hint="default" w:ascii="Times New Roman" w:hAnsi="Times New Roman" w:eastAsia="宋体" w:cs="Times New Roman"/>
                <w:color w:val="000000" w:themeColor="text1"/>
                <w:spacing w:val="-6"/>
                <w:sz w:val="21"/>
                <w:szCs w:val="21"/>
                <w14:textFill>
                  <w14:solidFill>
                    <w14:schemeClr w14:val="tx1"/>
                  </w14:solidFill>
                </w14:textFill>
              </w:rPr>
              <w:t>00-09</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w:t>
            </w:r>
            <w:r>
              <w:rPr>
                <w:rFonts w:hint="default" w:ascii="Times New Roman" w:hAnsi="Times New Roman" w:eastAsia="宋体" w:cs="Times New Roman"/>
                <w:color w:val="000000" w:themeColor="text1"/>
                <w:spacing w:val="-6"/>
                <w:sz w:val="21"/>
                <w:szCs w:val="21"/>
                <w14:textFill>
                  <w14:solidFill>
                    <w14:schemeClr w14:val="tx1"/>
                  </w14:solidFill>
                </w14:textFill>
              </w:rPr>
              <w:t>00</w:t>
            </w:r>
          </w:p>
        </w:tc>
        <w:tc>
          <w:tcPr>
            <w:tcW w:w="1050" w:type="dxa"/>
            <w:vAlign w:val="center"/>
          </w:tcPr>
          <w:p w14:paraId="7A258B86">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0.0</w:t>
            </w:r>
            <w:r>
              <w:rPr>
                <w:rFonts w:hint="eastAsia" w:ascii="Times New Roman" w:hAnsi="Times New Roman" w:cs="Times New Roman"/>
                <w:color w:val="000000" w:themeColor="text1"/>
                <w:spacing w:val="-6"/>
                <w:sz w:val="21"/>
                <w:szCs w:val="21"/>
                <w:lang w:val="en-US" w:eastAsia="zh-CN"/>
                <w14:textFill>
                  <w14:solidFill>
                    <w14:schemeClr w14:val="tx1"/>
                  </w14:solidFill>
                </w14:textFill>
              </w:rPr>
              <w:t>0</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4</w:t>
            </w:r>
          </w:p>
        </w:tc>
        <w:tc>
          <w:tcPr>
            <w:tcW w:w="1080" w:type="dxa"/>
            <w:vAlign w:val="center"/>
          </w:tcPr>
          <w:p w14:paraId="5612A519">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0.005</w:t>
            </w:r>
          </w:p>
        </w:tc>
        <w:tc>
          <w:tcPr>
            <w:tcW w:w="1076" w:type="dxa"/>
            <w:vAlign w:val="center"/>
          </w:tcPr>
          <w:p w14:paraId="5F383778">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&lt;10</w:t>
            </w:r>
          </w:p>
        </w:tc>
        <w:tc>
          <w:tcPr>
            <w:tcW w:w="1043" w:type="dxa"/>
            <w:vMerge w:val="continue"/>
            <w:vAlign w:val="center"/>
          </w:tcPr>
          <w:p w14:paraId="721C3463">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vertAlign w:val="superscript"/>
                <w14:textFill>
                  <w14:solidFill>
                    <w14:schemeClr w14:val="tx1"/>
                  </w14:solidFill>
                </w14:textFill>
              </w:rPr>
            </w:pPr>
          </w:p>
        </w:tc>
        <w:tc>
          <w:tcPr>
            <w:tcW w:w="1068" w:type="dxa"/>
            <w:vAlign w:val="center"/>
          </w:tcPr>
          <w:p w14:paraId="7545601A">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0.0</w:t>
            </w:r>
            <w:r>
              <w:rPr>
                <w:rFonts w:hint="eastAsia" w:cs="Times New Roman"/>
                <w:color w:val="000000" w:themeColor="text1"/>
                <w:kern w:val="0"/>
                <w:sz w:val="21"/>
                <w:szCs w:val="21"/>
                <w:lang w:val="en-US" w:eastAsia="zh-CN" w:bidi="ar"/>
                <w14:textFill>
                  <w14:solidFill>
                    <w14:schemeClr w14:val="tx1"/>
                  </w14:solidFill>
                </w14:textFill>
              </w:rPr>
              <w:t>0</w:t>
            </w:r>
            <w:r>
              <w:rPr>
                <w:rFonts w:hint="default" w:ascii="Times New Roman" w:hAnsi="Times New Roman" w:eastAsia="宋体" w:cs="Times New Roman"/>
                <w:color w:val="000000" w:themeColor="text1"/>
                <w:kern w:val="0"/>
                <w:sz w:val="21"/>
                <w:szCs w:val="21"/>
                <w:lang w:bidi="ar"/>
                <w14:textFill>
                  <w14:solidFill>
                    <w14:schemeClr w14:val="tx1"/>
                  </w14:solidFill>
                </w14:textFill>
              </w:rPr>
              <w:t>3</w:t>
            </w:r>
          </w:p>
        </w:tc>
        <w:tc>
          <w:tcPr>
            <w:tcW w:w="1056" w:type="dxa"/>
            <w:vAlign w:val="center"/>
          </w:tcPr>
          <w:p w14:paraId="4E0E7D15">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0.005</w:t>
            </w:r>
          </w:p>
        </w:tc>
        <w:tc>
          <w:tcPr>
            <w:tcW w:w="1078" w:type="dxa"/>
            <w:vAlign w:val="center"/>
          </w:tcPr>
          <w:p w14:paraId="65B8767D">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&lt;10</w:t>
            </w:r>
          </w:p>
        </w:tc>
        <w:tc>
          <w:tcPr>
            <w:tcW w:w="1069" w:type="dxa"/>
            <w:vMerge w:val="continue"/>
            <w:vAlign w:val="center"/>
          </w:tcPr>
          <w:p w14:paraId="586435EB">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p>
        </w:tc>
        <w:tc>
          <w:tcPr>
            <w:tcW w:w="1049" w:type="dxa"/>
            <w:vAlign w:val="center"/>
          </w:tcPr>
          <w:p w14:paraId="073F6B70">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0.0</w:t>
            </w:r>
            <w:r>
              <w:rPr>
                <w:rFonts w:hint="eastAsia" w:cs="Times New Roman"/>
                <w:color w:val="000000" w:themeColor="text1"/>
                <w:kern w:val="0"/>
                <w:sz w:val="21"/>
                <w:szCs w:val="21"/>
                <w:lang w:val="en-US" w:eastAsia="zh-CN" w:bidi="ar"/>
                <w14:textFill>
                  <w14:solidFill>
                    <w14:schemeClr w14:val="tx1"/>
                  </w14:solidFill>
                </w14:textFill>
              </w:rPr>
              <w:t>0</w:t>
            </w:r>
            <w:r>
              <w:rPr>
                <w:rFonts w:hint="default" w:ascii="Times New Roman" w:hAnsi="Times New Roman" w:eastAsia="宋体" w:cs="Times New Roman"/>
                <w:color w:val="000000" w:themeColor="text1"/>
                <w:kern w:val="0"/>
                <w:sz w:val="21"/>
                <w:szCs w:val="21"/>
                <w:lang w:bidi="ar"/>
                <w14:textFill>
                  <w14:solidFill>
                    <w14:schemeClr w14:val="tx1"/>
                  </w14:solidFill>
                </w14:textFill>
              </w:rPr>
              <w:t>5</w:t>
            </w:r>
          </w:p>
        </w:tc>
        <w:tc>
          <w:tcPr>
            <w:tcW w:w="1043" w:type="dxa"/>
            <w:vAlign w:val="center"/>
          </w:tcPr>
          <w:p w14:paraId="5B1B1493">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0.003</w:t>
            </w:r>
          </w:p>
        </w:tc>
        <w:tc>
          <w:tcPr>
            <w:tcW w:w="1043" w:type="dxa"/>
            <w:vAlign w:val="center"/>
          </w:tcPr>
          <w:p w14:paraId="48D827BE">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&lt;10</w:t>
            </w:r>
          </w:p>
        </w:tc>
        <w:tc>
          <w:tcPr>
            <w:tcW w:w="1043" w:type="dxa"/>
            <w:vMerge w:val="continue"/>
            <w:vAlign w:val="center"/>
          </w:tcPr>
          <w:p w14:paraId="2D93E104">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p>
        </w:tc>
      </w:tr>
      <w:tr w14:paraId="439A92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675" w:type="dxa"/>
            <w:vMerge w:val="continue"/>
            <w:vAlign w:val="center"/>
          </w:tcPr>
          <w:p w14:paraId="62642FB7">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p>
        </w:tc>
        <w:tc>
          <w:tcPr>
            <w:tcW w:w="1470" w:type="dxa"/>
            <w:vAlign w:val="center"/>
          </w:tcPr>
          <w:p w14:paraId="25F28D6E">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14</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w:t>
            </w:r>
            <w:r>
              <w:rPr>
                <w:rFonts w:hint="default" w:ascii="Times New Roman" w:hAnsi="Times New Roman" w:eastAsia="宋体" w:cs="Times New Roman"/>
                <w:color w:val="000000" w:themeColor="text1"/>
                <w:spacing w:val="-6"/>
                <w:sz w:val="21"/>
                <w:szCs w:val="21"/>
                <w14:textFill>
                  <w14:solidFill>
                    <w14:schemeClr w14:val="tx1"/>
                  </w14:solidFill>
                </w14:textFill>
              </w:rPr>
              <w:t>00-15</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w:t>
            </w:r>
            <w:r>
              <w:rPr>
                <w:rFonts w:hint="default" w:ascii="Times New Roman" w:hAnsi="Times New Roman" w:eastAsia="宋体" w:cs="Times New Roman"/>
                <w:color w:val="000000" w:themeColor="text1"/>
                <w:spacing w:val="-6"/>
                <w:sz w:val="21"/>
                <w:szCs w:val="21"/>
                <w14:textFill>
                  <w14:solidFill>
                    <w14:schemeClr w14:val="tx1"/>
                  </w14:solidFill>
                </w14:textFill>
              </w:rPr>
              <w:t>00</w:t>
            </w:r>
          </w:p>
        </w:tc>
        <w:tc>
          <w:tcPr>
            <w:tcW w:w="1050" w:type="dxa"/>
            <w:vAlign w:val="center"/>
          </w:tcPr>
          <w:p w14:paraId="747AF635">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0.0</w:t>
            </w:r>
            <w:r>
              <w:rPr>
                <w:rFonts w:hint="eastAsia" w:ascii="Times New Roman" w:hAnsi="Times New Roman" w:cs="Times New Roman"/>
                <w:color w:val="000000" w:themeColor="text1"/>
                <w:spacing w:val="-6"/>
                <w:sz w:val="21"/>
                <w:szCs w:val="21"/>
                <w:lang w:val="en-US" w:eastAsia="zh-CN"/>
                <w14:textFill>
                  <w14:solidFill>
                    <w14:schemeClr w14:val="tx1"/>
                  </w14:solidFill>
                </w14:textFill>
              </w:rPr>
              <w:t>0</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5</w:t>
            </w:r>
          </w:p>
        </w:tc>
        <w:tc>
          <w:tcPr>
            <w:tcW w:w="1080" w:type="dxa"/>
            <w:vAlign w:val="center"/>
          </w:tcPr>
          <w:p w14:paraId="12CD56AA">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0.006</w:t>
            </w:r>
          </w:p>
        </w:tc>
        <w:tc>
          <w:tcPr>
            <w:tcW w:w="1076" w:type="dxa"/>
            <w:vAlign w:val="center"/>
          </w:tcPr>
          <w:p w14:paraId="0C492949">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&lt;10</w:t>
            </w:r>
          </w:p>
        </w:tc>
        <w:tc>
          <w:tcPr>
            <w:tcW w:w="1043" w:type="dxa"/>
            <w:vMerge w:val="continue"/>
            <w:vAlign w:val="center"/>
          </w:tcPr>
          <w:p w14:paraId="55480E61">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vertAlign w:val="superscript"/>
                <w14:textFill>
                  <w14:solidFill>
                    <w14:schemeClr w14:val="tx1"/>
                  </w14:solidFill>
                </w14:textFill>
              </w:rPr>
            </w:pPr>
          </w:p>
        </w:tc>
        <w:tc>
          <w:tcPr>
            <w:tcW w:w="1068" w:type="dxa"/>
            <w:vAlign w:val="center"/>
          </w:tcPr>
          <w:p w14:paraId="64F3EA61">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0.0</w:t>
            </w:r>
            <w:r>
              <w:rPr>
                <w:rFonts w:hint="eastAsia" w:cs="Times New Roman"/>
                <w:color w:val="000000" w:themeColor="text1"/>
                <w:kern w:val="0"/>
                <w:sz w:val="21"/>
                <w:szCs w:val="21"/>
                <w:lang w:val="en-US" w:eastAsia="zh-CN" w:bidi="ar"/>
                <w14:textFill>
                  <w14:solidFill>
                    <w14:schemeClr w14:val="tx1"/>
                  </w14:solidFill>
                </w14:textFill>
              </w:rPr>
              <w:t>0</w:t>
            </w:r>
            <w:r>
              <w:rPr>
                <w:rFonts w:hint="default" w:ascii="Times New Roman" w:hAnsi="Times New Roman" w:eastAsia="宋体" w:cs="Times New Roman"/>
                <w:color w:val="000000" w:themeColor="text1"/>
                <w:kern w:val="0"/>
                <w:sz w:val="21"/>
                <w:szCs w:val="21"/>
                <w:lang w:bidi="ar"/>
                <w14:textFill>
                  <w14:solidFill>
                    <w14:schemeClr w14:val="tx1"/>
                  </w14:solidFill>
                </w14:textFill>
              </w:rPr>
              <w:t>2</w:t>
            </w:r>
          </w:p>
        </w:tc>
        <w:tc>
          <w:tcPr>
            <w:tcW w:w="1056" w:type="dxa"/>
            <w:vAlign w:val="center"/>
          </w:tcPr>
          <w:p w14:paraId="37D081D6">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0.004</w:t>
            </w:r>
          </w:p>
        </w:tc>
        <w:tc>
          <w:tcPr>
            <w:tcW w:w="1078" w:type="dxa"/>
            <w:vAlign w:val="center"/>
          </w:tcPr>
          <w:p w14:paraId="089DF177">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&lt;10</w:t>
            </w:r>
          </w:p>
        </w:tc>
        <w:tc>
          <w:tcPr>
            <w:tcW w:w="1069" w:type="dxa"/>
            <w:vMerge w:val="continue"/>
            <w:vAlign w:val="center"/>
          </w:tcPr>
          <w:p w14:paraId="4E620AAE">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p>
        </w:tc>
        <w:tc>
          <w:tcPr>
            <w:tcW w:w="1049" w:type="dxa"/>
            <w:vAlign w:val="center"/>
          </w:tcPr>
          <w:p w14:paraId="2A7115E0">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0.0</w:t>
            </w:r>
            <w:r>
              <w:rPr>
                <w:rFonts w:hint="eastAsia" w:cs="Times New Roman"/>
                <w:color w:val="000000" w:themeColor="text1"/>
                <w:kern w:val="0"/>
                <w:sz w:val="21"/>
                <w:szCs w:val="21"/>
                <w:lang w:val="en-US" w:eastAsia="zh-CN" w:bidi="ar"/>
                <w14:textFill>
                  <w14:solidFill>
                    <w14:schemeClr w14:val="tx1"/>
                  </w14:solidFill>
                </w14:textFill>
              </w:rPr>
              <w:t>0</w:t>
            </w:r>
            <w:r>
              <w:rPr>
                <w:rFonts w:hint="default" w:ascii="Times New Roman" w:hAnsi="Times New Roman" w:eastAsia="宋体" w:cs="Times New Roman"/>
                <w:color w:val="000000" w:themeColor="text1"/>
                <w:kern w:val="0"/>
                <w:sz w:val="21"/>
                <w:szCs w:val="21"/>
                <w:lang w:bidi="ar"/>
                <w14:textFill>
                  <w14:solidFill>
                    <w14:schemeClr w14:val="tx1"/>
                  </w14:solidFill>
                </w14:textFill>
              </w:rPr>
              <w:t>4</w:t>
            </w:r>
          </w:p>
        </w:tc>
        <w:tc>
          <w:tcPr>
            <w:tcW w:w="1043" w:type="dxa"/>
            <w:vAlign w:val="center"/>
          </w:tcPr>
          <w:p w14:paraId="4C47ED7F">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0.005</w:t>
            </w:r>
          </w:p>
        </w:tc>
        <w:tc>
          <w:tcPr>
            <w:tcW w:w="1043" w:type="dxa"/>
            <w:vAlign w:val="center"/>
          </w:tcPr>
          <w:p w14:paraId="40B97728">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&lt;10</w:t>
            </w:r>
          </w:p>
        </w:tc>
        <w:tc>
          <w:tcPr>
            <w:tcW w:w="1043" w:type="dxa"/>
            <w:vMerge w:val="continue"/>
            <w:vAlign w:val="center"/>
          </w:tcPr>
          <w:p w14:paraId="786BA0C8">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p>
        </w:tc>
      </w:tr>
      <w:tr w14:paraId="059BC9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675" w:type="dxa"/>
            <w:vMerge w:val="continue"/>
            <w:vAlign w:val="center"/>
          </w:tcPr>
          <w:p w14:paraId="52572D26">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p>
        </w:tc>
        <w:tc>
          <w:tcPr>
            <w:tcW w:w="1470" w:type="dxa"/>
            <w:vAlign w:val="center"/>
          </w:tcPr>
          <w:p w14:paraId="4EB50A6D">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20</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w:t>
            </w:r>
            <w:r>
              <w:rPr>
                <w:rFonts w:hint="default" w:ascii="Times New Roman" w:hAnsi="Times New Roman" w:eastAsia="宋体" w:cs="Times New Roman"/>
                <w:color w:val="000000" w:themeColor="text1"/>
                <w:spacing w:val="-6"/>
                <w:sz w:val="21"/>
                <w:szCs w:val="21"/>
                <w14:textFill>
                  <w14:solidFill>
                    <w14:schemeClr w14:val="tx1"/>
                  </w14:solidFill>
                </w14:textFill>
              </w:rPr>
              <w:t>00-21</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w:t>
            </w:r>
            <w:r>
              <w:rPr>
                <w:rFonts w:hint="default" w:ascii="Times New Roman" w:hAnsi="Times New Roman" w:eastAsia="宋体" w:cs="Times New Roman"/>
                <w:color w:val="000000" w:themeColor="text1"/>
                <w:spacing w:val="-6"/>
                <w:sz w:val="21"/>
                <w:szCs w:val="21"/>
                <w14:textFill>
                  <w14:solidFill>
                    <w14:schemeClr w14:val="tx1"/>
                  </w14:solidFill>
                </w14:textFill>
              </w:rPr>
              <w:t>00</w:t>
            </w:r>
          </w:p>
        </w:tc>
        <w:tc>
          <w:tcPr>
            <w:tcW w:w="1050" w:type="dxa"/>
            <w:vAlign w:val="center"/>
          </w:tcPr>
          <w:p w14:paraId="2B25ABD6">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val="en-US"/>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0.0</w:t>
            </w:r>
            <w:r>
              <w:rPr>
                <w:rFonts w:hint="eastAsia" w:ascii="Times New Roman" w:hAnsi="Times New Roman" w:cs="Times New Roman"/>
                <w:color w:val="000000" w:themeColor="text1"/>
                <w:spacing w:val="-6"/>
                <w:sz w:val="21"/>
                <w:szCs w:val="21"/>
                <w:lang w:val="en-US" w:eastAsia="zh-CN"/>
                <w14:textFill>
                  <w14:solidFill>
                    <w14:schemeClr w14:val="tx1"/>
                  </w14:solidFill>
                </w14:textFill>
              </w:rPr>
              <w:t>0</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4</w:t>
            </w:r>
          </w:p>
        </w:tc>
        <w:tc>
          <w:tcPr>
            <w:tcW w:w="1080" w:type="dxa"/>
            <w:vAlign w:val="center"/>
          </w:tcPr>
          <w:p w14:paraId="0F87CDA0">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0.005</w:t>
            </w:r>
          </w:p>
        </w:tc>
        <w:tc>
          <w:tcPr>
            <w:tcW w:w="1076" w:type="dxa"/>
            <w:vAlign w:val="center"/>
          </w:tcPr>
          <w:p w14:paraId="0D33FA62">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&lt;10</w:t>
            </w:r>
          </w:p>
        </w:tc>
        <w:tc>
          <w:tcPr>
            <w:tcW w:w="1043" w:type="dxa"/>
            <w:vMerge w:val="continue"/>
            <w:vAlign w:val="center"/>
          </w:tcPr>
          <w:p w14:paraId="218E4319">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vertAlign w:val="superscript"/>
                <w14:textFill>
                  <w14:solidFill>
                    <w14:schemeClr w14:val="tx1"/>
                  </w14:solidFill>
                </w14:textFill>
              </w:rPr>
            </w:pPr>
          </w:p>
        </w:tc>
        <w:tc>
          <w:tcPr>
            <w:tcW w:w="1068" w:type="dxa"/>
            <w:vAlign w:val="center"/>
          </w:tcPr>
          <w:p w14:paraId="48BCD8E5">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0.0</w:t>
            </w:r>
            <w:r>
              <w:rPr>
                <w:rFonts w:hint="eastAsia" w:cs="Times New Roman"/>
                <w:color w:val="000000" w:themeColor="text1"/>
                <w:kern w:val="0"/>
                <w:sz w:val="21"/>
                <w:szCs w:val="21"/>
                <w:lang w:val="en-US" w:eastAsia="zh-CN" w:bidi="ar"/>
                <w14:textFill>
                  <w14:solidFill>
                    <w14:schemeClr w14:val="tx1"/>
                  </w14:solidFill>
                </w14:textFill>
              </w:rPr>
              <w:t>0</w:t>
            </w:r>
            <w:r>
              <w:rPr>
                <w:rFonts w:hint="default" w:ascii="Times New Roman" w:hAnsi="Times New Roman" w:eastAsia="宋体" w:cs="Times New Roman"/>
                <w:color w:val="000000" w:themeColor="text1"/>
                <w:kern w:val="0"/>
                <w:sz w:val="21"/>
                <w:szCs w:val="21"/>
                <w:lang w:bidi="ar"/>
                <w14:textFill>
                  <w14:solidFill>
                    <w14:schemeClr w14:val="tx1"/>
                  </w14:solidFill>
                </w14:textFill>
              </w:rPr>
              <w:t>3</w:t>
            </w:r>
          </w:p>
        </w:tc>
        <w:tc>
          <w:tcPr>
            <w:tcW w:w="1056" w:type="dxa"/>
            <w:vAlign w:val="center"/>
          </w:tcPr>
          <w:p w14:paraId="32819AEA">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0.006</w:t>
            </w:r>
          </w:p>
        </w:tc>
        <w:tc>
          <w:tcPr>
            <w:tcW w:w="1078" w:type="dxa"/>
            <w:vAlign w:val="center"/>
          </w:tcPr>
          <w:p w14:paraId="1764F9A6">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&lt;10</w:t>
            </w:r>
          </w:p>
        </w:tc>
        <w:tc>
          <w:tcPr>
            <w:tcW w:w="1069" w:type="dxa"/>
            <w:vMerge w:val="continue"/>
            <w:vAlign w:val="center"/>
          </w:tcPr>
          <w:p w14:paraId="4C3692AE">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p>
        </w:tc>
        <w:tc>
          <w:tcPr>
            <w:tcW w:w="1049" w:type="dxa"/>
            <w:vAlign w:val="center"/>
          </w:tcPr>
          <w:p w14:paraId="7D0B0F32">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w:t>
            </w:r>
            <w:r>
              <w:rPr>
                <w:rFonts w:hint="eastAsia" w:cs="Times New Roman"/>
                <w:color w:val="000000" w:themeColor="text1"/>
                <w:kern w:val="0"/>
                <w:sz w:val="21"/>
                <w:szCs w:val="21"/>
                <w:lang w:val="en-US" w:eastAsia="zh-CN" w:bidi="ar"/>
                <w14:textFill>
                  <w14:solidFill>
                    <w14:schemeClr w14:val="tx1"/>
                  </w14:solidFill>
                </w14:textFill>
              </w:rPr>
              <w:t>0</w:t>
            </w:r>
            <w:r>
              <w:rPr>
                <w:rFonts w:hint="default" w:ascii="Times New Roman" w:hAnsi="Times New Roman" w:eastAsia="宋体" w:cs="Times New Roman"/>
                <w:color w:val="000000" w:themeColor="text1"/>
                <w:kern w:val="0"/>
                <w:sz w:val="21"/>
                <w:szCs w:val="21"/>
                <w:lang w:bidi="ar"/>
                <w14:textFill>
                  <w14:solidFill>
                    <w14:schemeClr w14:val="tx1"/>
                  </w14:solidFill>
                </w14:textFill>
              </w:rPr>
              <w:t>06</w:t>
            </w:r>
          </w:p>
        </w:tc>
        <w:tc>
          <w:tcPr>
            <w:tcW w:w="1043" w:type="dxa"/>
            <w:vAlign w:val="center"/>
          </w:tcPr>
          <w:p w14:paraId="06F20B2F">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0.006</w:t>
            </w:r>
          </w:p>
        </w:tc>
        <w:tc>
          <w:tcPr>
            <w:tcW w:w="1043" w:type="dxa"/>
            <w:vAlign w:val="center"/>
          </w:tcPr>
          <w:p w14:paraId="62989735">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&lt;10</w:t>
            </w:r>
          </w:p>
        </w:tc>
        <w:tc>
          <w:tcPr>
            <w:tcW w:w="1043" w:type="dxa"/>
            <w:vMerge w:val="continue"/>
            <w:vAlign w:val="center"/>
          </w:tcPr>
          <w:p w14:paraId="4DB9A928">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p>
        </w:tc>
      </w:tr>
      <w:tr w14:paraId="2DAAC1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675" w:type="dxa"/>
            <w:vMerge w:val="restart"/>
            <w:vAlign w:val="center"/>
          </w:tcPr>
          <w:p w14:paraId="417893F0">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2023.08.16</w:t>
            </w:r>
          </w:p>
        </w:tc>
        <w:tc>
          <w:tcPr>
            <w:tcW w:w="1470" w:type="dxa"/>
            <w:vAlign w:val="center"/>
          </w:tcPr>
          <w:p w14:paraId="6146483D">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02</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w:t>
            </w:r>
            <w:r>
              <w:rPr>
                <w:rFonts w:hint="default" w:ascii="Times New Roman" w:hAnsi="Times New Roman" w:eastAsia="宋体" w:cs="Times New Roman"/>
                <w:color w:val="000000" w:themeColor="text1"/>
                <w:spacing w:val="-6"/>
                <w:sz w:val="21"/>
                <w:szCs w:val="21"/>
                <w14:textFill>
                  <w14:solidFill>
                    <w14:schemeClr w14:val="tx1"/>
                  </w14:solidFill>
                </w14:textFill>
              </w:rPr>
              <w:t>00-03</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w:t>
            </w:r>
            <w:r>
              <w:rPr>
                <w:rFonts w:hint="default" w:ascii="Times New Roman" w:hAnsi="Times New Roman" w:eastAsia="宋体" w:cs="Times New Roman"/>
                <w:color w:val="000000" w:themeColor="text1"/>
                <w:spacing w:val="-6"/>
                <w:sz w:val="21"/>
                <w:szCs w:val="21"/>
                <w14:textFill>
                  <w14:solidFill>
                    <w14:schemeClr w14:val="tx1"/>
                  </w14:solidFill>
                </w14:textFill>
              </w:rPr>
              <w:t>00</w:t>
            </w:r>
          </w:p>
        </w:tc>
        <w:tc>
          <w:tcPr>
            <w:tcW w:w="1050" w:type="dxa"/>
            <w:vAlign w:val="center"/>
          </w:tcPr>
          <w:p w14:paraId="1E6F0465">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&lt;0.01</w:t>
            </w:r>
          </w:p>
        </w:tc>
        <w:tc>
          <w:tcPr>
            <w:tcW w:w="1080" w:type="dxa"/>
            <w:vAlign w:val="center"/>
          </w:tcPr>
          <w:p w14:paraId="00514D7D">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0.002</w:t>
            </w:r>
          </w:p>
        </w:tc>
        <w:tc>
          <w:tcPr>
            <w:tcW w:w="1076" w:type="dxa"/>
            <w:vAlign w:val="center"/>
          </w:tcPr>
          <w:p w14:paraId="4A9B2BC1">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&lt;10</w:t>
            </w:r>
          </w:p>
        </w:tc>
        <w:tc>
          <w:tcPr>
            <w:tcW w:w="1043" w:type="dxa"/>
            <w:vMerge w:val="restart"/>
            <w:vAlign w:val="center"/>
          </w:tcPr>
          <w:p w14:paraId="2BBD86AA">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vertAlign w:val="superscript"/>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0.107</w:t>
            </w:r>
          </w:p>
        </w:tc>
        <w:tc>
          <w:tcPr>
            <w:tcW w:w="1068" w:type="dxa"/>
            <w:vAlign w:val="center"/>
          </w:tcPr>
          <w:p w14:paraId="56492B97">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0.0</w:t>
            </w:r>
            <w:r>
              <w:rPr>
                <w:rFonts w:hint="eastAsia" w:cs="Times New Roman"/>
                <w:color w:val="000000" w:themeColor="text1"/>
                <w:kern w:val="0"/>
                <w:sz w:val="21"/>
                <w:szCs w:val="21"/>
                <w:lang w:val="en-US" w:eastAsia="zh-CN" w:bidi="ar"/>
                <w14:textFill>
                  <w14:solidFill>
                    <w14:schemeClr w14:val="tx1"/>
                  </w14:solidFill>
                </w14:textFill>
              </w:rPr>
              <w:t>0</w:t>
            </w:r>
            <w:r>
              <w:rPr>
                <w:rFonts w:hint="default" w:ascii="Times New Roman" w:hAnsi="Times New Roman" w:eastAsia="宋体" w:cs="Times New Roman"/>
                <w:color w:val="000000" w:themeColor="text1"/>
                <w:kern w:val="0"/>
                <w:sz w:val="21"/>
                <w:szCs w:val="21"/>
                <w:lang w:bidi="ar"/>
                <w14:textFill>
                  <w14:solidFill>
                    <w14:schemeClr w14:val="tx1"/>
                  </w14:solidFill>
                </w14:textFill>
              </w:rPr>
              <w:t>2</w:t>
            </w:r>
          </w:p>
        </w:tc>
        <w:tc>
          <w:tcPr>
            <w:tcW w:w="1056" w:type="dxa"/>
            <w:vAlign w:val="center"/>
          </w:tcPr>
          <w:p w14:paraId="75617BCA">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0.003</w:t>
            </w:r>
          </w:p>
        </w:tc>
        <w:tc>
          <w:tcPr>
            <w:tcW w:w="1078" w:type="dxa"/>
            <w:vAlign w:val="center"/>
          </w:tcPr>
          <w:p w14:paraId="0185A94F">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&lt;10</w:t>
            </w:r>
          </w:p>
        </w:tc>
        <w:tc>
          <w:tcPr>
            <w:tcW w:w="1069" w:type="dxa"/>
            <w:vMerge w:val="restart"/>
            <w:vAlign w:val="center"/>
          </w:tcPr>
          <w:p w14:paraId="7C4CCD02">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0.121</w:t>
            </w:r>
          </w:p>
        </w:tc>
        <w:tc>
          <w:tcPr>
            <w:tcW w:w="1049" w:type="dxa"/>
            <w:vAlign w:val="center"/>
          </w:tcPr>
          <w:p w14:paraId="5127FC1F">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0.0</w:t>
            </w:r>
            <w:r>
              <w:rPr>
                <w:rFonts w:hint="eastAsia" w:cs="Times New Roman"/>
                <w:color w:val="000000" w:themeColor="text1"/>
                <w:kern w:val="0"/>
                <w:sz w:val="21"/>
                <w:szCs w:val="21"/>
                <w:lang w:val="en-US" w:eastAsia="zh-CN" w:bidi="ar"/>
                <w14:textFill>
                  <w14:solidFill>
                    <w14:schemeClr w14:val="tx1"/>
                  </w14:solidFill>
                </w14:textFill>
              </w:rPr>
              <w:t>0</w:t>
            </w:r>
            <w:r>
              <w:rPr>
                <w:rFonts w:hint="default" w:ascii="Times New Roman" w:hAnsi="Times New Roman" w:eastAsia="宋体" w:cs="Times New Roman"/>
                <w:color w:val="000000" w:themeColor="text1"/>
                <w:kern w:val="0"/>
                <w:sz w:val="21"/>
                <w:szCs w:val="21"/>
                <w:lang w:bidi="ar"/>
                <w14:textFill>
                  <w14:solidFill>
                    <w14:schemeClr w14:val="tx1"/>
                  </w14:solidFill>
                </w14:textFill>
              </w:rPr>
              <w:t>2</w:t>
            </w:r>
          </w:p>
        </w:tc>
        <w:tc>
          <w:tcPr>
            <w:tcW w:w="1043" w:type="dxa"/>
            <w:vAlign w:val="center"/>
          </w:tcPr>
          <w:p w14:paraId="2E54D26A">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0.002</w:t>
            </w:r>
          </w:p>
        </w:tc>
        <w:tc>
          <w:tcPr>
            <w:tcW w:w="1043" w:type="dxa"/>
            <w:vAlign w:val="center"/>
          </w:tcPr>
          <w:p w14:paraId="61758CE6">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&lt;10</w:t>
            </w:r>
          </w:p>
        </w:tc>
        <w:tc>
          <w:tcPr>
            <w:tcW w:w="1043" w:type="dxa"/>
            <w:vMerge w:val="restart"/>
            <w:vAlign w:val="center"/>
          </w:tcPr>
          <w:p w14:paraId="502AB2D1">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0.114</w:t>
            </w:r>
          </w:p>
        </w:tc>
      </w:tr>
      <w:tr w14:paraId="2D949B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675" w:type="dxa"/>
            <w:vMerge w:val="continue"/>
            <w:vAlign w:val="center"/>
          </w:tcPr>
          <w:p w14:paraId="32257F2F">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p>
        </w:tc>
        <w:tc>
          <w:tcPr>
            <w:tcW w:w="1470" w:type="dxa"/>
            <w:vAlign w:val="center"/>
          </w:tcPr>
          <w:p w14:paraId="17316B21">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08</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w:t>
            </w:r>
            <w:r>
              <w:rPr>
                <w:rFonts w:hint="default" w:ascii="Times New Roman" w:hAnsi="Times New Roman" w:eastAsia="宋体" w:cs="Times New Roman"/>
                <w:color w:val="000000" w:themeColor="text1"/>
                <w:spacing w:val="-6"/>
                <w:sz w:val="21"/>
                <w:szCs w:val="21"/>
                <w14:textFill>
                  <w14:solidFill>
                    <w14:schemeClr w14:val="tx1"/>
                  </w14:solidFill>
                </w14:textFill>
              </w:rPr>
              <w:t>00-09</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w:t>
            </w:r>
            <w:r>
              <w:rPr>
                <w:rFonts w:hint="default" w:ascii="Times New Roman" w:hAnsi="Times New Roman" w:eastAsia="宋体" w:cs="Times New Roman"/>
                <w:color w:val="000000" w:themeColor="text1"/>
                <w:spacing w:val="-6"/>
                <w:sz w:val="21"/>
                <w:szCs w:val="21"/>
                <w14:textFill>
                  <w14:solidFill>
                    <w14:schemeClr w14:val="tx1"/>
                  </w14:solidFill>
                </w14:textFill>
              </w:rPr>
              <w:t>00</w:t>
            </w:r>
          </w:p>
        </w:tc>
        <w:tc>
          <w:tcPr>
            <w:tcW w:w="1050" w:type="dxa"/>
            <w:vAlign w:val="center"/>
          </w:tcPr>
          <w:p w14:paraId="17947FF2">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0.0</w:t>
            </w:r>
            <w:r>
              <w:rPr>
                <w:rFonts w:hint="eastAsia" w:ascii="Times New Roman" w:hAnsi="Times New Roman" w:cs="Times New Roman"/>
                <w:color w:val="000000" w:themeColor="text1"/>
                <w:spacing w:val="-6"/>
                <w:sz w:val="21"/>
                <w:szCs w:val="21"/>
                <w:lang w:val="en-US" w:eastAsia="zh-CN"/>
                <w14:textFill>
                  <w14:solidFill>
                    <w14:schemeClr w14:val="tx1"/>
                  </w14:solidFill>
                </w14:textFill>
              </w:rPr>
              <w:t>0</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3</w:t>
            </w:r>
          </w:p>
        </w:tc>
        <w:tc>
          <w:tcPr>
            <w:tcW w:w="1080" w:type="dxa"/>
            <w:vAlign w:val="center"/>
          </w:tcPr>
          <w:p w14:paraId="792FCDCA">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0.003</w:t>
            </w:r>
          </w:p>
        </w:tc>
        <w:tc>
          <w:tcPr>
            <w:tcW w:w="1076" w:type="dxa"/>
            <w:vAlign w:val="center"/>
          </w:tcPr>
          <w:p w14:paraId="35338DB3">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&lt;10</w:t>
            </w:r>
          </w:p>
        </w:tc>
        <w:tc>
          <w:tcPr>
            <w:tcW w:w="1043" w:type="dxa"/>
            <w:vMerge w:val="continue"/>
            <w:vAlign w:val="center"/>
          </w:tcPr>
          <w:p w14:paraId="0085F470">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vertAlign w:val="superscript"/>
                <w14:textFill>
                  <w14:solidFill>
                    <w14:schemeClr w14:val="tx1"/>
                  </w14:solidFill>
                </w14:textFill>
              </w:rPr>
            </w:pPr>
          </w:p>
        </w:tc>
        <w:tc>
          <w:tcPr>
            <w:tcW w:w="1068" w:type="dxa"/>
            <w:vAlign w:val="center"/>
          </w:tcPr>
          <w:p w14:paraId="6016E8B8">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0.0</w:t>
            </w:r>
            <w:r>
              <w:rPr>
                <w:rFonts w:hint="eastAsia" w:cs="Times New Roman"/>
                <w:color w:val="000000" w:themeColor="text1"/>
                <w:kern w:val="0"/>
                <w:sz w:val="21"/>
                <w:szCs w:val="21"/>
                <w:lang w:val="en-US" w:eastAsia="zh-CN" w:bidi="ar"/>
                <w14:textFill>
                  <w14:solidFill>
                    <w14:schemeClr w14:val="tx1"/>
                  </w14:solidFill>
                </w14:textFill>
              </w:rPr>
              <w:t>0</w:t>
            </w:r>
            <w:r>
              <w:rPr>
                <w:rFonts w:hint="default" w:ascii="Times New Roman" w:hAnsi="Times New Roman" w:eastAsia="宋体" w:cs="Times New Roman"/>
                <w:color w:val="000000" w:themeColor="text1"/>
                <w:kern w:val="0"/>
                <w:sz w:val="21"/>
                <w:szCs w:val="21"/>
                <w:lang w:bidi="ar"/>
                <w14:textFill>
                  <w14:solidFill>
                    <w14:schemeClr w14:val="tx1"/>
                  </w14:solidFill>
                </w14:textFill>
              </w:rPr>
              <w:t>4</w:t>
            </w:r>
          </w:p>
        </w:tc>
        <w:tc>
          <w:tcPr>
            <w:tcW w:w="1056" w:type="dxa"/>
            <w:vAlign w:val="center"/>
          </w:tcPr>
          <w:p w14:paraId="5AAB003F">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0.005</w:t>
            </w:r>
          </w:p>
        </w:tc>
        <w:tc>
          <w:tcPr>
            <w:tcW w:w="1078" w:type="dxa"/>
            <w:vAlign w:val="center"/>
          </w:tcPr>
          <w:p w14:paraId="6E23B4A3">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&lt;10</w:t>
            </w:r>
          </w:p>
        </w:tc>
        <w:tc>
          <w:tcPr>
            <w:tcW w:w="1069" w:type="dxa"/>
            <w:vMerge w:val="continue"/>
            <w:vAlign w:val="center"/>
          </w:tcPr>
          <w:p w14:paraId="1A132AA5">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p>
        </w:tc>
        <w:tc>
          <w:tcPr>
            <w:tcW w:w="1049" w:type="dxa"/>
            <w:vAlign w:val="center"/>
          </w:tcPr>
          <w:p w14:paraId="63314151">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0.0</w:t>
            </w:r>
            <w:r>
              <w:rPr>
                <w:rFonts w:hint="eastAsia" w:cs="Times New Roman"/>
                <w:color w:val="000000" w:themeColor="text1"/>
                <w:kern w:val="0"/>
                <w:sz w:val="21"/>
                <w:szCs w:val="21"/>
                <w:lang w:val="en-US" w:eastAsia="zh-CN" w:bidi="ar"/>
                <w14:textFill>
                  <w14:solidFill>
                    <w14:schemeClr w14:val="tx1"/>
                  </w14:solidFill>
                </w14:textFill>
              </w:rPr>
              <w:t>0</w:t>
            </w:r>
            <w:r>
              <w:rPr>
                <w:rFonts w:hint="default" w:ascii="Times New Roman" w:hAnsi="Times New Roman" w:eastAsia="宋体" w:cs="Times New Roman"/>
                <w:color w:val="000000" w:themeColor="text1"/>
                <w:kern w:val="0"/>
                <w:sz w:val="21"/>
                <w:szCs w:val="21"/>
                <w:lang w:bidi="ar"/>
                <w14:textFill>
                  <w14:solidFill>
                    <w14:schemeClr w14:val="tx1"/>
                  </w14:solidFill>
                </w14:textFill>
              </w:rPr>
              <w:t>3</w:t>
            </w:r>
          </w:p>
        </w:tc>
        <w:tc>
          <w:tcPr>
            <w:tcW w:w="1043" w:type="dxa"/>
            <w:vAlign w:val="center"/>
          </w:tcPr>
          <w:p w14:paraId="014956C1">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0.007</w:t>
            </w:r>
          </w:p>
        </w:tc>
        <w:tc>
          <w:tcPr>
            <w:tcW w:w="1043" w:type="dxa"/>
            <w:vAlign w:val="center"/>
          </w:tcPr>
          <w:p w14:paraId="2E67C02A">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&lt;10</w:t>
            </w:r>
          </w:p>
        </w:tc>
        <w:tc>
          <w:tcPr>
            <w:tcW w:w="1043" w:type="dxa"/>
            <w:vMerge w:val="continue"/>
            <w:vAlign w:val="center"/>
          </w:tcPr>
          <w:p w14:paraId="143B6C26">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p>
        </w:tc>
      </w:tr>
      <w:tr w14:paraId="14605A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675" w:type="dxa"/>
            <w:vMerge w:val="continue"/>
            <w:vAlign w:val="center"/>
          </w:tcPr>
          <w:p w14:paraId="53AFE693">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p>
        </w:tc>
        <w:tc>
          <w:tcPr>
            <w:tcW w:w="1470" w:type="dxa"/>
            <w:vAlign w:val="center"/>
          </w:tcPr>
          <w:p w14:paraId="2875BFCD">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14</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w:t>
            </w:r>
            <w:r>
              <w:rPr>
                <w:rFonts w:hint="default" w:ascii="Times New Roman" w:hAnsi="Times New Roman" w:eastAsia="宋体" w:cs="Times New Roman"/>
                <w:color w:val="000000" w:themeColor="text1"/>
                <w:spacing w:val="-6"/>
                <w:sz w:val="21"/>
                <w:szCs w:val="21"/>
                <w14:textFill>
                  <w14:solidFill>
                    <w14:schemeClr w14:val="tx1"/>
                  </w14:solidFill>
                </w14:textFill>
              </w:rPr>
              <w:t>00-15</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w:t>
            </w:r>
            <w:r>
              <w:rPr>
                <w:rFonts w:hint="default" w:ascii="Times New Roman" w:hAnsi="Times New Roman" w:eastAsia="宋体" w:cs="Times New Roman"/>
                <w:color w:val="000000" w:themeColor="text1"/>
                <w:spacing w:val="-6"/>
                <w:sz w:val="21"/>
                <w:szCs w:val="21"/>
                <w14:textFill>
                  <w14:solidFill>
                    <w14:schemeClr w14:val="tx1"/>
                  </w14:solidFill>
                </w14:textFill>
              </w:rPr>
              <w:t>00</w:t>
            </w:r>
          </w:p>
        </w:tc>
        <w:tc>
          <w:tcPr>
            <w:tcW w:w="1050" w:type="dxa"/>
            <w:vAlign w:val="center"/>
          </w:tcPr>
          <w:p w14:paraId="26F2C738">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0.0</w:t>
            </w:r>
            <w:r>
              <w:rPr>
                <w:rFonts w:hint="eastAsia" w:ascii="Times New Roman" w:hAnsi="Times New Roman" w:cs="Times New Roman"/>
                <w:color w:val="000000" w:themeColor="text1"/>
                <w:spacing w:val="-6"/>
                <w:sz w:val="21"/>
                <w:szCs w:val="21"/>
                <w:lang w:val="en-US" w:eastAsia="zh-CN"/>
                <w14:textFill>
                  <w14:solidFill>
                    <w14:schemeClr w14:val="tx1"/>
                  </w14:solidFill>
                </w14:textFill>
              </w:rPr>
              <w:t>0</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4</w:t>
            </w:r>
          </w:p>
        </w:tc>
        <w:tc>
          <w:tcPr>
            <w:tcW w:w="1080" w:type="dxa"/>
            <w:vAlign w:val="center"/>
          </w:tcPr>
          <w:p w14:paraId="4CF3A3EC">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0.003</w:t>
            </w:r>
          </w:p>
        </w:tc>
        <w:tc>
          <w:tcPr>
            <w:tcW w:w="1076" w:type="dxa"/>
            <w:vAlign w:val="center"/>
          </w:tcPr>
          <w:p w14:paraId="0AE0F963">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&lt;10</w:t>
            </w:r>
          </w:p>
        </w:tc>
        <w:tc>
          <w:tcPr>
            <w:tcW w:w="1043" w:type="dxa"/>
            <w:vMerge w:val="continue"/>
            <w:vAlign w:val="center"/>
          </w:tcPr>
          <w:p w14:paraId="122FA363">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vertAlign w:val="superscript"/>
                <w14:textFill>
                  <w14:solidFill>
                    <w14:schemeClr w14:val="tx1"/>
                  </w14:solidFill>
                </w14:textFill>
              </w:rPr>
            </w:pPr>
          </w:p>
        </w:tc>
        <w:tc>
          <w:tcPr>
            <w:tcW w:w="1068" w:type="dxa"/>
            <w:vAlign w:val="center"/>
          </w:tcPr>
          <w:p w14:paraId="4F4A2BCE">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0.0</w:t>
            </w:r>
            <w:r>
              <w:rPr>
                <w:rFonts w:hint="eastAsia" w:cs="Times New Roman"/>
                <w:color w:val="000000" w:themeColor="text1"/>
                <w:kern w:val="0"/>
                <w:sz w:val="21"/>
                <w:szCs w:val="21"/>
                <w:lang w:val="en-US" w:eastAsia="zh-CN" w:bidi="ar"/>
                <w14:textFill>
                  <w14:solidFill>
                    <w14:schemeClr w14:val="tx1"/>
                  </w14:solidFill>
                </w14:textFill>
              </w:rPr>
              <w:t>0</w:t>
            </w:r>
            <w:r>
              <w:rPr>
                <w:rFonts w:hint="default" w:ascii="Times New Roman" w:hAnsi="Times New Roman" w:eastAsia="宋体" w:cs="Times New Roman"/>
                <w:color w:val="000000" w:themeColor="text1"/>
                <w:kern w:val="0"/>
                <w:sz w:val="21"/>
                <w:szCs w:val="21"/>
                <w:lang w:bidi="ar"/>
                <w14:textFill>
                  <w14:solidFill>
                    <w14:schemeClr w14:val="tx1"/>
                  </w14:solidFill>
                </w14:textFill>
              </w:rPr>
              <w:t>3</w:t>
            </w:r>
          </w:p>
        </w:tc>
        <w:tc>
          <w:tcPr>
            <w:tcW w:w="1056" w:type="dxa"/>
            <w:vAlign w:val="center"/>
          </w:tcPr>
          <w:p w14:paraId="35243470">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0.007</w:t>
            </w:r>
          </w:p>
        </w:tc>
        <w:tc>
          <w:tcPr>
            <w:tcW w:w="1078" w:type="dxa"/>
            <w:vAlign w:val="center"/>
          </w:tcPr>
          <w:p w14:paraId="184BCD9B">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&lt;10</w:t>
            </w:r>
          </w:p>
        </w:tc>
        <w:tc>
          <w:tcPr>
            <w:tcW w:w="1069" w:type="dxa"/>
            <w:vMerge w:val="continue"/>
            <w:vAlign w:val="center"/>
          </w:tcPr>
          <w:p w14:paraId="1A8FB866">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p>
        </w:tc>
        <w:tc>
          <w:tcPr>
            <w:tcW w:w="1049" w:type="dxa"/>
            <w:vAlign w:val="center"/>
          </w:tcPr>
          <w:p w14:paraId="5CB7312E">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0.0</w:t>
            </w:r>
            <w:r>
              <w:rPr>
                <w:rFonts w:hint="eastAsia" w:cs="Times New Roman"/>
                <w:color w:val="000000" w:themeColor="text1"/>
                <w:kern w:val="0"/>
                <w:sz w:val="21"/>
                <w:szCs w:val="21"/>
                <w:lang w:val="en-US" w:eastAsia="zh-CN" w:bidi="ar"/>
                <w14:textFill>
                  <w14:solidFill>
                    <w14:schemeClr w14:val="tx1"/>
                  </w14:solidFill>
                </w14:textFill>
              </w:rPr>
              <w:t>0</w:t>
            </w:r>
            <w:r>
              <w:rPr>
                <w:rFonts w:hint="default" w:ascii="Times New Roman" w:hAnsi="Times New Roman" w:eastAsia="宋体" w:cs="Times New Roman"/>
                <w:color w:val="000000" w:themeColor="text1"/>
                <w:kern w:val="0"/>
                <w:sz w:val="21"/>
                <w:szCs w:val="21"/>
                <w:lang w:bidi="ar"/>
                <w14:textFill>
                  <w14:solidFill>
                    <w14:schemeClr w14:val="tx1"/>
                  </w14:solidFill>
                </w14:textFill>
              </w:rPr>
              <w:t>5</w:t>
            </w:r>
          </w:p>
        </w:tc>
        <w:tc>
          <w:tcPr>
            <w:tcW w:w="1043" w:type="dxa"/>
            <w:vAlign w:val="center"/>
          </w:tcPr>
          <w:p w14:paraId="340B7D28">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0.006</w:t>
            </w:r>
          </w:p>
        </w:tc>
        <w:tc>
          <w:tcPr>
            <w:tcW w:w="1043" w:type="dxa"/>
            <w:vAlign w:val="center"/>
          </w:tcPr>
          <w:p w14:paraId="035225C2">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&lt;10</w:t>
            </w:r>
          </w:p>
        </w:tc>
        <w:tc>
          <w:tcPr>
            <w:tcW w:w="1043" w:type="dxa"/>
            <w:vMerge w:val="continue"/>
            <w:vAlign w:val="center"/>
          </w:tcPr>
          <w:p w14:paraId="2245BD20">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p>
        </w:tc>
      </w:tr>
      <w:tr w14:paraId="412D76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675" w:type="dxa"/>
            <w:vMerge w:val="continue"/>
            <w:vAlign w:val="center"/>
          </w:tcPr>
          <w:p w14:paraId="393D2693">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p>
        </w:tc>
        <w:tc>
          <w:tcPr>
            <w:tcW w:w="1470" w:type="dxa"/>
            <w:vAlign w:val="center"/>
          </w:tcPr>
          <w:p w14:paraId="4A63633A">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20</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w:t>
            </w:r>
            <w:r>
              <w:rPr>
                <w:rFonts w:hint="default" w:ascii="Times New Roman" w:hAnsi="Times New Roman" w:eastAsia="宋体" w:cs="Times New Roman"/>
                <w:color w:val="000000" w:themeColor="text1"/>
                <w:spacing w:val="-6"/>
                <w:sz w:val="21"/>
                <w:szCs w:val="21"/>
                <w14:textFill>
                  <w14:solidFill>
                    <w14:schemeClr w14:val="tx1"/>
                  </w14:solidFill>
                </w14:textFill>
              </w:rPr>
              <w:t>00-21</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w:t>
            </w:r>
            <w:r>
              <w:rPr>
                <w:rFonts w:hint="default" w:ascii="Times New Roman" w:hAnsi="Times New Roman" w:eastAsia="宋体" w:cs="Times New Roman"/>
                <w:color w:val="000000" w:themeColor="text1"/>
                <w:spacing w:val="-6"/>
                <w:sz w:val="21"/>
                <w:szCs w:val="21"/>
                <w14:textFill>
                  <w14:solidFill>
                    <w14:schemeClr w14:val="tx1"/>
                  </w14:solidFill>
                </w14:textFill>
              </w:rPr>
              <w:t>00</w:t>
            </w:r>
          </w:p>
        </w:tc>
        <w:tc>
          <w:tcPr>
            <w:tcW w:w="1050" w:type="dxa"/>
            <w:vAlign w:val="center"/>
          </w:tcPr>
          <w:p w14:paraId="6E5167C9">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0.0</w:t>
            </w:r>
            <w:r>
              <w:rPr>
                <w:rFonts w:hint="eastAsia" w:ascii="Times New Roman" w:hAnsi="Times New Roman" w:cs="Times New Roman"/>
                <w:color w:val="000000" w:themeColor="text1"/>
                <w:spacing w:val="-6"/>
                <w:sz w:val="21"/>
                <w:szCs w:val="21"/>
                <w:lang w:val="en-US" w:eastAsia="zh-CN"/>
                <w14:textFill>
                  <w14:solidFill>
                    <w14:schemeClr w14:val="tx1"/>
                  </w14:solidFill>
                </w14:textFill>
              </w:rPr>
              <w:t>0</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3</w:t>
            </w:r>
          </w:p>
        </w:tc>
        <w:tc>
          <w:tcPr>
            <w:tcW w:w="1080" w:type="dxa"/>
            <w:vAlign w:val="center"/>
          </w:tcPr>
          <w:p w14:paraId="11E9E4BB">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0.004</w:t>
            </w:r>
          </w:p>
        </w:tc>
        <w:tc>
          <w:tcPr>
            <w:tcW w:w="1076" w:type="dxa"/>
            <w:vAlign w:val="center"/>
          </w:tcPr>
          <w:p w14:paraId="0D6A5B52">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&lt;10</w:t>
            </w:r>
          </w:p>
        </w:tc>
        <w:tc>
          <w:tcPr>
            <w:tcW w:w="1043" w:type="dxa"/>
            <w:vMerge w:val="continue"/>
            <w:vAlign w:val="center"/>
          </w:tcPr>
          <w:p w14:paraId="6E2D9645">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vertAlign w:val="superscript"/>
                <w14:textFill>
                  <w14:solidFill>
                    <w14:schemeClr w14:val="tx1"/>
                  </w14:solidFill>
                </w14:textFill>
              </w:rPr>
            </w:pPr>
          </w:p>
        </w:tc>
        <w:tc>
          <w:tcPr>
            <w:tcW w:w="1068" w:type="dxa"/>
            <w:vAlign w:val="center"/>
          </w:tcPr>
          <w:p w14:paraId="72063495">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0.0</w:t>
            </w:r>
            <w:r>
              <w:rPr>
                <w:rFonts w:hint="eastAsia" w:cs="Times New Roman"/>
                <w:color w:val="000000" w:themeColor="text1"/>
                <w:kern w:val="0"/>
                <w:sz w:val="21"/>
                <w:szCs w:val="21"/>
                <w:lang w:val="en-US" w:eastAsia="zh-CN" w:bidi="ar"/>
                <w14:textFill>
                  <w14:solidFill>
                    <w14:schemeClr w14:val="tx1"/>
                  </w14:solidFill>
                </w14:textFill>
              </w:rPr>
              <w:t>0</w:t>
            </w:r>
            <w:r>
              <w:rPr>
                <w:rFonts w:hint="default" w:ascii="Times New Roman" w:hAnsi="Times New Roman" w:eastAsia="宋体" w:cs="Times New Roman"/>
                <w:color w:val="000000" w:themeColor="text1"/>
                <w:kern w:val="0"/>
                <w:sz w:val="21"/>
                <w:szCs w:val="21"/>
                <w:lang w:bidi="ar"/>
                <w14:textFill>
                  <w14:solidFill>
                    <w14:schemeClr w14:val="tx1"/>
                  </w14:solidFill>
                </w14:textFill>
              </w:rPr>
              <w:t>5</w:t>
            </w:r>
          </w:p>
        </w:tc>
        <w:tc>
          <w:tcPr>
            <w:tcW w:w="1056" w:type="dxa"/>
            <w:vAlign w:val="center"/>
          </w:tcPr>
          <w:p w14:paraId="1525EA12">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0.005</w:t>
            </w:r>
          </w:p>
        </w:tc>
        <w:tc>
          <w:tcPr>
            <w:tcW w:w="1078" w:type="dxa"/>
            <w:vAlign w:val="center"/>
          </w:tcPr>
          <w:p w14:paraId="005FC827">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&lt;10</w:t>
            </w:r>
          </w:p>
        </w:tc>
        <w:tc>
          <w:tcPr>
            <w:tcW w:w="1069" w:type="dxa"/>
            <w:vMerge w:val="continue"/>
            <w:vAlign w:val="center"/>
          </w:tcPr>
          <w:p w14:paraId="6EAFF66A">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p>
        </w:tc>
        <w:tc>
          <w:tcPr>
            <w:tcW w:w="1049" w:type="dxa"/>
            <w:vAlign w:val="center"/>
          </w:tcPr>
          <w:p w14:paraId="1BBA39FE">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0.0</w:t>
            </w:r>
            <w:r>
              <w:rPr>
                <w:rFonts w:hint="eastAsia" w:cs="Times New Roman"/>
                <w:color w:val="000000" w:themeColor="text1"/>
                <w:kern w:val="0"/>
                <w:sz w:val="21"/>
                <w:szCs w:val="21"/>
                <w:lang w:val="en-US" w:eastAsia="zh-CN" w:bidi="ar"/>
                <w14:textFill>
                  <w14:solidFill>
                    <w14:schemeClr w14:val="tx1"/>
                  </w14:solidFill>
                </w14:textFill>
              </w:rPr>
              <w:t>0</w:t>
            </w:r>
            <w:r>
              <w:rPr>
                <w:rFonts w:hint="default" w:ascii="Times New Roman" w:hAnsi="Times New Roman" w:eastAsia="宋体" w:cs="Times New Roman"/>
                <w:color w:val="000000" w:themeColor="text1"/>
                <w:kern w:val="0"/>
                <w:sz w:val="21"/>
                <w:szCs w:val="21"/>
                <w:lang w:bidi="ar"/>
                <w14:textFill>
                  <w14:solidFill>
                    <w14:schemeClr w14:val="tx1"/>
                  </w14:solidFill>
                </w14:textFill>
              </w:rPr>
              <w:t>3</w:t>
            </w:r>
          </w:p>
        </w:tc>
        <w:tc>
          <w:tcPr>
            <w:tcW w:w="1043" w:type="dxa"/>
            <w:vAlign w:val="center"/>
          </w:tcPr>
          <w:p w14:paraId="1AE2E1BC">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0.005</w:t>
            </w:r>
          </w:p>
        </w:tc>
        <w:tc>
          <w:tcPr>
            <w:tcW w:w="1043" w:type="dxa"/>
            <w:vAlign w:val="center"/>
          </w:tcPr>
          <w:p w14:paraId="4DFAC177">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&lt;10</w:t>
            </w:r>
          </w:p>
        </w:tc>
        <w:tc>
          <w:tcPr>
            <w:tcW w:w="1043" w:type="dxa"/>
            <w:vMerge w:val="continue"/>
            <w:vAlign w:val="center"/>
          </w:tcPr>
          <w:p w14:paraId="16B7AEFE">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p>
        </w:tc>
      </w:tr>
      <w:tr w14:paraId="6C6C0B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675" w:type="dxa"/>
            <w:vMerge w:val="restart"/>
            <w:vAlign w:val="center"/>
          </w:tcPr>
          <w:p w14:paraId="7A330F5E">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2023.08.17</w:t>
            </w:r>
          </w:p>
        </w:tc>
        <w:tc>
          <w:tcPr>
            <w:tcW w:w="1470" w:type="dxa"/>
            <w:vAlign w:val="center"/>
          </w:tcPr>
          <w:p w14:paraId="11AD2AE0">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02</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w:t>
            </w:r>
            <w:r>
              <w:rPr>
                <w:rFonts w:hint="default" w:ascii="Times New Roman" w:hAnsi="Times New Roman" w:eastAsia="宋体" w:cs="Times New Roman"/>
                <w:color w:val="000000" w:themeColor="text1"/>
                <w:spacing w:val="-6"/>
                <w:sz w:val="21"/>
                <w:szCs w:val="21"/>
                <w14:textFill>
                  <w14:solidFill>
                    <w14:schemeClr w14:val="tx1"/>
                  </w14:solidFill>
                </w14:textFill>
              </w:rPr>
              <w:t>00-03</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w:t>
            </w:r>
            <w:r>
              <w:rPr>
                <w:rFonts w:hint="default" w:ascii="Times New Roman" w:hAnsi="Times New Roman" w:eastAsia="宋体" w:cs="Times New Roman"/>
                <w:color w:val="000000" w:themeColor="text1"/>
                <w:spacing w:val="-6"/>
                <w:sz w:val="21"/>
                <w:szCs w:val="21"/>
                <w14:textFill>
                  <w14:solidFill>
                    <w14:schemeClr w14:val="tx1"/>
                  </w14:solidFill>
                </w14:textFill>
              </w:rPr>
              <w:t>00</w:t>
            </w:r>
          </w:p>
        </w:tc>
        <w:tc>
          <w:tcPr>
            <w:tcW w:w="1050" w:type="dxa"/>
            <w:vAlign w:val="center"/>
          </w:tcPr>
          <w:p w14:paraId="25C12E9D">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0.0</w:t>
            </w:r>
            <w:r>
              <w:rPr>
                <w:rFonts w:hint="eastAsia" w:ascii="Times New Roman" w:hAnsi="Times New Roman" w:cs="Times New Roman"/>
                <w:color w:val="000000" w:themeColor="text1"/>
                <w:spacing w:val="-6"/>
                <w:sz w:val="21"/>
                <w:szCs w:val="21"/>
                <w:lang w:val="en-US" w:eastAsia="zh-CN"/>
                <w14:textFill>
                  <w14:solidFill>
                    <w14:schemeClr w14:val="tx1"/>
                  </w14:solidFill>
                </w14:textFill>
              </w:rPr>
              <w:t>0</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2</w:t>
            </w:r>
          </w:p>
        </w:tc>
        <w:tc>
          <w:tcPr>
            <w:tcW w:w="1080" w:type="dxa"/>
            <w:vAlign w:val="center"/>
          </w:tcPr>
          <w:p w14:paraId="6FB78C5F">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&lt;0.001</w:t>
            </w:r>
          </w:p>
        </w:tc>
        <w:tc>
          <w:tcPr>
            <w:tcW w:w="1076" w:type="dxa"/>
            <w:vAlign w:val="center"/>
          </w:tcPr>
          <w:p w14:paraId="012B8F5D">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&lt;10</w:t>
            </w:r>
          </w:p>
        </w:tc>
        <w:tc>
          <w:tcPr>
            <w:tcW w:w="1043" w:type="dxa"/>
            <w:vMerge w:val="restart"/>
            <w:vAlign w:val="center"/>
          </w:tcPr>
          <w:p w14:paraId="314C84BB">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vertAlign w:val="superscript"/>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0.139</w:t>
            </w:r>
          </w:p>
        </w:tc>
        <w:tc>
          <w:tcPr>
            <w:tcW w:w="1068" w:type="dxa"/>
            <w:vAlign w:val="center"/>
          </w:tcPr>
          <w:p w14:paraId="3AC19726">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&lt;0.01</w:t>
            </w:r>
          </w:p>
        </w:tc>
        <w:tc>
          <w:tcPr>
            <w:tcW w:w="1056" w:type="dxa"/>
            <w:vAlign w:val="center"/>
          </w:tcPr>
          <w:p w14:paraId="2C107D37">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0.002</w:t>
            </w:r>
          </w:p>
        </w:tc>
        <w:tc>
          <w:tcPr>
            <w:tcW w:w="1078" w:type="dxa"/>
            <w:vAlign w:val="center"/>
          </w:tcPr>
          <w:p w14:paraId="12C7335C">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&lt;10</w:t>
            </w:r>
          </w:p>
        </w:tc>
        <w:tc>
          <w:tcPr>
            <w:tcW w:w="1069" w:type="dxa"/>
            <w:vMerge w:val="restart"/>
            <w:vAlign w:val="center"/>
          </w:tcPr>
          <w:p w14:paraId="7F555ECD">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0.153</w:t>
            </w:r>
          </w:p>
        </w:tc>
        <w:tc>
          <w:tcPr>
            <w:tcW w:w="1049" w:type="dxa"/>
            <w:vAlign w:val="center"/>
          </w:tcPr>
          <w:p w14:paraId="5285967B">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0.0</w:t>
            </w:r>
            <w:r>
              <w:rPr>
                <w:rFonts w:hint="eastAsia" w:cs="Times New Roman"/>
                <w:color w:val="000000" w:themeColor="text1"/>
                <w:kern w:val="0"/>
                <w:sz w:val="21"/>
                <w:szCs w:val="21"/>
                <w:lang w:val="en-US" w:eastAsia="zh-CN" w:bidi="ar"/>
                <w14:textFill>
                  <w14:solidFill>
                    <w14:schemeClr w14:val="tx1"/>
                  </w14:solidFill>
                </w14:textFill>
              </w:rPr>
              <w:t>0</w:t>
            </w:r>
            <w:r>
              <w:rPr>
                <w:rFonts w:hint="default" w:ascii="Times New Roman" w:hAnsi="Times New Roman" w:eastAsia="宋体" w:cs="Times New Roman"/>
                <w:color w:val="000000" w:themeColor="text1"/>
                <w:kern w:val="0"/>
                <w:sz w:val="21"/>
                <w:szCs w:val="21"/>
                <w:lang w:bidi="ar"/>
                <w14:textFill>
                  <w14:solidFill>
                    <w14:schemeClr w14:val="tx1"/>
                  </w14:solidFill>
                </w14:textFill>
              </w:rPr>
              <w:t>3</w:t>
            </w:r>
          </w:p>
        </w:tc>
        <w:tc>
          <w:tcPr>
            <w:tcW w:w="1043" w:type="dxa"/>
            <w:vAlign w:val="center"/>
          </w:tcPr>
          <w:p w14:paraId="5AD7987E">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0.002</w:t>
            </w:r>
          </w:p>
        </w:tc>
        <w:tc>
          <w:tcPr>
            <w:tcW w:w="1043" w:type="dxa"/>
            <w:vAlign w:val="center"/>
          </w:tcPr>
          <w:p w14:paraId="2D620513">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&lt;10</w:t>
            </w:r>
          </w:p>
        </w:tc>
        <w:tc>
          <w:tcPr>
            <w:tcW w:w="1043" w:type="dxa"/>
            <w:vMerge w:val="restart"/>
            <w:vAlign w:val="center"/>
          </w:tcPr>
          <w:p w14:paraId="7AD31542">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0.146</w:t>
            </w:r>
          </w:p>
        </w:tc>
      </w:tr>
      <w:tr w14:paraId="358A77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675" w:type="dxa"/>
            <w:vMerge w:val="continue"/>
            <w:vAlign w:val="center"/>
          </w:tcPr>
          <w:p w14:paraId="20C00E40">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p>
        </w:tc>
        <w:tc>
          <w:tcPr>
            <w:tcW w:w="1470" w:type="dxa"/>
            <w:vAlign w:val="center"/>
          </w:tcPr>
          <w:p w14:paraId="26AED03C">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08</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w:t>
            </w:r>
            <w:r>
              <w:rPr>
                <w:rFonts w:hint="default" w:ascii="Times New Roman" w:hAnsi="Times New Roman" w:eastAsia="宋体" w:cs="Times New Roman"/>
                <w:color w:val="000000" w:themeColor="text1"/>
                <w:spacing w:val="-6"/>
                <w:sz w:val="21"/>
                <w:szCs w:val="21"/>
                <w14:textFill>
                  <w14:solidFill>
                    <w14:schemeClr w14:val="tx1"/>
                  </w14:solidFill>
                </w14:textFill>
              </w:rPr>
              <w:t>00-09</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w:t>
            </w:r>
            <w:r>
              <w:rPr>
                <w:rFonts w:hint="default" w:ascii="Times New Roman" w:hAnsi="Times New Roman" w:eastAsia="宋体" w:cs="Times New Roman"/>
                <w:color w:val="000000" w:themeColor="text1"/>
                <w:spacing w:val="-6"/>
                <w:sz w:val="21"/>
                <w:szCs w:val="21"/>
                <w14:textFill>
                  <w14:solidFill>
                    <w14:schemeClr w14:val="tx1"/>
                  </w14:solidFill>
                </w14:textFill>
              </w:rPr>
              <w:t>00</w:t>
            </w:r>
          </w:p>
        </w:tc>
        <w:tc>
          <w:tcPr>
            <w:tcW w:w="1050" w:type="dxa"/>
            <w:vAlign w:val="center"/>
          </w:tcPr>
          <w:p w14:paraId="6574764D">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0.0</w:t>
            </w:r>
            <w:r>
              <w:rPr>
                <w:rFonts w:hint="eastAsia" w:ascii="Times New Roman" w:hAnsi="Times New Roman" w:cs="Times New Roman"/>
                <w:color w:val="000000" w:themeColor="text1"/>
                <w:spacing w:val="-6"/>
                <w:sz w:val="21"/>
                <w:szCs w:val="21"/>
                <w:lang w:val="en-US" w:eastAsia="zh-CN"/>
                <w14:textFill>
                  <w14:solidFill>
                    <w14:schemeClr w14:val="tx1"/>
                  </w14:solidFill>
                </w14:textFill>
              </w:rPr>
              <w:t>0</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5</w:t>
            </w:r>
          </w:p>
        </w:tc>
        <w:tc>
          <w:tcPr>
            <w:tcW w:w="1080" w:type="dxa"/>
            <w:vAlign w:val="center"/>
          </w:tcPr>
          <w:p w14:paraId="1E0BD989">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0.003</w:t>
            </w:r>
          </w:p>
        </w:tc>
        <w:tc>
          <w:tcPr>
            <w:tcW w:w="1076" w:type="dxa"/>
            <w:vAlign w:val="center"/>
          </w:tcPr>
          <w:p w14:paraId="07E33AE2">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&lt;10</w:t>
            </w:r>
          </w:p>
        </w:tc>
        <w:tc>
          <w:tcPr>
            <w:tcW w:w="1043" w:type="dxa"/>
            <w:vMerge w:val="continue"/>
            <w:vAlign w:val="center"/>
          </w:tcPr>
          <w:p w14:paraId="3E3F538F">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vertAlign w:val="superscript"/>
                <w14:textFill>
                  <w14:solidFill>
                    <w14:schemeClr w14:val="tx1"/>
                  </w14:solidFill>
                </w14:textFill>
              </w:rPr>
            </w:pPr>
          </w:p>
        </w:tc>
        <w:tc>
          <w:tcPr>
            <w:tcW w:w="1068" w:type="dxa"/>
            <w:vAlign w:val="center"/>
          </w:tcPr>
          <w:p w14:paraId="72BF8178">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0.0</w:t>
            </w:r>
            <w:r>
              <w:rPr>
                <w:rFonts w:hint="eastAsia" w:cs="Times New Roman"/>
                <w:color w:val="000000" w:themeColor="text1"/>
                <w:kern w:val="0"/>
                <w:sz w:val="21"/>
                <w:szCs w:val="21"/>
                <w:lang w:val="en-US" w:eastAsia="zh-CN" w:bidi="ar"/>
                <w14:textFill>
                  <w14:solidFill>
                    <w14:schemeClr w14:val="tx1"/>
                  </w14:solidFill>
                </w14:textFill>
              </w:rPr>
              <w:t>0</w:t>
            </w:r>
            <w:r>
              <w:rPr>
                <w:rFonts w:hint="default" w:ascii="Times New Roman" w:hAnsi="Times New Roman" w:eastAsia="宋体" w:cs="Times New Roman"/>
                <w:color w:val="000000" w:themeColor="text1"/>
                <w:kern w:val="0"/>
                <w:sz w:val="21"/>
                <w:szCs w:val="21"/>
                <w:lang w:bidi="ar"/>
                <w14:textFill>
                  <w14:solidFill>
                    <w14:schemeClr w14:val="tx1"/>
                  </w14:solidFill>
                </w14:textFill>
              </w:rPr>
              <w:t>3</w:t>
            </w:r>
          </w:p>
        </w:tc>
        <w:tc>
          <w:tcPr>
            <w:tcW w:w="1056" w:type="dxa"/>
            <w:vAlign w:val="center"/>
          </w:tcPr>
          <w:p w14:paraId="1C7B76AF">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0.006</w:t>
            </w:r>
          </w:p>
        </w:tc>
        <w:tc>
          <w:tcPr>
            <w:tcW w:w="1078" w:type="dxa"/>
            <w:vAlign w:val="center"/>
          </w:tcPr>
          <w:p w14:paraId="78547EF9">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&lt;10</w:t>
            </w:r>
          </w:p>
        </w:tc>
        <w:tc>
          <w:tcPr>
            <w:tcW w:w="1069" w:type="dxa"/>
            <w:vMerge w:val="continue"/>
            <w:vAlign w:val="center"/>
          </w:tcPr>
          <w:p w14:paraId="2688DA24">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p>
        </w:tc>
        <w:tc>
          <w:tcPr>
            <w:tcW w:w="1049" w:type="dxa"/>
            <w:vAlign w:val="center"/>
          </w:tcPr>
          <w:p w14:paraId="4CB3849C">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0.0</w:t>
            </w:r>
            <w:r>
              <w:rPr>
                <w:rFonts w:hint="eastAsia" w:cs="Times New Roman"/>
                <w:color w:val="000000" w:themeColor="text1"/>
                <w:kern w:val="0"/>
                <w:sz w:val="21"/>
                <w:szCs w:val="21"/>
                <w:lang w:val="en-US" w:eastAsia="zh-CN" w:bidi="ar"/>
                <w14:textFill>
                  <w14:solidFill>
                    <w14:schemeClr w14:val="tx1"/>
                  </w14:solidFill>
                </w14:textFill>
              </w:rPr>
              <w:t>0</w:t>
            </w:r>
            <w:r>
              <w:rPr>
                <w:rFonts w:hint="default" w:ascii="Times New Roman" w:hAnsi="Times New Roman" w:eastAsia="宋体" w:cs="Times New Roman"/>
                <w:color w:val="000000" w:themeColor="text1"/>
                <w:kern w:val="0"/>
                <w:sz w:val="21"/>
                <w:szCs w:val="21"/>
                <w:lang w:bidi="ar"/>
                <w14:textFill>
                  <w14:solidFill>
                    <w14:schemeClr w14:val="tx1"/>
                  </w14:solidFill>
                </w14:textFill>
              </w:rPr>
              <w:t>6</w:t>
            </w:r>
          </w:p>
        </w:tc>
        <w:tc>
          <w:tcPr>
            <w:tcW w:w="1043" w:type="dxa"/>
            <w:vAlign w:val="center"/>
          </w:tcPr>
          <w:p w14:paraId="0A5E070E">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0.005</w:t>
            </w:r>
          </w:p>
        </w:tc>
        <w:tc>
          <w:tcPr>
            <w:tcW w:w="1043" w:type="dxa"/>
            <w:vAlign w:val="center"/>
          </w:tcPr>
          <w:p w14:paraId="6F0E77F5">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&lt;10</w:t>
            </w:r>
          </w:p>
        </w:tc>
        <w:tc>
          <w:tcPr>
            <w:tcW w:w="1043" w:type="dxa"/>
            <w:vMerge w:val="continue"/>
            <w:vAlign w:val="center"/>
          </w:tcPr>
          <w:p w14:paraId="53EB0C4A">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p>
        </w:tc>
      </w:tr>
      <w:tr w14:paraId="53F23E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675" w:type="dxa"/>
            <w:vMerge w:val="continue"/>
            <w:vAlign w:val="center"/>
          </w:tcPr>
          <w:p w14:paraId="14BF15D2">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p>
        </w:tc>
        <w:tc>
          <w:tcPr>
            <w:tcW w:w="1470" w:type="dxa"/>
            <w:vAlign w:val="center"/>
          </w:tcPr>
          <w:p w14:paraId="34F3900D">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14</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w:t>
            </w:r>
            <w:r>
              <w:rPr>
                <w:rFonts w:hint="default" w:ascii="Times New Roman" w:hAnsi="Times New Roman" w:eastAsia="宋体" w:cs="Times New Roman"/>
                <w:color w:val="000000" w:themeColor="text1"/>
                <w:spacing w:val="-6"/>
                <w:sz w:val="21"/>
                <w:szCs w:val="21"/>
                <w14:textFill>
                  <w14:solidFill>
                    <w14:schemeClr w14:val="tx1"/>
                  </w14:solidFill>
                </w14:textFill>
              </w:rPr>
              <w:t>00-15</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w:t>
            </w:r>
            <w:r>
              <w:rPr>
                <w:rFonts w:hint="default" w:ascii="Times New Roman" w:hAnsi="Times New Roman" w:eastAsia="宋体" w:cs="Times New Roman"/>
                <w:color w:val="000000" w:themeColor="text1"/>
                <w:spacing w:val="-6"/>
                <w:sz w:val="21"/>
                <w:szCs w:val="21"/>
                <w14:textFill>
                  <w14:solidFill>
                    <w14:schemeClr w14:val="tx1"/>
                  </w14:solidFill>
                </w14:textFill>
              </w:rPr>
              <w:t>00</w:t>
            </w:r>
          </w:p>
        </w:tc>
        <w:tc>
          <w:tcPr>
            <w:tcW w:w="1050" w:type="dxa"/>
            <w:vAlign w:val="center"/>
          </w:tcPr>
          <w:p w14:paraId="128CD8C9">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0.0</w:t>
            </w:r>
            <w:r>
              <w:rPr>
                <w:rFonts w:hint="eastAsia" w:ascii="Times New Roman" w:hAnsi="Times New Roman" w:cs="Times New Roman"/>
                <w:color w:val="000000" w:themeColor="text1"/>
                <w:spacing w:val="-6"/>
                <w:sz w:val="21"/>
                <w:szCs w:val="21"/>
                <w:lang w:val="en-US" w:eastAsia="zh-CN"/>
                <w14:textFill>
                  <w14:solidFill>
                    <w14:schemeClr w14:val="tx1"/>
                  </w14:solidFill>
                </w14:textFill>
              </w:rPr>
              <w:t>0</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5</w:t>
            </w:r>
          </w:p>
        </w:tc>
        <w:tc>
          <w:tcPr>
            <w:tcW w:w="1080" w:type="dxa"/>
            <w:vAlign w:val="center"/>
          </w:tcPr>
          <w:p w14:paraId="4D287932">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0.003</w:t>
            </w:r>
          </w:p>
        </w:tc>
        <w:tc>
          <w:tcPr>
            <w:tcW w:w="1076" w:type="dxa"/>
            <w:vAlign w:val="center"/>
          </w:tcPr>
          <w:p w14:paraId="46FC79BA">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&lt;10</w:t>
            </w:r>
          </w:p>
        </w:tc>
        <w:tc>
          <w:tcPr>
            <w:tcW w:w="1043" w:type="dxa"/>
            <w:vMerge w:val="continue"/>
            <w:vAlign w:val="center"/>
          </w:tcPr>
          <w:p w14:paraId="27F0AD65">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vertAlign w:val="superscript"/>
                <w14:textFill>
                  <w14:solidFill>
                    <w14:schemeClr w14:val="tx1"/>
                  </w14:solidFill>
                </w14:textFill>
              </w:rPr>
            </w:pPr>
          </w:p>
        </w:tc>
        <w:tc>
          <w:tcPr>
            <w:tcW w:w="1068" w:type="dxa"/>
            <w:vAlign w:val="center"/>
          </w:tcPr>
          <w:p w14:paraId="55BA6184">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0.0</w:t>
            </w:r>
            <w:r>
              <w:rPr>
                <w:rFonts w:hint="eastAsia" w:cs="Times New Roman"/>
                <w:color w:val="000000" w:themeColor="text1"/>
                <w:kern w:val="0"/>
                <w:sz w:val="21"/>
                <w:szCs w:val="21"/>
                <w:lang w:val="en-US" w:eastAsia="zh-CN" w:bidi="ar"/>
                <w14:textFill>
                  <w14:solidFill>
                    <w14:schemeClr w14:val="tx1"/>
                  </w14:solidFill>
                </w14:textFill>
              </w:rPr>
              <w:t>0</w:t>
            </w:r>
            <w:r>
              <w:rPr>
                <w:rFonts w:hint="default" w:ascii="Times New Roman" w:hAnsi="Times New Roman" w:eastAsia="宋体" w:cs="Times New Roman"/>
                <w:color w:val="000000" w:themeColor="text1"/>
                <w:kern w:val="0"/>
                <w:sz w:val="21"/>
                <w:szCs w:val="21"/>
                <w:lang w:bidi="ar"/>
                <w14:textFill>
                  <w14:solidFill>
                    <w14:schemeClr w14:val="tx1"/>
                  </w14:solidFill>
                </w14:textFill>
              </w:rPr>
              <w:t>3</w:t>
            </w:r>
          </w:p>
        </w:tc>
        <w:tc>
          <w:tcPr>
            <w:tcW w:w="1056" w:type="dxa"/>
            <w:vAlign w:val="center"/>
          </w:tcPr>
          <w:p w14:paraId="3F09D0AE">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0.006</w:t>
            </w:r>
          </w:p>
        </w:tc>
        <w:tc>
          <w:tcPr>
            <w:tcW w:w="1078" w:type="dxa"/>
            <w:vAlign w:val="center"/>
          </w:tcPr>
          <w:p w14:paraId="767EABA0">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&lt;10</w:t>
            </w:r>
          </w:p>
        </w:tc>
        <w:tc>
          <w:tcPr>
            <w:tcW w:w="1069" w:type="dxa"/>
            <w:vMerge w:val="continue"/>
            <w:vAlign w:val="center"/>
          </w:tcPr>
          <w:p w14:paraId="647289BB">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p>
        </w:tc>
        <w:tc>
          <w:tcPr>
            <w:tcW w:w="1049" w:type="dxa"/>
            <w:vAlign w:val="center"/>
          </w:tcPr>
          <w:p w14:paraId="3302728E">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0.0</w:t>
            </w:r>
            <w:r>
              <w:rPr>
                <w:rFonts w:hint="eastAsia" w:cs="Times New Roman"/>
                <w:color w:val="000000" w:themeColor="text1"/>
                <w:kern w:val="0"/>
                <w:sz w:val="21"/>
                <w:szCs w:val="21"/>
                <w:lang w:val="en-US" w:eastAsia="zh-CN" w:bidi="ar"/>
                <w14:textFill>
                  <w14:solidFill>
                    <w14:schemeClr w14:val="tx1"/>
                  </w14:solidFill>
                </w14:textFill>
              </w:rPr>
              <w:t>0</w:t>
            </w:r>
            <w:r>
              <w:rPr>
                <w:rFonts w:hint="default" w:ascii="Times New Roman" w:hAnsi="Times New Roman" w:eastAsia="宋体" w:cs="Times New Roman"/>
                <w:color w:val="000000" w:themeColor="text1"/>
                <w:kern w:val="0"/>
                <w:sz w:val="21"/>
                <w:szCs w:val="21"/>
                <w:lang w:bidi="ar"/>
                <w14:textFill>
                  <w14:solidFill>
                    <w14:schemeClr w14:val="tx1"/>
                  </w14:solidFill>
                </w14:textFill>
              </w:rPr>
              <w:t>6</w:t>
            </w:r>
          </w:p>
        </w:tc>
        <w:tc>
          <w:tcPr>
            <w:tcW w:w="1043" w:type="dxa"/>
            <w:vAlign w:val="center"/>
          </w:tcPr>
          <w:p w14:paraId="54842EDE">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0.007</w:t>
            </w:r>
          </w:p>
        </w:tc>
        <w:tc>
          <w:tcPr>
            <w:tcW w:w="1043" w:type="dxa"/>
            <w:vAlign w:val="center"/>
          </w:tcPr>
          <w:p w14:paraId="616A083F">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&lt;10</w:t>
            </w:r>
          </w:p>
        </w:tc>
        <w:tc>
          <w:tcPr>
            <w:tcW w:w="1043" w:type="dxa"/>
            <w:vMerge w:val="continue"/>
            <w:vAlign w:val="center"/>
          </w:tcPr>
          <w:p w14:paraId="7655809A">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p>
        </w:tc>
      </w:tr>
      <w:tr w14:paraId="78655B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675" w:type="dxa"/>
            <w:vMerge w:val="continue"/>
            <w:vAlign w:val="center"/>
          </w:tcPr>
          <w:p w14:paraId="7521ECAD">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p>
        </w:tc>
        <w:tc>
          <w:tcPr>
            <w:tcW w:w="1470" w:type="dxa"/>
            <w:vAlign w:val="center"/>
          </w:tcPr>
          <w:p w14:paraId="4A529D15">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20</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w:t>
            </w:r>
            <w:r>
              <w:rPr>
                <w:rFonts w:hint="default" w:ascii="Times New Roman" w:hAnsi="Times New Roman" w:eastAsia="宋体" w:cs="Times New Roman"/>
                <w:color w:val="000000" w:themeColor="text1"/>
                <w:spacing w:val="-6"/>
                <w:sz w:val="21"/>
                <w:szCs w:val="21"/>
                <w14:textFill>
                  <w14:solidFill>
                    <w14:schemeClr w14:val="tx1"/>
                  </w14:solidFill>
                </w14:textFill>
              </w:rPr>
              <w:t>00-21</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w:t>
            </w:r>
            <w:r>
              <w:rPr>
                <w:rFonts w:hint="default" w:ascii="Times New Roman" w:hAnsi="Times New Roman" w:eastAsia="宋体" w:cs="Times New Roman"/>
                <w:color w:val="000000" w:themeColor="text1"/>
                <w:spacing w:val="-6"/>
                <w:sz w:val="21"/>
                <w:szCs w:val="21"/>
                <w14:textFill>
                  <w14:solidFill>
                    <w14:schemeClr w14:val="tx1"/>
                  </w14:solidFill>
                </w14:textFill>
              </w:rPr>
              <w:t>00</w:t>
            </w:r>
          </w:p>
        </w:tc>
        <w:tc>
          <w:tcPr>
            <w:tcW w:w="1050" w:type="dxa"/>
            <w:vAlign w:val="center"/>
          </w:tcPr>
          <w:p w14:paraId="6CF688A4">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0.0</w:t>
            </w:r>
            <w:r>
              <w:rPr>
                <w:rFonts w:hint="eastAsia" w:ascii="Times New Roman" w:hAnsi="Times New Roman" w:cs="Times New Roman"/>
                <w:color w:val="000000" w:themeColor="text1"/>
                <w:spacing w:val="-6"/>
                <w:sz w:val="21"/>
                <w:szCs w:val="21"/>
                <w:lang w:val="en-US" w:eastAsia="zh-CN"/>
                <w14:textFill>
                  <w14:solidFill>
                    <w14:schemeClr w14:val="tx1"/>
                  </w14:solidFill>
                </w14:textFill>
              </w:rPr>
              <w:t>0</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4</w:t>
            </w:r>
          </w:p>
        </w:tc>
        <w:tc>
          <w:tcPr>
            <w:tcW w:w="1080" w:type="dxa"/>
            <w:vAlign w:val="center"/>
          </w:tcPr>
          <w:p w14:paraId="7281C8AB">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0.004</w:t>
            </w:r>
          </w:p>
        </w:tc>
        <w:tc>
          <w:tcPr>
            <w:tcW w:w="1076" w:type="dxa"/>
            <w:vAlign w:val="center"/>
          </w:tcPr>
          <w:p w14:paraId="25880D4A">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&lt;10</w:t>
            </w:r>
          </w:p>
        </w:tc>
        <w:tc>
          <w:tcPr>
            <w:tcW w:w="1043" w:type="dxa"/>
            <w:vMerge w:val="continue"/>
            <w:vAlign w:val="center"/>
          </w:tcPr>
          <w:p w14:paraId="7C95779A">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p>
        </w:tc>
        <w:tc>
          <w:tcPr>
            <w:tcW w:w="1068" w:type="dxa"/>
            <w:vAlign w:val="center"/>
          </w:tcPr>
          <w:p w14:paraId="0E134932">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0.0</w:t>
            </w:r>
            <w:r>
              <w:rPr>
                <w:rFonts w:hint="eastAsia" w:cs="Times New Roman"/>
                <w:color w:val="000000" w:themeColor="text1"/>
                <w:kern w:val="0"/>
                <w:sz w:val="21"/>
                <w:szCs w:val="21"/>
                <w:lang w:val="en-US" w:eastAsia="zh-CN" w:bidi="ar"/>
                <w14:textFill>
                  <w14:solidFill>
                    <w14:schemeClr w14:val="tx1"/>
                  </w14:solidFill>
                </w14:textFill>
              </w:rPr>
              <w:t>0</w:t>
            </w:r>
            <w:r>
              <w:rPr>
                <w:rFonts w:hint="default" w:ascii="Times New Roman" w:hAnsi="Times New Roman" w:eastAsia="宋体" w:cs="Times New Roman"/>
                <w:color w:val="000000" w:themeColor="text1"/>
                <w:kern w:val="0"/>
                <w:sz w:val="21"/>
                <w:szCs w:val="21"/>
                <w:lang w:bidi="ar"/>
                <w14:textFill>
                  <w14:solidFill>
                    <w14:schemeClr w14:val="tx1"/>
                  </w14:solidFill>
                </w14:textFill>
              </w:rPr>
              <w:t>4</w:t>
            </w:r>
          </w:p>
        </w:tc>
        <w:tc>
          <w:tcPr>
            <w:tcW w:w="1056" w:type="dxa"/>
            <w:vAlign w:val="center"/>
          </w:tcPr>
          <w:p w14:paraId="6AFF75B8">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0.004</w:t>
            </w:r>
          </w:p>
        </w:tc>
        <w:tc>
          <w:tcPr>
            <w:tcW w:w="1078" w:type="dxa"/>
            <w:vAlign w:val="center"/>
          </w:tcPr>
          <w:p w14:paraId="118F8C54">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&lt;10</w:t>
            </w:r>
          </w:p>
        </w:tc>
        <w:tc>
          <w:tcPr>
            <w:tcW w:w="1069" w:type="dxa"/>
            <w:vMerge w:val="continue"/>
            <w:vAlign w:val="center"/>
          </w:tcPr>
          <w:p w14:paraId="3A48CD82">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p>
        </w:tc>
        <w:tc>
          <w:tcPr>
            <w:tcW w:w="1049" w:type="dxa"/>
            <w:vAlign w:val="center"/>
          </w:tcPr>
          <w:p w14:paraId="4D469A1C">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0.0</w:t>
            </w:r>
            <w:r>
              <w:rPr>
                <w:rFonts w:hint="eastAsia" w:cs="Times New Roman"/>
                <w:color w:val="000000" w:themeColor="text1"/>
                <w:kern w:val="0"/>
                <w:sz w:val="21"/>
                <w:szCs w:val="21"/>
                <w:lang w:val="en-US" w:eastAsia="zh-CN" w:bidi="ar"/>
                <w14:textFill>
                  <w14:solidFill>
                    <w14:schemeClr w14:val="tx1"/>
                  </w14:solidFill>
                </w14:textFill>
              </w:rPr>
              <w:t>0</w:t>
            </w:r>
            <w:r>
              <w:rPr>
                <w:rFonts w:hint="default" w:ascii="Times New Roman" w:hAnsi="Times New Roman" w:eastAsia="宋体" w:cs="Times New Roman"/>
                <w:color w:val="000000" w:themeColor="text1"/>
                <w:kern w:val="0"/>
                <w:sz w:val="21"/>
                <w:szCs w:val="21"/>
                <w:lang w:bidi="ar"/>
                <w14:textFill>
                  <w14:solidFill>
                    <w14:schemeClr w14:val="tx1"/>
                  </w14:solidFill>
                </w14:textFill>
              </w:rPr>
              <w:t>4</w:t>
            </w:r>
          </w:p>
        </w:tc>
        <w:tc>
          <w:tcPr>
            <w:tcW w:w="1043" w:type="dxa"/>
            <w:vAlign w:val="center"/>
          </w:tcPr>
          <w:p w14:paraId="2CB88F71">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0.006</w:t>
            </w:r>
          </w:p>
        </w:tc>
        <w:tc>
          <w:tcPr>
            <w:tcW w:w="1043" w:type="dxa"/>
            <w:vAlign w:val="center"/>
          </w:tcPr>
          <w:p w14:paraId="6B133462">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&lt;10</w:t>
            </w:r>
          </w:p>
        </w:tc>
        <w:tc>
          <w:tcPr>
            <w:tcW w:w="1043" w:type="dxa"/>
            <w:vMerge w:val="continue"/>
            <w:vAlign w:val="center"/>
          </w:tcPr>
          <w:p w14:paraId="5D77CADF">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p>
        </w:tc>
      </w:tr>
      <w:tr w14:paraId="5FDF89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675" w:type="dxa"/>
            <w:vMerge w:val="restart"/>
            <w:vAlign w:val="center"/>
          </w:tcPr>
          <w:p w14:paraId="501256B1">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2023.08.18</w:t>
            </w:r>
          </w:p>
        </w:tc>
        <w:tc>
          <w:tcPr>
            <w:tcW w:w="1470" w:type="dxa"/>
            <w:vAlign w:val="center"/>
          </w:tcPr>
          <w:p w14:paraId="5FDAD0F3">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02</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w:t>
            </w:r>
            <w:r>
              <w:rPr>
                <w:rFonts w:hint="default" w:ascii="Times New Roman" w:hAnsi="Times New Roman" w:eastAsia="宋体" w:cs="Times New Roman"/>
                <w:color w:val="000000" w:themeColor="text1"/>
                <w:spacing w:val="-6"/>
                <w:sz w:val="21"/>
                <w:szCs w:val="21"/>
                <w14:textFill>
                  <w14:solidFill>
                    <w14:schemeClr w14:val="tx1"/>
                  </w14:solidFill>
                </w14:textFill>
              </w:rPr>
              <w:t>00-03</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w:t>
            </w:r>
            <w:r>
              <w:rPr>
                <w:rFonts w:hint="default" w:ascii="Times New Roman" w:hAnsi="Times New Roman" w:eastAsia="宋体" w:cs="Times New Roman"/>
                <w:color w:val="000000" w:themeColor="text1"/>
                <w:spacing w:val="-6"/>
                <w:sz w:val="21"/>
                <w:szCs w:val="21"/>
                <w14:textFill>
                  <w14:solidFill>
                    <w14:schemeClr w14:val="tx1"/>
                  </w14:solidFill>
                </w14:textFill>
              </w:rPr>
              <w:t>00</w:t>
            </w:r>
          </w:p>
        </w:tc>
        <w:tc>
          <w:tcPr>
            <w:tcW w:w="1050" w:type="dxa"/>
            <w:vAlign w:val="center"/>
          </w:tcPr>
          <w:p w14:paraId="54DA8B8B">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0.0</w:t>
            </w:r>
            <w:r>
              <w:rPr>
                <w:rFonts w:hint="eastAsia" w:ascii="Times New Roman" w:hAnsi="Times New Roman" w:cs="Times New Roman"/>
                <w:color w:val="000000" w:themeColor="text1"/>
                <w:spacing w:val="-6"/>
                <w:sz w:val="21"/>
                <w:szCs w:val="21"/>
                <w:lang w:val="en-US" w:eastAsia="zh-CN"/>
                <w14:textFill>
                  <w14:solidFill>
                    <w14:schemeClr w14:val="tx1"/>
                  </w14:solidFill>
                </w14:textFill>
              </w:rPr>
              <w:t>0</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2</w:t>
            </w:r>
          </w:p>
        </w:tc>
        <w:tc>
          <w:tcPr>
            <w:tcW w:w="1080" w:type="dxa"/>
            <w:vAlign w:val="center"/>
          </w:tcPr>
          <w:p w14:paraId="7BE4E371">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0.003</w:t>
            </w:r>
          </w:p>
        </w:tc>
        <w:tc>
          <w:tcPr>
            <w:tcW w:w="1076" w:type="dxa"/>
            <w:vAlign w:val="center"/>
          </w:tcPr>
          <w:p w14:paraId="5BF82AF9">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&lt;10</w:t>
            </w:r>
          </w:p>
        </w:tc>
        <w:tc>
          <w:tcPr>
            <w:tcW w:w="1043" w:type="dxa"/>
            <w:vMerge w:val="restart"/>
            <w:vAlign w:val="center"/>
          </w:tcPr>
          <w:p w14:paraId="37BFD300">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vertAlign w:val="superscript"/>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0.118</w:t>
            </w:r>
          </w:p>
        </w:tc>
        <w:tc>
          <w:tcPr>
            <w:tcW w:w="1068" w:type="dxa"/>
            <w:vAlign w:val="center"/>
          </w:tcPr>
          <w:p w14:paraId="6FFAF46E">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0.0</w:t>
            </w:r>
            <w:r>
              <w:rPr>
                <w:rFonts w:hint="eastAsia" w:cs="Times New Roman"/>
                <w:color w:val="000000" w:themeColor="text1"/>
                <w:kern w:val="0"/>
                <w:sz w:val="21"/>
                <w:szCs w:val="21"/>
                <w:lang w:val="en-US" w:eastAsia="zh-CN" w:bidi="ar"/>
                <w14:textFill>
                  <w14:solidFill>
                    <w14:schemeClr w14:val="tx1"/>
                  </w14:solidFill>
                </w14:textFill>
              </w:rPr>
              <w:t>0</w:t>
            </w:r>
            <w:r>
              <w:rPr>
                <w:rFonts w:hint="default" w:ascii="Times New Roman" w:hAnsi="Times New Roman" w:eastAsia="宋体" w:cs="Times New Roman"/>
                <w:color w:val="000000" w:themeColor="text1"/>
                <w:kern w:val="0"/>
                <w:sz w:val="21"/>
                <w:szCs w:val="21"/>
                <w:lang w:bidi="ar"/>
                <w14:textFill>
                  <w14:solidFill>
                    <w14:schemeClr w14:val="tx1"/>
                  </w14:solidFill>
                </w14:textFill>
              </w:rPr>
              <w:t>2</w:t>
            </w:r>
          </w:p>
        </w:tc>
        <w:tc>
          <w:tcPr>
            <w:tcW w:w="1056" w:type="dxa"/>
            <w:vAlign w:val="center"/>
          </w:tcPr>
          <w:p w14:paraId="17477534">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&lt;0.001</w:t>
            </w:r>
          </w:p>
        </w:tc>
        <w:tc>
          <w:tcPr>
            <w:tcW w:w="1078" w:type="dxa"/>
            <w:vAlign w:val="center"/>
          </w:tcPr>
          <w:p w14:paraId="125810DE">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&lt;10</w:t>
            </w:r>
          </w:p>
        </w:tc>
        <w:tc>
          <w:tcPr>
            <w:tcW w:w="1069" w:type="dxa"/>
            <w:vMerge w:val="restart"/>
            <w:vAlign w:val="center"/>
          </w:tcPr>
          <w:p w14:paraId="34B91006">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0.105</w:t>
            </w:r>
          </w:p>
        </w:tc>
        <w:tc>
          <w:tcPr>
            <w:tcW w:w="1049" w:type="dxa"/>
            <w:vAlign w:val="center"/>
          </w:tcPr>
          <w:p w14:paraId="489BA094">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0.0</w:t>
            </w:r>
            <w:r>
              <w:rPr>
                <w:rFonts w:hint="eastAsia" w:cs="Times New Roman"/>
                <w:color w:val="000000" w:themeColor="text1"/>
                <w:kern w:val="0"/>
                <w:sz w:val="21"/>
                <w:szCs w:val="21"/>
                <w:lang w:val="en-US" w:eastAsia="zh-CN" w:bidi="ar"/>
                <w14:textFill>
                  <w14:solidFill>
                    <w14:schemeClr w14:val="tx1"/>
                  </w14:solidFill>
                </w14:textFill>
              </w:rPr>
              <w:t>0</w:t>
            </w:r>
            <w:r>
              <w:rPr>
                <w:rFonts w:hint="default" w:ascii="Times New Roman" w:hAnsi="Times New Roman" w:eastAsia="宋体" w:cs="Times New Roman"/>
                <w:color w:val="000000" w:themeColor="text1"/>
                <w:kern w:val="0"/>
                <w:sz w:val="21"/>
                <w:szCs w:val="21"/>
                <w:lang w:bidi="ar"/>
                <w14:textFill>
                  <w14:solidFill>
                    <w14:schemeClr w14:val="tx1"/>
                  </w14:solidFill>
                </w14:textFill>
              </w:rPr>
              <w:t>2</w:t>
            </w:r>
          </w:p>
        </w:tc>
        <w:tc>
          <w:tcPr>
            <w:tcW w:w="1043" w:type="dxa"/>
            <w:vAlign w:val="center"/>
          </w:tcPr>
          <w:p w14:paraId="2AE495DB">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0.003</w:t>
            </w:r>
          </w:p>
        </w:tc>
        <w:tc>
          <w:tcPr>
            <w:tcW w:w="1043" w:type="dxa"/>
            <w:vAlign w:val="center"/>
          </w:tcPr>
          <w:p w14:paraId="213511E7">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&lt;10</w:t>
            </w:r>
          </w:p>
        </w:tc>
        <w:tc>
          <w:tcPr>
            <w:tcW w:w="1043" w:type="dxa"/>
            <w:vMerge w:val="restart"/>
            <w:vAlign w:val="center"/>
          </w:tcPr>
          <w:p w14:paraId="3A0F7B25">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0.109</w:t>
            </w:r>
          </w:p>
        </w:tc>
      </w:tr>
      <w:tr w14:paraId="751E71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675" w:type="dxa"/>
            <w:vMerge w:val="continue"/>
            <w:vAlign w:val="center"/>
          </w:tcPr>
          <w:p w14:paraId="11217776">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p>
        </w:tc>
        <w:tc>
          <w:tcPr>
            <w:tcW w:w="1470" w:type="dxa"/>
            <w:vAlign w:val="center"/>
          </w:tcPr>
          <w:p w14:paraId="0C097ACB">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08</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w:t>
            </w:r>
            <w:r>
              <w:rPr>
                <w:rFonts w:hint="default" w:ascii="Times New Roman" w:hAnsi="Times New Roman" w:eastAsia="宋体" w:cs="Times New Roman"/>
                <w:color w:val="000000" w:themeColor="text1"/>
                <w:spacing w:val="-6"/>
                <w:sz w:val="21"/>
                <w:szCs w:val="21"/>
                <w14:textFill>
                  <w14:solidFill>
                    <w14:schemeClr w14:val="tx1"/>
                  </w14:solidFill>
                </w14:textFill>
              </w:rPr>
              <w:t>00-09</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w:t>
            </w:r>
            <w:r>
              <w:rPr>
                <w:rFonts w:hint="default" w:ascii="Times New Roman" w:hAnsi="Times New Roman" w:eastAsia="宋体" w:cs="Times New Roman"/>
                <w:color w:val="000000" w:themeColor="text1"/>
                <w:spacing w:val="-6"/>
                <w:sz w:val="21"/>
                <w:szCs w:val="21"/>
                <w14:textFill>
                  <w14:solidFill>
                    <w14:schemeClr w14:val="tx1"/>
                  </w14:solidFill>
                </w14:textFill>
              </w:rPr>
              <w:t>00</w:t>
            </w:r>
          </w:p>
        </w:tc>
        <w:tc>
          <w:tcPr>
            <w:tcW w:w="1050" w:type="dxa"/>
            <w:vAlign w:val="center"/>
          </w:tcPr>
          <w:p w14:paraId="6A96AB85">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0.0</w:t>
            </w:r>
            <w:r>
              <w:rPr>
                <w:rFonts w:hint="eastAsia" w:ascii="Times New Roman" w:hAnsi="Times New Roman" w:cs="Times New Roman"/>
                <w:color w:val="000000" w:themeColor="text1"/>
                <w:spacing w:val="-6"/>
                <w:sz w:val="21"/>
                <w:szCs w:val="21"/>
                <w:lang w:val="en-US" w:eastAsia="zh-CN"/>
                <w14:textFill>
                  <w14:solidFill>
                    <w14:schemeClr w14:val="tx1"/>
                  </w14:solidFill>
                </w14:textFill>
              </w:rPr>
              <w:t>0</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3</w:t>
            </w:r>
          </w:p>
        </w:tc>
        <w:tc>
          <w:tcPr>
            <w:tcW w:w="1080" w:type="dxa"/>
            <w:vAlign w:val="center"/>
          </w:tcPr>
          <w:p w14:paraId="01870AD9">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0.006</w:t>
            </w:r>
          </w:p>
        </w:tc>
        <w:tc>
          <w:tcPr>
            <w:tcW w:w="1076" w:type="dxa"/>
            <w:vAlign w:val="center"/>
          </w:tcPr>
          <w:p w14:paraId="0810E875">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&lt;10</w:t>
            </w:r>
          </w:p>
        </w:tc>
        <w:tc>
          <w:tcPr>
            <w:tcW w:w="1043" w:type="dxa"/>
            <w:vMerge w:val="continue"/>
            <w:vAlign w:val="center"/>
          </w:tcPr>
          <w:p w14:paraId="0A57EFB7">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vertAlign w:val="superscript"/>
                <w14:textFill>
                  <w14:solidFill>
                    <w14:schemeClr w14:val="tx1"/>
                  </w14:solidFill>
                </w14:textFill>
              </w:rPr>
            </w:pPr>
          </w:p>
        </w:tc>
        <w:tc>
          <w:tcPr>
            <w:tcW w:w="1068" w:type="dxa"/>
            <w:vAlign w:val="center"/>
          </w:tcPr>
          <w:p w14:paraId="27F45DD5">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0.0</w:t>
            </w:r>
            <w:r>
              <w:rPr>
                <w:rFonts w:hint="eastAsia" w:cs="Times New Roman"/>
                <w:color w:val="000000" w:themeColor="text1"/>
                <w:kern w:val="0"/>
                <w:sz w:val="21"/>
                <w:szCs w:val="21"/>
                <w:lang w:val="en-US" w:eastAsia="zh-CN" w:bidi="ar"/>
                <w14:textFill>
                  <w14:solidFill>
                    <w14:schemeClr w14:val="tx1"/>
                  </w14:solidFill>
                </w14:textFill>
              </w:rPr>
              <w:t>0</w:t>
            </w:r>
            <w:r>
              <w:rPr>
                <w:rFonts w:hint="default" w:ascii="Times New Roman" w:hAnsi="Times New Roman" w:eastAsia="宋体" w:cs="Times New Roman"/>
                <w:color w:val="000000" w:themeColor="text1"/>
                <w:kern w:val="0"/>
                <w:sz w:val="21"/>
                <w:szCs w:val="21"/>
                <w:lang w:bidi="ar"/>
                <w14:textFill>
                  <w14:solidFill>
                    <w14:schemeClr w14:val="tx1"/>
                  </w14:solidFill>
                </w14:textFill>
              </w:rPr>
              <w:t>5</w:t>
            </w:r>
          </w:p>
        </w:tc>
        <w:tc>
          <w:tcPr>
            <w:tcW w:w="1056" w:type="dxa"/>
            <w:vAlign w:val="center"/>
          </w:tcPr>
          <w:p w14:paraId="4D653F25">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0.004</w:t>
            </w:r>
          </w:p>
        </w:tc>
        <w:tc>
          <w:tcPr>
            <w:tcW w:w="1078" w:type="dxa"/>
            <w:vAlign w:val="center"/>
          </w:tcPr>
          <w:p w14:paraId="574EBF29">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&lt;10</w:t>
            </w:r>
          </w:p>
        </w:tc>
        <w:tc>
          <w:tcPr>
            <w:tcW w:w="1069" w:type="dxa"/>
            <w:vMerge w:val="continue"/>
            <w:vAlign w:val="center"/>
          </w:tcPr>
          <w:p w14:paraId="055E469E">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p>
        </w:tc>
        <w:tc>
          <w:tcPr>
            <w:tcW w:w="1049" w:type="dxa"/>
            <w:vAlign w:val="center"/>
          </w:tcPr>
          <w:p w14:paraId="00CBCEC3">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0.0</w:t>
            </w:r>
            <w:r>
              <w:rPr>
                <w:rFonts w:hint="eastAsia" w:cs="Times New Roman"/>
                <w:color w:val="000000" w:themeColor="text1"/>
                <w:kern w:val="0"/>
                <w:sz w:val="21"/>
                <w:szCs w:val="21"/>
                <w:lang w:val="en-US" w:eastAsia="zh-CN" w:bidi="ar"/>
                <w14:textFill>
                  <w14:solidFill>
                    <w14:schemeClr w14:val="tx1"/>
                  </w14:solidFill>
                </w14:textFill>
              </w:rPr>
              <w:t>0</w:t>
            </w:r>
            <w:r>
              <w:rPr>
                <w:rFonts w:hint="default" w:ascii="Times New Roman" w:hAnsi="Times New Roman" w:eastAsia="宋体" w:cs="Times New Roman"/>
                <w:color w:val="000000" w:themeColor="text1"/>
                <w:kern w:val="0"/>
                <w:sz w:val="21"/>
                <w:szCs w:val="21"/>
                <w:lang w:bidi="ar"/>
                <w14:textFill>
                  <w14:solidFill>
                    <w14:schemeClr w14:val="tx1"/>
                  </w14:solidFill>
                </w14:textFill>
              </w:rPr>
              <w:t>5</w:t>
            </w:r>
          </w:p>
        </w:tc>
        <w:tc>
          <w:tcPr>
            <w:tcW w:w="1043" w:type="dxa"/>
            <w:vAlign w:val="center"/>
          </w:tcPr>
          <w:p w14:paraId="5495CFC9">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0.006</w:t>
            </w:r>
          </w:p>
        </w:tc>
        <w:tc>
          <w:tcPr>
            <w:tcW w:w="1043" w:type="dxa"/>
            <w:vAlign w:val="center"/>
          </w:tcPr>
          <w:p w14:paraId="080D45F4">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&lt;10</w:t>
            </w:r>
          </w:p>
        </w:tc>
        <w:tc>
          <w:tcPr>
            <w:tcW w:w="1043" w:type="dxa"/>
            <w:vMerge w:val="continue"/>
            <w:vAlign w:val="center"/>
          </w:tcPr>
          <w:p w14:paraId="112888EA">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p>
        </w:tc>
      </w:tr>
      <w:tr w14:paraId="6AF2C1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675" w:type="dxa"/>
            <w:vMerge w:val="continue"/>
            <w:vAlign w:val="center"/>
          </w:tcPr>
          <w:p w14:paraId="66204DC2">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p>
        </w:tc>
        <w:tc>
          <w:tcPr>
            <w:tcW w:w="1470" w:type="dxa"/>
            <w:vAlign w:val="center"/>
          </w:tcPr>
          <w:p w14:paraId="6FC3261A">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14</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w:t>
            </w:r>
            <w:r>
              <w:rPr>
                <w:rFonts w:hint="default" w:ascii="Times New Roman" w:hAnsi="Times New Roman" w:eastAsia="宋体" w:cs="Times New Roman"/>
                <w:color w:val="000000" w:themeColor="text1"/>
                <w:spacing w:val="-6"/>
                <w:sz w:val="21"/>
                <w:szCs w:val="21"/>
                <w14:textFill>
                  <w14:solidFill>
                    <w14:schemeClr w14:val="tx1"/>
                  </w14:solidFill>
                </w14:textFill>
              </w:rPr>
              <w:t>00-15</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w:t>
            </w:r>
            <w:r>
              <w:rPr>
                <w:rFonts w:hint="default" w:ascii="Times New Roman" w:hAnsi="Times New Roman" w:eastAsia="宋体" w:cs="Times New Roman"/>
                <w:color w:val="000000" w:themeColor="text1"/>
                <w:spacing w:val="-6"/>
                <w:sz w:val="21"/>
                <w:szCs w:val="21"/>
                <w14:textFill>
                  <w14:solidFill>
                    <w14:schemeClr w14:val="tx1"/>
                  </w14:solidFill>
                </w14:textFill>
              </w:rPr>
              <w:t>00</w:t>
            </w:r>
          </w:p>
        </w:tc>
        <w:tc>
          <w:tcPr>
            <w:tcW w:w="1050" w:type="dxa"/>
            <w:vAlign w:val="center"/>
          </w:tcPr>
          <w:p w14:paraId="31AD2D04">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0.0</w:t>
            </w:r>
            <w:r>
              <w:rPr>
                <w:rFonts w:hint="eastAsia" w:ascii="Times New Roman" w:hAnsi="Times New Roman" w:cs="Times New Roman"/>
                <w:color w:val="000000" w:themeColor="text1"/>
                <w:spacing w:val="-6"/>
                <w:sz w:val="21"/>
                <w:szCs w:val="21"/>
                <w:lang w:val="en-US" w:eastAsia="zh-CN"/>
                <w14:textFill>
                  <w14:solidFill>
                    <w14:schemeClr w14:val="tx1"/>
                  </w14:solidFill>
                </w14:textFill>
              </w:rPr>
              <w:t>0</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3</w:t>
            </w:r>
          </w:p>
        </w:tc>
        <w:tc>
          <w:tcPr>
            <w:tcW w:w="1080" w:type="dxa"/>
            <w:vAlign w:val="center"/>
          </w:tcPr>
          <w:p w14:paraId="0BD275B4">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0.008</w:t>
            </w:r>
          </w:p>
        </w:tc>
        <w:tc>
          <w:tcPr>
            <w:tcW w:w="1076" w:type="dxa"/>
            <w:vAlign w:val="center"/>
          </w:tcPr>
          <w:p w14:paraId="225A046D">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&lt;10</w:t>
            </w:r>
          </w:p>
        </w:tc>
        <w:tc>
          <w:tcPr>
            <w:tcW w:w="1043" w:type="dxa"/>
            <w:vMerge w:val="continue"/>
            <w:vAlign w:val="center"/>
          </w:tcPr>
          <w:p w14:paraId="0863EA7F">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p>
        </w:tc>
        <w:tc>
          <w:tcPr>
            <w:tcW w:w="1068" w:type="dxa"/>
            <w:vAlign w:val="center"/>
          </w:tcPr>
          <w:p w14:paraId="41F4DFF8">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0.0</w:t>
            </w:r>
            <w:r>
              <w:rPr>
                <w:rFonts w:hint="eastAsia" w:cs="Times New Roman"/>
                <w:color w:val="000000" w:themeColor="text1"/>
                <w:kern w:val="0"/>
                <w:sz w:val="21"/>
                <w:szCs w:val="21"/>
                <w:lang w:val="en-US" w:eastAsia="zh-CN" w:bidi="ar"/>
                <w14:textFill>
                  <w14:solidFill>
                    <w14:schemeClr w14:val="tx1"/>
                  </w14:solidFill>
                </w14:textFill>
              </w:rPr>
              <w:t>0</w:t>
            </w:r>
            <w:r>
              <w:rPr>
                <w:rFonts w:hint="default" w:ascii="Times New Roman" w:hAnsi="Times New Roman" w:eastAsia="宋体" w:cs="Times New Roman"/>
                <w:color w:val="000000" w:themeColor="text1"/>
                <w:kern w:val="0"/>
                <w:sz w:val="21"/>
                <w:szCs w:val="21"/>
                <w:lang w:bidi="ar"/>
                <w14:textFill>
                  <w14:solidFill>
                    <w14:schemeClr w14:val="tx1"/>
                  </w14:solidFill>
                </w14:textFill>
              </w:rPr>
              <w:t>5</w:t>
            </w:r>
          </w:p>
        </w:tc>
        <w:tc>
          <w:tcPr>
            <w:tcW w:w="1056" w:type="dxa"/>
            <w:vAlign w:val="center"/>
          </w:tcPr>
          <w:p w14:paraId="7AE6FDB6">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0.006</w:t>
            </w:r>
          </w:p>
        </w:tc>
        <w:tc>
          <w:tcPr>
            <w:tcW w:w="1078" w:type="dxa"/>
            <w:vAlign w:val="center"/>
          </w:tcPr>
          <w:p w14:paraId="6B813A75">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&lt;10</w:t>
            </w:r>
          </w:p>
        </w:tc>
        <w:tc>
          <w:tcPr>
            <w:tcW w:w="1069" w:type="dxa"/>
            <w:vMerge w:val="continue"/>
            <w:vAlign w:val="center"/>
          </w:tcPr>
          <w:p w14:paraId="7102A433">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p>
        </w:tc>
        <w:tc>
          <w:tcPr>
            <w:tcW w:w="1049" w:type="dxa"/>
            <w:vAlign w:val="center"/>
          </w:tcPr>
          <w:p w14:paraId="2F22BE56">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0.0</w:t>
            </w:r>
            <w:r>
              <w:rPr>
                <w:rFonts w:hint="eastAsia" w:cs="Times New Roman"/>
                <w:color w:val="000000" w:themeColor="text1"/>
                <w:kern w:val="0"/>
                <w:sz w:val="21"/>
                <w:szCs w:val="21"/>
                <w:lang w:val="en-US" w:eastAsia="zh-CN" w:bidi="ar"/>
                <w14:textFill>
                  <w14:solidFill>
                    <w14:schemeClr w14:val="tx1"/>
                  </w14:solidFill>
                </w14:textFill>
              </w:rPr>
              <w:t>0</w:t>
            </w:r>
            <w:r>
              <w:rPr>
                <w:rFonts w:hint="default" w:ascii="Times New Roman" w:hAnsi="Times New Roman" w:eastAsia="宋体" w:cs="Times New Roman"/>
                <w:color w:val="000000" w:themeColor="text1"/>
                <w:kern w:val="0"/>
                <w:sz w:val="21"/>
                <w:szCs w:val="21"/>
                <w:lang w:bidi="ar"/>
                <w14:textFill>
                  <w14:solidFill>
                    <w14:schemeClr w14:val="tx1"/>
                  </w14:solidFill>
                </w14:textFill>
              </w:rPr>
              <w:t>5</w:t>
            </w:r>
          </w:p>
        </w:tc>
        <w:tc>
          <w:tcPr>
            <w:tcW w:w="1043" w:type="dxa"/>
            <w:vAlign w:val="center"/>
          </w:tcPr>
          <w:p w14:paraId="146D8458">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0.008</w:t>
            </w:r>
          </w:p>
        </w:tc>
        <w:tc>
          <w:tcPr>
            <w:tcW w:w="1043" w:type="dxa"/>
            <w:vAlign w:val="center"/>
          </w:tcPr>
          <w:p w14:paraId="551EE6D9">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&lt;10</w:t>
            </w:r>
          </w:p>
        </w:tc>
        <w:tc>
          <w:tcPr>
            <w:tcW w:w="1043" w:type="dxa"/>
            <w:vMerge w:val="continue"/>
            <w:vAlign w:val="center"/>
          </w:tcPr>
          <w:p w14:paraId="5173CAF6">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p>
        </w:tc>
      </w:tr>
      <w:tr w14:paraId="763129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675" w:type="dxa"/>
            <w:vMerge w:val="continue"/>
            <w:vAlign w:val="center"/>
          </w:tcPr>
          <w:p w14:paraId="5E87A272">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p>
        </w:tc>
        <w:tc>
          <w:tcPr>
            <w:tcW w:w="1470" w:type="dxa"/>
            <w:vAlign w:val="center"/>
          </w:tcPr>
          <w:p w14:paraId="716BB359">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20</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w:t>
            </w:r>
            <w:r>
              <w:rPr>
                <w:rFonts w:hint="default" w:ascii="Times New Roman" w:hAnsi="Times New Roman" w:eastAsia="宋体" w:cs="Times New Roman"/>
                <w:color w:val="000000" w:themeColor="text1"/>
                <w:spacing w:val="-6"/>
                <w:sz w:val="21"/>
                <w:szCs w:val="21"/>
                <w14:textFill>
                  <w14:solidFill>
                    <w14:schemeClr w14:val="tx1"/>
                  </w14:solidFill>
                </w14:textFill>
              </w:rPr>
              <w:t>00-21</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w:t>
            </w:r>
            <w:r>
              <w:rPr>
                <w:rFonts w:hint="default" w:ascii="Times New Roman" w:hAnsi="Times New Roman" w:eastAsia="宋体" w:cs="Times New Roman"/>
                <w:color w:val="000000" w:themeColor="text1"/>
                <w:spacing w:val="-6"/>
                <w:sz w:val="21"/>
                <w:szCs w:val="21"/>
                <w14:textFill>
                  <w14:solidFill>
                    <w14:schemeClr w14:val="tx1"/>
                  </w14:solidFill>
                </w14:textFill>
              </w:rPr>
              <w:t>00</w:t>
            </w:r>
          </w:p>
        </w:tc>
        <w:tc>
          <w:tcPr>
            <w:tcW w:w="1050" w:type="dxa"/>
            <w:vAlign w:val="center"/>
          </w:tcPr>
          <w:p w14:paraId="49371B10">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0.0</w:t>
            </w:r>
            <w:r>
              <w:rPr>
                <w:rFonts w:hint="eastAsia" w:ascii="Times New Roman" w:hAnsi="Times New Roman" w:cs="Times New Roman"/>
                <w:color w:val="000000" w:themeColor="text1"/>
                <w:spacing w:val="-6"/>
                <w:sz w:val="21"/>
                <w:szCs w:val="21"/>
                <w:lang w:val="en-US" w:eastAsia="zh-CN"/>
                <w14:textFill>
                  <w14:solidFill>
                    <w14:schemeClr w14:val="tx1"/>
                  </w14:solidFill>
                </w14:textFill>
              </w:rPr>
              <w:t>0</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4</w:t>
            </w:r>
          </w:p>
        </w:tc>
        <w:tc>
          <w:tcPr>
            <w:tcW w:w="1080" w:type="dxa"/>
            <w:vAlign w:val="center"/>
          </w:tcPr>
          <w:p w14:paraId="14DF23B4">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0.008</w:t>
            </w:r>
          </w:p>
        </w:tc>
        <w:tc>
          <w:tcPr>
            <w:tcW w:w="1076" w:type="dxa"/>
            <w:vAlign w:val="center"/>
          </w:tcPr>
          <w:p w14:paraId="5A3BEF20">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&lt;10</w:t>
            </w:r>
          </w:p>
        </w:tc>
        <w:tc>
          <w:tcPr>
            <w:tcW w:w="1043" w:type="dxa"/>
            <w:vMerge w:val="continue"/>
            <w:vAlign w:val="center"/>
          </w:tcPr>
          <w:p w14:paraId="440B01E7">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p>
        </w:tc>
        <w:tc>
          <w:tcPr>
            <w:tcW w:w="1068" w:type="dxa"/>
            <w:vAlign w:val="center"/>
          </w:tcPr>
          <w:p w14:paraId="09C5BE25">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0.0</w:t>
            </w:r>
            <w:r>
              <w:rPr>
                <w:rFonts w:hint="eastAsia" w:cs="Times New Roman"/>
                <w:color w:val="000000" w:themeColor="text1"/>
                <w:kern w:val="0"/>
                <w:sz w:val="21"/>
                <w:szCs w:val="21"/>
                <w:lang w:val="en-US" w:eastAsia="zh-CN" w:bidi="ar"/>
                <w14:textFill>
                  <w14:solidFill>
                    <w14:schemeClr w14:val="tx1"/>
                  </w14:solidFill>
                </w14:textFill>
              </w:rPr>
              <w:t>0</w:t>
            </w:r>
            <w:r>
              <w:rPr>
                <w:rFonts w:hint="default" w:ascii="Times New Roman" w:hAnsi="Times New Roman" w:eastAsia="宋体" w:cs="Times New Roman"/>
                <w:color w:val="000000" w:themeColor="text1"/>
                <w:kern w:val="0"/>
                <w:sz w:val="21"/>
                <w:szCs w:val="21"/>
                <w:lang w:bidi="ar"/>
                <w14:textFill>
                  <w14:solidFill>
                    <w14:schemeClr w14:val="tx1"/>
                  </w14:solidFill>
                </w14:textFill>
              </w:rPr>
              <w:t>3</w:t>
            </w:r>
          </w:p>
        </w:tc>
        <w:tc>
          <w:tcPr>
            <w:tcW w:w="1056" w:type="dxa"/>
            <w:vAlign w:val="center"/>
          </w:tcPr>
          <w:p w14:paraId="1E0E2213">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0.005</w:t>
            </w:r>
          </w:p>
        </w:tc>
        <w:tc>
          <w:tcPr>
            <w:tcW w:w="1078" w:type="dxa"/>
            <w:vAlign w:val="center"/>
          </w:tcPr>
          <w:p w14:paraId="3981176C">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&lt;10</w:t>
            </w:r>
          </w:p>
        </w:tc>
        <w:tc>
          <w:tcPr>
            <w:tcW w:w="1069" w:type="dxa"/>
            <w:vMerge w:val="continue"/>
            <w:vAlign w:val="center"/>
          </w:tcPr>
          <w:p w14:paraId="68A2A72C">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p>
        </w:tc>
        <w:tc>
          <w:tcPr>
            <w:tcW w:w="1049" w:type="dxa"/>
            <w:vAlign w:val="center"/>
          </w:tcPr>
          <w:p w14:paraId="332E4DE6">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0.0</w:t>
            </w:r>
            <w:r>
              <w:rPr>
                <w:rFonts w:hint="eastAsia" w:cs="Times New Roman"/>
                <w:color w:val="000000" w:themeColor="text1"/>
                <w:kern w:val="0"/>
                <w:sz w:val="21"/>
                <w:szCs w:val="21"/>
                <w:lang w:val="en-US" w:eastAsia="zh-CN" w:bidi="ar"/>
                <w14:textFill>
                  <w14:solidFill>
                    <w14:schemeClr w14:val="tx1"/>
                  </w14:solidFill>
                </w14:textFill>
              </w:rPr>
              <w:t>0</w:t>
            </w:r>
            <w:r>
              <w:rPr>
                <w:rFonts w:hint="default" w:ascii="Times New Roman" w:hAnsi="Times New Roman" w:eastAsia="宋体" w:cs="Times New Roman"/>
                <w:color w:val="000000" w:themeColor="text1"/>
                <w:kern w:val="0"/>
                <w:sz w:val="21"/>
                <w:szCs w:val="21"/>
                <w:lang w:bidi="ar"/>
                <w14:textFill>
                  <w14:solidFill>
                    <w14:schemeClr w14:val="tx1"/>
                  </w14:solidFill>
                </w14:textFill>
              </w:rPr>
              <w:t>3</w:t>
            </w:r>
          </w:p>
        </w:tc>
        <w:tc>
          <w:tcPr>
            <w:tcW w:w="1043" w:type="dxa"/>
            <w:vAlign w:val="center"/>
          </w:tcPr>
          <w:p w14:paraId="4446AAD3">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0.007</w:t>
            </w:r>
          </w:p>
        </w:tc>
        <w:tc>
          <w:tcPr>
            <w:tcW w:w="1043" w:type="dxa"/>
            <w:vAlign w:val="center"/>
          </w:tcPr>
          <w:p w14:paraId="25AED841">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&lt;10</w:t>
            </w:r>
          </w:p>
        </w:tc>
        <w:tc>
          <w:tcPr>
            <w:tcW w:w="1043" w:type="dxa"/>
            <w:vMerge w:val="continue"/>
            <w:vAlign w:val="center"/>
          </w:tcPr>
          <w:p w14:paraId="6B90EFC7">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p>
        </w:tc>
      </w:tr>
      <w:tr w14:paraId="13B97C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675" w:type="dxa"/>
            <w:vMerge w:val="restart"/>
            <w:vAlign w:val="center"/>
          </w:tcPr>
          <w:p w14:paraId="5BF45E58">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2023.08.19</w:t>
            </w:r>
          </w:p>
        </w:tc>
        <w:tc>
          <w:tcPr>
            <w:tcW w:w="1470" w:type="dxa"/>
            <w:vAlign w:val="center"/>
          </w:tcPr>
          <w:p w14:paraId="47B3252E">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02</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w:t>
            </w:r>
            <w:r>
              <w:rPr>
                <w:rFonts w:hint="default" w:ascii="Times New Roman" w:hAnsi="Times New Roman" w:eastAsia="宋体" w:cs="Times New Roman"/>
                <w:color w:val="000000" w:themeColor="text1"/>
                <w:spacing w:val="-6"/>
                <w:sz w:val="21"/>
                <w:szCs w:val="21"/>
                <w14:textFill>
                  <w14:solidFill>
                    <w14:schemeClr w14:val="tx1"/>
                  </w14:solidFill>
                </w14:textFill>
              </w:rPr>
              <w:t>00-03</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w:t>
            </w:r>
            <w:r>
              <w:rPr>
                <w:rFonts w:hint="default" w:ascii="Times New Roman" w:hAnsi="Times New Roman" w:eastAsia="宋体" w:cs="Times New Roman"/>
                <w:color w:val="000000" w:themeColor="text1"/>
                <w:spacing w:val="-6"/>
                <w:sz w:val="21"/>
                <w:szCs w:val="21"/>
                <w14:textFill>
                  <w14:solidFill>
                    <w14:schemeClr w14:val="tx1"/>
                  </w14:solidFill>
                </w14:textFill>
              </w:rPr>
              <w:t>00</w:t>
            </w:r>
          </w:p>
        </w:tc>
        <w:tc>
          <w:tcPr>
            <w:tcW w:w="1050" w:type="dxa"/>
            <w:vAlign w:val="center"/>
          </w:tcPr>
          <w:p w14:paraId="7DBDAB3F">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0.0</w:t>
            </w:r>
            <w:r>
              <w:rPr>
                <w:rFonts w:hint="eastAsia" w:ascii="Times New Roman" w:hAnsi="Times New Roman" w:cs="Times New Roman"/>
                <w:color w:val="000000" w:themeColor="text1"/>
                <w:spacing w:val="-6"/>
                <w:sz w:val="21"/>
                <w:szCs w:val="21"/>
                <w:lang w:val="en-US" w:eastAsia="zh-CN"/>
                <w14:textFill>
                  <w14:solidFill>
                    <w14:schemeClr w14:val="tx1"/>
                  </w14:solidFill>
                </w14:textFill>
              </w:rPr>
              <w:t>0</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2</w:t>
            </w:r>
          </w:p>
        </w:tc>
        <w:tc>
          <w:tcPr>
            <w:tcW w:w="1080" w:type="dxa"/>
            <w:vAlign w:val="center"/>
          </w:tcPr>
          <w:p w14:paraId="2701B964">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0.003</w:t>
            </w:r>
          </w:p>
        </w:tc>
        <w:tc>
          <w:tcPr>
            <w:tcW w:w="1076" w:type="dxa"/>
            <w:vAlign w:val="center"/>
          </w:tcPr>
          <w:p w14:paraId="191FAA54">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&lt;10</w:t>
            </w:r>
          </w:p>
        </w:tc>
        <w:tc>
          <w:tcPr>
            <w:tcW w:w="1043" w:type="dxa"/>
            <w:vMerge w:val="restart"/>
            <w:vAlign w:val="center"/>
          </w:tcPr>
          <w:p w14:paraId="69605152">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0.121</w:t>
            </w:r>
          </w:p>
        </w:tc>
        <w:tc>
          <w:tcPr>
            <w:tcW w:w="1068" w:type="dxa"/>
            <w:vAlign w:val="center"/>
          </w:tcPr>
          <w:p w14:paraId="0B113151">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0.0</w:t>
            </w:r>
            <w:r>
              <w:rPr>
                <w:rFonts w:hint="eastAsia" w:cs="Times New Roman"/>
                <w:color w:val="000000" w:themeColor="text1"/>
                <w:kern w:val="0"/>
                <w:sz w:val="21"/>
                <w:szCs w:val="21"/>
                <w:lang w:val="en-US" w:eastAsia="zh-CN" w:bidi="ar"/>
                <w14:textFill>
                  <w14:solidFill>
                    <w14:schemeClr w14:val="tx1"/>
                  </w14:solidFill>
                </w14:textFill>
              </w:rPr>
              <w:t>0</w:t>
            </w:r>
            <w:r>
              <w:rPr>
                <w:rFonts w:hint="default" w:ascii="Times New Roman" w:hAnsi="Times New Roman" w:eastAsia="宋体" w:cs="Times New Roman"/>
                <w:color w:val="000000" w:themeColor="text1"/>
                <w:kern w:val="0"/>
                <w:sz w:val="21"/>
                <w:szCs w:val="21"/>
                <w:lang w:bidi="ar"/>
                <w14:textFill>
                  <w14:solidFill>
                    <w14:schemeClr w14:val="tx1"/>
                  </w14:solidFill>
                </w14:textFill>
              </w:rPr>
              <w:t>2</w:t>
            </w:r>
          </w:p>
        </w:tc>
        <w:tc>
          <w:tcPr>
            <w:tcW w:w="1056" w:type="dxa"/>
            <w:vAlign w:val="center"/>
          </w:tcPr>
          <w:p w14:paraId="29027B36">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0.002</w:t>
            </w:r>
          </w:p>
        </w:tc>
        <w:tc>
          <w:tcPr>
            <w:tcW w:w="1078" w:type="dxa"/>
            <w:vAlign w:val="center"/>
          </w:tcPr>
          <w:p w14:paraId="6F87F194">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&lt;10</w:t>
            </w:r>
          </w:p>
        </w:tc>
        <w:tc>
          <w:tcPr>
            <w:tcW w:w="1069" w:type="dxa"/>
            <w:vMerge w:val="restart"/>
            <w:vAlign w:val="center"/>
          </w:tcPr>
          <w:p w14:paraId="1DB927F7">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0.136</w:t>
            </w:r>
          </w:p>
        </w:tc>
        <w:tc>
          <w:tcPr>
            <w:tcW w:w="1049" w:type="dxa"/>
            <w:vAlign w:val="center"/>
          </w:tcPr>
          <w:p w14:paraId="3E4DC1EB">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0.0</w:t>
            </w:r>
            <w:r>
              <w:rPr>
                <w:rFonts w:hint="eastAsia" w:cs="Times New Roman"/>
                <w:color w:val="000000" w:themeColor="text1"/>
                <w:kern w:val="0"/>
                <w:sz w:val="21"/>
                <w:szCs w:val="21"/>
                <w:lang w:val="en-US" w:eastAsia="zh-CN" w:bidi="ar"/>
                <w14:textFill>
                  <w14:solidFill>
                    <w14:schemeClr w14:val="tx1"/>
                  </w14:solidFill>
                </w14:textFill>
              </w:rPr>
              <w:t>0</w:t>
            </w:r>
            <w:r>
              <w:rPr>
                <w:rFonts w:hint="default" w:ascii="Times New Roman" w:hAnsi="Times New Roman" w:eastAsia="宋体" w:cs="Times New Roman"/>
                <w:color w:val="000000" w:themeColor="text1"/>
                <w:kern w:val="0"/>
                <w:sz w:val="21"/>
                <w:szCs w:val="21"/>
                <w:lang w:bidi="ar"/>
                <w14:textFill>
                  <w14:solidFill>
                    <w14:schemeClr w14:val="tx1"/>
                  </w14:solidFill>
                </w14:textFill>
              </w:rPr>
              <w:t>2</w:t>
            </w:r>
          </w:p>
        </w:tc>
        <w:tc>
          <w:tcPr>
            <w:tcW w:w="1043" w:type="dxa"/>
            <w:vAlign w:val="center"/>
          </w:tcPr>
          <w:p w14:paraId="06BAF824">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0.002</w:t>
            </w:r>
          </w:p>
        </w:tc>
        <w:tc>
          <w:tcPr>
            <w:tcW w:w="1043" w:type="dxa"/>
            <w:vAlign w:val="center"/>
          </w:tcPr>
          <w:p w14:paraId="2FE73AAE">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&lt;10</w:t>
            </w:r>
          </w:p>
        </w:tc>
        <w:tc>
          <w:tcPr>
            <w:tcW w:w="1043" w:type="dxa"/>
            <w:vMerge w:val="restart"/>
            <w:vAlign w:val="center"/>
          </w:tcPr>
          <w:p w14:paraId="7B4564BA">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0.133</w:t>
            </w:r>
          </w:p>
        </w:tc>
      </w:tr>
      <w:tr w14:paraId="447699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675" w:type="dxa"/>
            <w:vMerge w:val="continue"/>
            <w:vAlign w:val="center"/>
          </w:tcPr>
          <w:p w14:paraId="6EE1F389">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p>
        </w:tc>
        <w:tc>
          <w:tcPr>
            <w:tcW w:w="1470" w:type="dxa"/>
            <w:vAlign w:val="center"/>
          </w:tcPr>
          <w:p w14:paraId="151A7955">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08</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w:t>
            </w:r>
            <w:r>
              <w:rPr>
                <w:rFonts w:hint="default" w:ascii="Times New Roman" w:hAnsi="Times New Roman" w:eastAsia="宋体" w:cs="Times New Roman"/>
                <w:color w:val="000000" w:themeColor="text1"/>
                <w:spacing w:val="-6"/>
                <w:sz w:val="21"/>
                <w:szCs w:val="21"/>
                <w14:textFill>
                  <w14:solidFill>
                    <w14:schemeClr w14:val="tx1"/>
                  </w14:solidFill>
                </w14:textFill>
              </w:rPr>
              <w:t>00-09</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w:t>
            </w:r>
            <w:r>
              <w:rPr>
                <w:rFonts w:hint="default" w:ascii="Times New Roman" w:hAnsi="Times New Roman" w:eastAsia="宋体" w:cs="Times New Roman"/>
                <w:color w:val="000000" w:themeColor="text1"/>
                <w:spacing w:val="-6"/>
                <w:sz w:val="21"/>
                <w:szCs w:val="21"/>
                <w14:textFill>
                  <w14:solidFill>
                    <w14:schemeClr w14:val="tx1"/>
                  </w14:solidFill>
                </w14:textFill>
              </w:rPr>
              <w:t>00</w:t>
            </w:r>
          </w:p>
        </w:tc>
        <w:tc>
          <w:tcPr>
            <w:tcW w:w="1050" w:type="dxa"/>
            <w:vAlign w:val="center"/>
          </w:tcPr>
          <w:p w14:paraId="5722E2F9">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0.0</w:t>
            </w:r>
            <w:r>
              <w:rPr>
                <w:rFonts w:hint="eastAsia" w:ascii="Times New Roman" w:hAnsi="Times New Roman" w:cs="Times New Roman"/>
                <w:color w:val="000000" w:themeColor="text1"/>
                <w:spacing w:val="-6"/>
                <w:sz w:val="21"/>
                <w:szCs w:val="21"/>
                <w:lang w:val="en-US" w:eastAsia="zh-CN"/>
                <w14:textFill>
                  <w14:solidFill>
                    <w14:schemeClr w14:val="tx1"/>
                  </w14:solidFill>
                </w14:textFill>
              </w:rPr>
              <w:t>0</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3</w:t>
            </w:r>
          </w:p>
        </w:tc>
        <w:tc>
          <w:tcPr>
            <w:tcW w:w="1080" w:type="dxa"/>
            <w:vAlign w:val="center"/>
          </w:tcPr>
          <w:p w14:paraId="09CFB581">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0.007</w:t>
            </w:r>
          </w:p>
        </w:tc>
        <w:tc>
          <w:tcPr>
            <w:tcW w:w="1076" w:type="dxa"/>
            <w:vAlign w:val="center"/>
          </w:tcPr>
          <w:p w14:paraId="71966664">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&lt;10</w:t>
            </w:r>
          </w:p>
        </w:tc>
        <w:tc>
          <w:tcPr>
            <w:tcW w:w="1043" w:type="dxa"/>
            <w:vMerge w:val="continue"/>
            <w:vAlign w:val="center"/>
          </w:tcPr>
          <w:p w14:paraId="753AE20D">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p>
        </w:tc>
        <w:tc>
          <w:tcPr>
            <w:tcW w:w="1068" w:type="dxa"/>
            <w:vAlign w:val="center"/>
          </w:tcPr>
          <w:p w14:paraId="167BA694">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0.0</w:t>
            </w:r>
            <w:r>
              <w:rPr>
                <w:rFonts w:hint="eastAsia" w:cs="Times New Roman"/>
                <w:color w:val="000000" w:themeColor="text1"/>
                <w:kern w:val="0"/>
                <w:sz w:val="21"/>
                <w:szCs w:val="21"/>
                <w:lang w:val="en-US" w:eastAsia="zh-CN" w:bidi="ar"/>
                <w14:textFill>
                  <w14:solidFill>
                    <w14:schemeClr w14:val="tx1"/>
                  </w14:solidFill>
                </w14:textFill>
              </w:rPr>
              <w:t>0</w:t>
            </w:r>
            <w:r>
              <w:rPr>
                <w:rFonts w:hint="default" w:ascii="Times New Roman" w:hAnsi="Times New Roman" w:eastAsia="宋体" w:cs="Times New Roman"/>
                <w:color w:val="000000" w:themeColor="text1"/>
                <w:kern w:val="0"/>
                <w:sz w:val="21"/>
                <w:szCs w:val="21"/>
                <w:lang w:bidi="ar"/>
                <w14:textFill>
                  <w14:solidFill>
                    <w14:schemeClr w14:val="tx1"/>
                  </w14:solidFill>
                </w14:textFill>
              </w:rPr>
              <w:t>5</w:t>
            </w:r>
          </w:p>
        </w:tc>
        <w:tc>
          <w:tcPr>
            <w:tcW w:w="1056" w:type="dxa"/>
            <w:vAlign w:val="center"/>
          </w:tcPr>
          <w:p w14:paraId="673F3ECC">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0.005</w:t>
            </w:r>
          </w:p>
        </w:tc>
        <w:tc>
          <w:tcPr>
            <w:tcW w:w="1078" w:type="dxa"/>
            <w:vAlign w:val="center"/>
          </w:tcPr>
          <w:p w14:paraId="05BB7CD4">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&lt;10</w:t>
            </w:r>
          </w:p>
        </w:tc>
        <w:tc>
          <w:tcPr>
            <w:tcW w:w="1069" w:type="dxa"/>
            <w:vMerge w:val="continue"/>
            <w:vAlign w:val="center"/>
          </w:tcPr>
          <w:p w14:paraId="21A0430A">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p>
        </w:tc>
        <w:tc>
          <w:tcPr>
            <w:tcW w:w="1049" w:type="dxa"/>
            <w:vAlign w:val="center"/>
          </w:tcPr>
          <w:p w14:paraId="74F4CBD0">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0.0</w:t>
            </w:r>
            <w:r>
              <w:rPr>
                <w:rFonts w:hint="eastAsia" w:cs="Times New Roman"/>
                <w:color w:val="000000" w:themeColor="text1"/>
                <w:kern w:val="0"/>
                <w:sz w:val="21"/>
                <w:szCs w:val="21"/>
                <w:lang w:val="en-US" w:eastAsia="zh-CN" w:bidi="ar"/>
                <w14:textFill>
                  <w14:solidFill>
                    <w14:schemeClr w14:val="tx1"/>
                  </w14:solidFill>
                </w14:textFill>
              </w:rPr>
              <w:t>0</w:t>
            </w:r>
            <w:r>
              <w:rPr>
                <w:rFonts w:hint="default" w:ascii="Times New Roman" w:hAnsi="Times New Roman" w:eastAsia="宋体" w:cs="Times New Roman"/>
                <w:color w:val="000000" w:themeColor="text1"/>
                <w:kern w:val="0"/>
                <w:sz w:val="21"/>
                <w:szCs w:val="21"/>
                <w:lang w:bidi="ar"/>
                <w14:textFill>
                  <w14:solidFill>
                    <w14:schemeClr w14:val="tx1"/>
                  </w14:solidFill>
                </w14:textFill>
              </w:rPr>
              <w:t>4</w:t>
            </w:r>
          </w:p>
        </w:tc>
        <w:tc>
          <w:tcPr>
            <w:tcW w:w="1043" w:type="dxa"/>
            <w:vAlign w:val="center"/>
          </w:tcPr>
          <w:p w14:paraId="35F7E9C1">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0.005</w:t>
            </w:r>
          </w:p>
        </w:tc>
        <w:tc>
          <w:tcPr>
            <w:tcW w:w="1043" w:type="dxa"/>
            <w:vAlign w:val="center"/>
          </w:tcPr>
          <w:p w14:paraId="269B7206">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&lt;10</w:t>
            </w:r>
          </w:p>
        </w:tc>
        <w:tc>
          <w:tcPr>
            <w:tcW w:w="1043" w:type="dxa"/>
            <w:vMerge w:val="continue"/>
            <w:vAlign w:val="center"/>
          </w:tcPr>
          <w:p w14:paraId="6F33E6AE">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p>
        </w:tc>
      </w:tr>
      <w:tr w14:paraId="70DA2B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675" w:type="dxa"/>
            <w:vMerge w:val="continue"/>
            <w:vAlign w:val="center"/>
          </w:tcPr>
          <w:p w14:paraId="24DB5BFD">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p>
        </w:tc>
        <w:tc>
          <w:tcPr>
            <w:tcW w:w="1470" w:type="dxa"/>
            <w:vAlign w:val="center"/>
          </w:tcPr>
          <w:p w14:paraId="6F9CB3B4">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14</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w:t>
            </w:r>
            <w:r>
              <w:rPr>
                <w:rFonts w:hint="default" w:ascii="Times New Roman" w:hAnsi="Times New Roman" w:eastAsia="宋体" w:cs="Times New Roman"/>
                <w:color w:val="000000" w:themeColor="text1"/>
                <w:spacing w:val="-6"/>
                <w:sz w:val="21"/>
                <w:szCs w:val="21"/>
                <w14:textFill>
                  <w14:solidFill>
                    <w14:schemeClr w14:val="tx1"/>
                  </w14:solidFill>
                </w14:textFill>
              </w:rPr>
              <w:t>00-15</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w:t>
            </w:r>
            <w:r>
              <w:rPr>
                <w:rFonts w:hint="default" w:ascii="Times New Roman" w:hAnsi="Times New Roman" w:eastAsia="宋体" w:cs="Times New Roman"/>
                <w:color w:val="000000" w:themeColor="text1"/>
                <w:spacing w:val="-6"/>
                <w:sz w:val="21"/>
                <w:szCs w:val="21"/>
                <w14:textFill>
                  <w14:solidFill>
                    <w14:schemeClr w14:val="tx1"/>
                  </w14:solidFill>
                </w14:textFill>
              </w:rPr>
              <w:t>00</w:t>
            </w:r>
          </w:p>
        </w:tc>
        <w:tc>
          <w:tcPr>
            <w:tcW w:w="1050" w:type="dxa"/>
            <w:vAlign w:val="center"/>
          </w:tcPr>
          <w:p w14:paraId="0ECFB325">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0.0</w:t>
            </w:r>
            <w:r>
              <w:rPr>
                <w:rFonts w:hint="eastAsia" w:ascii="Times New Roman" w:hAnsi="Times New Roman" w:cs="Times New Roman"/>
                <w:color w:val="000000" w:themeColor="text1"/>
                <w:spacing w:val="-6"/>
                <w:sz w:val="21"/>
                <w:szCs w:val="21"/>
                <w:lang w:val="en-US" w:eastAsia="zh-CN"/>
                <w14:textFill>
                  <w14:solidFill>
                    <w14:schemeClr w14:val="tx1"/>
                  </w14:solidFill>
                </w14:textFill>
              </w:rPr>
              <w:t>0</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4</w:t>
            </w:r>
          </w:p>
        </w:tc>
        <w:tc>
          <w:tcPr>
            <w:tcW w:w="1080" w:type="dxa"/>
            <w:vAlign w:val="center"/>
          </w:tcPr>
          <w:p w14:paraId="0268789F">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0.005</w:t>
            </w:r>
          </w:p>
        </w:tc>
        <w:tc>
          <w:tcPr>
            <w:tcW w:w="1076" w:type="dxa"/>
            <w:vAlign w:val="center"/>
          </w:tcPr>
          <w:p w14:paraId="39450781">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&lt;10</w:t>
            </w:r>
          </w:p>
        </w:tc>
        <w:tc>
          <w:tcPr>
            <w:tcW w:w="1043" w:type="dxa"/>
            <w:vMerge w:val="continue"/>
            <w:vAlign w:val="center"/>
          </w:tcPr>
          <w:p w14:paraId="7EC872DD">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p>
        </w:tc>
        <w:tc>
          <w:tcPr>
            <w:tcW w:w="1068" w:type="dxa"/>
            <w:vAlign w:val="center"/>
          </w:tcPr>
          <w:p w14:paraId="646916FF">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0.0</w:t>
            </w:r>
            <w:r>
              <w:rPr>
                <w:rFonts w:hint="eastAsia" w:cs="Times New Roman"/>
                <w:color w:val="000000" w:themeColor="text1"/>
                <w:kern w:val="0"/>
                <w:sz w:val="21"/>
                <w:szCs w:val="21"/>
                <w:lang w:val="en-US" w:eastAsia="zh-CN" w:bidi="ar"/>
                <w14:textFill>
                  <w14:solidFill>
                    <w14:schemeClr w14:val="tx1"/>
                  </w14:solidFill>
                </w14:textFill>
              </w:rPr>
              <w:t>0</w:t>
            </w:r>
            <w:r>
              <w:rPr>
                <w:rFonts w:hint="default" w:ascii="Times New Roman" w:hAnsi="Times New Roman" w:eastAsia="宋体" w:cs="Times New Roman"/>
                <w:color w:val="000000" w:themeColor="text1"/>
                <w:kern w:val="0"/>
                <w:sz w:val="21"/>
                <w:szCs w:val="21"/>
                <w:lang w:bidi="ar"/>
                <w14:textFill>
                  <w14:solidFill>
                    <w14:schemeClr w14:val="tx1"/>
                  </w14:solidFill>
                </w14:textFill>
              </w:rPr>
              <w:t>5</w:t>
            </w:r>
          </w:p>
        </w:tc>
        <w:tc>
          <w:tcPr>
            <w:tcW w:w="1056" w:type="dxa"/>
            <w:vAlign w:val="center"/>
          </w:tcPr>
          <w:p w14:paraId="44558168">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0.007</w:t>
            </w:r>
          </w:p>
        </w:tc>
        <w:tc>
          <w:tcPr>
            <w:tcW w:w="1078" w:type="dxa"/>
            <w:vAlign w:val="center"/>
          </w:tcPr>
          <w:p w14:paraId="281586AA">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&lt;10</w:t>
            </w:r>
          </w:p>
        </w:tc>
        <w:tc>
          <w:tcPr>
            <w:tcW w:w="1069" w:type="dxa"/>
            <w:vMerge w:val="continue"/>
            <w:vAlign w:val="center"/>
          </w:tcPr>
          <w:p w14:paraId="6F8E8C41">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p>
        </w:tc>
        <w:tc>
          <w:tcPr>
            <w:tcW w:w="1049" w:type="dxa"/>
            <w:vAlign w:val="center"/>
          </w:tcPr>
          <w:p w14:paraId="59AAE9A7">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eastAsia" w:ascii="Times New Roman" w:hAnsi="Times New Roman" w:eastAsia="宋体" w:cs="Times New Roman"/>
                <w:color w:val="000000" w:themeColor="text1"/>
                <w:szCs w:val="21"/>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0.0</w:t>
            </w:r>
            <w:r>
              <w:rPr>
                <w:rFonts w:hint="eastAsia" w:cs="Times New Roman"/>
                <w:color w:val="000000" w:themeColor="text1"/>
                <w:kern w:val="0"/>
                <w:sz w:val="21"/>
                <w:szCs w:val="21"/>
                <w:lang w:val="en-US" w:eastAsia="zh-CN" w:bidi="ar"/>
                <w14:textFill>
                  <w14:solidFill>
                    <w14:schemeClr w14:val="tx1"/>
                  </w14:solidFill>
                </w14:textFill>
              </w:rPr>
              <w:t>0</w:t>
            </w:r>
            <w:r>
              <w:rPr>
                <w:rFonts w:hint="default" w:ascii="Times New Roman" w:hAnsi="Times New Roman" w:eastAsia="宋体" w:cs="Times New Roman"/>
                <w:color w:val="000000" w:themeColor="text1"/>
                <w:kern w:val="0"/>
                <w:sz w:val="21"/>
                <w:szCs w:val="21"/>
                <w:lang w:bidi="ar"/>
                <w14:textFill>
                  <w14:solidFill>
                    <w14:schemeClr w14:val="tx1"/>
                  </w14:solidFill>
                </w14:textFill>
              </w:rPr>
              <w:t>5</w:t>
            </w:r>
          </w:p>
        </w:tc>
        <w:tc>
          <w:tcPr>
            <w:tcW w:w="1043" w:type="dxa"/>
            <w:vAlign w:val="center"/>
          </w:tcPr>
          <w:p w14:paraId="11CA65FC">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0.004</w:t>
            </w:r>
          </w:p>
        </w:tc>
        <w:tc>
          <w:tcPr>
            <w:tcW w:w="1043" w:type="dxa"/>
            <w:vAlign w:val="center"/>
          </w:tcPr>
          <w:p w14:paraId="5BAD7015">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&lt;10</w:t>
            </w:r>
          </w:p>
        </w:tc>
        <w:tc>
          <w:tcPr>
            <w:tcW w:w="1043" w:type="dxa"/>
            <w:vMerge w:val="continue"/>
            <w:vAlign w:val="center"/>
          </w:tcPr>
          <w:p w14:paraId="5BC28CEA">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p>
        </w:tc>
      </w:tr>
      <w:tr w14:paraId="0B2E0C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675" w:type="dxa"/>
            <w:vMerge w:val="continue"/>
            <w:vAlign w:val="center"/>
          </w:tcPr>
          <w:p w14:paraId="7BDCA193">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p>
        </w:tc>
        <w:tc>
          <w:tcPr>
            <w:tcW w:w="1470" w:type="dxa"/>
            <w:vAlign w:val="center"/>
          </w:tcPr>
          <w:p w14:paraId="10645108">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20</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w:t>
            </w:r>
            <w:r>
              <w:rPr>
                <w:rFonts w:hint="default" w:ascii="Times New Roman" w:hAnsi="Times New Roman" w:eastAsia="宋体" w:cs="Times New Roman"/>
                <w:color w:val="000000" w:themeColor="text1"/>
                <w:spacing w:val="-6"/>
                <w:sz w:val="21"/>
                <w:szCs w:val="21"/>
                <w14:textFill>
                  <w14:solidFill>
                    <w14:schemeClr w14:val="tx1"/>
                  </w14:solidFill>
                </w14:textFill>
              </w:rPr>
              <w:t>00-21</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w:t>
            </w:r>
            <w:r>
              <w:rPr>
                <w:rFonts w:hint="default" w:ascii="Times New Roman" w:hAnsi="Times New Roman" w:eastAsia="宋体" w:cs="Times New Roman"/>
                <w:color w:val="000000" w:themeColor="text1"/>
                <w:spacing w:val="-6"/>
                <w:sz w:val="21"/>
                <w:szCs w:val="21"/>
                <w14:textFill>
                  <w14:solidFill>
                    <w14:schemeClr w14:val="tx1"/>
                  </w14:solidFill>
                </w14:textFill>
              </w:rPr>
              <w:t>00</w:t>
            </w:r>
          </w:p>
        </w:tc>
        <w:tc>
          <w:tcPr>
            <w:tcW w:w="1050" w:type="dxa"/>
            <w:vAlign w:val="center"/>
          </w:tcPr>
          <w:p w14:paraId="5DE5D717">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0.0</w:t>
            </w:r>
            <w:r>
              <w:rPr>
                <w:rFonts w:hint="eastAsia" w:ascii="Times New Roman" w:hAnsi="Times New Roman" w:cs="Times New Roman"/>
                <w:color w:val="000000" w:themeColor="text1"/>
                <w:spacing w:val="-6"/>
                <w:sz w:val="21"/>
                <w:szCs w:val="21"/>
                <w:lang w:val="en-US" w:eastAsia="zh-CN"/>
                <w14:textFill>
                  <w14:solidFill>
                    <w14:schemeClr w14:val="tx1"/>
                  </w14:solidFill>
                </w14:textFill>
              </w:rPr>
              <w:t>0</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3</w:t>
            </w:r>
          </w:p>
        </w:tc>
        <w:tc>
          <w:tcPr>
            <w:tcW w:w="1080" w:type="dxa"/>
            <w:vAlign w:val="center"/>
          </w:tcPr>
          <w:p w14:paraId="08C5EC6B">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0.006</w:t>
            </w:r>
          </w:p>
        </w:tc>
        <w:tc>
          <w:tcPr>
            <w:tcW w:w="1076" w:type="dxa"/>
            <w:vAlign w:val="center"/>
          </w:tcPr>
          <w:p w14:paraId="7B018F81">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&lt;10</w:t>
            </w:r>
          </w:p>
        </w:tc>
        <w:tc>
          <w:tcPr>
            <w:tcW w:w="1043" w:type="dxa"/>
            <w:vMerge w:val="continue"/>
            <w:vAlign w:val="center"/>
          </w:tcPr>
          <w:p w14:paraId="56177D4E">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p>
        </w:tc>
        <w:tc>
          <w:tcPr>
            <w:tcW w:w="1068" w:type="dxa"/>
            <w:vAlign w:val="center"/>
          </w:tcPr>
          <w:p w14:paraId="33A8C9D5">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0.0</w:t>
            </w:r>
            <w:r>
              <w:rPr>
                <w:rFonts w:hint="eastAsia" w:cs="Times New Roman"/>
                <w:color w:val="000000" w:themeColor="text1"/>
                <w:kern w:val="0"/>
                <w:sz w:val="21"/>
                <w:szCs w:val="21"/>
                <w:lang w:val="en-US" w:eastAsia="zh-CN" w:bidi="ar"/>
                <w14:textFill>
                  <w14:solidFill>
                    <w14:schemeClr w14:val="tx1"/>
                  </w14:solidFill>
                </w14:textFill>
              </w:rPr>
              <w:t>0</w:t>
            </w:r>
            <w:r>
              <w:rPr>
                <w:rFonts w:hint="default" w:ascii="Times New Roman" w:hAnsi="Times New Roman" w:eastAsia="宋体" w:cs="Times New Roman"/>
                <w:color w:val="000000" w:themeColor="text1"/>
                <w:kern w:val="0"/>
                <w:sz w:val="21"/>
                <w:szCs w:val="21"/>
                <w:lang w:bidi="ar"/>
                <w14:textFill>
                  <w14:solidFill>
                    <w14:schemeClr w14:val="tx1"/>
                  </w14:solidFill>
                </w14:textFill>
              </w:rPr>
              <w:t>4</w:t>
            </w:r>
          </w:p>
        </w:tc>
        <w:tc>
          <w:tcPr>
            <w:tcW w:w="1056" w:type="dxa"/>
            <w:vAlign w:val="center"/>
          </w:tcPr>
          <w:p w14:paraId="1186BD5C">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0.006</w:t>
            </w:r>
          </w:p>
        </w:tc>
        <w:tc>
          <w:tcPr>
            <w:tcW w:w="1078" w:type="dxa"/>
            <w:vAlign w:val="center"/>
          </w:tcPr>
          <w:p w14:paraId="2A6A97C8">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&lt;10</w:t>
            </w:r>
          </w:p>
        </w:tc>
        <w:tc>
          <w:tcPr>
            <w:tcW w:w="1069" w:type="dxa"/>
            <w:vMerge w:val="continue"/>
            <w:vAlign w:val="center"/>
          </w:tcPr>
          <w:p w14:paraId="49844BEF">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p>
        </w:tc>
        <w:tc>
          <w:tcPr>
            <w:tcW w:w="1049" w:type="dxa"/>
            <w:vAlign w:val="center"/>
          </w:tcPr>
          <w:p w14:paraId="516A0ABF">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0.0</w:t>
            </w:r>
            <w:r>
              <w:rPr>
                <w:rFonts w:hint="eastAsia" w:cs="Times New Roman"/>
                <w:color w:val="000000" w:themeColor="text1"/>
                <w:kern w:val="0"/>
                <w:sz w:val="21"/>
                <w:szCs w:val="21"/>
                <w:lang w:val="en-US" w:eastAsia="zh-CN" w:bidi="ar"/>
                <w14:textFill>
                  <w14:solidFill>
                    <w14:schemeClr w14:val="tx1"/>
                  </w14:solidFill>
                </w14:textFill>
              </w:rPr>
              <w:t>0</w:t>
            </w:r>
            <w:r>
              <w:rPr>
                <w:rFonts w:hint="default" w:ascii="Times New Roman" w:hAnsi="Times New Roman" w:eastAsia="宋体" w:cs="Times New Roman"/>
                <w:color w:val="000000" w:themeColor="text1"/>
                <w:kern w:val="0"/>
                <w:sz w:val="21"/>
                <w:szCs w:val="21"/>
                <w:lang w:bidi="ar"/>
                <w14:textFill>
                  <w14:solidFill>
                    <w14:schemeClr w14:val="tx1"/>
                  </w14:solidFill>
                </w14:textFill>
              </w:rPr>
              <w:t>4</w:t>
            </w:r>
          </w:p>
        </w:tc>
        <w:tc>
          <w:tcPr>
            <w:tcW w:w="1043" w:type="dxa"/>
            <w:vAlign w:val="center"/>
          </w:tcPr>
          <w:p w14:paraId="61985B16">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0.006</w:t>
            </w:r>
          </w:p>
        </w:tc>
        <w:tc>
          <w:tcPr>
            <w:tcW w:w="1043" w:type="dxa"/>
            <w:vAlign w:val="center"/>
          </w:tcPr>
          <w:p w14:paraId="5C714E2C">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&lt;10</w:t>
            </w:r>
          </w:p>
        </w:tc>
        <w:tc>
          <w:tcPr>
            <w:tcW w:w="1043" w:type="dxa"/>
            <w:vMerge w:val="continue"/>
            <w:vAlign w:val="center"/>
          </w:tcPr>
          <w:p w14:paraId="3F98ABD6">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p>
        </w:tc>
      </w:tr>
      <w:tr w14:paraId="27A0F8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2145" w:type="dxa"/>
            <w:gridSpan w:val="2"/>
            <w:vAlign w:val="center"/>
          </w:tcPr>
          <w:p w14:paraId="49E4C218">
            <w:pPr>
              <w:keepNext w:val="0"/>
              <w:keepLines w:val="0"/>
              <w:pageBreakBefore w:val="0"/>
              <w:kinsoku/>
              <w:wordWrap/>
              <w:overflowPunct/>
              <w:topLinePunct w:val="0"/>
              <w:autoSpaceDE/>
              <w:autoSpaceDN/>
              <w:bidi w:val="0"/>
              <w:adjustRightInd w:val="0"/>
              <w:snapToGrid w:val="0"/>
              <w:spacing w:line="240" w:lineRule="auto"/>
              <w:ind w:firstLine="0" w:firstLineChars="0"/>
              <w:jc w:val="center"/>
              <w:outlineLvl w:val="9"/>
              <w:rPr>
                <w:rFonts w:hint="default" w:ascii="Times New Roman" w:hAnsi="Times New Roman" w:eastAsia="宋体" w:cs="Times New Roman"/>
                <w:b/>
                <w:color w:val="000000" w:themeColor="text1"/>
                <w:sz w:val="21"/>
                <w:szCs w:val="21"/>
                <w14:textFill>
                  <w14:solidFill>
                    <w14:schemeClr w14:val="tx1"/>
                  </w14:solidFill>
                </w14:textFill>
              </w:rPr>
            </w:pPr>
            <w:r>
              <w:rPr>
                <w:rFonts w:hint="default" w:ascii="Times New Roman" w:hAnsi="Times New Roman" w:eastAsia="宋体" w:cs="Times New Roman"/>
                <w:b/>
                <w:color w:val="000000" w:themeColor="text1"/>
                <w:sz w:val="21"/>
                <w:szCs w:val="21"/>
                <w14:textFill>
                  <w14:solidFill>
                    <w14:schemeClr w14:val="tx1"/>
                  </w14:solidFill>
                </w14:textFill>
              </w:rPr>
              <w:t>标准限值（mg/m</w:t>
            </w:r>
            <w:r>
              <w:rPr>
                <w:rFonts w:hint="default" w:ascii="Times New Roman" w:hAnsi="Times New Roman" w:eastAsia="宋体" w:cs="Times New Roman"/>
                <w:b/>
                <w:color w:val="000000" w:themeColor="text1"/>
                <w:sz w:val="21"/>
                <w:szCs w:val="21"/>
                <w:vertAlign w:val="superscript"/>
                <w14:textFill>
                  <w14:solidFill>
                    <w14:schemeClr w14:val="tx1"/>
                  </w14:solidFill>
                </w14:textFill>
              </w:rPr>
              <w:t>3</w:t>
            </w:r>
            <w:r>
              <w:rPr>
                <w:rFonts w:hint="default" w:ascii="Times New Roman" w:hAnsi="Times New Roman" w:eastAsia="宋体" w:cs="Times New Roman"/>
                <w:b/>
                <w:color w:val="000000" w:themeColor="text1"/>
                <w:sz w:val="21"/>
                <w:szCs w:val="21"/>
                <w14:textFill>
                  <w14:solidFill>
                    <w14:schemeClr w14:val="tx1"/>
                  </w14:solidFill>
                </w14:textFill>
              </w:rPr>
              <w:t>）</w:t>
            </w:r>
          </w:p>
        </w:tc>
        <w:tc>
          <w:tcPr>
            <w:tcW w:w="1050" w:type="dxa"/>
            <w:vAlign w:val="center"/>
          </w:tcPr>
          <w:p w14:paraId="6A3D5D0B">
            <w:pPr>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0.01</w:t>
            </w:r>
          </w:p>
        </w:tc>
        <w:tc>
          <w:tcPr>
            <w:tcW w:w="1080" w:type="dxa"/>
            <w:vAlign w:val="center"/>
          </w:tcPr>
          <w:p w14:paraId="1DE85314">
            <w:pPr>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0.2</w:t>
            </w:r>
          </w:p>
        </w:tc>
        <w:tc>
          <w:tcPr>
            <w:tcW w:w="1076" w:type="dxa"/>
            <w:vAlign w:val="center"/>
          </w:tcPr>
          <w:p w14:paraId="2A70F9A4">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w:t>
            </w:r>
          </w:p>
        </w:tc>
        <w:tc>
          <w:tcPr>
            <w:tcW w:w="1043" w:type="dxa"/>
            <w:vAlign w:val="center"/>
          </w:tcPr>
          <w:p w14:paraId="2F14BB00">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0.3</w:t>
            </w:r>
          </w:p>
        </w:tc>
        <w:tc>
          <w:tcPr>
            <w:tcW w:w="1068" w:type="dxa"/>
            <w:vAlign w:val="center"/>
          </w:tcPr>
          <w:p w14:paraId="64245736">
            <w:pPr>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0.01</w:t>
            </w:r>
          </w:p>
        </w:tc>
        <w:tc>
          <w:tcPr>
            <w:tcW w:w="1056" w:type="dxa"/>
            <w:vAlign w:val="center"/>
          </w:tcPr>
          <w:p w14:paraId="033BDD78">
            <w:pPr>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0.2</w:t>
            </w:r>
          </w:p>
        </w:tc>
        <w:tc>
          <w:tcPr>
            <w:tcW w:w="1078" w:type="dxa"/>
            <w:vAlign w:val="center"/>
          </w:tcPr>
          <w:p w14:paraId="61F615B5">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kern w:val="0"/>
                <w:sz w:val="21"/>
                <w:szCs w:val="21"/>
                <w:lang w:eastAsia="zh-CN" w:bidi="ar"/>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w:t>
            </w:r>
          </w:p>
        </w:tc>
        <w:tc>
          <w:tcPr>
            <w:tcW w:w="1069" w:type="dxa"/>
            <w:vAlign w:val="center"/>
          </w:tcPr>
          <w:p w14:paraId="66A6E449">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0.3</w:t>
            </w:r>
          </w:p>
        </w:tc>
        <w:tc>
          <w:tcPr>
            <w:tcW w:w="1049" w:type="dxa"/>
            <w:vAlign w:val="center"/>
          </w:tcPr>
          <w:p w14:paraId="7238738A">
            <w:pPr>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0.01</w:t>
            </w:r>
          </w:p>
        </w:tc>
        <w:tc>
          <w:tcPr>
            <w:tcW w:w="1043" w:type="dxa"/>
            <w:vAlign w:val="center"/>
          </w:tcPr>
          <w:p w14:paraId="2ED884B3">
            <w:pPr>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0.2</w:t>
            </w:r>
          </w:p>
        </w:tc>
        <w:tc>
          <w:tcPr>
            <w:tcW w:w="1043" w:type="dxa"/>
            <w:vAlign w:val="center"/>
          </w:tcPr>
          <w:p w14:paraId="69E53200">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kern w:val="0"/>
                <w:sz w:val="21"/>
                <w:szCs w:val="21"/>
                <w:lang w:eastAsia="zh-CN" w:bidi="ar"/>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w:t>
            </w:r>
          </w:p>
        </w:tc>
        <w:tc>
          <w:tcPr>
            <w:tcW w:w="1043" w:type="dxa"/>
            <w:vAlign w:val="center"/>
          </w:tcPr>
          <w:p w14:paraId="123B19BC">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0.3</w:t>
            </w:r>
          </w:p>
        </w:tc>
      </w:tr>
      <w:tr w14:paraId="705BFD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2145" w:type="dxa"/>
            <w:gridSpan w:val="2"/>
            <w:vAlign w:val="center"/>
          </w:tcPr>
          <w:p w14:paraId="6BA5B13F">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b/>
                <w:color w:val="000000" w:themeColor="text1"/>
                <w:sz w:val="21"/>
                <w:szCs w:val="21"/>
                <w14:textFill>
                  <w14:solidFill>
                    <w14:schemeClr w14:val="tx1"/>
                  </w14:solidFill>
                </w14:textFill>
              </w:rPr>
              <w:t>评价指数（%）</w:t>
            </w:r>
          </w:p>
        </w:tc>
        <w:tc>
          <w:tcPr>
            <w:tcW w:w="1050" w:type="dxa"/>
            <w:vAlign w:val="center"/>
          </w:tcPr>
          <w:p w14:paraId="174B87F4">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val="en-US" w:eastAsia="zh-CN"/>
                <w14:textFill>
                  <w14:solidFill>
                    <w14:schemeClr w14:val="tx1"/>
                  </w14:solidFill>
                </w14:textFill>
              </w:rPr>
            </w:pPr>
            <w:r>
              <w:rPr>
                <w:rFonts w:hint="eastAsia" w:ascii="Times New Roman" w:hAnsi="Times New Roman" w:cs="Times New Roman"/>
                <w:color w:val="000000" w:themeColor="text1"/>
                <w:spacing w:val="-6"/>
                <w:sz w:val="21"/>
                <w:szCs w:val="21"/>
                <w:lang w:val="en-US" w:eastAsia="zh-CN"/>
                <w14:textFill>
                  <w14:solidFill>
                    <w14:schemeClr w14:val="tx1"/>
                  </w14:solidFill>
                </w14:textFill>
              </w:rPr>
              <w:t>0.2-0.4</w:t>
            </w:r>
          </w:p>
        </w:tc>
        <w:tc>
          <w:tcPr>
            <w:tcW w:w="1080" w:type="dxa"/>
            <w:vAlign w:val="center"/>
          </w:tcPr>
          <w:p w14:paraId="79E9C2E6">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val="en-US" w:eastAsia="zh-CN"/>
                <w14:textFill>
                  <w14:solidFill>
                    <w14:schemeClr w14:val="tx1"/>
                  </w14:solidFill>
                </w14:textFill>
              </w:rPr>
            </w:pPr>
            <w:r>
              <w:rPr>
                <w:rFonts w:hint="eastAsia" w:ascii="Times New Roman" w:hAnsi="Times New Roman" w:cs="Times New Roman"/>
                <w:color w:val="000000" w:themeColor="text1"/>
                <w:spacing w:val="-6"/>
                <w:sz w:val="21"/>
                <w:szCs w:val="21"/>
                <w:lang w:val="en-US" w:eastAsia="zh-CN"/>
                <w14:textFill>
                  <w14:solidFill>
                    <w14:schemeClr w14:val="tx1"/>
                  </w14:solidFill>
                </w14:textFill>
              </w:rPr>
              <w:t>0.01-0.04</w:t>
            </w:r>
          </w:p>
        </w:tc>
        <w:tc>
          <w:tcPr>
            <w:tcW w:w="1076" w:type="dxa"/>
            <w:vAlign w:val="center"/>
          </w:tcPr>
          <w:p w14:paraId="776395E6">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w:t>
            </w:r>
          </w:p>
        </w:tc>
        <w:tc>
          <w:tcPr>
            <w:tcW w:w="1043" w:type="dxa"/>
            <w:vAlign w:val="center"/>
          </w:tcPr>
          <w:p w14:paraId="05AD6C83">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pPr>
            <w:r>
              <w:rPr>
                <w:rFonts w:hint="eastAsia" w:cs="Times New Roman"/>
                <w:color w:val="000000" w:themeColor="text1"/>
                <w:kern w:val="0"/>
                <w:sz w:val="21"/>
                <w:szCs w:val="21"/>
                <w:lang w:val="en-US" w:eastAsia="zh-CN" w:bidi="ar"/>
                <w14:textFill>
                  <w14:solidFill>
                    <w14:schemeClr w14:val="tx1"/>
                  </w14:solidFill>
                </w14:textFill>
              </w:rPr>
              <w:t>0.4-0.34</w:t>
            </w:r>
          </w:p>
        </w:tc>
        <w:tc>
          <w:tcPr>
            <w:tcW w:w="1068" w:type="dxa"/>
            <w:vAlign w:val="center"/>
          </w:tcPr>
          <w:p w14:paraId="7EE07CFF">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pPr>
            <w:r>
              <w:rPr>
                <w:rFonts w:hint="eastAsia" w:cs="Times New Roman"/>
                <w:color w:val="000000" w:themeColor="text1"/>
                <w:kern w:val="0"/>
                <w:sz w:val="21"/>
                <w:szCs w:val="21"/>
                <w:lang w:val="en-US" w:eastAsia="zh-CN" w:bidi="ar"/>
                <w14:textFill>
                  <w14:solidFill>
                    <w14:schemeClr w14:val="tx1"/>
                  </w14:solidFill>
                </w14:textFill>
              </w:rPr>
              <w:t>0.2-0.5</w:t>
            </w:r>
          </w:p>
        </w:tc>
        <w:tc>
          <w:tcPr>
            <w:tcW w:w="1056" w:type="dxa"/>
            <w:vAlign w:val="center"/>
          </w:tcPr>
          <w:p w14:paraId="315E1DDE">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pPr>
            <w:r>
              <w:rPr>
                <w:rFonts w:hint="eastAsia" w:cs="Times New Roman"/>
                <w:color w:val="000000" w:themeColor="text1"/>
                <w:kern w:val="0"/>
                <w:sz w:val="21"/>
                <w:szCs w:val="21"/>
                <w:lang w:val="en-US" w:eastAsia="zh-CN" w:bidi="ar"/>
                <w14:textFill>
                  <w14:solidFill>
                    <w14:schemeClr w14:val="tx1"/>
                  </w14:solidFill>
                </w14:textFill>
              </w:rPr>
              <w:t>0.01-0.03</w:t>
            </w:r>
          </w:p>
        </w:tc>
        <w:tc>
          <w:tcPr>
            <w:tcW w:w="1078" w:type="dxa"/>
            <w:vAlign w:val="center"/>
          </w:tcPr>
          <w:p w14:paraId="340BCB78">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w:t>
            </w:r>
          </w:p>
        </w:tc>
        <w:tc>
          <w:tcPr>
            <w:tcW w:w="1069" w:type="dxa"/>
            <w:vAlign w:val="center"/>
          </w:tcPr>
          <w:p w14:paraId="61E1EB7E">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pPr>
            <w:r>
              <w:rPr>
                <w:rFonts w:hint="eastAsia" w:cs="Times New Roman"/>
                <w:color w:val="000000" w:themeColor="text1"/>
                <w:kern w:val="0"/>
                <w:sz w:val="21"/>
                <w:szCs w:val="21"/>
                <w:lang w:val="en-US" w:eastAsia="zh-CN" w:bidi="ar"/>
                <w14:textFill>
                  <w14:solidFill>
                    <w14:schemeClr w14:val="tx1"/>
                  </w14:solidFill>
                </w14:textFill>
              </w:rPr>
              <w:t>0.45-0.35</w:t>
            </w:r>
          </w:p>
        </w:tc>
        <w:tc>
          <w:tcPr>
            <w:tcW w:w="1049" w:type="dxa"/>
            <w:vAlign w:val="center"/>
          </w:tcPr>
          <w:p w14:paraId="1452B9FF">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pPr>
            <w:r>
              <w:rPr>
                <w:rFonts w:hint="eastAsia" w:cs="Times New Roman"/>
                <w:color w:val="000000" w:themeColor="text1"/>
                <w:kern w:val="0"/>
                <w:sz w:val="21"/>
                <w:szCs w:val="21"/>
                <w:lang w:val="en-US" w:eastAsia="zh-CN" w:bidi="ar"/>
                <w14:textFill>
                  <w14:solidFill>
                    <w14:schemeClr w14:val="tx1"/>
                  </w14:solidFill>
                </w14:textFill>
              </w:rPr>
              <w:t>0.2-0.6</w:t>
            </w:r>
          </w:p>
        </w:tc>
        <w:tc>
          <w:tcPr>
            <w:tcW w:w="1043" w:type="dxa"/>
            <w:vAlign w:val="center"/>
          </w:tcPr>
          <w:p w14:paraId="0ED4D328">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pPr>
            <w:r>
              <w:rPr>
                <w:rFonts w:hint="eastAsia" w:cs="Times New Roman"/>
                <w:color w:val="000000" w:themeColor="text1"/>
                <w:kern w:val="0"/>
                <w:sz w:val="21"/>
                <w:szCs w:val="21"/>
                <w:lang w:val="en-US" w:eastAsia="zh-CN" w:bidi="ar"/>
                <w14:textFill>
                  <w14:solidFill>
                    <w14:schemeClr w14:val="tx1"/>
                  </w14:solidFill>
                </w14:textFill>
              </w:rPr>
              <w:t>0.01-0.04</w:t>
            </w:r>
          </w:p>
        </w:tc>
        <w:tc>
          <w:tcPr>
            <w:tcW w:w="1043" w:type="dxa"/>
            <w:vAlign w:val="center"/>
          </w:tcPr>
          <w:p w14:paraId="21A8641F">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w:t>
            </w:r>
          </w:p>
        </w:tc>
        <w:tc>
          <w:tcPr>
            <w:tcW w:w="1043" w:type="dxa"/>
            <w:vAlign w:val="center"/>
          </w:tcPr>
          <w:p w14:paraId="3E70975D">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pPr>
            <w:r>
              <w:rPr>
                <w:rFonts w:hint="eastAsia" w:cs="Times New Roman"/>
                <w:color w:val="000000" w:themeColor="text1"/>
                <w:kern w:val="0"/>
                <w:sz w:val="21"/>
                <w:szCs w:val="21"/>
                <w:lang w:val="en-US" w:eastAsia="zh-CN" w:bidi="ar"/>
                <w14:textFill>
                  <w14:solidFill>
                    <w14:schemeClr w14:val="tx1"/>
                  </w14:solidFill>
                </w14:textFill>
              </w:rPr>
              <w:t>0.36-0.45</w:t>
            </w:r>
          </w:p>
        </w:tc>
      </w:tr>
      <w:tr w14:paraId="1B77DD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2145" w:type="dxa"/>
            <w:gridSpan w:val="2"/>
            <w:vAlign w:val="center"/>
          </w:tcPr>
          <w:p w14:paraId="4422EF80">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超标倍数</w:t>
            </w:r>
          </w:p>
        </w:tc>
        <w:tc>
          <w:tcPr>
            <w:tcW w:w="1050" w:type="dxa"/>
            <w:vAlign w:val="center"/>
          </w:tcPr>
          <w:p w14:paraId="1DBED513">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w:t>
            </w:r>
          </w:p>
        </w:tc>
        <w:tc>
          <w:tcPr>
            <w:tcW w:w="1080" w:type="dxa"/>
            <w:vAlign w:val="center"/>
          </w:tcPr>
          <w:p w14:paraId="75E0AD60">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w:t>
            </w:r>
          </w:p>
        </w:tc>
        <w:tc>
          <w:tcPr>
            <w:tcW w:w="1076" w:type="dxa"/>
            <w:vAlign w:val="center"/>
          </w:tcPr>
          <w:p w14:paraId="4199BCC3">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w:t>
            </w:r>
          </w:p>
        </w:tc>
        <w:tc>
          <w:tcPr>
            <w:tcW w:w="1043" w:type="dxa"/>
            <w:vAlign w:val="center"/>
          </w:tcPr>
          <w:p w14:paraId="00F0AE9F">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w:t>
            </w:r>
          </w:p>
        </w:tc>
        <w:tc>
          <w:tcPr>
            <w:tcW w:w="1068" w:type="dxa"/>
            <w:vAlign w:val="center"/>
          </w:tcPr>
          <w:p w14:paraId="56F0FF9F">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w:t>
            </w:r>
          </w:p>
        </w:tc>
        <w:tc>
          <w:tcPr>
            <w:tcW w:w="1056" w:type="dxa"/>
            <w:vAlign w:val="center"/>
          </w:tcPr>
          <w:p w14:paraId="2C3620C5">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w:t>
            </w:r>
          </w:p>
        </w:tc>
        <w:tc>
          <w:tcPr>
            <w:tcW w:w="1078" w:type="dxa"/>
            <w:vAlign w:val="center"/>
          </w:tcPr>
          <w:p w14:paraId="1EDB55F7">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w:t>
            </w:r>
          </w:p>
        </w:tc>
        <w:tc>
          <w:tcPr>
            <w:tcW w:w="1069" w:type="dxa"/>
            <w:vAlign w:val="center"/>
          </w:tcPr>
          <w:p w14:paraId="389AE660">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w:t>
            </w:r>
          </w:p>
        </w:tc>
        <w:tc>
          <w:tcPr>
            <w:tcW w:w="1049" w:type="dxa"/>
            <w:vAlign w:val="center"/>
          </w:tcPr>
          <w:p w14:paraId="29C9FFD5">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w:t>
            </w:r>
          </w:p>
        </w:tc>
        <w:tc>
          <w:tcPr>
            <w:tcW w:w="1043" w:type="dxa"/>
            <w:vAlign w:val="center"/>
          </w:tcPr>
          <w:p w14:paraId="4001EA6B">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w:t>
            </w:r>
          </w:p>
        </w:tc>
        <w:tc>
          <w:tcPr>
            <w:tcW w:w="1043" w:type="dxa"/>
            <w:vAlign w:val="center"/>
          </w:tcPr>
          <w:p w14:paraId="7A17678C">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w:t>
            </w:r>
          </w:p>
        </w:tc>
        <w:tc>
          <w:tcPr>
            <w:tcW w:w="1043" w:type="dxa"/>
            <w:vAlign w:val="center"/>
          </w:tcPr>
          <w:p w14:paraId="6705FF01">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w:t>
            </w:r>
          </w:p>
        </w:tc>
      </w:tr>
      <w:tr w14:paraId="15A5C8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2145" w:type="dxa"/>
            <w:gridSpan w:val="2"/>
            <w:vAlign w:val="center"/>
          </w:tcPr>
          <w:p w14:paraId="02844455">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lang w:eastAsia="zh-CN"/>
                <w14:textFill>
                  <w14:solidFill>
                    <w14:schemeClr w14:val="tx1"/>
                  </w14:solidFill>
                </w14:textFill>
              </w:rPr>
              <w:t>达标情况</w:t>
            </w:r>
          </w:p>
        </w:tc>
        <w:tc>
          <w:tcPr>
            <w:tcW w:w="1050" w:type="dxa"/>
            <w:vAlign w:val="center"/>
          </w:tcPr>
          <w:p w14:paraId="28794147">
            <w:pPr>
              <w:pStyle w:val="11"/>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达标</w:t>
            </w:r>
          </w:p>
        </w:tc>
        <w:tc>
          <w:tcPr>
            <w:tcW w:w="1080" w:type="dxa"/>
            <w:vAlign w:val="center"/>
          </w:tcPr>
          <w:p w14:paraId="3D28E047">
            <w:pPr>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达标</w:t>
            </w:r>
          </w:p>
        </w:tc>
        <w:tc>
          <w:tcPr>
            <w:tcW w:w="1076" w:type="dxa"/>
            <w:vAlign w:val="center"/>
          </w:tcPr>
          <w:p w14:paraId="37338115">
            <w:pPr>
              <w:keepNext w:val="0"/>
              <w:keepLines w:val="0"/>
              <w:pageBreakBefore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达标</w:t>
            </w:r>
          </w:p>
        </w:tc>
        <w:tc>
          <w:tcPr>
            <w:tcW w:w="1043" w:type="dxa"/>
            <w:vAlign w:val="center"/>
          </w:tcPr>
          <w:p w14:paraId="4FC9C163">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达标</w:t>
            </w:r>
          </w:p>
        </w:tc>
        <w:tc>
          <w:tcPr>
            <w:tcW w:w="1068" w:type="dxa"/>
            <w:vAlign w:val="center"/>
          </w:tcPr>
          <w:p w14:paraId="68F6A500">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达标</w:t>
            </w:r>
          </w:p>
        </w:tc>
        <w:tc>
          <w:tcPr>
            <w:tcW w:w="1056" w:type="dxa"/>
            <w:vAlign w:val="center"/>
          </w:tcPr>
          <w:p w14:paraId="11049351">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达标</w:t>
            </w:r>
          </w:p>
        </w:tc>
        <w:tc>
          <w:tcPr>
            <w:tcW w:w="1078" w:type="dxa"/>
            <w:vAlign w:val="center"/>
          </w:tcPr>
          <w:p w14:paraId="09C82AED">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达标</w:t>
            </w:r>
          </w:p>
        </w:tc>
        <w:tc>
          <w:tcPr>
            <w:tcW w:w="1069" w:type="dxa"/>
            <w:vAlign w:val="center"/>
          </w:tcPr>
          <w:p w14:paraId="04656584">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达标</w:t>
            </w:r>
          </w:p>
        </w:tc>
        <w:tc>
          <w:tcPr>
            <w:tcW w:w="1049" w:type="dxa"/>
            <w:vAlign w:val="center"/>
          </w:tcPr>
          <w:p w14:paraId="13D6DEF5">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达标</w:t>
            </w:r>
          </w:p>
        </w:tc>
        <w:tc>
          <w:tcPr>
            <w:tcW w:w="1043" w:type="dxa"/>
            <w:vAlign w:val="center"/>
          </w:tcPr>
          <w:p w14:paraId="062D996C">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达标</w:t>
            </w:r>
          </w:p>
        </w:tc>
        <w:tc>
          <w:tcPr>
            <w:tcW w:w="1043" w:type="dxa"/>
            <w:vAlign w:val="center"/>
          </w:tcPr>
          <w:p w14:paraId="2524F9B2">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达标</w:t>
            </w:r>
          </w:p>
        </w:tc>
        <w:tc>
          <w:tcPr>
            <w:tcW w:w="1043" w:type="dxa"/>
            <w:vAlign w:val="center"/>
          </w:tcPr>
          <w:p w14:paraId="0958324E">
            <w:pPr>
              <w:keepNext w:val="0"/>
              <w:keepLines w:val="0"/>
              <w:pageBreakBefore w:val="0"/>
              <w:widowControl/>
              <w:kinsoku/>
              <w:wordWrap/>
              <w:overflowPunct/>
              <w:topLinePunct w:val="0"/>
              <w:autoSpaceDE/>
              <w:autoSpaceDN/>
              <w:bidi w:val="0"/>
              <w:spacing w:line="240" w:lineRule="auto"/>
              <w:ind w:firstLine="0" w:firstLineChars="0"/>
              <w:jc w:val="center"/>
              <w:textAlignment w:val="center"/>
              <w:outlineLvl w:val="9"/>
              <w:rPr>
                <w:rFonts w:hint="default" w:ascii="Times New Roman" w:hAnsi="Times New Roman" w:eastAsia="宋体"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达标</w:t>
            </w:r>
          </w:p>
        </w:tc>
      </w:tr>
    </w:tbl>
    <w:p w14:paraId="69E732CE">
      <w:pPr>
        <w:pStyle w:val="11"/>
        <w:keepNext w:val="0"/>
        <w:keepLines w:val="0"/>
        <w:pageBreakBefore w:val="0"/>
        <w:kinsoku/>
        <w:wordWrap/>
        <w:overflowPunct/>
        <w:topLinePunct w:val="0"/>
        <w:autoSpaceDE/>
        <w:autoSpaceDN/>
        <w:bidi w:val="0"/>
        <w:ind w:firstLine="456"/>
        <w:outlineLvl w:val="9"/>
        <w:rPr>
          <w:rFonts w:hint="default" w:ascii="Times New Roman" w:hAnsi="Times New Roman" w:eastAsia="宋体" w:cs="Times New Roman"/>
          <w:color w:val="000000" w:themeColor="text1"/>
          <w:spacing w:val="-6"/>
          <w:lang w:eastAsia="zh-CN"/>
          <w14:textFill>
            <w14:solidFill>
              <w14:schemeClr w14:val="tx1"/>
            </w14:solidFill>
          </w14:textFill>
        </w:rPr>
        <w:sectPr>
          <w:pgSz w:w="16839" w:h="11906" w:orient="landscape"/>
          <w:pgMar w:top="1531" w:right="1431" w:bottom="1531" w:left="1259" w:header="964" w:footer="794" w:gutter="0"/>
          <w:pgNumType w:fmt="decimal"/>
          <w:cols w:space="0" w:num="1"/>
        </w:sectPr>
      </w:pPr>
      <w:r>
        <w:rPr>
          <w:rFonts w:hint="default" w:ascii="Times New Roman" w:hAnsi="Times New Roman" w:eastAsia="宋体" w:cs="Times New Roman"/>
          <w:color w:val="000000" w:themeColor="text1"/>
          <w:spacing w:val="-6"/>
          <w:lang w:eastAsia="zh-CN"/>
          <w14:textFill>
            <w14:solidFill>
              <w14:schemeClr w14:val="tx1"/>
            </w14:solidFill>
          </w14:textFill>
        </w:rPr>
        <w:t>以上检测评价结果表明：NH</w:t>
      </w:r>
      <w:r>
        <w:rPr>
          <w:rFonts w:hint="default" w:ascii="Times New Roman" w:hAnsi="Times New Roman" w:eastAsia="宋体" w:cs="Times New Roman"/>
          <w:color w:val="000000" w:themeColor="text1"/>
          <w:spacing w:val="-6"/>
          <w:vertAlign w:val="subscript"/>
          <w:lang w:eastAsia="zh-CN"/>
          <w14:textFill>
            <w14:solidFill>
              <w14:schemeClr w14:val="tx1"/>
            </w14:solidFill>
          </w14:textFill>
        </w:rPr>
        <w:t>3</w:t>
      </w:r>
      <w:r>
        <w:rPr>
          <w:rFonts w:hint="default" w:ascii="Times New Roman" w:hAnsi="Times New Roman" w:eastAsia="宋体" w:cs="Times New Roman"/>
          <w:color w:val="000000" w:themeColor="text1"/>
          <w:spacing w:val="-6"/>
          <w:lang w:eastAsia="zh-CN"/>
          <w14:textFill>
            <w14:solidFill>
              <w14:schemeClr w14:val="tx1"/>
            </w14:solidFill>
          </w14:textFill>
        </w:rPr>
        <w:t>、H</w:t>
      </w:r>
      <w:r>
        <w:rPr>
          <w:rFonts w:hint="default" w:ascii="Times New Roman" w:hAnsi="Times New Roman" w:eastAsia="宋体" w:cs="Times New Roman"/>
          <w:color w:val="000000" w:themeColor="text1"/>
          <w:spacing w:val="-6"/>
          <w:vertAlign w:val="subscript"/>
          <w:lang w:eastAsia="zh-CN"/>
          <w14:textFill>
            <w14:solidFill>
              <w14:schemeClr w14:val="tx1"/>
            </w14:solidFill>
          </w14:textFill>
        </w:rPr>
        <w:t>2</w:t>
      </w:r>
      <w:r>
        <w:rPr>
          <w:rFonts w:hint="default" w:ascii="Times New Roman" w:hAnsi="Times New Roman" w:eastAsia="宋体" w:cs="Times New Roman"/>
          <w:color w:val="000000" w:themeColor="text1"/>
          <w:spacing w:val="-6"/>
          <w:lang w:eastAsia="zh-CN"/>
          <w14:textFill>
            <w14:solidFill>
              <w14:schemeClr w14:val="tx1"/>
            </w14:solidFill>
          </w14:textFill>
        </w:rPr>
        <w:t>S各监测点结果均符合《环境影响评价技术导则大气环境》（HJ2.2-2018）附录D标准限值要求，TSP监测值满足《环境空气质量标准》（GB3095-2012）二级标准及其修改单限值，检测结果表明该区域环境空气质量良好。</w:t>
      </w:r>
    </w:p>
    <w:p w14:paraId="5813B018">
      <w:pPr>
        <w:pStyle w:val="11"/>
        <w:ind w:firstLine="458"/>
        <w:outlineLvl w:val="2"/>
        <w:rPr>
          <w:rFonts w:hint="default" w:ascii="Times New Roman" w:hAnsi="Times New Roman" w:eastAsia="宋体" w:cs="Times New Roman"/>
          <w:b/>
          <w:bCs/>
          <w:color w:val="000000" w:themeColor="text1"/>
          <w:spacing w:val="-6"/>
          <w:lang w:eastAsia="zh-CN"/>
          <w14:textFill>
            <w14:solidFill>
              <w14:schemeClr w14:val="tx1"/>
            </w14:solidFill>
          </w14:textFill>
        </w:rPr>
      </w:pPr>
      <w:bookmarkStart w:id="192" w:name="bookmark5"/>
      <w:bookmarkEnd w:id="192"/>
      <w:bookmarkStart w:id="193" w:name="_Toc2418"/>
      <w:r>
        <w:rPr>
          <w:rFonts w:hint="default" w:ascii="Times New Roman" w:hAnsi="Times New Roman" w:eastAsia="宋体" w:cs="Times New Roman"/>
          <w:b/>
          <w:bCs/>
          <w:color w:val="000000" w:themeColor="text1"/>
          <w:spacing w:val="-6"/>
          <w:lang w:eastAsia="zh-CN"/>
          <w14:textFill>
            <w14:solidFill>
              <w14:schemeClr w14:val="tx1"/>
            </w14:solidFill>
          </w14:textFill>
        </w:rPr>
        <w:t>4.2.3地下水质量现状监测与评价</w:t>
      </w:r>
      <w:bookmarkEnd w:id="193"/>
    </w:p>
    <w:p w14:paraId="27611889">
      <w:pPr>
        <w:pStyle w:val="11"/>
        <w:keepNext w:val="0"/>
        <w:keepLines w:val="0"/>
        <w:pageBreakBefore w:val="0"/>
        <w:kinsoku/>
        <w:wordWrap/>
        <w:overflowPunct/>
        <w:topLinePunct w:val="0"/>
        <w:autoSpaceDE/>
        <w:autoSpaceDN/>
        <w:bidi w:val="0"/>
        <w:adjustRightInd/>
        <w:ind w:firstLine="456"/>
        <w:outlineLvl w:val="9"/>
        <w:rPr>
          <w:rFonts w:hint="default" w:ascii="Times New Roman" w:hAnsi="Times New Roman" w:eastAsia="宋体" w:cs="Times New Roman"/>
          <w:color w:val="000000" w:themeColor="text1"/>
          <w:spacing w:val="-6"/>
          <w:lang w:eastAsia="zh-CN"/>
          <w14:textFill>
            <w14:solidFill>
              <w14:schemeClr w14:val="tx1"/>
            </w14:solidFill>
          </w14:textFill>
        </w:rPr>
      </w:pPr>
      <w:r>
        <w:rPr>
          <w:rFonts w:hint="default" w:ascii="Times New Roman" w:hAnsi="Times New Roman" w:eastAsia="宋体" w:cs="Times New Roman"/>
          <w:color w:val="000000" w:themeColor="text1"/>
          <w:spacing w:val="-6"/>
          <w:lang w:eastAsia="zh-CN"/>
          <w14:textFill>
            <w14:solidFill>
              <w14:schemeClr w14:val="tx1"/>
            </w14:solidFill>
          </w14:textFill>
        </w:rPr>
        <w:t>项目地下水质量现状委托北京华成星科检测服务有限公司检测。</w:t>
      </w:r>
    </w:p>
    <w:p w14:paraId="2AF52A79">
      <w:pPr>
        <w:pStyle w:val="11"/>
        <w:keepNext w:val="0"/>
        <w:keepLines w:val="0"/>
        <w:pageBreakBefore w:val="0"/>
        <w:kinsoku/>
        <w:wordWrap/>
        <w:overflowPunct/>
        <w:topLinePunct w:val="0"/>
        <w:autoSpaceDE/>
        <w:autoSpaceDN/>
        <w:bidi w:val="0"/>
        <w:adjustRightInd/>
        <w:ind w:firstLine="456"/>
        <w:outlineLvl w:val="9"/>
        <w:rPr>
          <w:rFonts w:hint="default" w:ascii="Times New Roman" w:hAnsi="Times New Roman" w:eastAsia="宋体" w:cs="Times New Roman"/>
          <w:color w:val="000000" w:themeColor="text1"/>
          <w:spacing w:val="-6"/>
          <w:lang w:eastAsia="zh-CN"/>
          <w14:textFill>
            <w14:solidFill>
              <w14:schemeClr w14:val="tx1"/>
            </w14:solidFill>
          </w14:textFill>
        </w:rPr>
      </w:pPr>
      <w:bookmarkStart w:id="194" w:name="_Toc16426"/>
      <w:bookmarkStart w:id="195" w:name="_Toc5579"/>
      <w:r>
        <w:rPr>
          <w:rFonts w:hint="default" w:ascii="Times New Roman" w:hAnsi="Times New Roman" w:eastAsia="宋体" w:cs="Times New Roman"/>
          <w:color w:val="000000" w:themeColor="text1"/>
          <w:spacing w:val="-6"/>
          <w:lang w:eastAsia="zh-CN"/>
          <w14:textFill>
            <w14:solidFill>
              <w14:schemeClr w14:val="tx1"/>
            </w14:solidFill>
          </w14:textFill>
        </w:rPr>
        <w:t>（1）监测点位</w:t>
      </w:r>
      <w:bookmarkEnd w:id="194"/>
      <w:bookmarkEnd w:id="195"/>
    </w:p>
    <w:p w14:paraId="16E4C57E">
      <w:pPr>
        <w:pStyle w:val="11"/>
        <w:keepNext w:val="0"/>
        <w:keepLines w:val="0"/>
        <w:pageBreakBefore w:val="0"/>
        <w:kinsoku/>
        <w:wordWrap/>
        <w:overflowPunct/>
        <w:topLinePunct w:val="0"/>
        <w:autoSpaceDE/>
        <w:autoSpaceDN/>
        <w:bidi w:val="0"/>
        <w:adjustRightInd/>
        <w:ind w:firstLine="456"/>
        <w:outlineLvl w:val="9"/>
        <w:rPr>
          <w:rFonts w:hint="default" w:ascii="Times New Roman" w:hAnsi="Times New Roman" w:eastAsia="宋体" w:cs="Times New Roman"/>
          <w:color w:val="000000" w:themeColor="text1"/>
          <w:spacing w:val="-6"/>
          <w:lang w:eastAsia="zh-CN"/>
          <w14:textFill>
            <w14:solidFill>
              <w14:schemeClr w14:val="tx1"/>
            </w14:solidFill>
          </w14:textFill>
        </w:rPr>
      </w:pPr>
      <w:r>
        <w:rPr>
          <w:rFonts w:hint="default" w:ascii="Times New Roman" w:hAnsi="Times New Roman" w:eastAsia="宋体" w:cs="Times New Roman"/>
          <w:color w:val="000000" w:themeColor="text1"/>
          <w:spacing w:val="-6"/>
          <w:lang w:eastAsia="zh-CN"/>
          <w14:textFill>
            <w14:solidFill>
              <w14:schemeClr w14:val="tx1"/>
            </w14:solidFill>
          </w14:textFill>
        </w:rPr>
        <w:t>地下水监测共设置3个水质监测点位，6个水位监测点位，检测点位详见表4.2-15。</w:t>
      </w:r>
    </w:p>
    <w:p w14:paraId="3548497D">
      <w:pPr>
        <w:pStyle w:val="11"/>
        <w:keepNext w:val="0"/>
        <w:keepLines w:val="0"/>
        <w:pageBreakBefore w:val="0"/>
        <w:kinsoku/>
        <w:wordWrap/>
        <w:overflowPunct/>
        <w:topLinePunct w:val="0"/>
        <w:autoSpaceDE/>
        <w:autoSpaceDN/>
        <w:bidi w:val="0"/>
        <w:adjustRightInd/>
        <w:ind w:firstLine="0" w:firstLineChars="0"/>
        <w:jc w:val="center"/>
        <w:outlineLvl w:val="9"/>
        <w:rPr>
          <w:rFonts w:hint="default" w:ascii="Times New Roman" w:hAnsi="Times New Roman" w:eastAsia="宋体" w:cs="Times New Roman"/>
          <w:b/>
          <w:bCs/>
          <w:color w:val="000000" w:themeColor="text1"/>
          <w:spacing w:val="-6"/>
          <w14:textFill>
            <w14:solidFill>
              <w14:schemeClr w14:val="tx1"/>
            </w14:solidFill>
          </w14:textFill>
        </w:rPr>
      </w:pPr>
      <w:r>
        <w:rPr>
          <w:rFonts w:hint="default" w:ascii="Times New Roman" w:hAnsi="Times New Roman" w:eastAsia="宋体" w:cs="Times New Roman"/>
          <w:b/>
          <w:bCs/>
          <w:color w:val="000000" w:themeColor="text1"/>
          <w:spacing w:val="-6"/>
          <w14:textFill>
            <w14:solidFill>
              <w14:schemeClr w14:val="tx1"/>
            </w14:solidFill>
          </w14:textFill>
        </w:rPr>
        <w:t>表</w:t>
      </w:r>
      <w:r>
        <w:rPr>
          <w:rFonts w:hint="default" w:ascii="Times New Roman" w:hAnsi="Times New Roman" w:eastAsia="宋体" w:cs="Times New Roman"/>
          <w:b/>
          <w:bCs/>
          <w:color w:val="000000" w:themeColor="text1"/>
          <w:spacing w:val="-6"/>
          <w:lang w:eastAsia="zh-CN"/>
          <w14:textFill>
            <w14:solidFill>
              <w14:schemeClr w14:val="tx1"/>
            </w14:solidFill>
          </w14:textFill>
        </w:rPr>
        <w:t>4.2-15</w:t>
      </w:r>
      <w:r>
        <w:rPr>
          <w:rFonts w:hint="default" w:ascii="Times New Roman" w:hAnsi="Times New Roman" w:eastAsia="宋体" w:cs="Times New Roman"/>
          <w:b/>
          <w:bCs/>
          <w:color w:val="000000" w:themeColor="text1"/>
          <w:spacing w:val="-6"/>
          <w14:textFill>
            <w14:solidFill>
              <w14:schemeClr w14:val="tx1"/>
            </w14:solidFill>
          </w14:textFill>
        </w:rPr>
        <w:t>检测点位一览表</w:t>
      </w:r>
    </w:p>
    <w:tbl>
      <w:tblPr>
        <w:tblStyle w:val="29"/>
        <w:tblW w:w="91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54"/>
        <w:gridCol w:w="1125"/>
        <w:gridCol w:w="717"/>
        <w:gridCol w:w="1155"/>
        <w:gridCol w:w="930"/>
        <w:gridCol w:w="2850"/>
        <w:gridCol w:w="1248"/>
      </w:tblGrid>
      <w:tr w14:paraId="39C4A4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2" w:hRule="atLeast"/>
          <w:tblHeader/>
          <w:jc w:val="center"/>
        </w:trPr>
        <w:tc>
          <w:tcPr>
            <w:tcW w:w="1154" w:type="dxa"/>
            <w:vAlign w:val="center"/>
          </w:tcPr>
          <w:p w14:paraId="7EE9CD04">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采样位置</w:t>
            </w:r>
          </w:p>
        </w:tc>
        <w:tc>
          <w:tcPr>
            <w:tcW w:w="1125" w:type="dxa"/>
            <w:vAlign w:val="center"/>
          </w:tcPr>
          <w:p w14:paraId="5E1B789E">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水位埋深（m）</w:t>
            </w:r>
          </w:p>
        </w:tc>
        <w:tc>
          <w:tcPr>
            <w:tcW w:w="717" w:type="dxa"/>
            <w:vAlign w:val="center"/>
          </w:tcPr>
          <w:p w14:paraId="285664F9">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井深（m）</w:t>
            </w:r>
          </w:p>
        </w:tc>
        <w:tc>
          <w:tcPr>
            <w:tcW w:w="1155" w:type="dxa"/>
            <w:vAlign w:val="center"/>
          </w:tcPr>
          <w:p w14:paraId="361B1A89">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井口高程（m）</w:t>
            </w:r>
          </w:p>
        </w:tc>
        <w:tc>
          <w:tcPr>
            <w:tcW w:w="930" w:type="dxa"/>
            <w:vAlign w:val="center"/>
          </w:tcPr>
          <w:p w14:paraId="52F85362">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水温（℃）</w:t>
            </w:r>
          </w:p>
        </w:tc>
        <w:tc>
          <w:tcPr>
            <w:tcW w:w="2850" w:type="dxa"/>
            <w:vAlign w:val="center"/>
          </w:tcPr>
          <w:p w14:paraId="6FAE2B9B">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采样位置</w:t>
            </w:r>
          </w:p>
        </w:tc>
        <w:tc>
          <w:tcPr>
            <w:tcW w:w="1248" w:type="dxa"/>
            <w:vAlign w:val="center"/>
          </w:tcPr>
          <w:p w14:paraId="0F61B108">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备注</w:t>
            </w:r>
          </w:p>
        </w:tc>
      </w:tr>
      <w:tr w14:paraId="7CBE6F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5" w:hRule="atLeast"/>
          <w:tblHeader/>
          <w:jc w:val="center"/>
        </w:trPr>
        <w:tc>
          <w:tcPr>
            <w:tcW w:w="1154" w:type="dxa"/>
            <w:vAlign w:val="center"/>
          </w:tcPr>
          <w:p w14:paraId="61E9E46C">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厂区内</w:t>
            </w:r>
          </w:p>
        </w:tc>
        <w:tc>
          <w:tcPr>
            <w:tcW w:w="1125" w:type="dxa"/>
            <w:vAlign w:val="center"/>
          </w:tcPr>
          <w:p w14:paraId="73A53286">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34.0</w:t>
            </w:r>
          </w:p>
        </w:tc>
        <w:tc>
          <w:tcPr>
            <w:tcW w:w="717" w:type="dxa"/>
            <w:vAlign w:val="center"/>
          </w:tcPr>
          <w:p w14:paraId="67723C9B">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78.0</w:t>
            </w:r>
          </w:p>
        </w:tc>
        <w:tc>
          <w:tcPr>
            <w:tcW w:w="1155" w:type="dxa"/>
            <w:vAlign w:val="center"/>
          </w:tcPr>
          <w:p w14:paraId="2316DB40">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344</w:t>
            </w:r>
          </w:p>
        </w:tc>
        <w:tc>
          <w:tcPr>
            <w:tcW w:w="930" w:type="dxa"/>
            <w:vAlign w:val="center"/>
          </w:tcPr>
          <w:p w14:paraId="0CF62259">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2.0</w:t>
            </w:r>
          </w:p>
        </w:tc>
        <w:tc>
          <w:tcPr>
            <w:tcW w:w="2850" w:type="dxa"/>
            <w:vAlign w:val="center"/>
          </w:tcPr>
          <w:p w14:paraId="36B035B1">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46°10′56.15″N，122°16′31.93″E</w:t>
            </w:r>
          </w:p>
        </w:tc>
        <w:tc>
          <w:tcPr>
            <w:tcW w:w="1248" w:type="dxa"/>
            <w:vAlign w:val="center"/>
          </w:tcPr>
          <w:p w14:paraId="2C954657">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水质、水位</w:t>
            </w:r>
          </w:p>
        </w:tc>
      </w:tr>
      <w:tr w14:paraId="277352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5" w:hRule="atLeast"/>
          <w:tblHeader/>
          <w:jc w:val="center"/>
        </w:trPr>
        <w:tc>
          <w:tcPr>
            <w:tcW w:w="1154" w:type="dxa"/>
            <w:vAlign w:val="center"/>
          </w:tcPr>
          <w:p w14:paraId="71DA2132">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厂区上游</w:t>
            </w:r>
          </w:p>
        </w:tc>
        <w:tc>
          <w:tcPr>
            <w:tcW w:w="1125" w:type="dxa"/>
            <w:vAlign w:val="center"/>
          </w:tcPr>
          <w:p w14:paraId="6CC3D72F">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43.0</w:t>
            </w:r>
          </w:p>
        </w:tc>
        <w:tc>
          <w:tcPr>
            <w:tcW w:w="717" w:type="dxa"/>
            <w:vAlign w:val="center"/>
          </w:tcPr>
          <w:p w14:paraId="036EBF0F">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103.0</w:t>
            </w:r>
          </w:p>
        </w:tc>
        <w:tc>
          <w:tcPr>
            <w:tcW w:w="1155" w:type="dxa"/>
            <w:vAlign w:val="center"/>
          </w:tcPr>
          <w:p w14:paraId="4155E239">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364</w:t>
            </w:r>
          </w:p>
        </w:tc>
        <w:tc>
          <w:tcPr>
            <w:tcW w:w="930" w:type="dxa"/>
            <w:vAlign w:val="center"/>
          </w:tcPr>
          <w:p w14:paraId="14540DDD">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2.6</w:t>
            </w:r>
          </w:p>
        </w:tc>
        <w:tc>
          <w:tcPr>
            <w:tcW w:w="2850" w:type="dxa"/>
            <w:vAlign w:val="center"/>
          </w:tcPr>
          <w:p w14:paraId="3A17AA1C">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46°11′0.05″N，122°17′17.93″E</w:t>
            </w:r>
          </w:p>
        </w:tc>
        <w:tc>
          <w:tcPr>
            <w:tcW w:w="1248" w:type="dxa"/>
            <w:vAlign w:val="center"/>
          </w:tcPr>
          <w:p w14:paraId="152F6FD2">
            <w:pPr>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水质、水位</w:t>
            </w:r>
          </w:p>
        </w:tc>
      </w:tr>
      <w:tr w14:paraId="122EF5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5" w:hRule="atLeast"/>
          <w:tblHeader/>
          <w:jc w:val="center"/>
        </w:trPr>
        <w:tc>
          <w:tcPr>
            <w:tcW w:w="1154" w:type="dxa"/>
            <w:vAlign w:val="center"/>
          </w:tcPr>
          <w:p w14:paraId="5320D65D">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厂区下游</w:t>
            </w:r>
          </w:p>
        </w:tc>
        <w:tc>
          <w:tcPr>
            <w:tcW w:w="1125" w:type="dxa"/>
            <w:vAlign w:val="center"/>
          </w:tcPr>
          <w:p w14:paraId="7B99C176">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23.0</w:t>
            </w:r>
          </w:p>
        </w:tc>
        <w:tc>
          <w:tcPr>
            <w:tcW w:w="717" w:type="dxa"/>
            <w:vAlign w:val="center"/>
          </w:tcPr>
          <w:p w14:paraId="61A19901">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51.0</w:t>
            </w:r>
          </w:p>
        </w:tc>
        <w:tc>
          <w:tcPr>
            <w:tcW w:w="1155" w:type="dxa"/>
            <w:vAlign w:val="center"/>
          </w:tcPr>
          <w:p w14:paraId="7D1FE363">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329</w:t>
            </w:r>
          </w:p>
        </w:tc>
        <w:tc>
          <w:tcPr>
            <w:tcW w:w="930" w:type="dxa"/>
            <w:vAlign w:val="center"/>
          </w:tcPr>
          <w:p w14:paraId="5D452910">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2.0</w:t>
            </w:r>
          </w:p>
        </w:tc>
        <w:tc>
          <w:tcPr>
            <w:tcW w:w="2850" w:type="dxa"/>
            <w:vAlign w:val="center"/>
          </w:tcPr>
          <w:p w14:paraId="48DC194F">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46°10′50.67″N，122°16′29.81″E</w:t>
            </w:r>
          </w:p>
        </w:tc>
        <w:tc>
          <w:tcPr>
            <w:tcW w:w="1248" w:type="dxa"/>
            <w:vAlign w:val="center"/>
          </w:tcPr>
          <w:p w14:paraId="70F6C6B2">
            <w:pPr>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水质、水位</w:t>
            </w:r>
          </w:p>
        </w:tc>
      </w:tr>
      <w:tr w14:paraId="205BE1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5" w:hRule="atLeast"/>
          <w:tblHeader/>
          <w:jc w:val="center"/>
        </w:trPr>
        <w:tc>
          <w:tcPr>
            <w:tcW w:w="1154" w:type="dxa"/>
            <w:vAlign w:val="center"/>
          </w:tcPr>
          <w:p w14:paraId="1C32A53D">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厂区周围</w:t>
            </w:r>
          </w:p>
        </w:tc>
        <w:tc>
          <w:tcPr>
            <w:tcW w:w="1125" w:type="dxa"/>
            <w:vAlign w:val="center"/>
          </w:tcPr>
          <w:p w14:paraId="0F95F7E0">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52.0</w:t>
            </w:r>
          </w:p>
        </w:tc>
        <w:tc>
          <w:tcPr>
            <w:tcW w:w="717" w:type="dxa"/>
            <w:vAlign w:val="center"/>
          </w:tcPr>
          <w:p w14:paraId="1FB48E92">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107.0</w:t>
            </w:r>
          </w:p>
        </w:tc>
        <w:tc>
          <w:tcPr>
            <w:tcW w:w="1155" w:type="dxa"/>
            <w:vAlign w:val="center"/>
          </w:tcPr>
          <w:p w14:paraId="35AD30B0">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341</w:t>
            </w:r>
          </w:p>
        </w:tc>
        <w:tc>
          <w:tcPr>
            <w:tcW w:w="930" w:type="dxa"/>
            <w:vAlign w:val="center"/>
          </w:tcPr>
          <w:p w14:paraId="75B3F148">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2.9</w:t>
            </w:r>
          </w:p>
        </w:tc>
        <w:tc>
          <w:tcPr>
            <w:tcW w:w="2850" w:type="dxa"/>
            <w:vAlign w:val="center"/>
          </w:tcPr>
          <w:p w14:paraId="1D615BCA">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46°11′2.91″N，122°17′15.70″E</w:t>
            </w:r>
          </w:p>
        </w:tc>
        <w:tc>
          <w:tcPr>
            <w:tcW w:w="1248" w:type="dxa"/>
            <w:vAlign w:val="center"/>
          </w:tcPr>
          <w:p w14:paraId="730D6439">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水位</w:t>
            </w:r>
          </w:p>
        </w:tc>
      </w:tr>
      <w:tr w14:paraId="49229A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5" w:hRule="atLeast"/>
          <w:tblHeader/>
          <w:jc w:val="center"/>
        </w:trPr>
        <w:tc>
          <w:tcPr>
            <w:tcW w:w="1154" w:type="dxa"/>
            <w:vAlign w:val="center"/>
          </w:tcPr>
          <w:p w14:paraId="7326C937">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厂区周围</w:t>
            </w:r>
          </w:p>
        </w:tc>
        <w:tc>
          <w:tcPr>
            <w:tcW w:w="1125" w:type="dxa"/>
            <w:vAlign w:val="center"/>
          </w:tcPr>
          <w:p w14:paraId="1FF5CAD6">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28.0</w:t>
            </w:r>
          </w:p>
        </w:tc>
        <w:tc>
          <w:tcPr>
            <w:tcW w:w="717" w:type="dxa"/>
            <w:vAlign w:val="center"/>
          </w:tcPr>
          <w:p w14:paraId="595AE753">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71.0</w:t>
            </w:r>
          </w:p>
        </w:tc>
        <w:tc>
          <w:tcPr>
            <w:tcW w:w="1155" w:type="dxa"/>
            <w:vAlign w:val="center"/>
          </w:tcPr>
          <w:p w14:paraId="23C227D3">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332</w:t>
            </w:r>
          </w:p>
        </w:tc>
        <w:tc>
          <w:tcPr>
            <w:tcW w:w="930" w:type="dxa"/>
            <w:vAlign w:val="center"/>
          </w:tcPr>
          <w:p w14:paraId="6BBB58A9">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2.0</w:t>
            </w:r>
          </w:p>
        </w:tc>
        <w:tc>
          <w:tcPr>
            <w:tcW w:w="2850" w:type="dxa"/>
            <w:vAlign w:val="center"/>
          </w:tcPr>
          <w:p w14:paraId="17576B80">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46°11′2.79″N，122°15′49.60″E</w:t>
            </w:r>
          </w:p>
        </w:tc>
        <w:tc>
          <w:tcPr>
            <w:tcW w:w="1248" w:type="dxa"/>
            <w:vAlign w:val="center"/>
          </w:tcPr>
          <w:p w14:paraId="1C04B392">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水位</w:t>
            </w:r>
          </w:p>
        </w:tc>
      </w:tr>
      <w:tr w14:paraId="00E523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5" w:hRule="atLeast"/>
          <w:tblHeader/>
          <w:jc w:val="center"/>
        </w:trPr>
        <w:tc>
          <w:tcPr>
            <w:tcW w:w="1154" w:type="dxa"/>
            <w:vAlign w:val="center"/>
          </w:tcPr>
          <w:p w14:paraId="42818437">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厂区周围</w:t>
            </w:r>
          </w:p>
        </w:tc>
        <w:tc>
          <w:tcPr>
            <w:tcW w:w="1125" w:type="dxa"/>
            <w:vAlign w:val="center"/>
          </w:tcPr>
          <w:p w14:paraId="4CBCBC79">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21.0</w:t>
            </w:r>
          </w:p>
        </w:tc>
        <w:tc>
          <w:tcPr>
            <w:tcW w:w="717" w:type="dxa"/>
            <w:vAlign w:val="center"/>
          </w:tcPr>
          <w:p w14:paraId="314B956A">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48.0</w:t>
            </w:r>
          </w:p>
        </w:tc>
        <w:tc>
          <w:tcPr>
            <w:tcW w:w="1155" w:type="dxa"/>
            <w:vAlign w:val="center"/>
          </w:tcPr>
          <w:p w14:paraId="5741F09F">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331</w:t>
            </w:r>
          </w:p>
        </w:tc>
        <w:tc>
          <w:tcPr>
            <w:tcW w:w="930" w:type="dxa"/>
            <w:vAlign w:val="center"/>
          </w:tcPr>
          <w:p w14:paraId="784C9515">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1.9</w:t>
            </w:r>
          </w:p>
        </w:tc>
        <w:tc>
          <w:tcPr>
            <w:tcW w:w="2850" w:type="dxa"/>
            <w:vAlign w:val="center"/>
          </w:tcPr>
          <w:p w14:paraId="6BBC8F4D">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46°10′1.33″N，122°13′6.67″E</w:t>
            </w:r>
          </w:p>
        </w:tc>
        <w:tc>
          <w:tcPr>
            <w:tcW w:w="1248" w:type="dxa"/>
            <w:vAlign w:val="center"/>
          </w:tcPr>
          <w:p w14:paraId="217783FB">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水位</w:t>
            </w:r>
          </w:p>
        </w:tc>
      </w:tr>
    </w:tbl>
    <w:p w14:paraId="02CE08C6">
      <w:pPr>
        <w:pStyle w:val="11"/>
        <w:keepNext w:val="0"/>
        <w:keepLines w:val="0"/>
        <w:pageBreakBefore w:val="0"/>
        <w:kinsoku/>
        <w:wordWrap/>
        <w:overflowPunct/>
        <w:topLinePunct w:val="0"/>
        <w:autoSpaceDE/>
        <w:autoSpaceDN/>
        <w:bidi w:val="0"/>
        <w:adjustRightInd/>
        <w:ind w:firstLine="456"/>
        <w:outlineLvl w:val="9"/>
        <w:rPr>
          <w:rFonts w:hint="default" w:ascii="Times New Roman" w:hAnsi="Times New Roman" w:eastAsia="宋体" w:cs="Times New Roman"/>
          <w:color w:val="000000" w:themeColor="text1"/>
          <w:spacing w:val="-6"/>
          <w14:textFill>
            <w14:solidFill>
              <w14:schemeClr w14:val="tx1"/>
            </w14:solidFill>
          </w14:textFill>
        </w:rPr>
      </w:pPr>
      <w:bookmarkStart w:id="196" w:name="_Toc23640"/>
      <w:bookmarkStart w:id="197" w:name="_Toc29701"/>
      <w:r>
        <w:rPr>
          <w:rFonts w:hint="default" w:ascii="Times New Roman" w:hAnsi="Times New Roman" w:eastAsia="宋体" w:cs="Times New Roman"/>
          <w:color w:val="000000" w:themeColor="text1"/>
          <w:spacing w:val="-6"/>
          <w:lang w:eastAsia="zh-CN"/>
          <w14:textFill>
            <w14:solidFill>
              <w14:schemeClr w14:val="tx1"/>
            </w14:solidFill>
          </w14:textFill>
        </w:rPr>
        <w:t>（2）</w:t>
      </w:r>
      <w:r>
        <w:rPr>
          <w:rFonts w:hint="default" w:ascii="Times New Roman" w:hAnsi="Times New Roman" w:eastAsia="宋体" w:cs="Times New Roman"/>
          <w:color w:val="000000" w:themeColor="text1"/>
          <w:spacing w:val="-6"/>
          <w14:textFill>
            <w14:solidFill>
              <w14:schemeClr w14:val="tx1"/>
            </w14:solidFill>
          </w14:textFill>
        </w:rPr>
        <w:t>检测项目</w:t>
      </w:r>
      <w:bookmarkEnd w:id="196"/>
      <w:bookmarkEnd w:id="197"/>
    </w:p>
    <w:p w14:paraId="6013AD87">
      <w:pPr>
        <w:pStyle w:val="11"/>
        <w:keepNext w:val="0"/>
        <w:keepLines w:val="0"/>
        <w:pageBreakBefore w:val="0"/>
        <w:kinsoku/>
        <w:wordWrap/>
        <w:overflowPunct/>
        <w:topLinePunct w:val="0"/>
        <w:autoSpaceDE/>
        <w:autoSpaceDN/>
        <w:bidi w:val="0"/>
        <w:adjustRightInd/>
        <w:ind w:firstLine="456"/>
        <w:outlineLvl w:val="9"/>
        <w:rPr>
          <w:rFonts w:hint="default" w:ascii="Times New Roman" w:hAnsi="Times New Roman" w:eastAsia="宋体" w:cs="Times New Roman"/>
          <w:color w:val="000000" w:themeColor="text1"/>
          <w:spacing w:val="-6"/>
          <w:lang w:eastAsia="zh-CN"/>
          <w14:textFill>
            <w14:solidFill>
              <w14:schemeClr w14:val="tx1"/>
            </w14:solidFill>
          </w14:textFill>
        </w:rPr>
      </w:pPr>
      <w:r>
        <w:rPr>
          <w:rFonts w:hint="default" w:ascii="Times New Roman" w:hAnsi="Times New Roman" w:eastAsia="宋体" w:cs="Times New Roman"/>
          <w:color w:val="000000" w:themeColor="text1"/>
          <w:spacing w:val="-6"/>
          <w:lang w:eastAsia="zh-CN"/>
          <w14:textFill>
            <w14:solidFill>
              <w14:schemeClr w14:val="tx1"/>
            </w14:solidFill>
          </w14:textFill>
        </w:rPr>
        <w:t>pH、总硬度、溶解性总固体、铁、锰、挥发酚、耗氧量、氨氮、钾离子、钠离子、钙离子、镁离子、碳酸盐、重碳酸盐、氯离子、硫酸根、硝酸盐氮、亚硝酸盐氮、氰化物、砷、汞、六价铬、铅、镉、总大肠菌群、细菌总数、硫酸盐、氯化物、氟化物、硫化物，共30项，同步调查水位。</w:t>
      </w:r>
    </w:p>
    <w:p w14:paraId="46F80D91">
      <w:pPr>
        <w:pStyle w:val="11"/>
        <w:keepNext w:val="0"/>
        <w:keepLines w:val="0"/>
        <w:pageBreakBefore w:val="0"/>
        <w:kinsoku/>
        <w:wordWrap/>
        <w:overflowPunct/>
        <w:topLinePunct w:val="0"/>
        <w:autoSpaceDE/>
        <w:autoSpaceDN/>
        <w:bidi w:val="0"/>
        <w:adjustRightInd/>
        <w:ind w:firstLine="456"/>
        <w:outlineLvl w:val="9"/>
        <w:rPr>
          <w:rFonts w:hint="default" w:ascii="Times New Roman" w:hAnsi="Times New Roman" w:eastAsia="宋体" w:cs="Times New Roman"/>
          <w:color w:val="000000" w:themeColor="text1"/>
          <w:spacing w:val="-6"/>
          <w:lang w:eastAsia="zh-CN"/>
          <w14:textFill>
            <w14:solidFill>
              <w14:schemeClr w14:val="tx1"/>
            </w14:solidFill>
          </w14:textFill>
        </w:rPr>
      </w:pPr>
      <w:bookmarkStart w:id="198" w:name="_Toc29628"/>
      <w:bookmarkStart w:id="199" w:name="_Toc18291"/>
      <w:r>
        <w:rPr>
          <w:rFonts w:hint="default" w:ascii="Times New Roman" w:hAnsi="Times New Roman" w:eastAsia="宋体" w:cs="Times New Roman"/>
          <w:color w:val="000000" w:themeColor="text1"/>
          <w:spacing w:val="-6"/>
          <w:lang w:eastAsia="zh-CN"/>
          <w14:textFill>
            <w14:solidFill>
              <w14:schemeClr w14:val="tx1"/>
            </w14:solidFill>
          </w14:textFill>
        </w:rPr>
        <w:t>（3）检测时间和频次</w:t>
      </w:r>
      <w:bookmarkEnd w:id="198"/>
      <w:bookmarkEnd w:id="199"/>
    </w:p>
    <w:p w14:paraId="353726EF">
      <w:pPr>
        <w:pStyle w:val="11"/>
        <w:keepNext w:val="0"/>
        <w:keepLines w:val="0"/>
        <w:pageBreakBefore w:val="0"/>
        <w:kinsoku/>
        <w:wordWrap/>
        <w:overflowPunct/>
        <w:topLinePunct w:val="0"/>
        <w:autoSpaceDE/>
        <w:autoSpaceDN/>
        <w:bidi w:val="0"/>
        <w:adjustRightInd/>
        <w:ind w:firstLine="456"/>
        <w:outlineLvl w:val="9"/>
        <w:rPr>
          <w:rFonts w:hint="default" w:ascii="Times New Roman" w:hAnsi="Times New Roman" w:eastAsia="宋体" w:cs="Times New Roman"/>
          <w:color w:val="000000" w:themeColor="text1"/>
          <w:spacing w:val="-6"/>
          <w:lang w:eastAsia="zh-CN"/>
          <w14:textFill>
            <w14:solidFill>
              <w14:schemeClr w14:val="tx1"/>
            </w14:solidFill>
          </w14:textFill>
        </w:rPr>
      </w:pPr>
      <w:r>
        <w:rPr>
          <w:rFonts w:hint="default" w:ascii="Times New Roman" w:hAnsi="Times New Roman" w:eastAsia="宋体" w:cs="Times New Roman"/>
          <w:color w:val="000000" w:themeColor="text1"/>
          <w:spacing w:val="-6"/>
          <w:lang w:eastAsia="zh-CN"/>
          <w14:textFill>
            <w14:solidFill>
              <w14:schemeClr w14:val="tx1"/>
            </w14:solidFill>
          </w14:textFill>
        </w:rPr>
        <w:t>采样时间为2023年8月18日，检测1次/天，瞬时采样。</w:t>
      </w:r>
    </w:p>
    <w:p w14:paraId="4DB7D4CD">
      <w:pPr>
        <w:pStyle w:val="11"/>
        <w:keepNext w:val="0"/>
        <w:keepLines w:val="0"/>
        <w:pageBreakBefore w:val="0"/>
        <w:kinsoku/>
        <w:wordWrap/>
        <w:overflowPunct/>
        <w:topLinePunct w:val="0"/>
        <w:autoSpaceDE/>
        <w:autoSpaceDN/>
        <w:bidi w:val="0"/>
        <w:adjustRightInd/>
        <w:ind w:firstLine="456"/>
        <w:outlineLvl w:val="9"/>
        <w:rPr>
          <w:rFonts w:hint="default" w:ascii="Times New Roman" w:hAnsi="Times New Roman" w:eastAsia="宋体" w:cs="Times New Roman"/>
          <w:color w:val="000000" w:themeColor="text1"/>
          <w:spacing w:val="-6"/>
          <w:lang w:eastAsia="zh-CN"/>
          <w14:textFill>
            <w14:solidFill>
              <w14:schemeClr w14:val="tx1"/>
            </w14:solidFill>
          </w14:textFill>
        </w:rPr>
      </w:pPr>
      <w:bookmarkStart w:id="200" w:name="_Toc22930"/>
      <w:bookmarkStart w:id="201" w:name="_Toc5041"/>
      <w:r>
        <w:rPr>
          <w:rFonts w:hint="default" w:ascii="Times New Roman" w:hAnsi="Times New Roman" w:eastAsia="宋体" w:cs="Times New Roman"/>
          <w:color w:val="000000" w:themeColor="text1"/>
          <w:spacing w:val="-6"/>
          <w:lang w:eastAsia="zh-CN"/>
          <w14:textFill>
            <w14:solidFill>
              <w14:schemeClr w14:val="tx1"/>
            </w14:solidFill>
          </w14:textFill>
        </w:rPr>
        <w:t>（4）分析仪器及方法</w:t>
      </w:r>
      <w:bookmarkEnd w:id="200"/>
      <w:bookmarkEnd w:id="201"/>
    </w:p>
    <w:p w14:paraId="3D4F0EA4">
      <w:pPr>
        <w:pStyle w:val="11"/>
        <w:keepNext w:val="0"/>
        <w:keepLines w:val="0"/>
        <w:pageBreakBefore w:val="0"/>
        <w:kinsoku/>
        <w:wordWrap/>
        <w:overflowPunct/>
        <w:topLinePunct w:val="0"/>
        <w:autoSpaceDE/>
        <w:autoSpaceDN/>
        <w:bidi w:val="0"/>
        <w:adjustRightInd/>
        <w:ind w:firstLine="456"/>
        <w:outlineLvl w:val="9"/>
        <w:rPr>
          <w:rFonts w:hint="default" w:ascii="Times New Roman" w:hAnsi="Times New Roman" w:eastAsia="宋体" w:cs="Times New Roman"/>
          <w:color w:val="000000" w:themeColor="text1"/>
          <w:spacing w:val="-6"/>
          <w:lang w:eastAsia="zh-CN"/>
          <w14:textFill>
            <w14:solidFill>
              <w14:schemeClr w14:val="tx1"/>
            </w14:solidFill>
          </w14:textFill>
        </w:rPr>
      </w:pPr>
      <w:r>
        <w:rPr>
          <w:rFonts w:hint="default" w:ascii="Times New Roman" w:hAnsi="Times New Roman" w:eastAsia="宋体" w:cs="Times New Roman"/>
          <w:color w:val="000000" w:themeColor="text1"/>
          <w:spacing w:val="-6"/>
          <w:lang w:eastAsia="zh-CN"/>
          <w14:textFill>
            <w14:solidFill>
              <w14:schemeClr w14:val="tx1"/>
            </w14:solidFill>
          </w14:textFill>
        </w:rPr>
        <w:t>分析仪器及方法见表4.2-16。</w:t>
      </w:r>
    </w:p>
    <w:p w14:paraId="30AAE868">
      <w:pPr>
        <w:pStyle w:val="11"/>
        <w:keepNext w:val="0"/>
        <w:keepLines w:val="0"/>
        <w:pageBreakBefore w:val="0"/>
        <w:kinsoku/>
        <w:wordWrap/>
        <w:overflowPunct/>
        <w:topLinePunct w:val="0"/>
        <w:autoSpaceDE/>
        <w:autoSpaceDN/>
        <w:bidi w:val="0"/>
        <w:adjustRightInd/>
        <w:ind w:firstLine="0" w:firstLineChars="0"/>
        <w:jc w:val="center"/>
        <w:outlineLvl w:val="9"/>
        <w:rPr>
          <w:rFonts w:hint="default" w:ascii="Times New Roman" w:hAnsi="Times New Roman" w:eastAsia="宋体" w:cs="Times New Roman"/>
          <w:b/>
          <w:bCs/>
          <w:color w:val="000000" w:themeColor="text1"/>
          <w:spacing w:val="-6"/>
          <w:lang w:eastAsia="zh-CN"/>
          <w14:textFill>
            <w14:solidFill>
              <w14:schemeClr w14:val="tx1"/>
            </w14:solidFill>
          </w14:textFill>
        </w:rPr>
      </w:pPr>
      <w:r>
        <w:rPr>
          <w:rFonts w:hint="default" w:ascii="Times New Roman" w:hAnsi="Times New Roman" w:eastAsia="宋体" w:cs="Times New Roman"/>
          <w:b/>
          <w:bCs/>
          <w:color w:val="000000" w:themeColor="text1"/>
          <w:spacing w:val="-6"/>
          <w:lang w:eastAsia="zh-CN"/>
          <w14:textFill>
            <w14:solidFill>
              <w14:schemeClr w14:val="tx1"/>
            </w14:solidFill>
          </w14:textFill>
        </w:rPr>
        <w:t>表4.2-16分析仪器及方法一览表</w:t>
      </w:r>
    </w:p>
    <w:tbl>
      <w:tblPr>
        <w:tblStyle w:val="29"/>
        <w:tblW w:w="926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59"/>
        <w:gridCol w:w="1292"/>
        <w:gridCol w:w="3645"/>
        <w:gridCol w:w="2165"/>
      </w:tblGrid>
      <w:tr w14:paraId="4C1770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159" w:type="dxa"/>
            <w:vAlign w:val="center"/>
          </w:tcPr>
          <w:p w14:paraId="5FA11BC4">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b/>
                <w:bCs/>
                <w:color w:val="000000" w:themeColor="text1"/>
                <w:spacing w:val="-6"/>
                <w:sz w:val="21"/>
                <w:szCs w:val="21"/>
                <w14:textFill>
                  <w14:solidFill>
                    <w14:schemeClr w14:val="tx1"/>
                  </w14:solidFill>
                </w14:textFill>
              </w:rPr>
            </w:pPr>
            <w:r>
              <w:rPr>
                <w:rFonts w:hint="default" w:ascii="Times New Roman" w:hAnsi="Times New Roman" w:eastAsia="宋体" w:cs="Times New Roman"/>
                <w:b/>
                <w:bCs/>
                <w:color w:val="000000" w:themeColor="text1"/>
                <w:spacing w:val="-6"/>
                <w:sz w:val="21"/>
                <w:szCs w:val="21"/>
                <w14:textFill>
                  <w14:solidFill>
                    <w14:schemeClr w14:val="tx1"/>
                  </w14:solidFill>
                </w14:textFill>
              </w:rPr>
              <w:t>检测项目</w:t>
            </w:r>
          </w:p>
        </w:tc>
        <w:tc>
          <w:tcPr>
            <w:tcW w:w="1292" w:type="dxa"/>
            <w:vAlign w:val="center"/>
          </w:tcPr>
          <w:p w14:paraId="66FB6BC3">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b/>
                <w:bCs/>
                <w:color w:val="000000" w:themeColor="text1"/>
                <w:spacing w:val="-6"/>
                <w:sz w:val="21"/>
                <w:szCs w:val="21"/>
                <w14:textFill>
                  <w14:solidFill>
                    <w14:schemeClr w14:val="tx1"/>
                  </w14:solidFill>
                </w14:textFill>
              </w:rPr>
            </w:pPr>
            <w:r>
              <w:rPr>
                <w:rFonts w:hint="default" w:ascii="Times New Roman" w:hAnsi="Times New Roman" w:eastAsia="宋体" w:cs="Times New Roman"/>
                <w:b/>
                <w:bCs/>
                <w:color w:val="000000" w:themeColor="text1"/>
                <w:spacing w:val="-6"/>
                <w:sz w:val="21"/>
                <w:szCs w:val="21"/>
                <w14:textFill>
                  <w14:solidFill>
                    <w14:schemeClr w14:val="tx1"/>
                  </w14:solidFill>
                </w14:textFill>
              </w:rPr>
              <w:t>检出限</w:t>
            </w:r>
          </w:p>
        </w:tc>
        <w:tc>
          <w:tcPr>
            <w:tcW w:w="3645" w:type="dxa"/>
            <w:vAlign w:val="center"/>
          </w:tcPr>
          <w:p w14:paraId="035A04CF">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b/>
                <w:bCs/>
                <w:color w:val="000000" w:themeColor="text1"/>
                <w:spacing w:val="-6"/>
                <w:sz w:val="21"/>
                <w:szCs w:val="21"/>
                <w14:textFill>
                  <w14:solidFill>
                    <w14:schemeClr w14:val="tx1"/>
                  </w14:solidFill>
                </w14:textFill>
              </w:rPr>
            </w:pPr>
            <w:r>
              <w:rPr>
                <w:rFonts w:hint="default" w:ascii="Times New Roman" w:hAnsi="Times New Roman" w:eastAsia="宋体" w:cs="Times New Roman"/>
                <w:b/>
                <w:bCs/>
                <w:color w:val="000000" w:themeColor="text1"/>
                <w:spacing w:val="-6"/>
                <w:sz w:val="21"/>
                <w:szCs w:val="21"/>
                <w14:textFill>
                  <w14:solidFill>
                    <w14:schemeClr w14:val="tx1"/>
                  </w14:solidFill>
                </w14:textFill>
              </w:rPr>
              <w:t>检测</w:t>
            </w:r>
            <w:r>
              <w:rPr>
                <w:rFonts w:hint="default" w:ascii="Times New Roman" w:hAnsi="Times New Roman" w:eastAsia="宋体" w:cs="Times New Roman"/>
                <w:b/>
                <w:bCs/>
                <w:color w:val="000000" w:themeColor="text1"/>
                <w:spacing w:val="-6"/>
                <w:sz w:val="21"/>
                <w:szCs w:val="21"/>
                <w:lang w:val="zh-TW" w:eastAsia="zh-TW"/>
                <w14:textFill>
                  <w14:solidFill>
                    <w14:schemeClr w14:val="tx1"/>
                  </w14:solidFill>
                </w14:textFill>
              </w:rPr>
              <w:t>标准（方法）</w:t>
            </w:r>
          </w:p>
        </w:tc>
        <w:tc>
          <w:tcPr>
            <w:tcW w:w="2165" w:type="dxa"/>
            <w:vAlign w:val="center"/>
          </w:tcPr>
          <w:p w14:paraId="72BDA0CB">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b/>
                <w:bCs/>
                <w:color w:val="000000" w:themeColor="text1"/>
                <w:spacing w:val="-6"/>
                <w:sz w:val="21"/>
                <w:szCs w:val="21"/>
                <w14:textFill>
                  <w14:solidFill>
                    <w14:schemeClr w14:val="tx1"/>
                  </w14:solidFill>
                </w14:textFill>
              </w:rPr>
            </w:pPr>
            <w:r>
              <w:rPr>
                <w:rFonts w:hint="default" w:ascii="Times New Roman" w:hAnsi="Times New Roman" w:eastAsia="宋体" w:cs="Times New Roman"/>
                <w:b/>
                <w:bCs/>
                <w:color w:val="000000" w:themeColor="text1"/>
                <w:spacing w:val="-6"/>
                <w:sz w:val="21"/>
                <w:szCs w:val="21"/>
                <w14:textFill>
                  <w14:solidFill>
                    <w14:schemeClr w14:val="tx1"/>
                  </w14:solidFill>
                </w14:textFill>
              </w:rPr>
              <w:t>主要检测仪器及编号</w:t>
            </w:r>
          </w:p>
        </w:tc>
      </w:tr>
      <w:tr w14:paraId="5E9B5D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59" w:type="dxa"/>
            <w:vAlign w:val="center"/>
          </w:tcPr>
          <w:p w14:paraId="6F58CA54">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pH值</w:t>
            </w:r>
          </w:p>
        </w:tc>
        <w:tc>
          <w:tcPr>
            <w:tcW w:w="1292" w:type="dxa"/>
            <w:vAlign w:val="center"/>
          </w:tcPr>
          <w:p w14:paraId="5D903C70">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w:t>
            </w:r>
          </w:p>
        </w:tc>
        <w:tc>
          <w:tcPr>
            <w:tcW w:w="3645" w:type="dxa"/>
            <w:vAlign w:val="center"/>
          </w:tcPr>
          <w:p w14:paraId="10F45143">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《生活饮用水标准检验方法感官性状和物理指标》/GB/T5750.4-2006</w:t>
            </w:r>
          </w:p>
        </w:tc>
        <w:tc>
          <w:tcPr>
            <w:tcW w:w="2165" w:type="dxa"/>
            <w:vAlign w:val="center"/>
          </w:tcPr>
          <w:p w14:paraId="4AFECDE8">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便携式PH计</w:t>
            </w:r>
          </w:p>
          <w:p w14:paraId="6C757623">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PHB-4、YQ-036</w:t>
            </w:r>
          </w:p>
        </w:tc>
      </w:tr>
      <w:tr w14:paraId="6A3F18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59" w:type="dxa"/>
            <w:vAlign w:val="center"/>
          </w:tcPr>
          <w:p w14:paraId="54CD21A3">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总硬度</w:t>
            </w:r>
          </w:p>
        </w:tc>
        <w:tc>
          <w:tcPr>
            <w:tcW w:w="1292" w:type="dxa"/>
            <w:vAlign w:val="center"/>
          </w:tcPr>
          <w:p w14:paraId="1393F418">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1.0mg/L</w:t>
            </w:r>
          </w:p>
        </w:tc>
        <w:tc>
          <w:tcPr>
            <w:tcW w:w="3645" w:type="dxa"/>
            <w:vAlign w:val="center"/>
          </w:tcPr>
          <w:p w14:paraId="3B456AFC">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《生活饮用水标准检验方法感官性状和物理指标》/GB/T5750.4-20067.1乙二胺四乙酸二钠滴定法</w:t>
            </w:r>
          </w:p>
        </w:tc>
        <w:tc>
          <w:tcPr>
            <w:tcW w:w="2165" w:type="dxa"/>
            <w:vAlign w:val="center"/>
          </w:tcPr>
          <w:p w14:paraId="6F001951">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w:t>
            </w:r>
          </w:p>
        </w:tc>
      </w:tr>
      <w:tr w14:paraId="535845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59" w:type="dxa"/>
            <w:vAlign w:val="center"/>
          </w:tcPr>
          <w:p w14:paraId="008F44BE">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溶解性总固体</w:t>
            </w:r>
          </w:p>
        </w:tc>
        <w:tc>
          <w:tcPr>
            <w:tcW w:w="1292" w:type="dxa"/>
            <w:vAlign w:val="center"/>
          </w:tcPr>
          <w:p w14:paraId="04E4604D">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w:t>
            </w:r>
          </w:p>
        </w:tc>
        <w:tc>
          <w:tcPr>
            <w:tcW w:w="3645" w:type="dxa"/>
            <w:vAlign w:val="center"/>
          </w:tcPr>
          <w:p w14:paraId="2DD40681">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《生活饮用水标准检验方法感官性状和物理指标》/GB/T5750.4-20068.1称量法</w:t>
            </w:r>
          </w:p>
        </w:tc>
        <w:tc>
          <w:tcPr>
            <w:tcW w:w="2165" w:type="dxa"/>
            <w:vAlign w:val="center"/>
          </w:tcPr>
          <w:p w14:paraId="1F9E8C2E">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w:t>
            </w:r>
          </w:p>
        </w:tc>
      </w:tr>
      <w:tr w14:paraId="48BBDB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59" w:type="dxa"/>
            <w:vAlign w:val="center"/>
          </w:tcPr>
          <w:p w14:paraId="5CDFD98D">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eastAsia"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钾</w:t>
            </w:r>
            <w:r>
              <w:rPr>
                <w:rFonts w:hint="eastAsia" w:ascii="Times New Roman" w:hAnsi="Times New Roman" w:cs="Times New Roman"/>
                <w:color w:val="000000" w:themeColor="text1"/>
                <w:spacing w:val="-6"/>
                <w:sz w:val="21"/>
                <w:szCs w:val="21"/>
                <w:lang w:eastAsia="zh-CN"/>
                <w14:textFill>
                  <w14:solidFill>
                    <w14:schemeClr w14:val="tx1"/>
                  </w14:solidFill>
                </w14:textFill>
              </w:rPr>
              <w:t>（</w:t>
            </w:r>
            <w:r>
              <w:rPr>
                <w:rFonts w:hint="default" w:ascii="Times New Roman" w:hAnsi="Times New Roman" w:eastAsia="宋体" w:cs="Times New Roman"/>
                <w:color w:val="000000" w:themeColor="text1"/>
                <w:spacing w:val="-6"/>
                <w:sz w:val="21"/>
                <w:szCs w:val="21"/>
                <w14:textFill>
                  <w14:solidFill>
                    <w14:schemeClr w14:val="tx1"/>
                  </w14:solidFill>
                </w14:textFill>
              </w:rPr>
              <w:t>K+</w:t>
            </w:r>
            <w:r>
              <w:rPr>
                <w:rFonts w:hint="eastAsia" w:ascii="Times New Roman" w:hAnsi="Times New Roman" w:cs="Times New Roman"/>
                <w:color w:val="000000" w:themeColor="text1"/>
                <w:spacing w:val="-6"/>
                <w:sz w:val="21"/>
                <w:szCs w:val="21"/>
                <w:lang w:eastAsia="zh-CN"/>
                <w14:textFill>
                  <w14:solidFill>
                    <w14:schemeClr w14:val="tx1"/>
                  </w14:solidFill>
                </w14:textFill>
              </w:rPr>
              <w:t>）</w:t>
            </w:r>
          </w:p>
        </w:tc>
        <w:tc>
          <w:tcPr>
            <w:tcW w:w="1292" w:type="dxa"/>
            <w:vAlign w:val="center"/>
          </w:tcPr>
          <w:p w14:paraId="02817EF3">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lang w:val="zh-TW" w:eastAsia="zh-TW"/>
                <w14:textFill>
                  <w14:solidFill>
                    <w14:schemeClr w14:val="tx1"/>
                  </w14:solidFill>
                </w14:textFill>
              </w:rPr>
              <w:t>0.04</w:t>
            </w:r>
            <w:r>
              <w:rPr>
                <w:rFonts w:hint="default" w:ascii="Times New Roman" w:hAnsi="Times New Roman" w:eastAsia="宋体" w:cs="Times New Roman"/>
                <w:color w:val="000000" w:themeColor="text1"/>
                <w:spacing w:val="-6"/>
                <w:sz w:val="21"/>
                <w:szCs w:val="21"/>
                <w14:textFill>
                  <w14:solidFill>
                    <w14:schemeClr w14:val="tx1"/>
                  </w14:solidFill>
                </w14:textFill>
              </w:rPr>
              <w:t>mg/L</w:t>
            </w:r>
          </w:p>
        </w:tc>
        <w:tc>
          <w:tcPr>
            <w:tcW w:w="3645" w:type="dxa"/>
            <w:vMerge w:val="restart"/>
            <w:vAlign w:val="center"/>
          </w:tcPr>
          <w:p w14:paraId="00B56941">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《水质钾和钠的测定火焰原子吸收分光光度法》/GB/T11904-1989</w:t>
            </w:r>
          </w:p>
        </w:tc>
        <w:tc>
          <w:tcPr>
            <w:tcW w:w="2165" w:type="dxa"/>
            <w:vMerge w:val="restart"/>
            <w:vAlign w:val="center"/>
          </w:tcPr>
          <w:p w14:paraId="0E090D2E">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原子吸收分光光度计SP3803AA、</w:t>
            </w:r>
          </w:p>
          <w:p w14:paraId="317C9378">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YQ-002</w:t>
            </w:r>
          </w:p>
        </w:tc>
      </w:tr>
      <w:tr w14:paraId="29256D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59" w:type="dxa"/>
            <w:vAlign w:val="center"/>
          </w:tcPr>
          <w:p w14:paraId="13D405C5">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eastAsia"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钠</w:t>
            </w:r>
            <w:r>
              <w:rPr>
                <w:rFonts w:hint="eastAsia" w:ascii="Times New Roman" w:hAnsi="Times New Roman" w:cs="Times New Roman"/>
                <w:color w:val="000000" w:themeColor="text1"/>
                <w:spacing w:val="-6"/>
                <w:sz w:val="21"/>
                <w:szCs w:val="21"/>
                <w:lang w:eastAsia="zh-CN"/>
                <w14:textFill>
                  <w14:solidFill>
                    <w14:schemeClr w14:val="tx1"/>
                  </w14:solidFill>
                </w14:textFill>
              </w:rPr>
              <w:t>（</w:t>
            </w:r>
            <w:r>
              <w:rPr>
                <w:rFonts w:hint="default" w:ascii="Times New Roman" w:hAnsi="Times New Roman" w:eastAsia="宋体" w:cs="Times New Roman"/>
                <w:color w:val="000000" w:themeColor="text1"/>
                <w:spacing w:val="-6"/>
                <w:sz w:val="21"/>
                <w:szCs w:val="21"/>
                <w14:textFill>
                  <w14:solidFill>
                    <w14:schemeClr w14:val="tx1"/>
                  </w14:solidFill>
                </w14:textFill>
              </w:rPr>
              <w:t>Na</w:t>
            </w:r>
            <w:r>
              <w:rPr>
                <w:rFonts w:hint="default" w:ascii="Times New Roman" w:hAnsi="Times New Roman" w:eastAsia="宋体" w:cs="Times New Roman"/>
                <w:color w:val="000000" w:themeColor="text1"/>
                <w:spacing w:val="-6"/>
                <w:sz w:val="21"/>
                <w:szCs w:val="21"/>
                <w:vertAlign w:val="superscript"/>
                <w14:textFill>
                  <w14:solidFill>
                    <w14:schemeClr w14:val="tx1"/>
                  </w14:solidFill>
                </w14:textFill>
              </w:rPr>
              <w:t>+</w:t>
            </w:r>
            <w:r>
              <w:rPr>
                <w:rFonts w:hint="eastAsia" w:ascii="Times New Roman" w:hAnsi="Times New Roman" w:cs="Times New Roman"/>
                <w:color w:val="000000" w:themeColor="text1"/>
                <w:spacing w:val="-6"/>
                <w:sz w:val="21"/>
                <w:szCs w:val="21"/>
                <w:lang w:eastAsia="zh-CN"/>
                <w14:textFill>
                  <w14:solidFill>
                    <w14:schemeClr w14:val="tx1"/>
                  </w14:solidFill>
                </w14:textFill>
              </w:rPr>
              <w:t>）</w:t>
            </w:r>
          </w:p>
        </w:tc>
        <w:tc>
          <w:tcPr>
            <w:tcW w:w="1292" w:type="dxa"/>
            <w:vAlign w:val="center"/>
          </w:tcPr>
          <w:p w14:paraId="5A77FE2C">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0.01mg/L</w:t>
            </w:r>
          </w:p>
        </w:tc>
        <w:tc>
          <w:tcPr>
            <w:tcW w:w="3645" w:type="dxa"/>
            <w:vMerge w:val="continue"/>
            <w:vAlign w:val="center"/>
          </w:tcPr>
          <w:p w14:paraId="5BF58435">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p>
        </w:tc>
        <w:tc>
          <w:tcPr>
            <w:tcW w:w="2165" w:type="dxa"/>
            <w:vMerge w:val="continue"/>
            <w:vAlign w:val="center"/>
          </w:tcPr>
          <w:p w14:paraId="7F5266D5">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p>
        </w:tc>
      </w:tr>
      <w:tr w14:paraId="4B3B50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59" w:type="dxa"/>
            <w:vAlign w:val="center"/>
          </w:tcPr>
          <w:p w14:paraId="668BE5C9">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eastAsia"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钙</w:t>
            </w:r>
            <w:r>
              <w:rPr>
                <w:rFonts w:hint="eastAsia" w:ascii="Times New Roman" w:hAnsi="Times New Roman" w:cs="Times New Roman"/>
                <w:color w:val="000000" w:themeColor="text1"/>
                <w:spacing w:val="-6"/>
                <w:sz w:val="21"/>
                <w:szCs w:val="21"/>
                <w:lang w:eastAsia="zh-CN"/>
                <w14:textFill>
                  <w14:solidFill>
                    <w14:schemeClr w14:val="tx1"/>
                  </w14:solidFill>
                </w14:textFill>
              </w:rPr>
              <w:t>（</w:t>
            </w:r>
            <w:r>
              <w:rPr>
                <w:rFonts w:hint="default" w:ascii="Times New Roman" w:hAnsi="Times New Roman" w:eastAsia="宋体" w:cs="Times New Roman"/>
                <w:color w:val="000000" w:themeColor="text1"/>
                <w:spacing w:val="-6"/>
                <w:sz w:val="21"/>
                <w:szCs w:val="21"/>
                <w14:textFill>
                  <w14:solidFill>
                    <w14:schemeClr w14:val="tx1"/>
                  </w14:solidFill>
                </w14:textFill>
              </w:rPr>
              <w:t>Ca</w:t>
            </w:r>
            <w:r>
              <w:rPr>
                <w:rFonts w:hint="default" w:ascii="Times New Roman" w:hAnsi="Times New Roman" w:eastAsia="宋体" w:cs="Times New Roman"/>
                <w:color w:val="000000" w:themeColor="text1"/>
                <w:spacing w:val="-6"/>
                <w:sz w:val="21"/>
                <w:szCs w:val="21"/>
                <w:vertAlign w:val="superscript"/>
                <w14:textFill>
                  <w14:solidFill>
                    <w14:schemeClr w14:val="tx1"/>
                  </w14:solidFill>
                </w14:textFill>
              </w:rPr>
              <w:t>2+</w:t>
            </w:r>
            <w:r>
              <w:rPr>
                <w:rFonts w:hint="eastAsia" w:ascii="Times New Roman" w:hAnsi="Times New Roman" w:cs="Times New Roman"/>
                <w:color w:val="000000" w:themeColor="text1"/>
                <w:spacing w:val="-6"/>
                <w:sz w:val="21"/>
                <w:szCs w:val="21"/>
                <w:lang w:eastAsia="zh-CN"/>
                <w14:textFill>
                  <w14:solidFill>
                    <w14:schemeClr w14:val="tx1"/>
                  </w14:solidFill>
                </w14:textFill>
              </w:rPr>
              <w:t>）</w:t>
            </w:r>
          </w:p>
        </w:tc>
        <w:tc>
          <w:tcPr>
            <w:tcW w:w="1292" w:type="dxa"/>
            <w:vAlign w:val="center"/>
          </w:tcPr>
          <w:p w14:paraId="7BE0BED4">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0.02</w:t>
            </w:r>
            <w:r>
              <w:rPr>
                <w:rFonts w:hint="default" w:ascii="Times New Roman" w:hAnsi="Times New Roman" w:eastAsia="宋体" w:cs="Times New Roman"/>
                <w:color w:val="000000" w:themeColor="text1"/>
                <w:spacing w:val="-6"/>
                <w:sz w:val="21"/>
                <w:szCs w:val="21"/>
                <w:lang w:val="zh-TW" w:eastAsia="zh-TW"/>
                <w14:textFill>
                  <w14:solidFill>
                    <w14:schemeClr w14:val="tx1"/>
                  </w14:solidFill>
                </w14:textFill>
              </w:rPr>
              <w:t>mg/</w:t>
            </w:r>
            <w:r>
              <w:rPr>
                <w:rFonts w:hint="default" w:ascii="Times New Roman" w:hAnsi="Times New Roman" w:eastAsia="宋体" w:cs="Times New Roman"/>
                <w:color w:val="000000" w:themeColor="text1"/>
                <w:spacing w:val="-6"/>
                <w:sz w:val="21"/>
                <w:szCs w:val="21"/>
                <w14:textFill>
                  <w14:solidFill>
                    <w14:schemeClr w14:val="tx1"/>
                  </w14:solidFill>
                </w14:textFill>
              </w:rPr>
              <w:t>L</w:t>
            </w:r>
          </w:p>
        </w:tc>
        <w:tc>
          <w:tcPr>
            <w:tcW w:w="3645" w:type="dxa"/>
            <w:vMerge w:val="restart"/>
            <w:vAlign w:val="center"/>
          </w:tcPr>
          <w:p w14:paraId="1D5CD505">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《水质钙和镁的测定原子吸收分光光度法》/GB/T11905-1989</w:t>
            </w:r>
          </w:p>
        </w:tc>
        <w:tc>
          <w:tcPr>
            <w:tcW w:w="2165" w:type="dxa"/>
            <w:vMerge w:val="continue"/>
            <w:vAlign w:val="center"/>
          </w:tcPr>
          <w:p w14:paraId="6A88B011">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p>
        </w:tc>
      </w:tr>
      <w:tr w14:paraId="57ABB0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59" w:type="dxa"/>
            <w:vAlign w:val="center"/>
          </w:tcPr>
          <w:p w14:paraId="62946D59">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eastAsia"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镁</w:t>
            </w:r>
            <w:r>
              <w:rPr>
                <w:rFonts w:hint="eastAsia" w:ascii="Times New Roman" w:hAnsi="Times New Roman" w:cs="Times New Roman"/>
                <w:color w:val="000000" w:themeColor="text1"/>
                <w:spacing w:val="-6"/>
                <w:sz w:val="21"/>
                <w:szCs w:val="21"/>
                <w:lang w:eastAsia="zh-CN"/>
                <w14:textFill>
                  <w14:solidFill>
                    <w14:schemeClr w14:val="tx1"/>
                  </w14:solidFill>
                </w14:textFill>
              </w:rPr>
              <w:t>（</w:t>
            </w:r>
            <w:r>
              <w:rPr>
                <w:rFonts w:hint="default" w:ascii="Times New Roman" w:hAnsi="Times New Roman" w:eastAsia="宋体" w:cs="Times New Roman"/>
                <w:color w:val="000000" w:themeColor="text1"/>
                <w:spacing w:val="-6"/>
                <w:sz w:val="21"/>
                <w:szCs w:val="21"/>
                <w14:textFill>
                  <w14:solidFill>
                    <w14:schemeClr w14:val="tx1"/>
                  </w14:solidFill>
                </w14:textFill>
              </w:rPr>
              <w:t>Mg</w:t>
            </w:r>
            <w:r>
              <w:rPr>
                <w:rFonts w:hint="default" w:ascii="Times New Roman" w:hAnsi="Times New Roman" w:eastAsia="宋体" w:cs="Times New Roman"/>
                <w:color w:val="000000" w:themeColor="text1"/>
                <w:spacing w:val="-6"/>
                <w:sz w:val="21"/>
                <w:szCs w:val="21"/>
                <w:vertAlign w:val="superscript"/>
                <w14:textFill>
                  <w14:solidFill>
                    <w14:schemeClr w14:val="tx1"/>
                  </w14:solidFill>
                </w14:textFill>
              </w:rPr>
              <w:t>2+</w:t>
            </w:r>
            <w:r>
              <w:rPr>
                <w:rFonts w:hint="eastAsia" w:ascii="Times New Roman" w:hAnsi="Times New Roman" w:cs="Times New Roman"/>
                <w:color w:val="000000" w:themeColor="text1"/>
                <w:spacing w:val="-6"/>
                <w:sz w:val="21"/>
                <w:szCs w:val="21"/>
                <w:lang w:eastAsia="zh-CN"/>
                <w14:textFill>
                  <w14:solidFill>
                    <w14:schemeClr w14:val="tx1"/>
                  </w14:solidFill>
                </w14:textFill>
              </w:rPr>
              <w:t>）</w:t>
            </w:r>
          </w:p>
        </w:tc>
        <w:tc>
          <w:tcPr>
            <w:tcW w:w="1292" w:type="dxa"/>
            <w:vAlign w:val="center"/>
          </w:tcPr>
          <w:p w14:paraId="624E6599">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0.002</w:t>
            </w:r>
            <w:r>
              <w:rPr>
                <w:rFonts w:hint="default" w:ascii="Times New Roman" w:hAnsi="Times New Roman" w:eastAsia="宋体" w:cs="Times New Roman"/>
                <w:color w:val="000000" w:themeColor="text1"/>
                <w:spacing w:val="-6"/>
                <w:sz w:val="21"/>
                <w:szCs w:val="21"/>
                <w:lang w:val="zh-TW" w:eastAsia="zh-TW"/>
                <w14:textFill>
                  <w14:solidFill>
                    <w14:schemeClr w14:val="tx1"/>
                  </w14:solidFill>
                </w14:textFill>
              </w:rPr>
              <w:t>mg/</w:t>
            </w:r>
            <w:r>
              <w:rPr>
                <w:rFonts w:hint="default" w:ascii="Times New Roman" w:hAnsi="Times New Roman" w:eastAsia="宋体" w:cs="Times New Roman"/>
                <w:color w:val="000000" w:themeColor="text1"/>
                <w:spacing w:val="-6"/>
                <w:sz w:val="21"/>
                <w:szCs w:val="21"/>
                <w14:textFill>
                  <w14:solidFill>
                    <w14:schemeClr w14:val="tx1"/>
                  </w14:solidFill>
                </w14:textFill>
              </w:rPr>
              <w:t>L</w:t>
            </w:r>
          </w:p>
        </w:tc>
        <w:tc>
          <w:tcPr>
            <w:tcW w:w="3645" w:type="dxa"/>
            <w:vMerge w:val="continue"/>
            <w:vAlign w:val="center"/>
          </w:tcPr>
          <w:p w14:paraId="7EF96A15">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p>
        </w:tc>
        <w:tc>
          <w:tcPr>
            <w:tcW w:w="2165" w:type="dxa"/>
            <w:vMerge w:val="continue"/>
            <w:vAlign w:val="center"/>
          </w:tcPr>
          <w:p w14:paraId="160D163D">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p>
        </w:tc>
      </w:tr>
      <w:tr w14:paraId="4C87BE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59" w:type="dxa"/>
            <w:vAlign w:val="center"/>
          </w:tcPr>
          <w:p w14:paraId="79E2B40A">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碳酸根</w:t>
            </w:r>
          </w:p>
        </w:tc>
        <w:tc>
          <w:tcPr>
            <w:tcW w:w="1292" w:type="dxa"/>
            <w:vMerge w:val="restart"/>
            <w:vAlign w:val="center"/>
          </w:tcPr>
          <w:p w14:paraId="7D7B1C37">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w:t>
            </w:r>
          </w:p>
        </w:tc>
        <w:tc>
          <w:tcPr>
            <w:tcW w:w="3645" w:type="dxa"/>
            <w:vMerge w:val="restart"/>
            <w:vAlign w:val="center"/>
          </w:tcPr>
          <w:p w14:paraId="09F09AB8">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《水和废水监测分析方法》/（第四版增补版）只用第三篇　第一章　十二（一）酸碱指示剂滴定法</w:t>
            </w:r>
            <w:r>
              <w:rPr>
                <w:rFonts w:hint="eastAsia" w:ascii="Times New Roman" w:hAnsi="Times New Roman" w:cs="Times New Roman"/>
                <w:color w:val="000000" w:themeColor="text1"/>
                <w:spacing w:val="-6"/>
                <w:sz w:val="21"/>
                <w:szCs w:val="21"/>
                <w:lang w:eastAsia="zh-CN"/>
                <w14:textFill>
                  <w14:solidFill>
                    <w14:schemeClr w14:val="tx1"/>
                  </w14:solidFill>
                </w14:textFill>
              </w:rPr>
              <w:t>（</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B</w:t>
            </w:r>
            <w:r>
              <w:rPr>
                <w:rFonts w:hint="eastAsia" w:ascii="Times New Roman" w:hAnsi="Times New Roman" w:cs="Times New Roman"/>
                <w:color w:val="000000" w:themeColor="text1"/>
                <w:spacing w:val="-6"/>
                <w:sz w:val="21"/>
                <w:szCs w:val="21"/>
                <w:lang w:eastAsia="zh-CN"/>
                <w14:textFill>
                  <w14:solidFill>
                    <w14:schemeClr w14:val="tx1"/>
                  </w14:solidFill>
                </w14:textFill>
              </w:rPr>
              <w:t>）</w:t>
            </w:r>
          </w:p>
        </w:tc>
        <w:tc>
          <w:tcPr>
            <w:tcW w:w="2165" w:type="dxa"/>
            <w:vMerge w:val="continue"/>
            <w:vAlign w:val="center"/>
          </w:tcPr>
          <w:p w14:paraId="760E66EA">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p>
        </w:tc>
      </w:tr>
      <w:tr w14:paraId="337D6B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59" w:type="dxa"/>
            <w:vAlign w:val="center"/>
          </w:tcPr>
          <w:p w14:paraId="48D518CA">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碳酸氢根</w:t>
            </w:r>
          </w:p>
        </w:tc>
        <w:tc>
          <w:tcPr>
            <w:tcW w:w="1292" w:type="dxa"/>
            <w:vMerge w:val="continue"/>
            <w:vAlign w:val="center"/>
          </w:tcPr>
          <w:p w14:paraId="4B16888F">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p>
        </w:tc>
        <w:tc>
          <w:tcPr>
            <w:tcW w:w="3645" w:type="dxa"/>
            <w:vMerge w:val="continue"/>
            <w:vAlign w:val="center"/>
          </w:tcPr>
          <w:p w14:paraId="32842A40">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p>
        </w:tc>
        <w:tc>
          <w:tcPr>
            <w:tcW w:w="2165" w:type="dxa"/>
            <w:vMerge w:val="continue"/>
            <w:vAlign w:val="center"/>
          </w:tcPr>
          <w:p w14:paraId="5EF7DC1B">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p>
        </w:tc>
      </w:tr>
      <w:tr w14:paraId="182284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59" w:type="dxa"/>
            <w:vAlign w:val="center"/>
          </w:tcPr>
          <w:p w14:paraId="1EE018D0">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硫酸盐</w:t>
            </w:r>
          </w:p>
        </w:tc>
        <w:tc>
          <w:tcPr>
            <w:tcW w:w="1292" w:type="dxa"/>
            <w:vAlign w:val="center"/>
          </w:tcPr>
          <w:p w14:paraId="19173717">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8mg/L</w:t>
            </w:r>
          </w:p>
        </w:tc>
        <w:tc>
          <w:tcPr>
            <w:tcW w:w="3645" w:type="dxa"/>
            <w:vAlign w:val="center"/>
          </w:tcPr>
          <w:p w14:paraId="6E6944FD">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《水质硫酸盐的测定铬酸钡分光光度法</w:t>
            </w:r>
            <w:r>
              <w:rPr>
                <w:rFonts w:hint="eastAsia" w:ascii="Times New Roman" w:hAnsi="Times New Roman" w:cs="Times New Roman"/>
                <w:color w:val="000000" w:themeColor="text1"/>
                <w:spacing w:val="-6"/>
                <w:sz w:val="21"/>
                <w:szCs w:val="21"/>
                <w:lang w:eastAsia="zh-CN"/>
                <w14:textFill>
                  <w14:solidFill>
                    <w14:schemeClr w14:val="tx1"/>
                  </w14:solidFill>
                </w14:textFill>
              </w:rPr>
              <w:t>（</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试行</w:t>
            </w:r>
            <w:r>
              <w:rPr>
                <w:rFonts w:hint="eastAsia" w:ascii="Times New Roman" w:hAnsi="Times New Roman" w:cs="Times New Roman"/>
                <w:color w:val="000000" w:themeColor="text1"/>
                <w:spacing w:val="-6"/>
                <w:sz w:val="21"/>
                <w:szCs w:val="21"/>
                <w:lang w:eastAsia="zh-CN"/>
                <w14:textFill>
                  <w14:solidFill>
                    <w14:schemeClr w14:val="tx1"/>
                  </w14:solidFill>
                </w14:textFill>
              </w:rPr>
              <w:t>）</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》/HJ/T342-2007</w:t>
            </w:r>
          </w:p>
        </w:tc>
        <w:tc>
          <w:tcPr>
            <w:tcW w:w="2165" w:type="dxa"/>
            <w:vAlign w:val="center"/>
          </w:tcPr>
          <w:p w14:paraId="185FECF2">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可见分光光度计</w:t>
            </w:r>
          </w:p>
          <w:p w14:paraId="31EA7888">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721、YQ-016</w:t>
            </w:r>
          </w:p>
        </w:tc>
      </w:tr>
      <w:tr w14:paraId="4F4EB0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59" w:type="dxa"/>
            <w:vAlign w:val="center"/>
          </w:tcPr>
          <w:p w14:paraId="5ED8C29A">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氯化物</w:t>
            </w:r>
          </w:p>
        </w:tc>
        <w:tc>
          <w:tcPr>
            <w:tcW w:w="1292" w:type="dxa"/>
            <w:vAlign w:val="center"/>
          </w:tcPr>
          <w:p w14:paraId="50E8A453">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10</w:t>
            </w:r>
            <w:r>
              <w:rPr>
                <w:rFonts w:hint="default" w:ascii="Times New Roman" w:hAnsi="Times New Roman" w:eastAsia="宋体" w:cs="Times New Roman"/>
                <w:color w:val="000000" w:themeColor="text1"/>
                <w:spacing w:val="-6"/>
                <w:sz w:val="21"/>
                <w:szCs w:val="21"/>
                <w:lang w:val="zh-TW" w:eastAsia="zh-TW"/>
                <w14:textFill>
                  <w14:solidFill>
                    <w14:schemeClr w14:val="tx1"/>
                  </w14:solidFill>
                </w14:textFill>
              </w:rPr>
              <w:t>mg/</w:t>
            </w:r>
            <w:r>
              <w:rPr>
                <w:rFonts w:hint="default" w:ascii="Times New Roman" w:hAnsi="Times New Roman" w:eastAsia="宋体" w:cs="Times New Roman"/>
                <w:color w:val="000000" w:themeColor="text1"/>
                <w:spacing w:val="-6"/>
                <w:sz w:val="21"/>
                <w:szCs w:val="21"/>
                <w14:textFill>
                  <w14:solidFill>
                    <w14:schemeClr w14:val="tx1"/>
                  </w14:solidFill>
                </w14:textFill>
              </w:rPr>
              <w:t>L</w:t>
            </w:r>
          </w:p>
        </w:tc>
        <w:tc>
          <w:tcPr>
            <w:tcW w:w="3645" w:type="dxa"/>
            <w:vAlign w:val="center"/>
          </w:tcPr>
          <w:p w14:paraId="0E8ABFFE">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《水质氯化物的测定硝酸银</w:t>
            </w:r>
          </w:p>
          <w:p w14:paraId="51A3277F">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滴定法》/GB/T11896-1989</w:t>
            </w:r>
          </w:p>
        </w:tc>
        <w:tc>
          <w:tcPr>
            <w:tcW w:w="2165" w:type="dxa"/>
            <w:vAlign w:val="center"/>
          </w:tcPr>
          <w:p w14:paraId="7F923CDC">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w:t>
            </w:r>
          </w:p>
        </w:tc>
      </w:tr>
      <w:tr w14:paraId="1B8E42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1" w:hRule="atLeast"/>
          <w:jc w:val="center"/>
        </w:trPr>
        <w:tc>
          <w:tcPr>
            <w:tcW w:w="2159" w:type="dxa"/>
            <w:vAlign w:val="center"/>
          </w:tcPr>
          <w:p w14:paraId="6D47FF22">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氨氮</w:t>
            </w:r>
          </w:p>
        </w:tc>
        <w:tc>
          <w:tcPr>
            <w:tcW w:w="1292" w:type="dxa"/>
            <w:vAlign w:val="center"/>
          </w:tcPr>
          <w:p w14:paraId="5B2EA90D">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0.02mg/L</w:t>
            </w:r>
          </w:p>
        </w:tc>
        <w:tc>
          <w:tcPr>
            <w:tcW w:w="3645" w:type="dxa"/>
            <w:vAlign w:val="center"/>
          </w:tcPr>
          <w:p w14:paraId="1F8DBF83">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《生活饮用水标准检验方法无机非金属指标》/GB/T5750.5-2006只用9.1纳氏试剂分光光度法</w:t>
            </w:r>
          </w:p>
        </w:tc>
        <w:tc>
          <w:tcPr>
            <w:tcW w:w="2165" w:type="dxa"/>
            <w:vAlign w:val="center"/>
          </w:tcPr>
          <w:p w14:paraId="3230DA90">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可见分光光度计</w:t>
            </w:r>
          </w:p>
          <w:p w14:paraId="356CEFAB">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721、YQ-016</w:t>
            </w:r>
          </w:p>
        </w:tc>
      </w:tr>
      <w:tr w14:paraId="5C9F11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1" w:hRule="atLeast"/>
          <w:jc w:val="center"/>
        </w:trPr>
        <w:tc>
          <w:tcPr>
            <w:tcW w:w="2159" w:type="dxa"/>
            <w:vAlign w:val="center"/>
          </w:tcPr>
          <w:p w14:paraId="5D52D463">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亚硝酸盐氮</w:t>
            </w:r>
          </w:p>
        </w:tc>
        <w:tc>
          <w:tcPr>
            <w:tcW w:w="1292" w:type="dxa"/>
            <w:vAlign w:val="center"/>
          </w:tcPr>
          <w:p w14:paraId="08323CF7">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0.001mg/L</w:t>
            </w:r>
          </w:p>
        </w:tc>
        <w:tc>
          <w:tcPr>
            <w:tcW w:w="3645" w:type="dxa"/>
            <w:vAlign w:val="center"/>
          </w:tcPr>
          <w:p w14:paraId="0D2F4AE3">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《水质亚硝酸盐氮的测定分光光度法》/GB/T7493-1987</w:t>
            </w:r>
          </w:p>
        </w:tc>
        <w:tc>
          <w:tcPr>
            <w:tcW w:w="2165" w:type="dxa"/>
            <w:vAlign w:val="center"/>
          </w:tcPr>
          <w:p w14:paraId="1AE63CC4">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可见分光光度计</w:t>
            </w:r>
          </w:p>
          <w:p w14:paraId="4749B789">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721、YQ-016</w:t>
            </w:r>
          </w:p>
        </w:tc>
      </w:tr>
      <w:tr w14:paraId="213E0E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7" w:hRule="atLeast"/>
          <w:jc w:val="center"/>
        </w:trPr>
        <w:tc>
          <w:tcPr>
            <w:tcW w:w="2159" w:type="dxa"/>
            <w:vAlign w:val="center"/>
          </w:tcPr>
          <w:p w14:paraId="0A93F4C9">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硝酸盐氮</w:t>
            </w:r>
          </w:p>
        </w:tc>
        <w:tc>
          <w:tcPr>
            <w:tcW w:w="1292" w:type="dxa"/>
            <w:vAlign w:val="center"/>
          </w:tcPr>
          <w:p w14:paraId="233EEB46">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0.08mg/L</w:t>
            </w:r>
          </w:p>
        </w:tc>
        <w:tc>
          <w:tcPr>
            <w:tcW w:w="3645" w:type="dxa"/>
            <w:vAlign w:val="center"/>
          </w:tcPr>
          <w:p w14:paraId="2D4D1067">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《水质硝酸盐氮的测定紫外分光光度法》（试行）/HJT346-2007</w:t>
            </w:r>
          </w:p>
        </w:tc>
        <w:tc>
          <w:tcPr>
            <w:tcW w:w="2165" w:type="dxa"/>
            <w:vAlign w:val="center"/>
          </w:tcPr>
          <w:p w14:paraId="480FBD43">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紫外可见分光光度计TU-1810、YQ-006</w:t>
            </w:r>
          </w:p>
        </w:tc>
      </w:tr>
      <w:tr w14:paraId="44D313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1" w:hRule="atLeast"/>
          <w:jc w:val="center"/>
        </w:trPr>
        <w:tc>
          <w:tcPr>
            <w:tcW w:w="2159" w:type="dxa"/>
            <w:vAlign w:val="center"/>
          </w:tcPr>
          <w:p w14:paraId="60EDE204">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挥发酚类</w:t>
            </w:r>
          </w:p>
        </w:tc>
        <w:tc>
          <w:tcPr>
            <w:tcW w:w="1292" w:type="dxa"/>
            <w:vAlign w:val="center"/>
          </w:tcPr>
          <w:p w14:paraId="0C667C31">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0.0003mg/L</w:t>
            </w:r>
          </w:p>
        </w:tc>
        <w:tc>
          <w:tcPr>
            <w:tcW w:w="3645" w:type="dxa"/>
            <w:vAlign w:val="center"/>
          </w:tcPr>
          <w:p w14:paraId="4195168C">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《水质挥发酚的测定4-氨基安替比林分光光度法》/HJ503-2009</w:t>
            </w:r>
          </w:p>
        </w:tc>
        <w:tc>
          <w:tcPr>
            <w:tcW w:w="2165" w:type="dxa"/>
            <w:vAlign w:val="center"/>
          </w:tcPr>
          <w:p w14:paraId="717360CF">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可见分光光度计</w:t>
            </w:r>
          </w:p>
          <w:p w14:paraId="27B0B9F2">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721、YQ-016</w:t>
            </w:r>
          </w:p>
        </w:tc>
      </w:tr>
      <w:tr w14:paraId="43A25B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59" w:type="dxa"/>
            <w:vAlign w:val="center"/>
          </w:tcPr>
          <w:p w14:paraId="7F0568CE">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氰化物</w:t>
            </w:r>
          </w:p>
        </w:tc>
        <w:tc>
          <w:tcPr>
            <w:tcW w:w="1292" w:type="dxa"/>
            <w:vAlign w:val="center"/>
          </w:tcPr>
          <w:p w14:paraId="49BE1567">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0.002mg/L</w:t>
            </w:r>
          </w:p>
        </w:tc>
        <w:tc>
          <w:tcPr>
            <w:tcW w:w="3645" w:type="dxa"/>
            <w:vAlign w:val="center"/>
          </w:tcPr>
          <w:p w14:paraId="7C89AE3B">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《生活饮用水标准检验方法无机非金属指标》/GB/T5750.5-2006只用4.1异烟酸-吡唑酮分光光度法</w:t>
            </w:r>
          </w:p>
        </w:tc>
        <w:tc>
          <w:tcPr>
            <w:tcW w:w="2165" w:type="dxa"/>
            <w:vAlign w:val="center"/>
          </w:tcPr>
          <w:p w14:paraId="5D89C313">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可见分光光度计</w:t>
            </w:r>
          </w:p>
          <w:p w14:paraId="21E6A6EA">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721、YQ-016</w:t>
            </w:r>
          </w:p>
        </w:tc>
      </w:tr>
      <w:tr w14:paraId="45D06C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atLeast"/>
          <w:jc w:val="center"/>
        </w:trPr>
        <w:tc>
          <w:tcPr>
            <w:tcW w:w="2159" w:type="dxa"/>
            <w:vAlign w:val="center"/>
          </w:tcPr>
          <w:p w14:paraId="3E394F00">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砷</w:t>
            </w:r>
          </w:p>
        </w:tc>
        <w:tc>
          <w:tcPr>
            <w:tcW w:w="1292" w:type="dxa"/>
            <w:vAlign w:val="center"/>
          </w:tcPr>
          <w:p w14:paraId="29933475">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1.0μg/L</w:t>
            </w:r>
          </w:p>
        </w:tc>
        <w:tc>
          <w:tcPr>
            <w:tcW w:w="3645" w:type="dxa"/>
            <w:vAlign w:val="center"/>
          </w:tcPr>
          <w:p w14:paraId="4A4CE0C5">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《生活饮用水标准检验方法金属指标》/GB/T5750.6-2006只用6.1氢化物原子荧光法</w:t>
            </w:r>
          </w:p>
        </w:tc>
        <w:tc>
          <w:tcPr>
            <w:tcW w:w="2165" w:type="dxa"/>
            <w:vMerge w:val="restart"/>
            <w:vAlign w:val="center"/>
          </w:tcPr>
          <w:p w14:paraId="1C022E03">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原子荧光分光光度计AFS-8220、</w:t>
            </w:r>
          </w:p>
          <w:p w14:paraId="7385AA78">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YQ-001</w:t>
            </w:r>
          </w:p>
        </w:tc>
      </w:tr>
      <w:tr w14:paraId="353791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5" w:hRule="atLeast"/>
          <w:jc w:val="center"/>
        </w:trPr>
        <w:tc>
          <w:tcPr>
            <w:tcW w:w="2159" w:type="dxa"/>
            <w:vAlign w:val="center"/>
          </w:tcPr>
          <w:p w14:paraId="4566ACF2">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汞</w:t>
            </w:r>
          </w:p>
        </w:tc>
        <w:tc>
          <w:tcPr>
            <w:tcW w:w="1292" w:type="dxa"/>
            <w:vAlign w:val="center"/>
          </w:tcPr>
          <w:p w14:paraId="42488FE7">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0.1μg/L</w:t>
            </w:r>
          </w:p>
        </w:tc>
        <w:tc>
          <w:tcPr>
            <w:tcW w:w="3645" w:type="dxa"/>
            <w:vAlign w:val="center"/>
          </w:tcPr>
          <w:p w14:paraId="15E8B642">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《生活饮用水标准检验方法金属指标》/GB/T5750.6-2006只用8.1原子荧光法</w:t>
            </w:r>
          </w:p>
        </w:tc>
        <w:tc>
          <w:tcPr>
            <w:tcW w:w="2165" w:type="dxa"/>
            <w:vMerge w:val="continue"/>
            <w:vAlign w:val="center"/>
          </w:tcPr>
          <w:p w14:paraId="30AE9756">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p>
        </w:tc>
      </w:tr>
      <w:tr w14:paraId="312ABD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59" w:type="dxa"/>
            <w:vAlign w:val="center"/>
          </w:tcPr>
          <w:p w14:paraId="10B3BEC4">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六价铬</w:t>
            </w:r>
          </w:p>
        </w:tc>
        <w:tc>
          <w:tcPr>
            <w:tcW w:w="1292" w:type="dxa"/>
            <w:vAlign w:val="center"/>
          </w:tcPr>
          <w:p w14:paraId="16EBE979">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0.004mg/L</w:t>
            </w:r>
          </w:p>
        </w:tc>
        <w:tc>
          <w:tcPr>
            <w:tcW w:w="3645" w:type="dxa"/>
            <w:vAlign w:val="center"/>
          </w:tcPr>
          <w:p w14:paraId="097FDD19">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《生活饮用水标准检验方法金属指标》/GB/T5750.6-2006只用10.1二苯碳酰二肼分光光度法</w:t>
            </w:r>
          </w:p>
        </w:tc>
        <w:tc>
          <w:tcPr>
            <w:tcW w:w="2165" w:type="dxa"/>
            <w:vAlign w:val="center"/>
          </w:tcPr>
          <w:p w14:paraId="231E4C3B">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可见分光光度计</w:t>
            </w:r>
          </w:p>
          <w:p w14:paraId="3F5B8405">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721、YQ-016</w:t>
            </w:r>
          </w:p>
        </w:tc>
      </w:tr>
      <w:tr w14:paraId="0A880F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59" w:type="dxa"/>
            <w:vAlign w:val="center"/>
          </w:tcPr>
          <w:p w14:paraId="291F4AE1">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lang w:val="zh-TW"/>
                <w14:textFill>
                  <w14:solidFill>
                    <w14:schemeClr w14:val="tx1"/>
                  </w14:solidFill>
                </w14:textFill>
              </w:rPr>
              <w:t>氟化物</w:t>
            </w:r>
          </w:p>
        </w:tc>
        <w:tc>
          <w:tcPr>
            <w:tcW w:w="1292" w:type="dxa"/>
            <w:vAlign w:val="center"/>
          </w:tcPr>
          <w:p w14:paraId="66C0B94A">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0.05</w:t>
            </w:r>
            <w:r>
              <w:rPr>
                <w:rFonts w:hint="default" w:ascii="Times New Roman" w:hAnsi="Times New Roman" w:eastAsia="宋体" w:cs="Times New Roman"/>
                <w:color w:val="000000" w:themeColor="text1"/>
                <w:spacing w:val="-6"/>
                <w:sz w:val="21"/>
                <w:szCs w:val="21"/>
                <w:lang w:val="zh-TW" w:eastAsia="zh-TW"/>
                <w14:textFill>
                  <w14:solidFill>
                    <w14:schemeClr w14:val="tx1"/>
                  </w14:solidFill>
                </w14:textFill>
              </w:rPr>
              <w:t>mg/L</w:t>
            </w:r>
          </w:p>
        </w:tc>
        <w:tc>
          <w:tcPr>
            <w:tcW w:w="3645" w:type="dxa"/>
            <w:vAlign w:val="center"/>
          </w:tcPr>
          <w:p w14:paraId="66885103">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《水质氟化物的测定离子选择电极法》/GB/T7484-1987</w:t>
            </w:r>
          </w:p>
        </w:tc>
        <w:tc>
          <w:tcPr>
            <w:tcW w:w="2165" w:type="dxa"/>
            <w:vAlign w:val="center"/>
          </w:tcPr>
          <w:p w14:paraId="7892BE38">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pH计PHS-3E、</w:t>
            </w:r>
          </w:p>
          <w:p w14:paraId="23A2F1F2">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YQ-068</w:t>
            </w:r>
          </w:p>
        </w:tc>
      </w:tr>
      <w:tr w14:paraId="36D9DC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59" w:type="dxa"/>
            <w:vAlign w:val="center"/>
          </w:tcPr>
          <w:p w14:paraId="0D803529">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硫化物</w:t>
            </w:r>
          </w:p>
        </w:tc>
        <w:tc>
          <w:tcPr>
            <w:tcW w:w="1292" w:type="dxa"/>
            <w:vAlign w:val="center"/>
          </w:tcPr>
          <w:p w14:paraId="014207EC">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0.003mg/L</w:t>
            </w:r>
          </w:p>
        </w:tc>
        <w:tc>
          <w:tcPr>
            <w:tcW w:w="3645" w:type="dxa"/>
            <w:vAlign w:val="center"/>
          </w:tcPr>
          <w:p w14:paraId="2229CB5D">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《水质硫化物的测定亚甲基蓝分光光度法》/HJ1226-2021</w:t>
            </w:r>
          </w:p>
        </w:tc>
        <w:tc>
          <w:tcPr>
            <w:tcW w:w="2165" w:type="dxa"/>
            <w:vAlign w:val="center"/>
          </w:tcPr>
          <w:p w14:paraId="45F6008A">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可见分光光度计</w:t>
            </w:r>
          </w:p>
          <w:p w14:paraId="6A530D75">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721、YQ-016</w:t>
            </w:r>
          </w:p>
        </w:tc>
      </w:tr>
      <w:tr w14:paraId="6B290E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2159" w:type="dxa"/>
            <w:vAlign w:val="center"/>
          </w:tcPr>
          <w:p w14:paraId="031F4939">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锰</w:t>
            </w:r>
          </w:p>
        </w:tc>
        <w:tc>
          <w:tcPr>
            <w:tcW w:w="1292" w:type="dxa"/>
            <w:vAlign w:val="center"/>
          </w:tcPr>
          <w:p w14:paraId="60CF31F5">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0.01</w:t>
            </w:r>
            <w:r>
              <w:rPr>
                <w:rFonts w:hint="default" w:ascii="Times New Roman" w:hAnsi="Times New Roman" w:eastAsia="宋体" w:cs="Times New Roman"/>
                <w:color w:val="000000" w:themeColor="text1"/>
                <w:spacing w:val="-6"/>
                <w:sz w:val="21"/>
                <w:szCs w:val="21"/>
                <w:lang w:val="zh-TW" w:eastAsia="zh-TW"/>
                <w14:textFill>
                  <w14:solidFill>
                    <w14:schemeClr w14:val="tx1"/>
                  </w14:solidFill>
                </w14:textFill>
              </w:rPr>
              <w:t>mg/</w:t>
            </w:r>
            <w:r>
              <w:rPr>
                <w:rFonts w:hint="default" w:ascii="Times New Roman" w:hAnsi="Times New Roman" w:eastAsia="宋体" w:cs="Times New Roman"/>
                <w:color w:val="000000" w:themeColor="text1"/>
                <w:spacing w:val="-6"/>
                <w:sz w:val="21"/>
                <w:szCs w:val="21"/>
                <w14:textFill>
                  <w14:solidFill>
                    <w14:schemeClr w14:val="tx1"/>
                  </w14:solidFill>
                </w14:textFill>
              </w:rPr>
              <w:t>L</w:t>
            </w:r>
          </w:p>
        </w:tc>
        <w:tc>
          <w:tcPr>
            <w:tcW w:w="3645" w:type="dxa"/>
            <w:vMerge w:val="restart"/>
            <w:vAlign w:val="center"/>
          </w:tcPr>
          <w:p w14:paraId="0A29C74C">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《水质铁、锰的测定火焰原子吸收分光光度法》/GB/T11911-1989</w:t>
            </w:r>
          </w:p>
        </w:tc>
        <w:tc>
          <w:tcPr>
            <w:tcW w:w="2165" w:type="dxa"/>
            <w:vMerge w:val="restart"/>
            <w:vAlign w:val="center"/>
          </w:tcPr>
          <w:p w14:paraId="6463B4F0">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原子吸收分光光度计SP-3803AA、YQ-002</w:t>
            </w:r>
          </w:p>
        </w:tc>
      </w:tr>
      <w:tr w14:paraId="512D51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5" w:hRule="atLeast"/>
          <w:jc w:val="center"/>
        </w:trPr>
        <w:tc>
          <w:tcPr>
            <w:tcW w:w="2159" w:type="dxa"/>
            <w:vAlign w:val="center"/>
          </w:tcPr>
          <w:p w14:paraId="069510A0">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铁</w:t>
            </w:r>
          </w:p>
        </w:tc>
        <w:tc>
          <w:tcPr>
            <w:tcW w:w="1292" w:type="dxa"/>
            <w:vAlign w:val="center"/>
          </w:tcPr>
          <w:p w14:paraId="38E24729">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0.03</w:t>
            </w:r>
            <w:r>
              <w:rPr>
                <w:rFonts w:hint="default" w:ascii="Times New Roman" w:hAnsi="Times New Roman" w:eastAsia="宋体" w:cs="Times New Roman"/>
                <w:color w:val="000000" w:themeColor="text1"/>
                <w:spacing w:val="-6"/>
                <w:sz w:val="21"/>
                <w:szCs w:val="21"/>
                <w:lang w:val="zh-TW" w:eastAsia="zh-TW"/>
                <w14:textFill>
                  <w14:solidFill>
                    <w14:schemeClr w14:val="tx1"/>
                  </w14:solidFill>
                </w14:textFill>
              </w:rPr>
              <w:t>mg/</w:t>
            </w:r>
            <w:r>
              <w:rPr>
                <w:rFonts w:hint="default" w:ascii="Times New Roman" w:hAnsi="Times New Roman" w:eastAsia="宋体" w:cs="Times New Roman"/>
                <w:color w:val="000000" w:themeColor="text1"/>
                <w:spacing w:val="-6"/>
                <w:sz w:val="21"/>
                <w:szCs w:val="21"/>
                <w14:textFill>
                  <w14:solidFill>
                    <w14:schemeClr w14:val="tx1"/>
                  </w14:solidFill>
                </w14:textFill>
              </w:rPr>
              <w:t>L</w:t>
            </w:r>
          </w:p>
        </w:tc>
        <w:tc>
          <w:tcPr>
            <w:tcW w:w="3645" w:type="dxa"/>
            <w:vMerge w:val="continue"/>
            <w:vAlign w:val="center"/>
          </w:tcPr>
          <w:p w14:paraId="3FBCF6B5">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p>
        </w:tc>
        <w:tc>
          <w:tcPr>
            <w:tcW w:w="2165" w:type="dxa"/>
            <w:vMerge w:val="continue"/>
            <w:vAlign w:val="center"/>
          </w:tcPr>
          <w:p w14:paraId="4D4E68C7">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p>
        </w:tc>
      </w:tr>
      <w:tr w14:paraId="02380F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5" w:hRule="atLeast"/>
          <w:jc w:val="center"/>
        </w:trPr>
        <w:tc>
          <w:tcPr>
            <w:tcW w:w="2159" w:type="dxa"/>
            <w:vAlign w:val="center"/>
          </w:tcPr>
          <w:p w14:paraId="4D9A15E6">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铅</w:t>
            </w:r>
          </w:p>
        </w:tc>
        <w:tc>
          <w:tcPr>
            <w:tcW w:w="1292" w:type="dxa"/>
            <w:vAlign w:val="center"/>
          </w:tcPr>
          <w:p w14:paraId="6BF1E88C">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2.5μg/L</w:t>
            </w:r>
          </w:p>
        </w:tc>
        <w:tc>
          <w:tcPr>
            <w:tcW w:w="3645" w:type="dxa"/>
            <w:vAlign w:val="center"/>
          </w:tcPr>
          <w:p w14:paraId="2FE2FC93">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《生活饮用水标准检验方法金属指标》/GB/T5750.6-200611.1</w:t>
            </w:r>
          </w:p>
        </w:tc>
        <w:tc>
          <w:tcPr>
            <w:tcW w:w="2165" w:type="dxa"/>
            <w:vAlign w:val="center"/>
          </w:tcPr>
          <w:p w14:paraId="5A71131F">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原子吸收分光光度计SP-3803AA、</w:t>
            </w:r>
          </w:p>
          <w:p w14:paraId="18FFEB73">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YQ-002</w:t>
            </w:r>
          </w:p>
        </w:tc>
      </w:tr>
      <w:tr w14:paraId="181A12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5" w:hRule="atLeast"/>
          <w:jc w:val="center"/>
        </w:trPr>
        <w:tc>
          <w:tcPr>
            <w:tcW w:w="2159" w:type="dxa"/>
            <w:vAlign w:val="center"/>
          </w:tcPr>
          <w:p w14:paraId="6A6C8C39">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镉</w:t>
            </w:r>
          </w:p>
        </w:tc>
        <w:tc>
          <w:tcPr>
            <w:tcW w:w="1292" w:type="dxa"/>
            <w:vAlign w:val="center"/>
          </w:tcPr>
          <w:p w14:paraId="052CB36F">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0.5μg/L</w:t>
            </w:r>
          </w:p>
        </w:tc>
        <w:tc>
          <w:tcPr>
            <w:tcW w:w="3645" w:type="dxa"/>
            <w:vAlign w:val="center"/>
          </w:tcPr>
          <w:p w14:paraId="4935B3F5">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《生活饮用水标准检验方法金属指标》/GB/T5750.6-20069.1</w:t>
            </w:r>
          </w:p>
        </w:tc>
        <w:tc>
          <w:tcPr>
            <w:tcW w:w="2165" w:type="dxa"/>
            <w:vAlign w:val="center"/>
          </w:tcPr>
          <w:p w14:paraId="666E1B7D">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原子吸收分光光度计SP-3803AA、</w:t>
            </w:r>
          </w:p>
          <w:p w14:paraId="0A92659E">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YQ-002</w:t>
            </w:r>
          </w:p>
        </w:tc>
      </w:tr>
      <w:tr w14:paraId="589055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59" w:type="dxa"/>
            <w:vAlign w:val="center"/>
          </w:tcPr>
          <w:p w14:paraId="247606E8">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耗氧量</w:t>
            </w:r>
          </w:p>
        </w:tc>
        <w:tc>
          <w:tcPr>
            <w:tcW w:w="1292" w:type="dxa"/>
            <w:vAlign w:val="center"/>
          </w:tcPr>
          <w:p w14:paraId="326CEC0A">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0.05</w:t>
            </w:r>
            <w:r>
              <w:rPr>
                <w:rFonts w:hint="default" w:ascii="Times New Roman" w:hAnsi="Times New Roman" w:eastAsia="宋体" w:cs="Times New Roman"/>
                <w:color w:val="000000" w:themeColor="text1"/>
                <w:spacing w:val="-6"/>
                <w:sz w:val="21"/>
                <w:szCs w:val="21"/>
                <w:lang w:val="zh-TW" w:eastAsia="zh-TW"/>
                <w14:textFill>
                  <w14:solidFill>
                    <w14:schemeClr w14:val="tx1"/>
                  </w14:solidFill>
                </w14:textFill>
              </w:rPr>
              <w:t>mg/</w:t>
            </w:r>
            <w:r>
              <w:rPr>
                <w:rFonts w:hint="default" w:ascii="Times New Roman" w:hAnsi="Times New Roman" w:eastAsia="宋体" w:cs="Times New Roman"/>
                <w:color w:val="000000" w:themeColor="text1"/>
                <w:spacing w:val="-6"/>
                <w:sz w:val="21"/>
                <w:szCs w:val="21"/>
                <w14:textFill>
                  <w14:solidFill>
                    <w14:schemeClr w14:val="tx1"/>
                  </w14:solidFill>
                </w14:textFill>
              </w:rPr>
              <w:t>L</w:t>
            </w:r>
          </w:p>
        </w:tc>
        <w:tc>
          <w:tcPr>
            <w:tcW w:w="3645" w:type="dxa"/>
            <w:vAlign w:val="center"/>
          </w:tcPr>
          <w:p w14:paraId="60F5292D">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《生活饮用水标准检验方法有机物综合指标》/GB/T5750.7-2006</w:t>
            </w:r>
            <w:r>
              <w:rPr>
                <w:rFonts w:hint="default" w:ascii="Times New Roman" w:hAnsi="Times New Roman" w:eastAsia="宋体" w:cs="Times New Roman"/>
                <w:color w:val="000000" w:themeColor="text1"/>
                <w:spacing w:val="-6"/>
                <w:sz w:val="21"/>
                <w:szCs w:val="21"/>
                <w:lang w:val="zh-TW" w:eastAsia="zh-CN"/>
                <w14:textFill>
                  <w14:solidFill>
                    <w14:schemeClr w14:val="tx1"/>
                  </w14:solidFill>
                </w14:textFill>
              </w:rPr>
              <w:t>1.1</w:t>
            </w:r>
          </w:p>
        </w:tc>
        <w:tc>
          <w:tcPr>
            <w:tcW w:w="2165" w:type="dxa"/>
            <w:vAlign w:val="center"/>
          </w:tcPr>
          <w:p w14:paraId="2F406B02">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w:t>
            </w:r>
          </w:p>
        </w:tc>
      </w:tr>
      <w:tr w14:paraId="766F69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59" w:type="dxa"/>
            <w:vAlign w:val="center"/>
          </w:tcPr>
          <w:p w14:paraId="046CBA82">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细菌总数</w:t>
            </w:r>
          </w:p>
        </w:tc>
        <w:tc>
          <w:tcPr>
            <w:tcW w:w="1292" w:type="dxa"/>
            <w:vAlign w:val="center"/>
          </w:tcPr>
          <w:p w14:paraId="7FD99CBA">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w:t>
            </w:r>
          </w:p>
        </w:tc>
        <w:tc>
          <w:tcPr>
            <w:tcW w:w="3645" w:type="dxa"/>
            <w:vAlign w:val="center"/>
          </w:tcPr>
          <w:p w14:paraId="6AB498E2">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《水质细菌总数的测定平皿计数法》/HJ1000-2018</w:t>
            </w:r>
          </w:p>
        </w:tc>
        <w:tc>
          <w:tcPr>
            <w:tcW w:w="2165" w:type="dxa"/>
            <w:vMerge w:val="restart"/>
            <w:vAlign w:val="center"/>
          </w:tcPr>
          <w:p w14:paraId="229BF1CA">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生化培养箱</w:t>
            </w:r>
          </w:p>
          <w:p w14:paraId="28E2D3ED">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SHP-250、YQ-160</w:t>
            </w:r>
          </w:p>
        </w:tc>
      </w:tr>
      <w:tr w14:paraId="332261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9" w:hRule="atLeast"/>
          <w:jc w:val="center"/>
        </w:trPr>
        <w:tc>
          <w:tcPr>
            <w:tcW w:w="2159" w:type="dxa"/>
            <w:vAlign w:val="center"/>
          </w:tcPr>
          <w:p w14:paraId="51C12405">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总大肠菌群</w:t>
            </w:r>
          </w:p>
        </w:tc>
        <w:tc>
          <w:tcPr>
            <w:tcW w:w="1292" w:type="dxa"/>
            <w:vAlign w:val="center"/>
          </w:tcPr>
          <w:p w14:paraId="7D6916CE">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w:t>
            </w:r>
          </w:p>
        </w:tc>
        <w:tc>
          <w:tcPr>
            <w:tcW w:w="3645" w:type="dxa"/>
            <w:vAlign w:val="center"/>
          </w:tcPr>
          <w:p w14:paraId="4EBDDE44">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《生活饮用水标准检验方法微生物指标》/GB/T5750.12-2006</w:t>
            </w:r>
          </w:p>
        </w:tc>
        <w:tc>
          <w:tcPr>
            <w:tcW w:w="2165" w:type="dxa"/>
            <w:vMerge w:val="continue"/>
            <w:vAlign w:val="center"/>
          </w:tcPr>
          <w:p w14:paraId="6C440DA1">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p>
        </w:tc>
      </w:tr>
    </w:tbl>
    <w:p w14:paraId="4FF30226">
      <w:pPr>
        <w:pStyle w:val="11"/>
        <w:keepNext w:val="0"/>
        <w:keepLines w:val="0"/>
        <w:pageBreakBefore w:val="0"/>
        <w:kinsoku/>
        <w:wordWrap/>
        <w:overflowPunct/>
        <w:topLinePunct w:val="0"/>
        <w:autoSpaceDE/>
        <w:autoSpaceDN/>
        <w:bidi w:val="0"/>
        <w:adjustRightInd/>
        <w:ind w:firstLine="456"/>
        <w:outlineLvl w:val="9"/>
        <w:rPr>
          <w:rFonts w:hint="default" w:ascii="Times New Roman" w:hAnsi="Times New Roman" w:eastAsia="宋体" w:cs="Times New Roman"/>
          <w:color w:val="000000" w:themeColor="text1"/>
          <w:spacing w:val="-6"/>
          <w:lang w:eastAsia="zh-CN"/>
          <w14:textFill>
            <w14:solidFill>
              <w14:schemeClr w14:val="tx1"/>
            </w14:solidFill>
          </w14:textFill>
        </w:rPr>
      </w:pPr>
      <w:bookmarkStart w:id="202" w:name="_Toc17334"/>
      <w:bookmarkStart w:id="203" w:name="_Toc14806"/>
      <w:r>
        <w:rPr>
          <w:rFonts w:hint="default" w:ascii="Times New Roman" w:hAnsi="Times New Roman" w:eastAsia="宋体" w:cs="Times New Roman"/>
          <w:color w:val="000000" w:themeColor="text1"/>
          <w:spacing w:val="-6"/>
          <w:lang w:eastAsia="zh-CN"/>
          <w14:textFill>
            <w14:solidFill>
              <w14:schemeClr w14:val="tx1"/>
            </w14:solidFill>
          </w14:textFill>
        </w:rPr>
        <w:t>（5）执行标准</w:t>
      </w:r>
      <w:bookmarkEnd w:id="202"/>
      <w:bookmarkEnd w:id="203"/>
    </w:p>
    <w:p w14:paraId="4D3B9CE5">
      <w:pPr>
        <w:pStyle w:val="11"/>
        <w:keepNext w:val="0"/>
        <w:keepLines w:val="0"/>
        <w:pageBreakBefore w:val="0"/>
        <w:kinsoku/>
        <w:wordWrap/>
        <w:overflowPunct/>
        <w:topLinePunct w:val="0"/>
        <w:autoSpaceDE/>
        <w:autoSpaceDN/>
        <w:bidi w:val="0"/>
        <w:adjustRightInd/>
        <w:ind w:firstLine="456"/>
        <w:outlineLvl w:val="9"/>
        <w:rPr>
          <w:rFonts w:hint="default" w:ascii="Times New Roman" w:hAnsi="Times New Roman" w:eastAsia="宋体" w:cs="Times New Roman"/>
          <w:color w:val="000000" w:themeColor="text1"/>
          <w:spacing w:val="-6"/>
          <w:lang w:eastAsia="zh-CN"/>
          <w14:textFill>
            <w14:solidFill>
              <w14:schemeClr w14:val="tx1"/>
            </w14:solidFill>
          </w14:textFill>
        </w:rPr>
      </w:pPr>
      <w:r>
        <w:rPr>
          <w:rFonts w:hint="default" w:ascii="Times New Roman" w:hAnsi="Times New Roman" w:eastAsia="宋体" w:cs="Times New Roman"/>
          <w:color w:val="000000" w:themeColor="text1"/>
          <w:spacing w:val="-6"/>
          <w:lang w:eastAsia="zh-CN"/>
          <w14:textFill>
            <w14:solidFill>
              <w14:schemeClr w14:val="tx1"/>
            </w14:solidFill>
          </w14:textFill>
        </w:rPr>
        <w:t>执行《地下水质量标准》（GB/T14848-2017）Ⅲ类标准。</w:t>
      </w:r>
    </w:p>
    <w:p w14:paraId="25DEA1CB">
      <w:pPr>
        <w:pStyle w:val="11"/>
        <w:keepNext w:val="0"/>
        <w:keepLines w:val="0"/>
        <w:pageBreakBefore w:val="0"/>
        <w:kinsoku/>
        <w:wordWrap/>
        <w:overflowPunct/>
        <w:topLinePunct w:val="0"/>
        <w:autoSpaceDE/>
        <w:autoSpaceDN/>
        <w:bidi w:val="0"/>
        <w:adjustRightInd/>
        <w:ind w:firstLine="456"/>
        <w:outlineLvl w:val="9"/>
        <w:rPr>
          <w:rFonts w:hint="default" w:ascii="Times New Roman" w:hAnsi="Times New Roman" w:eastAsia="宋体" w:cs="Times New Roman"/>
          <w:color w:val="000000" w:themeColor="text1"/>
          <w:spacing w:val="-6"/>
          <w:lang w:eastAsia="zh-CN"/>
          <w14:textFill>
            <w14:solidFill>
              <w14:schemeClr w14:val="tx1"/>
            </w14:solidFill>
          </w14:textFill>
        </w:rPr>
      </w:pPr>
      <w:bookmarkStart w:id="204" w:name="_Toc25174"/>
      <w:bookmarkStart w:id="205" w:name="_Toc31851"/>
      <w:r>
        <w:rPr>
          <w:rFonts w:hint="default" w:ascii="Times New Roman" w:hAnsi="Times New Roman" w:eastAsia="宋体" w:cs="Times New Roman"/>
          <w:color w:val="000000" w:themeColor="text1"/>
          <w:spacing w:val="-6"/>
          <w:lang w:eastAsia="zh-CN"/>
          <w14:textFill>
            <w14:solidFill>
              <w14:schemeClr w14:val="tx1"/>
            </w14:solidFill>
          </w14:textFill>
        </w:rPr>
        <w:t>（6）评价方法：</w:t>
      </w:r>
      <w:bookmarkEnd w:id="204"/>
      <w:bookmarkEnd w:id="205"/>
    </w:p>
    <w:p w14:paraId="7FABF896">
      <w:pPr>
        <w:pStyle w:val="11"/>
        <w:keepNext w:val="0"/>
        <w:keepLines w:val="0"/>
        <w:pageBreakBefore w:val="0"/>
        <w:kinsoku/>
        <w:wordWrap/>
        <w:overflowPunct/>
        <w:topLinePunct w:val="0"/>
        <w:autoSpaceDE/>
        <w:autoSpaceDN/>
        <w:bidi w:val="0"/>
        <w:adjustRightInd/>
        <w:ind w:firstLine="456"/>
        <w:outlineLvl w:val="9"/>
        <w:rPr>
          <w:rFonts w:hint="default" w:ascii="Times New Roman" w:hAnsi="Times New Roman" w:eastAsia="宋体" w:cs="Times New Roman"/>
          <w:color w:val="000000" w:themeColor="text1"/>
          <w:spacing w:val="-6"/>
          <w:lang w:eastAsia="zh-CN"/>
          <w14:textFill>
            <w14:solidFill>
              <w14:schemeClr w14:val="tx1"/>
            </w14:solidFill>
          </w14:textFill>
        </w:rPr>
      </w:pPr>
      <w:r>
        <w:rPr>
          <w:rFonts w:hint="default" w:ascii="Times New Roman" w:hAnsi="Times New Roman" w:eastAsia="宋体" w:cs="Times New Roman"/>
          <w:color w:val="000000" w:themeColor="text1"/>
          <w:spacing w:val="-6"/>
          <w:lang w:eastAsia="zh-CN"/>
          <w14:textFill>
            <w14:solidFill>
              <w14:schemeClr w14:val="tx1"/>
            </w14:solidFill>
          </w14:textFill>
        </w:rPr>
        <w:t>采用标准指数法评价地下水中各种因子的指数，确定主要污染物。</w:t>
      </w:r>
    </w:p>
    <w:p w14:paraId="47ECBAC3">
      <w:pPr>
        <w:pStyle w:val="11"/>
        <w:keepNext w:val="0"/>
        <w:keepLines w:val="0"/>
        <w:pageBreakBefore w:val="0"/>
        <w:kinsoku/>
        <w:wordWrap/>
        <w:overflowPunct/>
        <w:topLinePunct w:val="0"/>
        <w:autoSpaceDE/>
        <w:autoSpaceDN/>
        <w:bidi w:val="0"/>
        <w:adjustRightInd/>
        <w:ind w:firstLine="456"/>
        <w:outlineLvl w:val="9"/>
        <w:rPr>
          <w:rFonts w:hint="default" w:ascii="Times New Roman" w:hAnsi="Times New Roman" w:eastAsia="宋体" w:cs="Times New Roman"/>
          <w:color w:val="000000" w:themeColor="text1"/>
          <w:spacing w:val="-6"/>
          <w:lang w:eastAsia="zh-CN"/>
          <w14:textFill>
            <w14:solidFill>
              <w14:schemeClr w14:val="tx1"/>
            </w14:solidFill>
          </w14:textFill>
        </w:rPr>
      </w:pPr>
      <w:r>
        <w:rPr>
          <w:rFonts w:hint="default" w:ascii="Times New Roman" w:hAnsi="Times New Roman" w:eastAsia="宋体" w:cs="Times New Roman"/>
          <w:color w:val="000000" w:themeColor="text1"/>
          <w:spacing w:val="-6"/>
          <w:lang w:eastAsia="zh-CN"/>
          <w14:textFill>
            <w14:solidFill>
              <w14:schemeClr w14:val="tx1"/>
            </w14:solidFill>
          </w14:textFill>
        </w:rPr>
        <w:t>模式为：</w:t>
      </w:r>
      <w:r>
        <w:rPr>
          <w:rFonts w:hint="default" w:ascii="Times New Roman" w:hAnsi="Times New Roman" w:eastAsia="宋体" w:cs="Times New Roman"/>
          <w:color w:val="000000" w:themeColor="text1"/>
          <w:spacing w:val="-6"/>
          <w:sz w:val="36"/>
          <w:szCs w:val="36"/>
          <w:lang w:eastAsia="zh-CN"/>
          <w14:textFill>
            <w14:solidFill>
              <w14:schemeClr w14:val="tx1"/>
            </w14:solidFill>
          </w14:textFill>
        </w:rPr>
        <w:t>Pi=Ci/Si</w:t>
      </w:r>
    </w:p>
    <w:p w14:paraId="5B1E3159">
      <w:pPr>
        <w:pStyle w:val="11"/>
        <w:keepNext w:val="0"/>
        <w:keepLines w:val="0"/>
        <w:pageBreakBefore w:val="0"/>
        <w:kinsoku/>
        <w:wordWrap/>
        <w:overflowPunct/>
        <w:topLinePunct w:val="0"/>
        <w:autoSpaceDE/>
        <w:autoSpaceDN/>
        <w:bidi w:val="0"/>
        <w:adjustRightInd/>
        <w:ind w:firstLine="456"/>
        <w:outlineLvl w:val="9"/>
        <w:rPr>
          <w:rFonts w:hint="default" w:ascii="Times New Roman" w:hAnsi="Times New Roman" w:eastAsia="宋体" w:cs="Times New Roman"/>
          <w:color w:val="000000" w:themeColor="text1"/>
          <w:spacing w:val="-6"/>
          <w:lang w:eastAsia="zh-CN"/>
          <w14:textFill>
            <w14:solidFill>
              <w14:schemeClr w14:val="tx1"/>
            </w14:solidFill>
          </w14:textFill>
        </w:rPr>
      </w:pPr>
      <w:r>
        <w:rPr>
          <w:rFonts w:hint="default" w:ascii="Times New Roman" w:hAnsi="Times New Roman" w:eastAsia="宋体" w:cs="Times New Roman"/>
          <w:color w:val="000000" w:themeColor="text1"/>
          <w:spacing w:val="-6"/>
          <w:lang w:eastAsia="zh-CN"/>
          <w14:textFill>
            <w14:solidFill>
              <w14:schemeClr w14:val="tx1"/>
            </w14:solidFill>
          </w14:textFill>
        </w:rPr>
        <w:t>式中：Pi―第i种因子的标准指数；</w:t>
      </w:r>
    </w:p>
    <w:p w14:paraId="49B0E92D">
      <w:pPr>
        <w:pStyle w:val="11"/>
        <w:keepNext w:val="0"/>
        <w:keepLines w:val="0"/>
        <w:pageBreakBefore w:val="0"/>
        <w:kinsoku/>
        <w:wordWrap/>
        <w:overflowPunct/>
        <w:topLinePunct w:val="0"/>
        <w:autoSpaceDE/>
        <w:autoSpaceDN/>
        <w:bidi w:val="0"/>
        <w:adjustRightInd/>
        <w:ind w:firstLine="1140" w:firstLineChars="500"/>
        <w:outlineLvl w:val="9"/>
        <w:rPr>
          <w:rFonts w:hint="default" w:ascii="Times New Roman" w:hAnsi="Times New Roman" w:eastAsia="宋体" w:cs="Times New Roman"/>
          <w:color w:val="000000" w:themeColor="text1"/>
          <w:spacing w:val="-6"/>
          <w:lang w:eastAsia="zh-CN"/>
          <w14:textFill>
            <w14:solidFill>
              <w14:schemeClr w14:val="tx1"/>
            </w14:solidFill>
          </w14:textFill>
        </w:rPr>
      </w:pPr>
      <w:r>
        <w:rPr>
          <w:rFonts w:hint="default" w:ascii="Times New Roman" w:hAnsi="Times New Roman" w:eastAsia="宋体" w:cs="Times New Roman"/>
          <w:color w:val="000000" w:themeColor="text1"/>
          <w:spacing w:val="-6"/>
          <w:lang w:eastAsia="zh-CN"/>
          <w14:textFill>
            <w14:solidFill>
              <w14:schemeClr w14:val="tx1"/>
            </w14:solidFill>
          </w14:textFill>
        </w:rPr>
        <w:t>Ci―第i种因子的现状监测值（mg/l）；</w:t>
      </w:r>
    </w:p>
    <w:p w14:paraId="0A53AD05">
      <w:pPr>
        <w:pStyle w:val="11"/>
        <w:keepNext w:val="0"/>
        <w:keepLines w:val="0"/>
        <w:pageBreakBefore w:val="0"/>
        <w:kinsoku/>
        <w:wordWrap/>
        <w:overflowPunct/>
        <w:topLinePunct w:val="0"/>
        <w:autoSpaceDE/>
        <w:autoSpaceDN/>
        <w:bidi w:val="0"/>
        <w:adjustRightInd/>
        <w:ind w:firstLine="1140" w:firstLineChars="500"/>
        <w:outlineLvl w:val="9"/>
        <w:rPr>
          <w:rFonts w:hint="default" w:ascii="Times New Roman" w:hAnsi="Times New Roman" w:eastAsia="宋体" w:cs="Times New Roman"/>
          <w:color w:val="000000" w:themeColor="text1"/>
          <w:spacing w:val="-6"/>
          <w:lang w:eastAsia="zh-CN"/>
          <w14:textFill>
            <w14:solidFill>
              <w14:schemeClr w14:val="tx1"/>
            </w14:solidFill>
          </w14:textFill>
        </w:rPr>
      </w:pPr>
      <w:r>
        <w:rPr>
          <w:rFonts w:hint="default" w:ascii="Times New Roman" w:hAnsi="Times New Roman" w:eastAsia="宋体" w:cs="Times New Roman"/>
          <w:color w:val="000000" w:themeColor="text1"/>
          <w:spacing w:val="-6"/>
          <w:lang w:eastAsia="zh-CN"/>
          <w14:textFill>
            <w14:solidFill>
              <w14:schemeClr w14:val="tx1"/>
            </w14:solidFill>
          </w14:textFill>
        </w:rPr>
        <w:t>Si―第i种因子环境标准值（mg/l）。</w:t>
      </w:r>
    </w:p>
    <w:p w14:paraId="762B1AEA">
      <w:pPr>
        <w:pStyle w:val="11"/>
        <w:keepNext w:val="0"/>
        <w:keepLines w:val="0"/>
        <w:pageBreakBefore w:val="0"/>
        <w:kinsoku/>
        <w:wordWrap/>
        <w:overflowPunct/>
        <w:topLinePunct w:val="0"/>
        <w:autoSpaceDE/>
        <w:autoSpaceDN/>
        <w:bidi w:val="0"/>
        <w:adjustRightInd/>
        <w:ind w:firstLine="456"/>
        <w:outlineLvl w:val="9"/>
        <w:rPr>
          <w:rFonts w:hint="default" w:ascii="Times New Roman" w:hAnsi="Times New Roman" w:eastAsia="宋体" w:cs="Times New Roman"/>
          <w:color w:val="000000" w:themeColor="text1"/>
          <w:spacing w:val="-6"/>
          <w:lang w:eastAsia="zh-CN"/>
          <w14:textFill>
            <w14:solidFill>
              <w14:schemeClr w14:val="tx1"/>
            </w14:solidFill>
          </w14:textFill>
        </w:rPr>
      </w:pPr>
      <w:r>
        <w:rPr>
          <w:rFonts w:hint="default" w:ascii="Times New Roman" w:hAnsi="Times New Roman" w:eastAsia="宋体" w:cs="Times New Roman"/>
          <w:color w:val="000000" w:themeColor="text1"/>
          <w:spacing w:val="-6"/>
          <w:lang w:eastAsia="zh-CN"/>
          <w14:textFill>
            <w14:solidFill>
              <w14:schemeClr w14:val="tx1"/>
            </w14:solidFill>
          </w14:textFill>
        </w:rPr>
        <w:t>pH的单项标准指数计算公式为：</w:t>
      </w:r>
    </w:p>
    <w:p w14:paraId="5A41F581">
      <w:pPr>
        <w:pStyle w:val="11"/>
        <w:keepNext w:val="0"/>
        <w:keepLines w:val="0"/>
        <w:pageBreakBefore w:val="0"/>
        <w:kinsoku/>
        <w:wordWrap/>
        <w:overflowPunct/>
        <w:topLinePunct w:val="0"/>
        <w:autoSpaceDE/>
        <w:autoSpaceDN/>
        <w:bidi w:val="0"/>
        <w:adjustRightInd/>
        <w:ind w:firstLine="576"/>
        <w:jc w:val="center"/>
        <w:outlineLvl w:val="9"/>
        <w:rPr>
          <w:rFonts w:hint="default" w:ascii="Times New Roman" w:hAnsi="Times New Roman" w:eastAsia="宋体" w:cs="Times New Roman"/>
          <w:color w:val="000000" w:themeColor="text1"/>
          <w:spacing w:val="-6"/>
          <w:sz w:val="30"/>
          <w:szCs w:val="30"/>
          <w:lang w:eastAsia="zh-CN"/>
          <w14:textFill>
            <w14:solidFill>
              <w14:schemeClr w14:val="tx1"/>
            </w14:solidFill>
          </w14:textFill>
        </w:rPr>
      </w:pPr>
      <w:r>
        <w:rPr>
          <w:rFonts w:hint="default" w:ascii="Times New Roman" w:hAnsi="Times New Roman" w:eastAsia="宋体" w:cs="Times New Roman"/>
          <w:color w:val="000000" w:themeColor="text1"/>
          <w:spacing w:val="-6"/>
          <w:sz w:val="30"/>
          <w:szCs w:val="30"/>
          <w14:textFill>
            <w14:solidFill>
              <w14:schemeClr w14:val="tx1"/>
            </w14:solidFill>
          </w14:textFill>
        </w:rPr>
        <w:t>Pi=</w:t>
      </w:r>
      <w:r>
        <w:rPr>
          <w:rFonts w:hint="default" w:ascii="Times New Roman" w:hAnsi="Times New Roman" w:eastAsia="宋体" w:cs="Times New Roman"/>
          <w:color w:val="000000" w:themeColor="text1"/>
          <w:spacing w:val="-6"/>
          <w:sz w:val="30"/>
          <w:szCs w:val="30"/>
          <w:lang w:eastAsia="zh-CN"/>
          <w14:textFill>
            <w14:solidFill>
              <w14:schemeClr w14:val="tx1"/>
            </w14:solidFill>
          </w14:textFill>
        </w:rPr>
        <w:t>（</w:t>
      </w:r>
      <w:r>
        <w:rPr>
          <w:rFonts w:hint="default" w:ascii="Times New Roman" w:hAnsi="Times New Roman" w:eastAsia="宋体" w:cs="Times New Roman"/>
          <w:color w:val="000000" w:themeColor="text1"/>
          <w:spacing w:val="-6"/>
          <w:sz w:val="30"/>
          <w:szCs w:val="30"/>
          <w14:textFill>
            <w14:solidFill>
              <w14:schemeClr w14:val="tx1"/>
            </w14:solidFill>
          </w14:textFill>
        </w:rPr>
        <w:t>7.0-pHi</w:t>
      </w:r>
      <w:r>
        <w:rPr>
          <w:rFonts w:hint="default" w:ascii="Times New Roman" w:hAnsi="Times New Roman" w:eastAsia="宋体" w:cs="Times New Roman"/>
          <w:color w:val="000000" w:themeColor="text1"/>
          <w:spacing w:val="-6"/>
          <w:sz w:val="30"/>
          <w:szCs w:val="30"/>
          <w:lang w:eastAsia="zh-CN"/>
          <w14:textFill>
            <w14:solidFill>
              <w14:schemeClr w14:val="tx1"/>
            </w14:solidFill>
          </w14:textFill>
        </w:rPr>
        <w:t>）</w:t>
      </w:r>
      <w:r>
        <w:rPr>
          <w:rFonts w:hint="default" w:ascii="Times New Roman" w:hAnsi="Times New Roman" w:eastAsia="宋体" w:cs="Times New Roman"/>
          <w:color w:val="000000" w:themeColor="text1"/>
          <w:spacing w:val="-6"/>
          <w:sz w:val="30"/>
          <w:szCs w:val="30"/>
          <w14:textFill>
            <w14:solidFill>
              <w14:schemeClr w14:val="tx1"/>
            </w14:solidFill>
          </w14:textFill>
        </w:rPr>
        <w:t>/</w:t>
      </w:r>
      <w:r>
        <w:rPr>
          <w:rFonts w:hint="default" w:ascii="Times New Roman" w:hAnsi="Times New Roman" w:eastAsia="宋体" w:cs="Times New Roman"/>
          <w:color w:val="000000" w:themeColor="text1"/>
          <w:spacing w:val="-6"/>
          <w:sz w:val="30"/>
          <w:szCs w:val="30"/>
          <w:lang w:eastAsia="zh-CN"/>
          <w14:textFill>
            <w14:solidFill>
              <w14:schemeClr w14:val="tx1"/>
            </w14:solidFill>
          </w14:textFill>
        </w:rPr>
        <w:t>（</w:t>
      </w:r>
      <w:r>
        <w:rPr>
          <w:rFonts w:hint="default" w:ascii="Times New Roman" w:hAnsi="Times New Roman" w:eastAsia="宋体" w:cs="Times New Roman"/>
          <w:color w:val="000000" w:themeColor="text1"/>
          <w:spacing w:val="-6"/>
          <w:sz w:val="30"/>
          <w:szCs w:val="30"/>
          <w14:textFill>
            <w14:solidFill>
              <w14:schemeClr w14:val="tx1"/>
            </w14:solidFill>
          </w14:textFill>
        </w:rPr>
        <w:t>7.0-pHsd</w:t>
      </w:r>
      <w:r>
        <w:rPr>
          <w:rFonts w:hint="default" w:ascii="Times New Roman" w:hAnsi="Times New Roman" w:eastAsia="宋体" w:cs="Times New Roman"/>
          <w:color w:val="000000" w:themeColor="text1"/>
          <w:spacing w:val="-6"/>
          <w:sz w:val="30"/>
          <w:szCs w:val="30"/>
          <w:lang w:eastAsia="zh-CN"/>
          <w14:textFill>
            <w14:solidFill>
              <w14:schemeClr w14:val="tx1"/>
            </w14:solidFill>
          </w14:textFill>
        </w:rPr>
        <w:t>）（</w:t>
      </w:r>
      <w:r>
        <w:rPr>
          <w:rFonts w:hint="default" w:ascii="Times New Roman" w:hAnsi="Times New Roman" w:eastAsia="宋体" w:cs="Times New Roman"/>
          <w:color w:val="000000" w:themeColor="text1"/>
          <w:spacing w:val="-6"/>
          <w:sz w:val="30"/>
          <w:szCs w:val="30"/>
          <w14:textFill>
            <w14:solidFill>
              <w14:schemeClr w14:val="tx1"/>
            </w14:solidFill>
          </w14:textFill>
        </w:rPr>
        <w:t>pHi≤7.0</w:t>
      </w:r>
      <w:r>
        <w:rPr>
          <w:rFonts w:hint="default" w:ascii="Times New Roman" w:hAnsi="Times New Roman" w:eastAsia="宋体" w:cs="Times New Roman"/>
          <w:color w:val="000000" w:themeColor="text1"/>
          <w:spacing w:val="-6"/>
          <w:sz w:val="30"/>
          <w:szCs w:val="30"/>
          <w:lang w:eastAsia="zh-CN"/>
          <w14:textFill>
            <w14:solidFill>
              <w14:schemeClr w14:val="tx1"/>
            </w14:solidFill>
          </w14:textFill>
        </w:rPr>
        <w:t>）</w:t>
      </w:r>
    </w:p>
    <w:p w14:paraId="5F09BEE5">
      <w:pPr>
        <w:pStyle w:val="11"/>
        <w:keepNext w:val="0"/>
        <w:keepLines w:val="0"/>
        <w:pageBreakBefore w:val="0"/>
        <w:kinsoku/>
        <w:wordWrap/>
        <w:overflowPunct/>
        <w:topLinePunct w:val="0"/>
        <w:autoSpaceDE/>
        <w:autoSpaceDN/>
        <w:bidi w:val="0"/>
        <w:adjustRightInd/>
        <w:ind w:firstLine="576"/>
        <w:jc w:val="center"/>
        <w:outlineLvl w:val="9"/>
        <w:rPr>
          <w:rFonts w:hint="default" w:ascii="Times New Roman" w:hAnsi="Times New Roman" w:eastAsia="宋体" w:cs="Times New Roman"/>
          <w:color w:val="000000" w:themeColor="text1"/>
          <w:spacing w:val="-6"/>
          <w:sz w:val="30"/>
          <w:szCs w:val="30"/>
          <w:lang w:eastAsia="zh-CN"/>
          <w14:textFill>
            <w14:solidFill>
              <w14:schemeClr w14:val="tx1"/>
            </w14:solidFill>
          </w14:textFill>
        </w:rPr>
      </w:pPr>
      <w:r>
        <w:rPr>
          <w:rFonts w:hint="default" w:ascii="Times New Roman" w:hAnsi="Times New Roman" w:eastAsia="宋体" w:cs="Times New Roman"/>
          <w:color w:val="000000" w:themeColor="text1"/>
          <w:spacing w:val="-6"/>
          <w:sz w:val="30"/>
          <w:szCs w:val="30"/>
          <w14:textFill>
            <w14:solidFill>
              <w14:schemeClr w14:val="tx1"/>
            </w14:solidFill>
          </w14:textFill>
        </w:rPr>
        <w:t>Pi=</w:t>
      </w:r>
      <w:r>
        <w:rPr>
          <w:rFonts w:hint="default" w:ascii="Times New Roman" w:hAnsi="Times New Roman" w:eastAsia="宋体" w:cs="Times New Roman"/>
          <w:color w:val="000000" w:themeColor="text1"/>
          <w:spacing w:val="-6"/>
          <w:sz w:val="30"/>
          <w:szCs w:val="30"/>
          <w:lang w:eastAsia="zh-CN"/>
          <w14:textFill>
            <w14:solidFill>
              <w14:schemeClr w14:val="tx1"/>
            </w14:solidFill>
          </w14:textFill>
        </w:rPr>
        <w:t>（</w:t>
      </w:r>
      <w:r>
        <w:rPr>
          <w:rFonts w:hint="default" w:ascii="Times New Roman" w:hAnsi="Times New Roman" w:eastAsia="宋体" w:cs="Times New Roman"/>
          <w:color w:val="000000" w:themeColor="text1"/>
          <w:spacing w:val="-6"/>
          <w:sz w:val="30"/>
          <w:szCs w:val="30"/>
          <w14:textFill>
            <w14:solidFill>
              <w14:schemeClr w14:val="tx1"/>
            </w14:solidFill>
          </w14:textFill>
        </w:rPr>
        <w:t>pHi-7.0</w:t>
      </w:r>
      <w:r>
        <w:rPr>
          <w:rFonts w:hint="default" w:ascii="Times New Roman" w:hAnsi="Times New Roman" w:eastAsia="宋体" w:cs="Times New Roman"/>
          <w:color w:val="000000" w:themeColor="text1"/>
          <w:spacing w:val="-6"/>
          <w:sz w:val="30"/>
          <w:szCs w:val="30"/>
          <w:lang w:eastAsia="zh-CN"/>
          <w14:textFill>
            <w14:solidFill>
              <w14:schemeClr w14:val="tx1"/>
            </w14:solidFill>
          </w14:textFill>
        </w:rPr>
        <w:t>）</w:t>
      </w:r>
      <w:r>
        <w:rPr>
          <w:rFonts w:hint="default" w:ascii="Times New Roman" w:hAnsi="Times New Roman" w:eastAsia="宋体" w:cs="Times New Roman"/>
          <w:color w:val="000000" w:themeColor="text1"/>
          <w:spacing w:val="-6"/>
          <w:sz w:val="30"/>
          <w:szCs w:val="30"/>
          <w14:textFill>
            <w14:solidFill>
              <w14:schemeClr w14:val="tx1"/>
            </w14:solidFill>
          </w14:textFill>
        </w:rPr>
        <w:t>/</w:t>
      </w:r>
      <w:r>
        <w:rPr>
          <w:rFonts w:hint="default" w:ascii="Times New Roman" w:hAnsi="Times New Roman" w:eastAsia="宋体" w:cs="Times New Roman"/>
          <w:color w:val="000000" w:themeColor="text1"/>
          <w:spacing w:val="-6"/>
          <w:sz w:val="30"/>
          <w:szCs w:val="30"/>
          <w:lang w:eastAsia="zh-CN"/>
          <w14:textFill>
            <w14:solidFill>
              <w14:schemeClr w14:val="tx1"/>
            </w14:solidFill>
          </w14:textFill>
        </w:rPr>
        <w:t>（</w:t>
      </w:r>
      <w:r>
        <w:rPr>
          <w:rFonts w:hint="default" w:ascii="Times New Roman" w:hAnsi="Times New Roman" w:eastAsia="宋体" w:cs="Times New Roman"/>
          <w:color w:val="000000" w:themeColor="text1"/>
          <w:spacing w:val="-6"/>
          <w:sz w:val="30"/>
          <w:szCs w:val="30"/>
          <w14:textFill>
            <w14:solidFill>
              <w14:schemeClr w14:val="tx1"/>
            </w14:solidFill>
          </w14:textFill>
        </w:rPr>
        <w:t>pHsu-7.0</w:t>
      </w:r>
      <w:r>
        <w:rPr>
          <w:rFonts w:hint="default" w:ascii="Times New Roman" w:hAnsi="Times New Roman" w:eastAsia="宋体" w:cs="Times New Roman"/>
          <w:color w:val="000000" w:themeColor="text1"/>
          <w:spacing w:val="-6"/>
          <w:sz w:val="30"/>
          <w:szCs w:val="30"/>
          <w:lang w:eastAsia="zh-CN"/>
          <w14:textFill>
            <w14:solidFill>
              <w14:schemeClr w14:val="tx1"/>
            </w14:solidFill>
          </w14:textFill>
        </w:rPr>
        <w:t>）（</w:t>
      </w:r>
      <w:r>
        <w:rPr>
          <w:rFonts w:hint="default" w:ascii="Times New Roman" w:hAnsi="Times New Roman" w:eastAsia="宋体" w:cs="Times New Roman"/>
          <w:color w:val="000000" w:themeColor="text1"/>
          <w:spacing w:val="-6"/>
          <w:sz w:val="30"/>
          <w:szCs w:val="30"/>
          <w14:textFill>
            <w14:solidFill>
              <w14:schemeClr w14:val="tx1"/>
            </w14:solidFill>
          </w14:textFill>
        </w:rPr>
        <w:t>pHi＞7.0</w:t>
      </w:r>
      <w:r>
        <w:rPr>
          <w:rFonts w:hint="default" w:ascii="Times New Roman" w:hAnsi="Times New Roman" w:eastAsia="宋体" w:cs="Times New Roman"/>
          <w:color w:val="000000" w:themeColor="text1"/>
          <w:spacing w:val="-6"/>
          <w:sz w:val="30"/>
          <w:szCs w:val="30"/>
          <w:lang w:eastAsia="zh-CN"/>
          <w14:textFill>
            <w14:solidFill>
              <w14:schemeClr w14:val="tx1"/>
            </w14:solidFill>
          </w14:textFill>
        </w:rPr>
        <w:t>）</w:t>
      </w:r>
    </w:p>
    <w:p w14:paraId="1518B5E0">
      <w:pPr>
        <w:pStyle w:val="11"/>
        <w:keepNext w:val="0"/>
        <w:keepLines w:val="0"/>
        <w:pageBreakBefore w:val="0"/>
        <w:kinsoku/>
        <w:wordWrap/>
        <w:overflowPunct/>
        <w:topLinePunct w:val="0"/>
        <w:autoSpaceDE/>
        <w:autoSpaceDN/>
        <w:bidi w:val="0"/>
        <w:adjustRightInd/>
        <w:ind w:firstLine="456"/>
        <w:outlineLvl w:val="9"/>
        <w:rPr>
          <w:rFonts w:hint="default" w:ascii="Times New Roman" w:hAnsi="Times New Roman" w:eastAsia="宋体" w:cs="Times New Roman"/>
          <w:color w:val="000000" w:themeColor="text1"/>
          <w:spacing w:val="-6"/>
          <w:lang w:eastAsia="zh-CN"/>
          <w14:textFill>
            <w14:solidFill>
              <w14:schemeClr w14:val="tx1"/>
            </w14:solidFill>
          </w14:textFill>
        </w:rPr>
      </w:pPr>
      <w:r>
        <w:rPr>
          <w:rFonts w:hint="default" w:ascii="Times New Roman" w:hAnsi="Times New Roman" w:eastAsia="宋体" w:cs="Times New Roman"/>
          <w:color w:val="000000" w:themeColor="text1"/>
          <w:spacing w:val="-6"/>
          <w:lang w:eastAsia="zh-CN"/>
          <w14:textFill>
            <w14:solidFill>
              <w14:schemeClr w14:val="tx1"/>
            </w14:solidFill>
          </w14:textFill>
        </w:rPr>
        <w:t>式中：pHi―pH在i点的水质监测值；</w:t>
      </w:r>
    </w:p>
    <w:p w14:paraId="405EC20F">
      <w:pPr>
        <w:pStyle w:val="11"/>
        <w:keepNext w:val="0"/>
        <w:keepLines w:val="0"/>
        <w:pageBreakBefore w:val="0"/>
        <w:kinsoku/>
        <w:wordWrap/>
        <w:overflowPunct/>
        <w:topLinePunct w:val="0"/>
        <w:autoSpaceDE/>
        <w:autoSpaceDN/>
        <w:bidi w:val="0"/>
        <w:adjustRightInd/>
        <w:ind w:firstLine="1140" w:firstLineChars="500"/>
        <w:outlineLvl w:val="9"/>
        <w:rPr>
          <w:rFonts w:hint="default" w:ascii="Times New Roman" w:hAnsi="Times New Roman" w:eastAsia="宋体" w:cs="Times New Roman"/>
          <w:color w:val="000000" w:themeColor="text1"/>
          <w:spacing w:val="-6"/>
          <w:lang w:eastAsia="zh-CN"/>
          <w14:textFill>
            <w14:solidFill>
              <w14:schemeClr w14:val="tx1"/>
            </w14:solidFill>
          </w14:textFill>
        </w:rPr>
      </w:pPr>
      <w:r>
        <w:rPr>
          <w:rFonts w:hint="default" w:ascii="Times New Roman" w:hAnsi="Times New Roman" w:eastAsia="宋体" w:cs="Times New Roman"/>
          <w:color w:val="000000" w:themeColor="text1"/>
          <w:spacing w:val="-6"/>
          <w:lang w:eastAsia="zh-CN"/>
          <w14:textFill>
            <w14:solidFill>
              <w14:schemeClr w14:val="tx1"/>
            </w14:solidFill>
          </w14:textFill>
        </w:rPr>
        <w:t>pHsd―水质标准中规定的pH的下限；</w:t>
      </w:r>
    </w:p>
    <w:p w14:paraId="15243E21">
      <w:pPr>
        <w:pStyle w:val="11"/>
        <w:keepNext w:val="0"/>
        <w:keepLines w:val="0"/>
        <w:pageBreakBefore w:val="0"/>
        <w:kinsoku/>
        <w:wordWrap/>
        <w:overflowPunct/>
        <w:topLinePunct w:val="0"/>
        <w:autoSpaceDE/>
        <w:autoSpaceDN/>
        <w:bidi w:val="0"/>
        <w:adjustRightInd/>
        <w:ind w:firstLine="1140" w:firstLineChars="500"/>
        <w:outlineLvl w:val="9"/>
        <w:rPr>
          <w:rFonts w:hint="default" w:ascii="Times New Roman" w:hAnsi="Times New Roman" w:eastAsia="宋体" w:cs="Times New Roman"/>
          <w:color w:val="000000" w:themeColor="text1"/>
          <w:spacing w:val="-6"/>
          <w:lang w:eastAsia="zh-CN"/>
          <w14:textFill>
            <w14:solidFill>
              <w14:schemeClr w14:val="tx1"/>
            </w14:solidFill>
          </w14:textFill>
        </w:rPr>
      </w:pPr>
      <w:r>
        <w:rPr>
          <w:rFonts w:hint="default" w:ascii="Times New Roman" w:hAnsi="Times New Roman" w:eastAsia="宋体" w:cs="Times New Roman"/>
          <w:color w:val="000000" w:themeColor="text1"/>
          <w:spacing w:val="-6"/>
          <w:lang w:eastAsia="zh-CN"/>
          <w14:textFill>
            <w14:solidFill>
              <w14:schemeClr w14:val="tx1"/>
            </w14:solidFill>
          </w14:textFill>
        </w:rPr>
        <w:t>pHsu―水质标准中规定的pH上限。</w:t>
      </w:r>
    </w:p>
    <w:p w14:paraId="5861B755">
      <w:pPr>
        <w:pStyle w:val="11"/>
        <w:keepNext w:val="0"/>
        <w:keepLines w:val="0"/>
        <w:pageBreakBefore w:val="0"/>
        <w:kinsoku/>
        <w:wordWrap/>
        <w:overflowPunct/>
        <w:topLinePunct w:val="0"/>
        <w:autoSpaceDE/>
        <w:autoSpaceDN/>
        <w:bidi w:val="0"/>
        <w:adjustRightInd/>
        <w:ind w:firstLine="456"/>
        <w:outlineLvl w:val="9"/>
        <w:rPr>
          <w:rFonts w:hint="default" w:ascii="Times New Roman" w:hAnsi="Times New Roman" w:eastAsia="宋体" w:cs="Times New Roman"/>
          <w:color w:val="000000" w:themeColor="text1"/>
          <w:spacing w:val="-6"/>
          <w:lang w:eastAsia="zh-CN"/>
          <w14:textFill>
            <w14:solidFill>
              <w14:schemeClr w14:val="tx1"/>
            </w14:solidFill>
          </w14:textFill>
        </w:rPr>
      </w:pPr>
      <w:r>
        <w:rPr>
          <w:rFonts w:hint="default" w:ascii="Times New Roman" w:hAnsi="Times New Roman" w:eastAsia="宋体" w:cs="Times New Roman"/>
          <w:color w:val="000000" w:themeColor="text1"/>
          <w:spacing w:val="-6"/>
          <w:lang w:eastAsia="zh-CN"/>
          <w14:textFill>
            <w14:solidFill>
              <w14:schemeClr w14:val="tx1"/>
            </w14:solidFill>
          </w14:textFill>
        </w:rPr>
        <w:t>采用模式计算后，如水质参数的标准指数大于1，表明水质参数超过规定的地下水质量标准，已经不满足使用要求。</w:t>
      </w:r>
    </w:p>
    <w:p w14:paraId="29745ECD">
      <w:pPr>
        <w:pStyle w:val="11"/>
        <w:keepNext w:val="0"/>
        <w:keepLines w:val="0"/>
        <w:pageBreakBefore w:val="0"/>
        <w:kinsoku/>
        <w:wordWrap/>
        <w:overflowPunct/>
        <w:topLinePunct w:val="0"/>
        <w:autoSpaceDE/>
        <w:autoSpaceDN/>
        <w:bidi w:val="0"/>
        <w:adjustRightInd/>
        <w:ind w:firstLine="456"/>
        <w:outlineLvl w:val="9"/>
        <w:rPr>
          <w:rFonts w:hint="default" w:ascii="Times New Roman" w:hAnsi="Times New Roman" w:eastAsia="宋体" w:cs="Times New Roman"/>
          <w:color w:val="000000" w:themeColor="text1"/>
          <w:spacing w:val="-6"/>
          <w:lang w:eastAsia="zh-CN"/>
          <w14:textFill>
            <w14:solidFill>
              <w14:schemeClr w14:val="tx1"/>
            </w14:solidFill>
          </w14:textFill>
        </w:rPr>
      </w:pPr>
      <w:bookmarkStart w:id="206" w:name="_Toc20139"/>
      <w:bookmarkStart w:id="207" w:name="_Toc9571"/>
      <w:r>
        <w:rPr>
          <w:rFonts w:hint="default" w:ascii="Times New Roman" w:hAnsi="Times New Roman" w:eastAsia="宋体" w:cs="Times New Roman"/>
          <w:color w:val="000000" w:themeColor="text1"/>
          <w:spacing w:val="-6"/>
          <w:lang w:eastAsia="zh-CN"/>
          <w14:textFill>
            <w14:solidFill>
              <w14:schemeClr w14:val="tx1"/>
            </w14:solidFill>
          </w14:textFill>
        </w:rPr>
        <w:t>（7）检测结果及评价结果</w:t>
      </w:r>
      <w:bookmarkEnd w:id="206"/>
      <w:bookmarkEnd w:id="207"/>
    </w:p>
    <w:p w14:paraId="30A0EF70">
      <w:pPr>
        <w:pStyle w:val="11"/>
        <w:keepNext w:val="0"/>
        <w:keepLines w:val="0"/>
        <w:pageBreakBefore w:val="0"/>
        <w:kinsoku/>
        <w:wordWrap/>
        <w:overflowPunct/>
        <w:topLinePunct w:val="0"/>
        <w:autoSpaceDE/>
        <w:autoSpaceDN/>
        <w:bidi w:val="0"/>
        <w:adjustRightInd/>
        <w:ind w:firstLine="458"/>
        <w:jc w:val="center"/>
        <w:outlineLvl w:val="9"/>
        <w:rPr>
          <w:rFonts w:hint="default" w:ascii="Times New Roman" w:hAnsi="Times New Roman" w:eastAsia="宋体" w:cs="Times New Roman"/>
          <w:b/>
          <w:bCs/>
          <w:color w:val="000000" w:themeColor="text1"/>
          <w:spacing w:val="-6"/>
          <w:lang w:eastAsia="zh-CN"/>
          <w14:textFill>
            <w14:solidFill>
              <w14:schemeClr w14:val="tx1"/>
            </w14:solidFill>
          </w14:textFill>
        </w:rPr>
      </w:pPr>
      <w:r>
        <w:rPr>
          <w:rFonts w:hint="default" w:ascii="Times New Roman" w:hAnsi="Times New Roman" w:eastAsia="宋体" w:cs="Times New Roman"/>
          <w:b/>
          <w:bCs/>
          <w:color w:val="000000" w:themeColor="text1"/>
          <w:spacing w:val="-6"/>
          <w:lang w:eastAsia="zh-CN"/>
          <w14:textFill>
            <w14:solidFill>
              <w14:schemeClr w14:val="tx1"/>
            </w14:solidFill>
          </w14:textFill>
        </w:rPr>
        <w:t>表4.2-17地下水水质检测结果表</w:t>
      </w:r>
    </w:p>
    <w:tbl>
      <w:tblPr>
        <w:tblStyle w:val="35"/>
        <w:tblW w:w="5478"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2824"/>
        <w:gridCol w:w="1445"/>
        <w:gridCol w:w="1339"/>
        <w:gridCol w:w="1205"/>
        <w:gridCol w:w="1343"/>
        <w:gridCol w:w="850"/>
        <w:gridCol w:w="850"/>
      </w:tblGrid>
      <w:tr w14:paraId="5B7969F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432" w:type="pct"/>
            <w:vMerge w:val="restart"/>
            <w:tcBorders>
              <w:bottom w:val="nil"/>
            </w:tcBorders>
            <w:vAlign w:val="center"/>
          </w:tcPr>
          <w:p w14:paraId="7489E56C">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检测项目</w:t>
            </w:r>
          </w:p>
        </w:tc>
        <w:tc>
          <w:tcPr>
            <w:tcW w:w="2023" w:type="pct"/>
            <w:gridSpan w:val="3"/>
            <w:vAlign w:val="center"/>
          </w:tcPr>
          <w:p w14:paraId="4E704864">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监测结果</w:t>
            </w:r>
          </w:p>
        </w:tc>
        <w:tc>
          <w:tcPr>
            <w:tcW w:w="681" w:type="pct"/>
            <w:vMerge w:val="restart"/>
            <w:tcBorders>
              <w:bottom w:val="nil"/>
            </w:tcBorders>
            <w:vAlign w:val="center"/>
          </w:tcPr>
          <w:p w14:paraId="351AA291">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标准限值</w:t>
            </w:r>
          </w:p>
        </w:tc>
        <w:tc>
          <w:tcPr>
            <w:tcW w:w="431" w:type="pct"/>
            <w:vMerge w:val="restart"/>
            <w:vAlign w:val="center"/>
          </w:tcPr>
          <w:p w14:paraId="34046D35">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val="en-US" w:eastAsia="zh-CN"/>
                <w14:textFill>
                  <w14:solidFill>
                    <w14:schemeClr w14:val="tx1"/>
                  </w14:solidFill>
                </w14:textFill>
              </w:rPr>
            </w:pPr>
            <w:r>
              <w:rPr>
                <w:rFonts w:hint="eastAsia" w:ascii="Times New Roman" w:hAnsi="Times New Roman" w:cs="Times New Roman"/>
                <w:color w:val="000000" w:themeColor="text1"/>
                <w:spacing w:val="-6"/>
                <w:sz w:val="21"/>
                <w:szCs w:val="21"/>
                <w:lang w:val="en-US" w:eastAsia="zh-CN"/>
                <w14:textFill>
                  <w14:solidFill>
                    <w14:schemeClr w14:val="tx1"/>
                  </w14:solidFill>
                </w14:textFill>
              </w:rPr>
              <w:t>Pi</w:t>
            </w:r>
          </w:p>
        </w:tc>
        <w:tc>
          <w:tcPr>
            <w:tcW w:w="431" w:type="pct"/>
            <w:vMerge w:val="restart"/>
            <w:vAlign w:val="center"/>
          </w:tcPr>
          <w:p w14:paraId="19C58AB6">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达标</w:t>
            </w:r>
          </w:p>
          <w:p w14:paraId="1EFF1C8C">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分析</w:t>
            </w:r>
          </w:p>
        </w:tc>
      </w:tr>
      <w:tr w14:paraId="747B459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432" w:type="pct"/>
            <w:vMerge w:val="continue"/>
            <w:tcBorders>
              <w:top w:val="nil"/>
            </w:tcBorders>
            <w:vAlign w:val="center"/>
          </w:tcPr>
          <w:p w14:paraId="1DF5B2CE">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p>
        </w:tc>
        <w:tc>
          <w:tcPr>
            <w:tcW w:w="733" w:type="pct"/>
            <w:vAlign w:val="center"/>
          </w:tcPr>
          <w:p w14:paraId="0A763A71">
            <w:pPr>
              <w:keepNext w:val="0"/>
              <w:keepLines w:val="0"/>
              <w:pageBreakBefore w:val="0"/>
              <w:kinsoku/>
              <w:wordWrap/>
              <w:overflowPunct/>
              <w:topLinePunct w:val="0"/>
              <w:autoSpaceDE/>
              <w:autoSpaceDN/>
              <w:bidi w:val="0"/>
              <w:adjustRightInd/>
              <w:snapToGrid w:val="0"/>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厂区内</w:t>
            </w:r>
          </w:p>
        </w:tc>
        <w:tc>
          <w:tcPr>
            <w:tcW w:w="679" w:type="pct"/>
            <w:vAlign w:val="center"/>
          </w:tcPr>
          <w:p w14:paraId="15A1167A">
            <w:pPr>
              <w:keepNext w:val="0"/>
              <w:keepLines w:val="0"/>
              <w:pageBreakBefore w:val="0"/>
              <w:kinsoku/>
              <w:wordWrap/>
              <w:overflowPunct/>
              <w:topLinePunct w:val="0"/>
              <w:autoSpaceDE/>
              <w:autoSpaceDN/>
              <w:bidi w:val="0"/>
              <w:adjustRightInd/>
              <w:snapToGrid w:val="0"/>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厂区上游</w:t>
            </w:r>
          </w:p>
        </w:tc>
        <w:tc>
          <w:tcPr>
            <w:tcW w:w="611" w:type="pct"/>
            <w:vAlign w:val="center"/>
          </w:tcPr>
          <w:p w14:paraId="56E860E2">
            <w:pPr>
              <w:keepNext w:val="0"/>
              <w:keepLines w:val="0"/>
              <w:pageBreakBefore w:val="0"/>
              <w:kinsoku/>
              <w:wordWrap/>
              <w:overflowPunct/>
              <w:topLinePunct w:val="0"/>
              <w:autoSpaceDE/>
              <w:autoSpaceDN/>
              <w:bidi w:val="0"/>
              <w:adjustRightInd/>
              <w:snapToGrid w:val="0"/>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厂区下游</w:t>
            </w:r>
          </w:p>
        </w:tc>
        <w:tc>
          <w:tcPr>
            <w:tcW w:w="681" w:type="pct"/>
            <w:vMerge w:val="continue"/>
            <w:tcBorders>
              <w:top w:val="nil"/>
            </w:tcBorders>
            <w:vAlign w:val="center"/>
          </w:tcPr>
          <w:p w14:paraId="524ADEDE">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p>
        </w:tc>
        <w:tc>
          <w:tcPr>
            <w:tcW w:w="431" w:type="pct"/>
            <w:vMerge w:val="continue"/>
            <w:vAlign w:val="center"/>
          </w:tcPr>
          <w:p w14:paraId="3F3D6D8D">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p>
        </w:tc>
        <w:tc>
          <w:tcPr>
            <w:tcW w:w="431" w:type="pct"/>
            <w:vMerge w:val="continue"/>
            <w:vAlign w:val="center"/>
          </w:tcPr>
          <w:p w14:paraId="1BB8DCEC">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p>
        </w:tc>
      </w:tr>
      <w:tr w14:paraId="06633CD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432" w:type="pct"/>
            <w:vAlign w:val="center"/>
          </w:tcPr>
          <w:p w14:paraId="736EA465">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pH值（无量纲）</w:t>
            </w:r>
          </w:p>
        </w:tc>
        <w:tc>
          <w:tcPr>
            <w:tcW w:w="733" w:type="pct"/>
            <w:vAlign w:val="center"/>
          </w:tcPr>
          <w:p w14:paraId="6D234639">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7.24</w:t>
            </w:r>
          </w:p>
        </w:tc>
        <w:tc>
          <w:tcPr>
            <w:tcW w:w="679" w:type="pct"/>
            <w:vAlign w:val="center"/>
          </w:tcPr>
          <w:p w14:paraId="49EA5209">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7.41</w:t>
            </w:r>
          </w:p>
        </w:tc>
        <w:tc>
          <w:tcPr>
            <w:tcW w:w="611" w:type="pct"/>
            <w:vAlign w:val="center"/>
          </w:tcPr>
          <w:p w14:paraId="13B5EDCE">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7.36</w:t>
            </w:r>
          </w:p>
        </w:tc>
        <w:tc>
          <w:tcPr>
            <w:tcW w:w="681" w:type="pct"/>
            <w:vAlign w:val="center"/>
          </w:tcPr>
          <w:p w14:paraId="1718B251">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w:t>
            </w:r>
          </w:p>
        </w:tc>
        <w:tc>
          <w:tcPr>
            <w:tcW w:w="431" w:type="pct"/>
            <w:vAlign w:val="center"/>
          </w:tcPr>
          <w:p w14:paraId="4EFAB309">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eastAsia" w:ascii="Times New Roman" w:hAnsi="Times New Roman" w:eastAsia="宋体" w:cs="Times New Roman"/>
                <w:color w:val="000000" w:themeColor="text1"/>
                <w:spacing w:val="-6"/>
                <w:sz w:val="21"/>
                <w:szCs w:val="21"/>
                <w:lang w:val="en-US" w:eastAsia="zh-CN"/>
                <w14:textFill>
                  <w14:solidFill>
                    <w14:schemeClr w14:val="tx1"/>
                  </w14:solidFill>
                </w14:textFill>
              </w:rPr>
            </w:pPr>
            <w:r>
              <w:rPr>
                <w:rFonts w:hint="eastAsia" w:ascii="Times New Roman" w:hAnsi="Times New Roman" w:cs="Times New Roman"/>
                <w:color w:val="000000" w:themeColor="text1"/>
                <w:spacing w:val="-6"/>
                <w:sz w:val="21"/>
                <w:szCs w:val="21"/>
                <w:lang w:val="en-US" w:eastAsia="zh-CN"/>
                <w14:textFill>
                  <w14:solidFill>
                    <w14:schemeClr w14:val="tx1"/>
                  </w14:solidFill>
                </w14:textFill>
              </w:rPr>
              <w:t>/</w:t>
            </w:r>
          </w:p>
        </w:tc>
        <w:tc>
          <w:tcPr>
            <w:tcW w:w="431" w:type="pct"/>
            <w:vAlign w:val="center"/>
          </w:tcPr>
          <w:p w14:paraId="1101B7B3">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lang w:val="en-US" w:eastAsia="zh-CN"/>
                <w14:textFill>
                  <w14:solidFill>
                    <w14:schemeClr w14:val="tx1"/>
                  </w14:solidFill>
                </w14:textFill>
              </w:rPr>
              <w:t>/</w:t>
            </w:r>
          </w:p>
        </w:tc>
      </w:tr>
      <w:tr w14:paraId="30A1CF3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432" w:type="pct"/>
            <w:vAlign w:val="center"/>
          </w:tcPr>
          <w:p w14:paraId="2EE8A531">
            <w:pPr>
              <w:keepNext w:val="0"/>
              <w:keepLines w:val="0"/>
              <w:pageBreakBefore w:val="0"/>
              <w:widowControl/>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总硬度（</w:t>
            </w:r>
            <w:r>
              <w:rPr>
                <w:rFonts w:hint="default" w:ascii="Times New Roman" w:hAnsi="Times New Roman" w:eastAsia="宋体" w:cs="Times New Roman"/>
                <w:color w:val="000000" w:themeColor="text1"/>
                <w:sz w:val="21"/>
                <w:szCs w:val="21"/>
                <w:lang w:val="zh-TW" w:eastAsia="zh-TW" w:bidi="ar"/>
                <w14:textFill>
                  <w14:solidFill>
                    <w14:schemeClr w14:val="tx1"/>
                  </w14:solidFill>
                </w14:textFill>
              </w:rPr>
              <w:t>mg/</w:t>
            </w:r>
            <w:r>
              <w:rPr>
                <w:rFonts w:hint="default" w:ascii="Times New Roman" w:hAnsi="Times New Roman" w:eastAsia="宋体" w:cs="Times New Roman"/>
                <w:color w:val="000000" w:themeColor="text1"/>
                <w:sz w:val="21"/>
                <w:szCs w:val="21"/>
                <w:lang w:bidi="ar"/>
                <w14:textFill>
                  <w14:solidFill>
                    <w14:schemeClr w14:val="tx1"/>
                  </w14:solidFill>
                </w14:textFill>
              </w:rPr>
              <w:t>L</w:t>
            </w:r>
            <w:r>
              <w:rPr>
                <w:rFonts w:hint="default" w:ascii="Times New Roman" w:hAnsi="Times New Roman" w:eastAsia="宋体" w:cs="Times New Roman"/>
                <w:color w:val="000000" w:themeColor="text1"/>
                <w:sz w:val="21"/>
                <w:szCs w:val="21"/>
                <w14:textFill>
                  <w14:solidFill>
                    <w14:schemeClr w14:val="tx1"/>
                  </w14:solidFill>
                </w14:textFill>
              </w:rPr>
              <w:t>）</w:t>
            </w:r>
          </w:p>
        </w:tc>
        <w:tc>
          <w:tcPr>
            <w:tcW w:w="733" w:type="pct"/>
            <w:vAlign w:val="center"/>
          </w:tcPr>
          <w:p w14:paraId="0647D152">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326</w:t>
            </w:r>
          </w:p>
        </w:tc>
        <w:tc>
          <w:tcPr>
            <w:tcW w:w="679" w:type="pct"/>
            <w:vAlign w:val="center"/>
          </w:tcPr>
          <w:p w14:paraId="2AEBD118">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213</w:t>
            </w:r>
          </w:p>
        </w:tc>
        <w:tc>
          <w:tcPr>
            <w:tcW w:w="611" w:type="pct"/>
            <w:vAlign w:val="center"/>
          </w:tcPr>
          <w:p w14:paraId="1692CFE3">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402</w:t>
            </w:r>
          </w:p>
        </w:tc>
        <w:tc>
          <w:tcPr>
            <w:tcW w:w="681" w:type="pct"/>
            <w:vAlign w:val="center"/>
          </w:tcPr>
          <w:p w14:paraId="56823F07">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eastAsia" w:ascii="Times New Roman" w:hAnsi="Times New Roman" w:cs="Times New Roman"/>
                <w:color w:val="000000" w:themeColor="text1"/>
                <w:spacing w:val="-6"/>
                <w:sz w:val="21"/>
                <w:szCs w:val="21"/>
                <w:lang w:val="en-US" w:eastAsia="zh-CN"/>
                <w14:textFill>
                  <w14:solidFill>
                    <w14:schemeClr w14:val="tx1"/>
                  </w14:solidFill>
                </w14:textFill>
              </w:rPr>
              <w:t>450</w:t>
            </w:r>
            <w:r>
              <w:rPr>
                <w:rFonts w:hint="default" w:ascii="Times New Roman" w:hAnsi="Times New Roman" w:eastAsia="宋体" w:cs="Times New Roman"/>
                <w:color w:val="000000" w:themeColor="text1"/>
                <w:spacing w:val="-6"/>
                <w:sz w:val="21"/>
                <w:szCs w:val="21"/>
                <w14:textFill>
                  <w14:solidFill>
                    <w14:schemeClr w14:val="tx1"/>
                  </w14:solidFill>
                </w14:textFill>
              </w:rPr>
              <w:t>mg/L</w:t>
            </w:r>
          </w:p>
        </w:tc>
        <w:tc>
          <w:tcPr>
            <w:tcW w:w="431" w:type="pct"/>
            <w:vAlign w:val="center"/>
          </w:tcPr>
          <w:p w14:paraId="0000152B">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val="en-US" w:eastAsia="zh-CN"/>
                <w14:textFill>
                  <w14:solidFill>
                    <w14:schemeClr w14:val="tx1"/>
                  </w14:solidFill>
                </w14:textFill>
              </w:rPr>
            </w:pPr>
            <w:r>
              <w:rPr>
                <w:rFonts w:hint="eastAsia" w:ascii="Times New Roman" w:hAnsi="Times New Roman" w:cs="Times New Roman"/>
                <w:color w:val="000000" w:themeColor="text1"/>
                <w:spacing w:val="-6"/>
                <w:sz w:val="21"/>
                <w:szCs w:val="21"/>
                <w:lang w:val="en-US" w:eastAsia="zh-CN"/>
                <w14:textFill>
                  <w14:solidFill>
                    <w14:schemeClr w14:val="tx1"/>
                  </w14:solidFill>
                </w14:textFill>
              </w:rPr>
              <w:t>0.89</w:t>
            </w:r>
          </w:p>
        </w:tc>
        <w:tc>
          <w:tcPr>
            <w:tcW w:w="431" w:type="pct"/>
            <w:vAlign w:val="center"/>
          </w:tcPr>
          <w:p w14:paraId="75D2BE01">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达标</w:t>
            </w:r>
          </w:p>
        </w:tc>
      </w:tr>
      <w:tr w14:paraId="6DC2168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432" w:type="pct"/>
            <w:vAlign w:val="center"/>
          </w:tcPr>
          <w:p w14:paraId="767CA7E4">
            <w:pPr>
              <w:keepNext w:val="0"/>
              <w:keepLines w:val="0"/>
              <w:pageBreakBefore w:val="0"/>
              <w:widowControl/>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溶解性总固体（</w:t>
            </w:r>
            <w:r>
              <w:rPr>
                <w:rFonts w:hint="default" w:ascii="Times New Roman" w:hAnsi="Times New Roman" w:eastAsia="宋体" w:cs="Times New Roman"/>
                <w:color w:val="000000" w:themeColor="text1"/>
                <w:sz w:val="21"/>
                <w:szCs w:val="21"/>
                <w:lang w:val="zh-TW" w:eastAsia="zh-TW" w:bidi="ar"/>
                <w14:textFill>
                  <w14:solidFill>
                    <w14:schemeClr w14:val="tx1"/>
                  </w14:solidFill>
                </w14:textFill>
              </w:rPr>
              <w:t>mg/</w:t>
            </w:r>
            <w:r>
              <w:rPr>
                <w:rFonts w:hint="default" w:ascii="Times New Roman" w:hAnsi="Times New Roman" w:eastAsia="宋体" w:cs="Times New Roman"/>
                <w:color w:val="000000" w:themeColor="text1"/>
                <w:sz w:val="21"/>
                <w:szCs w:val="21"/>
                <w:lang w:bidi="ar"/>
                <w14:textFill>
                  <w14:solidFill>
                    <w14:schemeClr w14:val="tx1"/>
                  </w14:solidFill>
                </w14:textFill>
              </w:rPr>
              <w:t>L</w:t>
            </w:r>
            <w:r>
              <w:rPr>
                <w:rFonts w:hint="default" w:ascii="Times New Roman" w:hAnsi="Times New Roman" w:eastAsia="宋体" w:cs="Times New Roman"/>
                <w:color w:val="000000" w:themeColor="text1"/>
                <w:sz w:val="21"/>
                <w:szCs w:val="21"/>
                <w14:textFill>
                  <w14:solidFill>
                    <w14:schemeClr w14:val="tx1"/>
                  </w14:solidFill>
                </w14:textFill>
              </w:rPr>
              <w:t>）</w:t>
            </w:r>
          </w:p>
        </w:tc>
        <w:tc>
          <w:tcPr>
            <w:tcW w:w="733" w:type="pct"/>
            <w:vAlign w:val="center"/>
          </w:tcPr>
          <w:p w14:paraId="25839A5A">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789</w:t>
            </w:r>
          </w:p>
        </w:tc>
        <w:tc>
          <w:tcPr>
            <w:tcW w:w="679" w:type="pct"/>
            <w:vAlign w:val="center"/>
          </w:tcPr>
          <w:p w14:paraId="5E6FA8D9">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389</w:t>
            </w:r>
          </w:p>
        </w:tc>
        <w:tc>
          <w:tcPr>
            <w:tcW w:w="611" w:type="pct"/>
            <w:vAlign w:val="center"/>
          </w:tcPr>
          <w:p w14:paraId="3D43277F">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921</w:t>
            </w:r>
          </w:p>
        </w:tc>
        <w:tc>
          <w:tcPr>
            <w:tcW w:w="681" w:type="pct"/>
            <w:vAlign w:val="center"/>
          </w:tcPr>
          <w:p w14:paraId="5167606A">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w:t>
            </w:r>
          </w:p>
        </w:tc>
        <w:tc>
          <w:tcPr>
            <w:tcW w:w="431" w:type="pct"/>
            <w:vAlign w:val="center"/>
          </w:tcPr>
          <w:p w14:paraId="506FEC36">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eastAsia" w:ascii="Times New Roman" w:hAnsi="Times New Roman" w:eastAsia="宋体" w:cs="Times New Roman"/>
                <w:color w:val="000000" w:themeColor="text1"/>
                <w:spacing w:val="-6"/>
                <w:sz w:val="21"/>
                <w:szCs w:val="21"/>
                <w:lang w:val="en-US" w:eastAsia="zh-CN"/>
                <w14:textFill>
                  <w14:solidFill>
                    <w14:schemeClr w14:val="tx1"/>
                  </w14:solidFill>
                </w14:textFill>
              </w:rPr>
            </w:pPr>
            <w:r>
              <w:rPr>
                <w:rFonts w:hint="eastAsia" w:ascii="Times New Roman" w:hAnsi="Times New Roman" w:cs="Times New Roman"/>
                <w:color w:val="000000" w:themeColor="text1"/>
                <w:spacing w:val="-6"/>
                <w:sz w:val="21"/>
                <w:szCs w:val="21"/>
                <w:lang w:val="en-US" w:eastAsia="zh-CN"/>
                <w14:textFill>
                  <w14:solidFill>
                    <w14:schemeClr w14:val="tx1"/>
                  </w14:solidFill>
                </w14:textFill>
              </w:rPr>
              <w:t>/</w:t>
            </w:r>
          </w:p>
        </w:tc>
        <w:tc>
          <w:tcPr>
            <w:tcW w:w="850" w:type="dxa"/>
            <w:vAlign w:val="center"/>
          </w:tcPr>
          <w:p w14:paraId="01853C2C">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eastAsia" w:ascii="Times New Roman" w:hAnsi="Times New Roman" w:cs="Times New Roman"/>
                <w:color w:val="000000" w:themeColor="text1"/>
                <w:spacing w:val="-6"/>
                <w:sz w:val="21"/>
                <w:szCs w:val="21"/>
                <w:lang w:val="en-US" w:eastAsia="zh-CN"/>
                <w14:textFill>
                  <w14:solidFill>
                    <w14:schemeClr w14:val="tx1"/>
                  </w14:solidFill>
                </w14:textFill>
              </w:rPr>
              <w:t>/</w:t>
            </w:r>
          </w:p>
        </w:tc>
      </w:tr>
      <w:tr w14:paraId="32E4CB8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432" w:type="pct"/>
            <w:vAlign w:val="center"/>
          </w:tcPr>
          <w:p w14:paraId="371DF1B0">
            <w:pPr>
              <w:keepNext w:val="0"/>
              <w:keepLines w:val="0"/>
              <w:pageBreakBefore w:val="0"/>
              <w:widowControl/>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z w:val="21"/>
                <w:szCs w:val="21"/>
                <w:lang w:val="zh-TW"/>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钾</w:t>
            </w:r>
            <w:r>
              <w:rPr>
                <w:rFonts w:hint="eastAsia" w:cs="Times New Roman"/>
                <w:color w:val="000000" w:themeColor="text1"/>
                <w:sz w:val="21"/>
                <w:szCs w:val="21"/>
                <w:lang w:eastAsia="zh-CN"/>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K</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w:t>
            </w:r>
            <w:r>
              <w:rPr>
                <w:rFonts w:hint="eastAsia" w:cs="Times New Roman"/>
                <w:color w:val="000000" w:themeColor="text1"/>
                <w:sz w:val="21"/>
                <w:szCs w:val="21"/>
                <w:lang w:eastAsia="zh-CN"/>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w:t>
            </w:r>
            <w:r>
              <w:rPr>
                <w:rFonts w:hint="default" w:ascii="Times New Roman" w:hAnsi="Times New Roman" w:eastAsia="宋体" w:cs="Times New Roman"/>
                <w:color w:val="000000" w:themeColor="text1"/>
                <w:sz w:val="21"/>
                <w:szCs w:val="21"/>
                <w:lang w:val="zh-TW" w:eastAsia="zh-TW" w:bidi="ar"/>
                <w14:textFill>
                  <w14:solidFill>
                    <w14:schemeClr w14:val="tx1"/>
                  </w14:solidFill>
                </w14:textFill>
              </w:rPr>
              <w:t>mg/</w:t>
            </w:r>
            <w:r>
              <w:rPr>
                <w:rFonts w:hint="default" w:ascii="Times New Roman" w:hAnsi="Times New Roman" w:eastAsia="宋体" w:cs="Times New Roman"/>
                <w:color w:val="000000" w:themeColor="text1"/>
                <w:sz w:val="21"/>
                <w:szCs w:val="21"/>
                <w:lang w:bidi="ar"/>
                <w14:textFill>
                  <w14:solidFill>
                    <w14:schemeClr w14:val="tx1"/>
                  </w14:solidFill>
                </w14:textFill>
              </w:rPr>
              <w:t>L</w:t>
            </w:r>
            <w:r>
              <w:rPr>
                <w:rFonts w:hint="default" w:ascii="Times New Roman" w:hAnsi="Times New Roman" w:eastAsia="宋体" w:cs="Times New Roman"/>
                <w:color w:val="000000" w:themeColor="text1"/>
                <w:sz w:val="21"/>
                <w:szCs w:val="21"/>
                <w14:textFill>
                  <w14:solidFill>
                    <w14:schemeClr w14:val="tx1"/>
                  </w14:solidFill>
                </w14:textFill>
              </w:rPr>
              <w:t>）</w:t>
            </w:r>
          </w:p>
        </w:tc>
        <w:tc>
          <w:tcPr>
            <w:tcW w:w="733" w:type="pct"/>
            <w:vAlign w:val="center"/>
          </w:tcPr>
          <w:p w14:paraId="6E923E28">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6.59</w:t>
            </w:r>
          </w:p>
        </w:tc>
        <w:tc>
          <w:tcPr>
            <w:tcW w:w="679" w:type="pct"/>
            <w:vAlign w:val="center"/>
          </w:tcPr>
          <w:p w14:paraId="0C806D61">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2.12</w:t>
            </w:r>
          </w:p>
        </w:tc>
        <w:tc>
          <w:tcPr>
            <w:tcW w:w="611" w:type="pct"/>
            <w:vAlign w:val="center"/>
          </w:tcPr>
          <w:p w14:paraId="387BB99C">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5.84</w:t>
            </w:r>
          </w:p>
        </w:tc>
        <w:tc>
          <w:tcPr>
            <w:tcW w:w="681" w:type="pct"/>
            <w:vAlign w:val="center"/>
          </w:tcPr>
          <w:p w14:paraId="65AF7B05">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eastAsia" w:ascii="Times New Roman" w:hAnsi="Times New Roman" w:eastAsia="宋体" w:cs="Times New Roman"/>
                <w:color w:val="000000" w:themeColor="text1"/>
                <w:spacing w:val="-6"/>
                <w:sz w:val="21"/>
                <w:szCs w:val="21"/>
                <w:lang w:eastAsia="zh-CN"/>
                <w14:textFill>
                  <w14:solidFill>
                    <w14:schemeClr w14:val="tx1"/>
                  </w14:solidFill>
                </w14:textFill>
              </w:rPr>
            </w:pPr>
            <w:r>
              <w:rPr>
                <w:rFonts w:hint="eastAsia" w:ascii="Times New Roman" w:hAnsi="Times New Roman" w:cs="Times New Roman"/>
                <w:color w:val="000000" w:themeColor="text1"/>
                <w:spacing w:val="-6"/>
                <w:sz w:val="21"/>
                <w:szCs w:val="21"/>
                <w:lang w:val="en-US" w:eastAsia="zh-CN"/>
                <w14:textFill>
                  <w14:solidFill>
                    <w14:schemeClr w14:val="tx1"/>
                  </w14:solidFill>
                </w14:textFill>
              </w:rPr>
              <w:t>/</w:t>
            </w:r>
          </w:p>
        </w:tc>
        <w:tc>
          <w:tcPr>
            <w:tcW w:w="431" w:type="pct"/>
            <w:vAlign w:val="center"/>
          </w:tcPr>
          <w:p w14:paraId="51CB4130">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eastAsia" w:ascii="Times New Roman" w:hAnsi="Times New Roman" w:eastAsia="宋体" w:cs="Times New Roman"/>
                <w:color w:val="000000" w:themeColor="text1"/>
                <w:spacing w:val="-6"/>
                <w:sz w:val="21"/>
                <w:szCs w:val="21"/>
                <w:lang w:val="en-US" w:eastAsia="zh-CN"/>
                <w14:textFill>
                  <w14:solidFill>
                    <w14:schemeClr w14:val="tx1"/>
                  </w14:solidFill>
                </w14:textFill>
              </w:rPr>
            </w:pPr>
            <w:r>
              <w:rPr>
                <w:rFonts w:hint="eastAsia" w:ascii="Times New Roman" w:hAnsi="Times New Roman" w:cs="Times New Roman"/>
                <w:color w:val="000000" w:themeColor="text1"/>
                <w:spacing w:val="-6"/>
                <w:sz w:val="21"/>
                <w:szCs w:val="21"/>
                <w:lang w:val="en-US" w:eastAsia="zh-CN"/>
                <w14:textFill>
                  <w14:solidFill>
                    <w14:schemeClr w14:val="tx1"/>
                  </w14:solidFill>
                </w14:textFill>
              </w:rPr>
              <w:t>/</w:t>
            </w:r>
          </w:p>
        </w:tc>
        <w:tc>
          <w:tcPr>
            <w:tcW w:w="850" w:type="dxa"/>
            <w:vAlign w:val="center"/>
          </w:tcPr>
          <w:p w14:paraId="0EA6B5DF">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eastAsia" w:ascii="Times New Roman" w:hAnsi="Times New Roman" w:cs="Times New Roman"/>
                <w:color w:val="000000" w:themeColor="text1"/>
                <w:spacing w:val="-6"/>
                <w:sz w:val="21"/>
                <w:szCs w:val="21"/>
                <w:lang w:val="en-US" w:eastAsia="zh-CN"/>
                <w14:textFill>
                  <w14:solidFill>
                    <w14:schemeClr w14:val="tx1"/>
                  </w14:solidFill>
                </w14:textFill>
              </w:rPr>
              <w:t>/</w:t>
            </w:r>
          </w:p>
        </w:tc>
      </w:tr>
      <w:tr w14:paraId="01567E7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432" w:type="pct"/>
            <w:vAlign w:val="center"/>
          </w:tcPr>
          <w:p w14:paraId="2F46713E">
            <w:pPr>
              <w:keepNext w:val="0"/>
              <w:keepLines w:val="0"/>
              <w:pageBreakBefore w:val="0"/>
              <w:widowControl/>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钠</w:t>
            </w:r>
            <w:r>
              <w:rPr>
                <w:rFonts w:hint="eastAsia" w:cs="Times New Roman"/>
                <w:color w:val="000000" w:themeColor="text1"/>
                <w:sz w:val="21"/>
                <w:szCs w:val="21"/>
                <w:lang w:eastAsia="zh-CN"/>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Na</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w:t>
            </w:r>
            <w:r>
              <w:rPr>
                <w:rFonts w:hint="eastAsia" w:cs="Times New Roman"/>
                <w:color w:val="000000" w:themeColor="text1"/>
                <w:sz w:val="21"/>
                <w:szCs w:val="21"/>
                <w:lang w:eastAsia="zh-CN"/>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w:t>
            </w:r>
            <w:r>
              <w:rPr>
                <w:rFonts w:hint="default" w:ascii="Times New Roman" w:hAnsi="Times New Roman" w:eastAsia="宋体" w:cs="Times New Roman"/>
                <w:color w:val="000000" w:themeColor="text1"/>
                <w:sz w:val="21"/>
                <w:szCs w:val="21"/>
                <w:lang w:val="zh-TW" w:eastAsia="zh-TW" w:bidi="ar"/>
                <w14:textFill>
                  <w14:solidFill>
                    <w14:schemeClr w14:val="tx1"/>
                  </w14:solidFill>
                </w14:textFill>
              </w:rPr>
              <w:t>mg/</w:t>
            </w:r>
            <w:r>
              <w:rPr>
                <w:rFonts w:hint="default" w:ascii="Times New Roman" w:hAnsi="Times New Roman" w:eastAsia="宋体" w:cs="Times New Roman"/>
                <w:color w:val="000000" w:themeColor="text1"/>
                <w:sz w:val="21"/>
                <w:szCs w:val="21"/>
                <w:lang w:bidi="ar"/>
                <w14:textFill>
                  <w14:solidFill>
                    <w14:schemeClr w14:val="tx1"/>
                  </w14:solidFill>
                </w14:textFill>
              </w:rPr>
              <w:t>L</w:t>
            </w:r>
            <w:r>
              <w:rPr>
                <w:rFonts w:hint="default" w:ascii="Times New Roman" w:hAnsi="Times New Roman" w:eastAsia="宋体" w:cs="Times New Roman"/>
                <w:color w:val="000000" w:themeColor="text1"/>
                <w:sz w:val="21"/>
                <w:szCs w:val="21"/>
                <w14:textFill>
                  <w14:solidFill>
                    <w14:schemeClr w14:val="tx1"/>
                  </w14:solidFill>
                </w14:textFill>
              </w:rPr>
              <w:t>）</w:t>
            </w:r>
          </w:p>
        </w:tc>
        <w:tc>
          <w:tcPr>
            <w:tcW w:w="733" w:type="pct"/>
            <w:vAlign w:val="center"/>
          </w:tcPr>
          <w:p w14:paraId="7AE32DFA">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174</w:t>
            </w:r>
          </w:p>
        </w:tc>
        <w:tc>
          <w:tcPr>
            <w:tcW w:w="679" w:type="pct"/>
            <w:vAlign w:val="center"/>
          </w:tcPr>
          <w:p w14:paraId="0E3A5EAC">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72.7</w:t>
            </w:r>
          </w:p>
        </w:tc>
        <w:tc>
          <w:tcPr>
            <w:tcW w:w="611" w:type="pct"/>
            <w:vAlign w:val="center"/>
          </w:tcPr>
          <w:p w14:paraId="2DE0AE3C">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203</w:t>
            </w:r>
          </w:p>
        </w:tc>
        <w:tc>
          <w:tcPr>
            <w:tcW w:w="681" w:type="pct"/>
            <w:vAlign w:val="center"/>
          </w:tcPr>
          <w:p w14:paraId="0C232596">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eastAsia" w:ascii="Times New Roman" w:hAnsi="Times New Roman" w:eastAsia="宋体" w:cs="Times New Roman"/>
                <w:color w:val="000000" w:themeColor="text1"/>
                <w:spacing w:val="-6"/>
                <w:sz w:val="21"/>
                <w:szCs w:val="21"/>
                <w:lang w:eastAsia="zh-CN"/>
                <w14:textFill>
                  <w14:solidFill>
                    <w14:schemeClr w14:val="tx1"/>
                  </w14:solidFill>
                </w14:textFill>
              </w:rPr>
            </w:pPr>
            <w:r>
              <w:rPr>
                <w:rFonts w:hint="eastAsia" w:ascii="Times New Roman" w:hAnsi="Times New Roman" w:cs="Times New Roman"/>
                <w:color w:val="000000" w:themeColor="text1"/>
                <w:spacing w:val="-6"/>
                <w:sz w:val="21"/>
                <w:szCs w:val="21"/>
                <w:lang w:val="en-US" w:eastAsia="zh-CN"/>
                <w14:textFill>
                  <w14:solidFill>
                    <w14:schemeClr w14:val="tx1"/>
                  </w14:solidFill>
                </w14:textFill>
              </w:rPr>
              <w:t>/</w:t>
            </w:r>
          </w:p>
        </w:tc>
        <w:tc>
          <w:tcPr>
            <w:tcW w:w="431" w:type="pct"/>
            <w:vAlign w:val="center"/>
          </w:tcPr>
          <w:p w14:paraId="767A348E">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eastAsia" w:ascii="Times New Roman" w:hAnsi="Times New Roman" w:eastAsia="宋体" w:cs="Times New Roman"/>
                <w:color w:val="000000" w:themeColor="text1"/>
                <w:spacing w:val="-6"/>
                <w:sz w:val="21"/>
                <w:szCs w:val="21"/>
                <w:lang w:val="en-US" w:eastAsia="zh-CN"/>
                <w14:textFill>
                  <w14:solidFill>
                    <w14:schemeClr w14:val="tx1"/>
                  </w14:solidFill>
                </w14:textFill>
              </w:rPr>
            </w:pPr>
            <w:r>
              <w:rPr>
                <w:rFonts w:hint="eastAsia" w:ascii="Times New Roman" w:hAnsi="Times New Roman" w:cs="Times New Roman"/>
                <w:color w:val="000000" w:themeColor="text1"/>
                <w:spacing w:val="-6"/>
                <w:sz w:val="21"/>
                <w:szCs w:val="21"/>
                <w:lang w:val="en-US" w:eastAsia="zh-CN"/>
                <w14:textFill>
                  <w14:solidFill>
                    <w14:schemeClr w14:val="tx1"/>
                  </w14:solidFill>
                </w14:textFill>
              </w:rPr>
              <w:t>/</w:t>
            </w:r>
          </w:p>
        </w:tc>
        <w:tc>
          <w:tcPr>
            <w:tcW w:w="850" w:type="dxa"/>
            <w:vAlign w:val="center"/>
          </w:tcPr>
          <w:p w14:paraId="15A02E3C">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eastAsia" w:ascii="Times New Roman" w:hAnsi="Times New Roman" w:cs="Times New Roman"/>
                <w:color w:val="000000" w:themeColor="text1"/>
                <w:spacing w:val="-6"/>
                <w:sz w:val="21"/>
                <w:szCs w:val="21"/>
                <w:lang w:val="en-US" w:eastAsia="zh-CN"/>
                <w14:textFill>
                  <w14:solidFill>
                    <w14:schemeClr w14:val="tx1"/>
                  </w14:solidFill>
                </w14:textFill>
              </w:rPr>
              <w:t>/</w:t>
            </w:r>
          </w:p>
        </w:tc>
      </w:tr>
      <w:tr w14:paraId="1648FA8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432" w:type="pct"/>
            <w:vAlign w:val="center"/>
          </w:tcPr>
          <w:p w14:paraId="02B74D1A">
            <w:pPr>
              <w:keepNext w:val="0"/>
              <w:keepLines w:val="0"/>
              <w:pageBreakBefore w:val="0"/>
              <w:widowControl/>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钙</w:t>
            </w:r>
            <w:r>
              <w:rPr>
                <w:rFonts w:hint="eastAsia" w:cs="Times New Roman"/>
                <w:color w:val="000000" w:themeColor="text1"/>
                <w:sz w:val="21"/>
                <w:szCs w:val="21"/>
                <w:lang w:eastAsia="zh-CN"/>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Ca</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2+</w:t>
            </w:r>
            <w:r>
              <w:rPr>
                <w:rFonts w:hint="eastAsia" w:cs="Times New Roman"/>
                <w:color w:val="000000" w:themeColor="text1"/>
                <w:sz w:val="21"/>
                <w:szCs w:val="21"/>
                <w:lang w:eastAsia="zh-CN"/>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w:t>
            </w:r>
            <w:r>
              <w:rPr>
                <w:rFonts w:hint="default" w:ascii="Times New Roman" w:hAnsi="Times New Roman" w:eastAsia="宋体" w:cs="Times New Roman"/>
                <w:color w:val="000000" w:themeColor="text1"/>
                <w:sz w:val="21"/>
                <w:szCs w:val="21"/>
                <w:lang w:val="zh-TW" w:eastAsia="zh-TW" w:bidi="ar"/>
                <w14:textFill>
                  <w14:solidFill>
                    <w14:schemeClr w14:val="tx1"/>
                  </w14:solidFill>
                </w14:textFill>
              </w:rPr>
              <w:t>mg/</w:t>
            </w:r>
            <w:r>
              <w:rPr>
                <w:rFonts w:hint="default" w:ascii="Times New Roman" w:hAnsi="Times New Roman" w:eastAsia="宋体" w:cs="Times New Roman"/>
                <w:color w:val="000000" w:themeColor="text1"/>
                <w:sz w:val="21"/>
                <w:szCs w:val="21"/>
                <w:lang w:bidi="ar"/>
                <w14:textFill>
                  <w14:solidFill>
                    <w14:schemeClr w14:val="tx1"/>
                  </w14:solidFill>
                </w14:textFill>
              </w:rPr>
              <w:t>L</w:t>
            </w:r>
            <w:r>
              <w:rPr>
                <w:rFonts w:hint="default" w:ascii="Times New Roman" w:hAnsi="Times New Roman" w:eastAsia="宋体" w:cs="Times New Roman"/>
                <w:color w:val="000000" w:themeColor="text1"/>
                <w:sz w:val="21"/>
                <w:szCs w:val="21"/>
                <w14:textFill>
                  <w14:solidFill>
                    <w14:schemeClr w14:val="tx1"/>
                  </w14:solidFill>
                </w14:textFill>
              </w:rPr>
              <w:t>）</w:t>
            </w:r>
          </w:p>
        </w:tc>
        <w:tc>
          <w:tcPr>
            <w:tcW w:w="733" w:type="pct"/>
            <w:vAlign w:val="center"/>
          </w:tcPr>
          <w:p w14:paraId="1A23CACA">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69.5</w:t>
            </w:r>
          </w:p>
        </w:tc>
        <w:tc>
          <w:tcPr>
            <w:tcW w:w="679" w:type="pct"/>
            <w:vAlign w:val="center"/>
          </w:tcPr>
          <w:p w14:paraId="78D9500F">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43.2</w:t>
            </w:r>
          </w:p>
        </w:tc>
        <w:tc>
          <w:tcPr>
            <w:tcW w:w="611" w:type="pct"/>
            <w:vAlign w:val="center"/>
          </w:tcPr>
          <w:p w14:paraId="78FF1B1B">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69.2</w:t>
            </w:r>
          </w:p>
        </w:tc>
        <w:tc>
          <w:tcPr>
            <w:tcW w:w="681" w:type="pct"/>
            <w:vAlign w:val="center"/>
          </w:tcPr>
          <w:p w14:paraId="39BD37B8">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eastAsia" w:ascii="Times New Roman" w:hAnsi="Times New Roman" w:eastAsia="宋体" w:cs="Times New Roman"/>
                <w:color w:val="000000" w:themeColor="text1"/>
                <w:spacing w:val="-6"/>
                <w:sz w:val="21"/>
                <w:szCs w:val="21"/>
                <w:lang w:eastAsia="zh-CN"/>
                <w14:textFill>
                  <w14:solidFill>
                    <w14:schemeClr w14:val="tx1"/>
                  </w14:solidFill>
                </w14:textFill>
              </w:rPr>
            </w:pPr>
            <w:r>
              <w:rPr>
                <w:rFonts w:hint="eastAsia" w:ascii="Times New Roman" w:hAnsi="Times New Roman" w:cs="Times New Roman"/>
                <w:color w:val="000000" w:themeColor="text1"/>
                <w:spacing w:val="-6"/>
                <w:sz w:val="21"/>
                <w:szCs w:val="21"/>
                <w:lang w:val="en-US" w:eastAsia="zh-CN"/>
                <w14:textFill>
                  <w14:solidFill>
                    <w14:schemeClr w14:val="tx1"/>
                  </w14:solidFill>
                </w14:textFill>
              </w:rPr>
              <w:t>/</w:t>
            </w:r>
          </w:p>
        </w:tc>
        <w:tc>
          <w:tcPr>
            <w:tcW w:w="431" w:type="pct"/>
            <w:vAlign w:val="center"/>
          </w:tcPr>
          <w:p w14:paraId="55BC88A3">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eastAsia" w:ascii="Times New Roman" w:hAnsi="Times New Roman" w:eastAsia="宋体" w:cs="Times New Roman"/>
                <w:color w:val="000000" w:themeColor="text1"/>
                <w:spacing w:val="-6"/>
                <w:sz w:val="21"/>
                <w:szCs w:val="21"/>
                <w:lang w:val="en-US" w:eastAsia="zh-CN"/>
                <w14:textFill>
                  <w14:solidFill>
                    <w14:schemeClr w14:val="tx1"/>
                  </w14:solidFill>
                </w14:textFill>
              </w:rPr>
            </w:pPr>
            <w:r>
              <w:rPr>
                <w:rFonts w:hint="eastAsia" w:ascii="Times New Roman" w:hAnsi="Times New Roman" w:cs="Times New Roman"/>
                <w:color w:val="000000" w:themeColor="text1"/>
                <w:spacing w:val="-6"/>
                <w:sz w:val="21"/>
                <w:szCs w:val="21"/>
                <w:lang w:val="en-US" w:eastAsia="zh-CN"/>
                <w14:textFill>
                  <w14:solidFill>
                    <w14:schemeClr w14:val="tx1"/>
                  </w14:solidFill>
                </w14:textFill>
              </w:rPr>
              <w:t>/</w:t>
            </w:r>
          </w:p>
        </w:tc>
        <w:tc>
          <w:tcPr>
            <w:tcW w:w="850" w:type="dxa"/>
            <w:vAlign w:val="center"/>
          </w:tcPr>
          <w:p w14:paraId="64B14BA2">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eastAsia" w:ascii="Times New Roman" w:hAnsi="Times New Roman" w:cs="Times New Roman"/>
                <w:color w:val="000000" w:themeColor="text1"/>
                <w:spacing w:val="-6"/>
                <w:sz w:val="21"/>
                <w:szCs w:val="21"/>
                <w:lang w:val="en-US" w:eastAsia="zh-CN"/>
                <w14:textFill>
                  <w14:solidFill>
                    <w14:schemeClr w14:val="tx1"/>
                  </w14:solidFill>
                </w14:textFill>
              </w:rPr>
              <w:t>/</w:t>
            </w:r>
          </w:p>
        </w:tc>
      </w:tr>
      <w:tr w14:paraId="0A28C22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432" w:type="pct"/>
            <w:vAlign w:val="center"/>
          </w:tcPr>
          <w:p w14:paraId="2867936E">
            <w:pPr>
              <w:keepNext w:val="0"/>
              <w:keepLines w:val="0"/>
              <w:pageBreakBefore w:val="0"/>
              <w:widowControl/>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镁</w:t>
            </w:r>
            <w:r>
              <w:rPr>
                <w:rFonts w:hint="eastAsia" w:cs="Times New Roman"/>
                <w:color w:val="000000" w:themeColor="text1"/>
                <w:sz w:val="21"/>
                <w:szCs w:val="21"/>
                <w:lang w:eastAsia="zh-CN"/>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Mg</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2+</w:t>
            </w:r>
            <w:r>
              <w:rPr>
                <w:rFonts w:hint="eastAsia" w:cs="Times New Roman"/>
                <w:color w:val="000000" w:themeColor="text1"/>
                <w:sz w:val="21"/>
                <w:szCs w:val="21"/>
                <w:lang w:eastAsia="zh-CN"/>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w:t>
            </w:r>
            <w:r>
              <w:rPr>
                <w:rFonts w:hint="default" w:ascii="Times New Roman" w:hAnsi="Times New Roman" w:eastAsia="宋体" w:cs="Times New Roman"/>
                <w:color w:val="000000" w:themeColor="text1"/>
                <w:sz w:val="21"/>
                <w:szCs w:val="21"/>
                <w:lang w:val="zh-TW" w:eastAsia="zh-TW" w:bidi="ar"/>
                <w14:textFill>
                  <w14:solidFill>
                    <w14:schemeClr w14:val="tx1"/>
                  </w14:solidFill>
                </w14:textFill>
              </w:rPr>
              <w:t>mg/</w:t>
            </w:r>
            <w:r>
              <w:rPr>
                <w:rFonts w:hint="default" w:ascii="Times New Roman" w:hAnsi="Times New Roman" w:eastAsia="宋体" w:cs="Times New Roman"/>
                <w:color w:val="000000" w:themeColor="text1"/>
                <w:sz w:val="21"/>
                <w:szCs w:val="21"/>
                <w:lang w:bidi="ar"/>
                <w14:textFill>
                  <w14:solidFill>
                    <w14:schemeClr w14:val="tx1"/>
                  </w14:solidFill>
                </w14:textFill>
              </w:rPr>
              <w:t>L</w:t>
            </w:r>
            <w:r>
              <w:rPr>
                <w:rFonts w:hint="default" w:ascii="Times New Roman" w:hAnsi="Times New Roman" w:eastAsia="宋体" w:cs="Times New Roman"/>
                <w:color w:val="000000" w:themeColor="text1"/>
                <w:sz w:val="21"/>
                <w:szCs w:val="21"/>
                <w14:textFill>
                  <w14:solidFill>
                    <w14:schemeClr w14:val="tx1"/>
                  </w14:solidFill>
                </w14:textFill>
              </w:rPr>
              <w:t>）</w:t>
            </w:r>
          </w:p>
        </w:tc>
        <w:tc>
          <w:tcPr>
            <w:tcW w:w="733" w:type="pct"/>
            <w:vAlign w:val="center"/>
          </w:tcPr>
          <w:p w14:paraId="4D538884">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33.3</w:t>
            </w:r>
          </w:p>
        </w:tc>
        <w:tc>
          <w:tcPr>
            <w:tcW w:w="679" w:type="pct"/>
            <w:vAlign w:val="center"/>
          </w:tcPr>
          <w:p w14:paraId="670BE5F4">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21.2</w:t>
            </w:r>
          </w:p>
        </w:tc>
        <w:tc>
          <w:tcPr>
            <w:tcW w:w="611" w:type="pct"/>
            <w:vAlign w:val="center"/>
          </w:tcPr>
          <w:p w14:paraId="60F14495">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45.3</w:t>
            </w:r>
          </w:p>
        </w:tc>
        <w:tc>
          <w:tcPr>
            <w:tcW w:w="681" w:type="pct"/>
            <w:vAlign w:val="center"/>
          </w:tcPr>
          <w:p w14:paraId="689C1A5D">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eastAsia" w:ascii="Times New Roman" w:hAnsi="Times New Roman" w:eastAsia="宋体" w:cs="Times New Roman"/>
                <w:color w:val="000000" w:themeColor="text1"/>
                <w:spacing w:val="-6"/>
                <w:sz w:val="21"/>
                <w:szCs w:val="21"/>
                <w:lang w:eastAsia="zh-CN"/>
                <w14:textFill>
                  <w14:solidFill>
                    <w14:schemeClr w14:val="tx1"/>
                  </w14:solidFill>
                </w14:textFill>
              </w:rPr>
            </w:pPr>
            <w:r>
              <w:rPr>
                <w:rFonts w:hint="eastAsia" w:ascii="Times New Roman" w:hAnsi="Times New Roman" w:cs="Times New Roman"/>
                <w:color w:val="000000" w:themeColor="text1"/>
                <w:spacing w:val="-6"/>
                <w:sz w:val="21"/>
                <w:szCs w:val="21"/>
                <w:lang w:val="en-US" w:eastAsia="zh-CN"/>
                <w14:textFill>
                  <w14:solidFill>
                    <w14:schemeClr w14:val="tx1"/>
                  </w14:solidFill>
                </w14:textFill>
              </w:rPr>
              <w:t>/</w:t>
            </w:r>
          </w:p>
        </w:tc>
        <w:tc>
          <w:tcPr>
            <w:tcW w:w="431" w:type="pct"/>
            <w:vAlign w:val="center"/>
          </w:tcPr>
          <w:p w14:paraId="5DB658C4">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eastAsia" w:ascii="Times New Roman" w:hAnsi="Times New Roman" w:eastAsia="宋体" w:cs="Times New Roman"/>
                <w:color w:val="000000" w:themeColor="text1"/>
                <w:spacing w:val="-6"/>
                <w:sz w:val="21"/>
                <w:szCs w:val="21"/>
                <w:lang w:val="en-US" w:eastAsia="zh-CN"/>
                <w14:textFill>
                  <w14:solidFill>
                    <w14:schemeClr w14:val="tx1"/>
                  </w14:solidFill>
                </w14:textFill>
              </w:rPr>
            </w:pPr>
            <w:r>
              <w:rPr>
                <w:rFonts w:hint="eastAsia" w:ascii="Times New Roman" w:hAnsi="Times New Roman" w:cs="Times New Roman"/>
                <w:color w:val="000000" w:themeColor="text1"/>
                <w:spacing w:val="-6"/>
                <w:sz w:val="21"/>
                <w:szCs w:val="21"/>
                <w:lang w:val="en-US" w:eastAsia="zh-CN"/>
                <w14:textFill>
                  <w14:solidFill>
                    <w14:schemeClr w14:val="tx1"/>
                  </w14:solidFill>
                </w14:textFill>
              </w:rPr>
              <w:t>/</w:t>
            </w:r>
          </w:p>
        </w:tc>
        <w:tc>
          <w:tcPr>
            <w:tcW w:w="850" w:type="dxa"/>
            <w:vAlign w:val="center"/>
          </w:tcPr>
          <w:p w14:paraId="5F503939">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eastAsia" w:ascii="Times New Roman" w:hAnsi="Times New Roman" w:cs="Times New Roman"/>
                <w:color w:val="000000" w:themeColor="text1"/>
                <w:spacing w:val="-6"/>
                <w:sz w:val="21"/>
                <w:szCs w:val="21"/>
                <w:lang w:val="en-US" w:eastAsia="zh-CN"/>
                <w14:textFill>
                  <w14:solidFill>
                    <w14:schemeClr w14:val="tx1"/>
                  </w14:solidFill>
                </w14:textFill>
              </w:rPr>
              <w:t>/</w:t>
            </w:r>
          </w:p>
        </w:tc>
      </w:tr>
      <w:tr w14:paraId="6D0CE32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432" w:type="pct"/>
            <w:vAlign w:val="center"/>
          </w:tcPr>
          <w:p w14:paraId="4744019E">
            <w:pPr>
              <w:keepNext w:val="0"/>
              <w:keepLines w:val="0"/>
              <w:pageBreakBefore w:val="0"/>
              <w:widowControl/>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碳酸根（</w:t>
            </w:r>
            <w:r>
              <w:rPr>
                <w:rFonts w:hint="default" w:ascii="Times New Roman" w:hAnsi="Times New Roman" w:eastAsia="宋体" w:cs="Times New Roman"/>
                <w:color w:val="000000" w:themeColor="text1"/>
                <w:sz w:val="21"/>
                <w:szCs w:val="21"/>
                <w:lang w:val="zh-TW" w:eastAsia="zh-TW" w:bidi="ar"/>
                <w14:textFill>
                  <w14:solidFill>
                    <w14:schemeClr w14:val="tx1"/>
                  </w14:solidFill>
                </w14:textFill>
              </w:rPr>
              <w:t>mg/</w:t>
            </w:r>
            <w:r>
              <w:rPr>
                <w:rFonts w:hint="default" w:ascii="Times New Roman" w:hAnsi="Times New Roman" w:eastAsia="宋体" w:cs="Times New Roman"/>
                <w:color w:val="000000" w:themeColor="text1"/>
                <w:sz w:val="21"/>
                <w:szCs w:val="21"/>
                <w:lang w:bidi="ar"/>
                <w14:textFill>
                  <w14:solidFill>
                    <w14:schemeClr w14:val="tx1"/>
                  </w14:solidFill>
                </w14:textFill>
              </w:rPr>
              <w:t>L</w:t>
            </w:r>
            <w:r>
              <w:rPr>
                <w:rFonts w:hint="default" w:ascii="Times New Roman" w:hAnsi="Times New Roman" w:eastAsia="宋体" w:cs="Times New Roman"/>
                <w:color w:val="000000" w:themeColor="text1"/>
                <w:sz w:val="21"/>
                <w:szCs w:val="21"/>
                <w14:textFill>
                  <w14:solidFill>
                    <w14:schemeClr w14:val="tx1"/>
                  </w14:solidFill>
                </w14:textFill>
              </w:rPr>
              <w:t>）</w:t>
            </w:r>
          </w:p>
        </w:tc>
        <w:tc>
          <w:tcPr>
            <w:tcW w:w="733" w:type="pct"/>
            <w:vAlign w:val="center"/>
          </w:tcPr>
          <w:p w14:paraId="26F22F38">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w:t>
            </w:r>
          </w:p>
        </w:tc>
        <w:tc>
          <w:tcPr>
            <w:tcW w:w="679" w:type="pct"/>
            <w:vAlign w:val="center"/>
          </w:tcPr>
          <w:p w14:paraId="16A16D2E">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w:t>
            </w:r>
          </w:p>
        </w:tc>
        <w:tc>
          <w:tcPr>
            <w:tcW w:w="611" w:type="pct"/>
            <w:vAlign w:val="center"/>
          </w:tcPr>
          <w:p w14:paraId="660811ED">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w:t>
            </w:r>
          </w:p>
        </w:tc>
        <w:tc>
          <w:tcPr>
            <w:tcW w:w="681" w:type="pct"/>
            <w:vAlign w:val="center"/>
          </w:tcPr>
          <w:p w14:paraId="408FF5A0">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w:t>
            </w:r>
          </w:p>
        </w:tc>
        <w:tc>
          <w:tcPr>
            <w:tcW w:w="431" w:type="pct"/>
            <w:vAlign w:val="center"/>
          </w:tcPr>
          <w:p w14:paraId="3AB3C252">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eastAsia" w:ascii="Times New Roman" w:hAnsi="Times New Roman" w:eastAsia="宋体" w:cs="Times New Roman"/>
                <w:color w:val="000000" w:themeColor="text1"/>
                <w:spacing w:val="-6"/>
                <w:sz w:val="21"/>
                <w:szCs w:val="21"/>
                <w:lang w:val="en-US" w:eastAsia="zh-CN"/>
                <w14:textFill>
                  <w14:solidFill>
                    <w14:schemeClr w14:val="tx1"/>
                  </w14:solidFill>
                </w14:textFill>
              </w:rPr>
            </w:pPr>
            <w:r>
              <w:rPr>
                <w:rFonts w:hint="eastAsia" w:ascii="Times New Roman" w:hAnsi="Times New Roman" w:cs="Times New Roman"/>
                <w:color w:val="000000" w:themeColor="text1"/>
                <w:spacing w:val="-6"/>
                <w:sz w:val="21"/>
                <w:szCs w:val="21"/>
                <w:lang w:val="en-US" w:eastAsia="zh-CN"/>
                <w14:textFill>
                  <w14:solidFill>
                    <w14:schemeClr w14:val="tx1"/>
                  </w14:solidFill>
                </w14:textFill>
              </w:rPr>
              <w:t>/</w:t>
            </w:r>
          </w:p>
        </w:tc>
        <w:tc>
          <w:tcPr>
            <w:tcW w:w="850" w:type="dxa"/>
            <w:vAlign w:val="center"/>
          </w:tcPr>
          <w:p w14:paraId="3B5783A1">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eastAsia" w:ascii="Times New Roman" w:hAnsi="Times New Roman" w:cs="Times New Roman"/>
                <w:color w:val="000000" w:themeColor="text1"/>
                <w:spacing w:val="-6"/>
                <w:sz w:val="21"/>
                <w:szCs w:val="21"/>
                <w:lang w:val="en-US" w:eastAsia="zh-CN"/>
                <w14:textFill>
                  <w14:solidFill>
                    <w14:schemeClr w14:val="tx1"/>
                  </w14:solidFill>
                </w14:textFill>
              </w:rPr>
              <w:t>/</w:t>
            </w:r>
          </w:p>
        </w:tc>
      </w:tr>
      <w:tr w14:paraId="0AFE642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432" w:type="pct"/>
            <w:vAlign w:val="center"/>
          </w:tcPr>
          <w:p w14:paraId="4C14C9C3">
            <w:pPr>
              <w:keepNext w:val="0"/>
              <w:keepLines w:val="0"/>
              <w:pageBreakBefore w:val="0"/>
              <w:widowControl/>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碳酸氢根（</w:t>
            </w:r>
            <w:r>
              <w:rPr>
                <w:rFonts w:hint="default" w:ascii="Times New Roman" w:hAnsi="Times New Roman" w:eastAsia="宋体" w:cs="Times New Roman"/>
                <w:color w:val="000000" w:themeColor="text1"/>
                <w:sz w:val="21"/>
                <w:szCs w:val="21"/>
                <w:lang w:val="zh-TW" w:eastAsia="zh-TW" w:bidi="ar"/>
                <w14:textFill>
                  <w14:solidFill>
                    <w14:schemeClr w14:val="tx1"/>
                  </w14:solidFill>
                </w14:textFill>
              </w:rPr>
              <w:t>mg/</w:t>
            </w:r>
            <w:r>
              <w:rPr>
                <w:rFonts w:hint="default" w:ascii="Times New Roman" w:hAnsi="Times New Roman" w:eastAsia="宋体" w:cs="Times New Roman"/>
                <w:color w:val="000000" w:themeColor="text1"/>
                <w:sz w:val="21"/>
                <w:szCs w:val="21"/>
                <w:lang w:bidi="ar"/>
                <w14:textFill>
                  <w14:solidFill>
                    <w14:schemeClr w14:val="tx1"/>
                  </w14:solidFill>
                </w14:textFill>
              </w:rPr>
              <w:t>L</w:t>
            </w:r>
            <w:r>
              <w:rPr>
                <w:rFonts w:hint="default" w:ascii="Times New Roman" w:hAnsi="Times New Roman" w:eastAsia="宋体" w:cs="Times New Roman"/>
                <w:color w:val="000000" w:themeColor="text1"/>
                <w:sz w:val="21"/>
                <w:szCs w:val="21"/>
                <w14:textFill>
                  <w14:solidFill>
                    <w14:schemeClr w14:val="tx1"/>
                  </w14:solidFill>
                </w14:textFill>
              </w:rPr>
              <w:t>）</w:t>
            </w:r>
          </w:p>
        </w:tc>
        <w:tc>
          <w:tcPr>
            <w:tcW w:w="733" w:type="pct"/>
            <w:vAlign w:val="center"/>
          </w:tcPr>
          <w:p w14:paraId="52534441">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326</w:t>
            </w:r>
          </w:p>
        </w:tc>
        <w:tc>
          <w:tcPr>
            <w:tcW w:w="679" w:type="pct"/>
            <w:vAlign w:val="center"/>
          </w:tcPr>
          <w:p w14:paraId="7679E418">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178</w:t>
            </w:r>
          </w:p>
        </w:tc>
        <w:tc>
          <w:tcPr>
            <w:tcW w:w="611" w:type="pct"/>
            <w:vAlign w:val="center"/>
          </w:tcPr>
          <w:p w14:paraId="0370F43B">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369</w:t>
            </w:r>
          </w:p>
        </w:tc>
        <w:tc>
          <w:tcPr>
            <w:tcW w:w="681" w:type="pct"/>
            <w:vAlign w:val="center"/>
          </w:tcPr>
          <w:p w14:paraId="42F1B920">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eastAsia" w:ascii="Times New Roman" w:hAnsi="Times New Roman" w:eastAsia="宋体" w:cs="Times New Roman"/>
                <w:color w:val="000000" w:themeColor="text1"/>
                <w:spacing w:val="-6"/>
                <w:sz w:val="21"/>
                <w:szCs w:val="21"/>
                <w:lang w:val="en-US" w:eastAsia="zh-CN"/>
                <w14:textFill>
                  <w14:solidFill>
                    <w14:schemeClr w14:val="tx1"/>
                  </w14:solidFill>
                </w14:textFill>
              </w:rPr>
            </w:pPr>
            <w:r>
              <w:rPr>
                <w:rFonts w:hint="eastAsia" w:ascii="Times New Roman" w:hAnsi="Times New Roman" w:cs="Times New Roman"/>
                <w:color w:val="000000" w:themeColor="text1"/>
                <w:spacing w:val="-6"/>
                <w:sz w:val="21"/>
                <w:szCs w:val="21"/>
                <w:lang w:val="en-US" w:eastAsia="zh-CN"/>
                <w14:textFill>
                  <w14:solidFill>
                    <w14:schemeClr w14:val="tx1"/>
                  </w14:solidFill>
                </w14:textFill>
              </w:rPr>
              <w:t>/</w:t>
            </w:r>
          </w:p>
        </w:tc>
        <w:tc>
          <w:tcPr>
            <w:tcW w:w="431" w:type="pct"/>
            <w:vAlign w:val="center"/>
          </w:tcPr>
          <w:p w14:paraId="0CD8BF6C">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eastAsia" w:ascii="Times New Roman" w:hAnsi="Times New Roman" w:eastAsia="宋体" w:cs="Times New Roman"/>
                <w:color w:val="000000" w:themeColor="text1"/>
                <w:spacing w:val="-6"/>
                <w:sz w:val="21"/>
                <w:szCs w:val="21"/>
                <w:lang w:val="en-US" w:eastAsia="zh-CN"/>
                <w14:textFill>
                  <w14:solidFill>
                    <w14:schemeClr w14:val="tx1"/>
                  </w14:solidFill>
                </w14:textFill>
              </w:rPr>
            </w:pPr>
            <w:r>
              <w:rPr>
                <w:rFonts w:hint="eastAsia" w:ascii="Times New Roman" w:hAnsi="Times New Roman" w:cs="Times New Roman"/>
                <w:color w:val="000000" w:themeColor="text1"/>
                <w:spacing w:val="-6"/>
                <w:sz w:val="21"/>
                <w:szCs w:val="21"/>
                <w:lang w:val="en-US" w:eastAsia="zh-CN"/>
                <w14:textFill>
                  <w14:solidFill>
                    <w14:schemeClr w14:val="tx1"/>
                  </w14:solidFill>
                </w14:textFill>
              </w:rPr>
              <w:t>/</w:t>
            </w:r>
          </w:p>
        </w:tc>
        <w:tc>
          <w:tcPr>
            <w:tcW w:w="850" w:type="dxa"/>
            <w:vAlign w:val="center"/>
          </w:tcPr>
          <w:p w14:paraId="2B592A6D">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eastAsia" w:ascii="Times New Roman" w:hAnsi="Times New Roman" w:cs="Times New Roman"/>
                <w:color w:val="000000" w:themeColor="text1"/>
                <w:spacing w:val="-6"/>
                <w:sz w:val="21"/>
                <w:szCs w:val="21"/>
                <w:lang w:val="en-US" w:eastAsia="zh-CN"/>
                <w14:textFill>
                  <w14:solidFill>
                    <w14:schemeClr w14:val="tx1"/>
                  </w14:solidFill>
                </w14:textFill>
              </w:rPr>
              <w:t>/</w:t>
            </w:r>
          </w:p>
        </w:tc>
      </w:tr>
      <w:tr w14:paraId="17073E4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432" w:type="pct"/>
            <w:vAlign w:val="center"/>
          </w:tcPr>
          <w:p w14:paraId="3FE674FC">
            <w:pPr>
              <w:keepNext w:val="0"/>
              <w:keepLines w:val="0"/>
              <w:pageBreakBefore w:val="0"/>
              <w:widowControl/>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硫酸盐（</w:t>
            </w:r>
            <w:r>
              <w:rPr>
                <w:rFonts w:hint="default" w:ascii="Times New Roman" w:hAnsi="Times New Roman" w:eastAsia="宋体" w:cs="Times New Roman"/>
                <w:color w:val="000000" w:themeColor="text1"/>
                <w:sz w:val="21"/>
                <w:szCs w:val="21"/>
                <w:lang w:val="zh-TW" w:eastAsia="zh-TW" w:bidi="ar"/>
                <w14:textFill>
                  <w14:solidFill>
                    <w14:schemeClr w14:val="tx1"/>
                  </w14:solidFill>
                </w14:textFill>
              </w:rPr>
              <w:t>mg/</w:t>
            </w:r>
            <w:r>
              <w:rPr>
                <w:rFonts w:hint="default" w:ascii="Times New Roman" w:hAnsi="Times New Roman" w:eastAsia="宋体" w:cs="Times New Roman"/>
                <w:color w:val="000000" w:themeColor="text1"/>
                <w:sz w:val="21"/>
                <w:szCs w:val="21"/>
                <w:lang w:bidi="ar"/>
                <w14:textFill>
                  <w14:solidFill>
                    <w14:schemeClr w14:val="tx1"/>
                  </w14:solidFill>
                </w14:textFill>
              </w:rPr>
              <w:t>L</w:t>
            </w:r>
            <w:r>
              <w:rPr>
                <w:rFonts w:hint="default" w:ascii="Times New Roman" w:hAnsi="Times New Roman" w:eastAsia="宋体" w:cs="Times New Roman"/>
                <w:color w:val="000000" w:themeColor="text1"/>
                <w:sz w:val="21"/>
                <w:szCs w:val="21"/>
                <w14:textFill>
                  <w14:solidFill>
                    <w14:schemeClr w14:val="tx1"/>
                  </w14:solidFill>
                </w14:textFill>
              </w:rPr>
              <w:t>）</w:t>
            </w:r>
          </w:p>
        </w:tc>
        <w:tc>
          <w:tcPr>
            <w:tcW w:w="733" w:type="pct"/>
            <w:vAlign w:val="center"/>
          </w:tcPr>
          <w:p w14:paraId="342A5176">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89.6</w:t>
            </w:r>
          </w:p>
        </w:tc>
        <w:tc>
          <w:tcPr>
            <w:tcW w:w="679" w:type="pct"/>
            <w:vAlign w:val="center"/>
          </w:tcPr>
          <w:p w14:paraId="4AA302DD">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56.8</w:t>
            </w:r>
          </w:p>
        </w:tc>
        <w:tc>
          <w:tcPr>
            <w:tcW w:w="611" w:type="pct"/>
            <w:vAlign w:val="center"/>
          </w:tcPr>
          <w:p w14:paraId="77388B21">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112</w:t>
            </w:r>
          </w:p>
        </w:tc>
        <w:tc>
          <w:tcPr>
            <w:tcW w:w="681" w:type="pct"/>
            <w:vAlign w:val="center"/>
          </w:tcPr>
          <w:p w14:paraId="336B8EFE">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eastAsia" w:ascii="Times New Roman" w:hAnsi="Times New Roman" w:eastAsia="宋体" w:cs="Times New Roman"/>
                <w:color w:val="000000" w:themeColor="text1"/>
                <w:spacing w:val="-6"/>
                <w:sz w:val="21"/>
                <w:szCs w:val="21"/>
                <w:lang w:eastAsia="zh-CN"/>
                <w14:textFill>
                  <w14:solidFill>
                    <w14:schemeClr w14:val="tx1"/>
                  </w14:solidFill>
                </w14:textFill>
              </w:rPr>
            </w:pPr>
            <w:r>
              <w:rPr>
                <w:rFonts w:hint="eastAsia" w:ascii="Times New Roman" w:hAnsi="Times New Roman" w:cs="Times New Roman"/>
                <w:color w:val="000000" w:themeColor="text1"/>
                <w:spacing w:val="-6"/>
                <w:sz w:val="21"/>
                <w:szCs w:val="21"/>
                <w:lang w:val="en-US" w:eastAsia="zh-CN"/>
                <w14:textFill>
                  <w14:solidFill>
                    <w14:schemeClr w14:val="tx1"/>
                  </w14:solidFill>
                </w14:textFill>
              </w:rPr>
              <w:t>/</w:t>
            </w:r>
          </w:p>
        </w:tc>
        <w:tc>
          <w:tcPr>
            <w:tcW w:w="431" w:type="pct"/>
            <w:vAlign w:val="center"/>
          </w:tcPr>
          <w:p w14:paraId="7D3EFEB1">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eastAsia" w:ascii="Times New Roman" w:hAnsi="Times New Roman" w:eastAsia="宋体" w:cs="Times New Roman"/>
                <w:color w:val="000000" w:themeColor="text1"/>
                <w:spacing w:val="-6"/>
                <w:sz w:val="21"/>
                <w:szCs w:val="21"/>
                <w:lang w:val="en-US" w:eastAsia="zh-CN"/>
                <w14:textFill>
                  <w14:solidFill>
                    <w14:schemeClr w14:val="tx1"/>
                  </w14:solidFill>
                </w14:textFill>
              </w:rPr>
            </w:pPr>
            <w:r>
              <w:rPr>
                <w:rFonts w:hint="eastAsia" w:ascii="Times New Roman" w:hAnsi="Times New Roman" w:cs="Times New Roman"/>
                <w:color w:val="000000" w:themeColor="text1"/>
                <w:spacing w:val="-6"/>
                <w:sz w:val="21"/>
                <w:szCs w:val="21"/>
                <w:lang w:val="en-US" w:eastAsia="zh-CN"/>
                <w14:textFill>
                  <w14:solidFill>
                    <w14:schemeClr w14:val="tx1"/>
                  </w14:solidFill>
                </w14:textFill>
              </w:rPr>
              <w:t>/</w:t>
            </w:r>
          </w:p>
        </w:tc>
        <w:tc>
          <w:tcPr>
            <w:tcW w:w="850" w:type="dxa"/>
            <w:vAlign w:val="center"/>
          </w:tcPr>
          <w:p w14:paraId="4715FA93">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eastAsia" w:ascii="Times New Roman" w:hAnsi="Times New Roman" w:cs="Times New Roman"/>
                <w:color w:val="000000" w:themeColor="text1"/>
                <w:spacing w:val="-6"/>
                <w:sz w:val="21"/>
                <w:szCs w:val="21"/>
                <w:lang w:val="en-US" w:eastAsia="zh-CN"/>
                <w14:textFill>
                  <w14:solidFill>
                    <w14:schemeClr w14:val="tx1"/>
                  </w14:solidFill>
                </w14:textFill>
              </w:rPr>
              <w:t>/</w:t>
            </w:r>
          </w:p>
        </w:tc>
      </w:tr>
      <w:tr w14:paraId="3CC3E11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432" w:type="pct"/>
            <w:vAlign w:val="center"/>
          </w:tcPr>
          <w:p w14:paraId="3E7C5012">
            <w:pPr>
              <w:keepNext w:val="0"/>
              <w:keepLines w:val="0"/>
              <w:pageBreakBefore w:val="0"/>
              <w:widowControl/>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氯化物（</w:t>
            </w:r>
            <w:r>
              <w:rPr>
                <w:rFonts w:hint="default" w:ascii="Times New Roman" w:hAnsi="Times New Roman" w:eastAsia="宋体" w:cs="Times New Roman"/>
                <w:color w:val="000000" w:themeColor="text1"/>
                <w:sz w:val="21"/>
                <w:szCs w:val="21"/>
                <w:lang w:val="zh-TW" w:eastAsia="zh-TW" w:bidi="ar"/>
                <w14:textFill>
                  <w14:solidFill>
                    <w14:schemeClr w14:val="tx1"/>
                  </w14:solidFill>
                </w14:textFill>
              </w:rPr>
              <w:t>mg/</w:t>
            </w:r>
            <w:r>
              <w:rPr>
                <w:rFonts w:hint="default" w:ascii="Times New Roman" w:hAnsi="Times New Roman" w:eastAsia="宋体" w:cs="Times New Roman"/>
                <w:color w:val="000000" w:themeColor="text1"/>
                <w:sz w:val="21"/>
                <w:szCs w:val="21"/>
                <w:lang w:bidi="ar"/>
                <w14:textFill>
                  <w14:solidFill>
                    <w14:schemeClr w14:val="tx1"/>
                  </w14:solidFill>
                </w14:textFill>
              </w:rPr>
              <w:t>L</w:t>
            </w:r>
            <w:r>
              <w:rPr>
                <w:rFonts w:hint="default" w:ascii="Times New Roman" w:hAnsi="Times New Roman" w:eastAsia="宋体" w:cs="Times New Roman"/>
                <w:color w:val="000000" w:themeColor="text1"/>
                <w:sz w:val="21"/>
                <w:szCs w:val="21"/>
                <w14:textFill>
                  <w14:solidFill>
                    <w14:schemeClr w14:val="tx1"/>
                  </w14:solidFill>
                </w14:textFill>
              </w:rPr>
              <w:t>）</w:t>
            </w:r>
          </w:p>
        </w:tc>
        <w:tc>
          <w:tcPr>
            <w:tcW w:w="733" w:type="pct"/>
            <w:vAlign w:val="center"/>
          </w:tcPr>
          <w:p w14:paraId="5BED1994">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212</w:t>
            </w:r>
          </w:p>
        </w:tc>
        <w:tc>
          <w:tcPr>
            <w:tcW w:w="679" w:type="pct"/>
            <w:vAlign w:val="center"/>
          </w:tcPr>
          <w:p w14:paraId="74713DD6">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75.6</w:t>
            </w:r>
          </w:p>
        </w:tc>
        <w:tc>
          <w:tcPr>
            <w:tcW w:w="611" w:type="pct"/>
            <w:vAlign w:val="center"/>
          </w:tcPr>
          <w:p w14:paraId="4CBF48E1">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243</w:t>
            </w:r>
          </w:p>
        </w:tc>
        <w:tc>
          <w:tcPr>
            <w:tcW w:w="681" w:type="pct"/>
            <w:vAlign w:val="center"/>
          </w:tcPr>
          <w:p w14:paraId="2B6351EB">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eastAsia" w:ascii="Times New Roman" w:hAnsi="Times New Roman" w:eastAsia="宋体" w:cs="Times New Roman"/>
                <w:color w:val="000000" w:themeColor="text1"/>
                <w:spacing w:val="-6"/>
                <w:sz w:val="21"/>
                <w:szCs w:val="21"/>
                <w:lang w:eastAsia="zh-CN"/>
                <w14:textFill>
                  <w14:solidFill>
                    <w14:schemeClr w14:val="tx1"/>
                  </w14:solidFill>
                </w14:textFill>
              </w:rPr>
            </w:pPr>
            <w:r>
              <w:rPr>
                <w:rFonts w:hint="eastAsia" w:ascii="Times New Roman" w:hAnsi="Times New Roman" w:cs="Times New Roman"/>
                <w:color w:val="000000" w:themeColor="text1"/>
                <w:spacing w:val="-6"/>
                <w:sz w:val="21"/>
                <w:szCs w:val="21"/>
                <w:lang w:val="en-US" w:eastAsia="zh-CN"/>
                <w14:textFill>
                  <w14:solidFill>
                    <w14:schemeClr w14:val="tx1"/>
                  </w14:solidFill>
                </w14:textFill>
              </w:rPr>
              <w:t>/</w:t>
            </w:r>
          </w:p>
        </w:tc>
        <w:tc>
          <w:tcPr>
            <w:tcW w:w="431" w:type="pct"/>
            <w:vAlign w:val="center"/>
          </w:tcPr>
          <w:p w14:paraId="64556850">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eastAsia" w:ascii="Times New Roman" w:hAnsi="Times New Roman" w:eastAsia="宋体" w:cs="Times New Roman"/>
                <w:color w:val="000000" w:themeColor="text1"/>
                <w:spacing w:val="-6"/>
                <w:sz w:val="21"/>
                <w:szCs w:val="21"/>
                <w:lang w:val="en-US" w:eastAsia="zh-CN"/>
                <w14:textFill>
                  <w14:solidFill>
                    <w14:schemeClr w14:val="tx1"/>
                  </w14:solidFill>
                </w14:textFill>
              </w:rPr>
            </w:pPr>
            <w:r>
              <w:rPr>
                <w:rFonts w:hint="eastAsia" w:ascii="Times New Roman" w:hAnsi="Times New Roman" w:cs="Times New Roman"/>
                <w:color w:val="000000" w:themeColor="text1"/>
                <w:spacing w:val="-6"/>
                <w:sz w:val="21"/>
                <w:szCs w:val="21"/>
                <w:lang w:val="en-US" w:eastAsia="zh-CN"/>
                <w14:textFill>
                  <w14:solidFill>
                    <w14:schemeClr w14:val="tx1"/>
                  </w14:solidFill>
                </w14:textFill>
              </w:rPr>
              <w:t>/</w:t>
            </w:r>
          </w:p>
        </w:tc>
        <w:tc>
          <w:tcPr>
            <w:tcW w:w="850" w:type="dxa"/>
            <w:vAlign w:val="center"/>
          </w:tcPr>
          <w:p w14:paraId="745972AA">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eastAsia" w:ascii="Times New Roman" w:hAnsi="Times New Roman" w:cs="Times New Roman"/>
                <w:color w:val="000000" w:themeColor="text1"/>
                <w:spacing w:val="-6"/>
                <w:sz w:val="21"/>
                <w:szCs w:val="21"/>
                <w:lang w:val="en-US" w:eastAsia="zh-CN"/>
                <w14:textFill>
                  <w14:solidFill>
                    <w14:schemeClr w14:val="tx1"/>
                  </w14:solidFill>
                </w14:textFill>
              </w:rPr>
              <w:t>/</w:t>
            </w:r>
          </w:p>
        </w:tc>
      </w:tr>
      <w:tr w14:paraId="708876A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432" w:type="pct"/>
            <w:vAlign w:val="center"/>
          </w:tcPr>
          <w:p w14:paraId="46960415">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氨氮</w:t>
            </w:r>
            <w:r>
              <w:rPr>
                <w:rFonts w:hint="default" w:ascii="Times New Roman" w:hAnsi="Times New Roman" w:eastAsia="宋体" w:cs="Times New Roman"/>
                <w:color w:val="000000" w:themeColor="text1"/>
                <w:sz w:val="21"/>
                <w:szCs w:val="21"/>
                <w14:textFill>
                  <w14:solidFill>
                    <w14:schemeClr w14:val="tx1"/>
                  </w14:solidFill>
                </w14:textFill>
              </w:rPr>
              <w:t>（</w:t>
            </w:r>
            <w:r>
              <w:rPr>
                <w:rFonts w:hint="default" w:ascii="Times New Roman" w:hAnsi="Times New Roman" w:eastAsia="宋体" w:cs="Times New Roman"/>
                <w:color w:val="000000" w:themeColor="text1"/>
                <w:sz w:val="21"/>
                <w:szCs w:val="21"/>
                <w:lang w:val="zh-TW" w:eastAsia="zh-TW" w:bidi="ar"/>
                <w14:textFill>
                  <w14:solidFill>
                    <w14:schemeClr w14:val="tx1"/>
                  </w14:solidFill>
                </w14:textFill>
              </w:rPr>
              <w:t>mg/</w:t>
            </w:r>
            <w:r>
              <w:rPr>
                <w:rFonts w:hint="default" w:ascii="Times New Roman" w:hAnsi="Times New Roman" w:eastAsia="宋体" w:cs="Times New Roman"/>
                <w:color w:val="000000" w:themeColor="text1"/>
                <w:sz w:val="21"/>
                <w:szCs w:val="21"/>
                <w:lang w:bidi="ar"/>
                <w14:textFill>
                  <w14:solidFill>
                    <w14:schemeClr w14:val="tx1"/>
                  </w14:solidFill>
                </w14:textFill>
              </w:rPr>
              <w:t>L</w:t>
            </w:r>
            <w:r>
              <w:rPr>
                <w:rFonts w:hint="default" w:ascii="Times New Roman" w:hAnsi="Times New Roman" w:eastAsia="宋体" w:cs="Times New Roman"/>
                <w:color w:val="000000" w:themeColor="text1"/>
                <w:sz w:val="21"/>
                <w:szCs w:val="21"/>
                <w14:textFill>
                  <w14:solidFill>
                    <w14:schemeClr w14:val="tx1"/>
                  </w14:solidFill>
                </w14:textFill>
              </w:rPr>
              <w:t>）</w:t>
            </w:r>
          </w:p>
        </w:tc>
        <w:tc>
          <w:tcPr>
            <w:tcW w:w="733" w:type="pct"/>
            <w:vAlign w:val="center"/>
          </w:tcPr>
          <w:p w14:paraId="6F6D375D">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0.34</w:t>
            </w:r>
          </w:p>
        </w:tc>
        <w:tc>
          <w:tcPr>
            <w:tcW w:w="679" w:type="pct"/>
            <w:vAlign w:val="center"/>
          </w:tcPr>
          <w:p w14:paraId="2C36853D">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0.12</w:t>
            </w:r>
          </w:p>
        </w:tc>
        <w:tc>
          <w:tcPr>
            <w:tcW w:w="611" w:type="pct"/>
            <w:vAlign w:val="center"/>
          </w:tcPr>
          <w:p w14:paraId="5DDD610C">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0.42</w:t>
            </w:r>
          </w:p>
        </w:tc>
        <w:tc>
          <w:tcPr>
            <w:tcW w:w="681" w:type="pct"/>
            <w:vAlign w:val="center"/>
          </w:tcPr>
          <w:p w14:paraId="6E8AB03A">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6"/>
                <w:sz w:val="21"/>
                <w:szCs w:val="21"/>
                <w:highlight w:val="none"/>
                <w14:textFill>
                  <w14:solidFill>
                    <w14:schemeClr w14:val="tx1"/>
                  </w14:solidFill>
                </w14:textFill>
              </w:rPr>
              <w:t>0.</w:t>
            </w:r>
            <w:r>
              <w:rPr>
                <w:rFonts w:hint="eastAsia" w:ascii="Times New Roman" w:hAnsi="Times New Roman" w:cs="Times New Roman"/>
                <w:color w:val="000000" w:themeColor="text1"/>
                <w:spacing w:val="-6"/>
                <w:sz w:val="21"/>
                <w:szCs w:val="21"/>
                <w:highlight w:val="none"/>
                <w:lang w:val="en-US" w:eastAsia="zh-CN"/>
                <w14:textFill>
                  <w14:solidFill>
                    <w14:schemeClr w14:val="tx1"/>
                  </w14:solidFill>
                </w14:textFill>
              </w:rPr>
              <w:t>50</w:t>
            </w:r>
            <w:r>
              <w:rPr>
                <w:rFonts w:hint="default" w:ascii="Times New Roman" w:hAnsi="Times New Roman" w:eastAsia="宋体" w:cs="Times New Roman"/>
                <w:color w:val="000000" w:themeColor="text1"/>
                <w:spacing w:val="-6"/>
                <w:sz w:val="21"/>
                <w:szCs w:val="21"/>
                <w:highlight w:val="none"/>
                <w14:textFill>
                  <w14:solidFill>
                    <w14:schemeClr w14:val="tx1"/>
                  </w14:solidFill>
                </w14:textFill>
              </w:rPr>
              <w:t>mg/L</w:t>
            </w:r>
          </w:p>
        </w:tc>
        <w:tc>
          <w:tcPr>
            <w:tcW w:w="431" w:type="pct"/>
            <w:vAlign w:val="center"/>
          </w:tcPr>
          <w:p w14:paraId="1BFA2AF6">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pacing w:val="-6"/>
                <w:sz w:val="21"/>
                <w:szCs w:val="21"/>
                <w:highlight w:val="none"/>
                <w:lang w:val="en-US" w:eastAsia="zh-CN"/>
                <w14:textFill>
                  <w14:solidFill>
                    <w14:schemeClr w14:val="tx1"/>
                  </w14:solidFill>
                </w14:textFill>
              </w:rPr>
              <w:t>0.84</w:t>
            </w:r>
          </w:p>
        </w:tc>
        <w:tc>
          <w:tcPr>
            <w:tcW w:w="431" w:type="pct"/>
            <w:vAlign w:val="center"/>
          </w:tcPr>
          <w:p w14:paraId="0D1CE638">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达标</w:t>
            </w:r>
          </w:p>
        </w:tc>
      </w:tr>
      <w:tr w14:paraId="0DAD2C8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432" w:type="pct"/>
            <w:vAlign w:val="center"/>
          </w:tcPr>
          <w:p w14:paraId="60EA8DFB">
            <w:pPr>
              <w:keepNext w:val="0"/>
              <w:keepLines w:val="0"/>
              <w:pageBreakBefore w:val="0"/>
              <w:widowControl/>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亚硝酸盐氮（</w:t>
            </w:r>
            <w:r>
              <w:rPr>
                <w:rFonts w:hint="default" w:ascii="Times New Roman" w:hAnsi="Times New Roman" w:eastAsia="宋体" w:cs="Times New Roman"/>
                <w:color w:val="000000" w:themeColor="text1"/>
                <w:sz w:val="21"/>
                <w:szCs w:val="21"/>
                <w:lang w:val="zh-TW" w:eastAsia="zh-TW" w:bidi="ar"/>
                <w14:textFill>
                  <w14:solidFill>
                    <w14:schemeClr w14:val="tx1"/>
                  </w14:solidFill>
                </w14:textFill>
              </w:rPr>
              <w:t>mg/</w:t>
            </w:r>
            <w:r>
              <w:rPr>
                <w:rFonts w:hint="default" w:ascii="Times New Roman" w:hAnsi="Times New Roman" w:eastAsia="宋体" w:cs="Times New Roman"/>
                <w:color w:val="000000" w:themeColor="text1"/>
                <w:sz w:val="21"/>
                <w:szCs w:val="21"/>
                <w:lang w:bidi="ar"/>
                <w14:textFill>
                  <w14:solidFill>
                    <w14:schemeClr w14:val="tx1"/>
                  </w14:solidFill>
                </w14:textFill>
              </w:rPr>
              <w:t>L</w:t>
            </w:r>
            <w:r>
              <w:rPr>
                <w:rFonts w:hint="default" w:ascii="Times New Roman" w:hAnsi="Times New Roman" w:eastAsia="宋体" w:cs="Times New Roman"/>
                <w:color w:val="000000" w:themeColor="text1"/>
                <w:sz w:val="21"/>
                <w:szCs w:val="21"/>
                <w14:textFill>
                  <w14:solidFill>
                    <w14:schemeClr w14:val="tx1"/>
                  </w14:solidFill>
                </w14:textFill>
              </w:rPr>
              <w:t>）</w:t>
            </w:r>
          </w:p>
        </w:tc>
        <w:tc>
          <w:tcPr>
            <w:tcW w:w="733" w:type="pct"/>
            <w:vAlign w:val="center"/>
          </w:tcPr>
          <w:p w14:paraId="6A9D3295">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&lt;0.001</w:t>
            </w:r>
          </w:p>
        </w:tc>
        <w:tc>
          <w:tcPr>
            <w:tcW w:w="679" w:type="pct"/>
            <w:vAlign w:val="center"/>
          </w:tcPr>
          <w:p w14:paraId="55EA979A">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&lt;0.001</w:t>
            </w:r>
          </w:p>
        </w:tc>
        <w:tc>
          <w:tcPr>
            <w:tcW w:w="611" w:type="pct"/>
            <w:vAlign w:val="center"/>
          </w:tcPr>
          <w:p w14:paraId="14AEB5FB">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&lt;0.001</w:t>
            </w:r>
          </w:p>
        </w:tc>
        <w:tc>
          <w:tcPr>
            <w:tcW w:w="681" w:type="pct"/>
            <w:vAlign w:val="center"/>
          </w:tcPr>
          <w:p w14:paraId="58949854">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eastAsia" w:ascii="Times New Roman" w:hAnsi="Times New Roman" w:cs="Times New Roman"/>
                <w:color w:val="000000" w:themeColor="text1"/>
                <w:spacing w:val="-6"/>
                <w:sz w:val="21"/>
                <w:szCs w:val="21"/>
                <w:lang w:val="en-US" w:eastAsia="zh-CN"/>
                <w14:textFill>
                  <w14:solidFill>
                    <w14:schemeClr w14:val="tx1"/>
                  </w14:solidFill>
                </w14:textFill>
              </w:rPr>
              <w:t>1.0</w:t>
            </w:r>
            <w:r>
              <w:rPr>
                <w:rFonts w:hint="default" w:ascii="Times New Roman" w:hAnsi="Times New Roman" w:eastAsia="宋体" w:cs="Times New Roman"/>
                <w:color w:val="000000" w:themeColor="text1"/>
                <w:spacing w:val="-6"/>
                <w:sz w:val="21"/>
                <w:szCs w:val="21"/>
                <w14:textFill>
                  <w14:solidFill>
                    <w14:schemeClr w14:val="tx1"/>
                  </w14:solidFill>
                </w14:textFill>
              </w:rPr>
              <w:t>mg/L</w:t>
            </w:r>
          </w:p>
        </w:tc>
        <w:tc>
          <w:tcPr>
            <w:tcW w:w="431" w:type="pct"/>
            <w:vAlign w:val="center"/>
          </w:tcPr>
          <w:p w14:paraId="46BB66FD">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eastAsia" w:ascii="Times New Roman" w:hAnsi="Times New Roman" w:eastAsia="宋体" w:cs="Times New Roman"/>
                <w:color w:val="000000" w:themeColor="text1"/>
                <w:spacing w:val="-6"/>
                <w:sz w:val="21"/>
                <w:szCs w:val="21"/>
                <w:lang w:val="en-US" w:eastAsia="zh-CN"/>
                <w14:textFill>
                  <w14:solidFill>
                    <w14:schemeClr w14:val="tx1"/>
                  </w14:solidFill>
                </w14:textFill>
              </w:rPr>
            </w:pPr>
            <w:r>
              <w:rPr>
                <w:rFonts w:hint="eastAsia" w:ascii="Times New Roman" w:hAnsi="Times New Roman" w:cs="Times New Roman"/>
                <w:color w:val="000000" w:themeColor="text1"/>
                <w:spacing w:val="-6"/>
                <w:sz w:val="21"/>
                <w:szCs w:val="21"/>
                <w:lang w:val="en-US" w:eastAsia="zh-CN"/>
                <w14:textFill>
                  <w14:solidFill>
                    <w14:schemeClr w14:val="tx1"/>
                  </w14:solidFill>
                </w14:textFill>
              </w:rPr>
              <w:t>/</w:t>
            </w:r>
          </w:p>
        </w:tc>
        <w:tc>
          <w:tcPr>
            <w:tcW w:w="431" w:type="pct"/>
            <w:vAlign w:val="center"/>
          </w:tcPr>
          <w:p w14:paraId="042A84AB">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lang w:val="en-US" w:eastAsia="zh-CN"/>
                <w14:textFill>
                  <w14:solidFill>
                    <w14:schemeClr w14:val="tx1"/>
                  </w14:solidFill>
                </w14:textFill>
              </w:rPr>
              <w:t>/</w:t>
            </w:r>
          </w:p>
        </w:tc>
      </w:tr>
      <w:tr w14:paraId="051F04E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432" w:type="pct"/>
            <w:vAlign w:val="center"/>
          </w:tcPr>
          <w:p w14:paraId="0A313E50">
            <w:pPr>
              <w:keepNext w:val="0"/>
              <w:keepLines w:val="0"/>
              <w:pageBreakBefore w:val="0"/>
              <w:widowControl/>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硝酸盐氮（</w:t>
            </w:r>
            <w:r>
              <w:rPr>
                <w:rFonts w:hint="default" w:ascii="Times New Roman" w:hAnsi="Times New Roman" w:eastAsia="宋体" w:cs="Times New Roman"/>
                <w:color w:val="000000" w:themeColor="text1"/>
                <w:sz w:val="21"/>
                <w:szCs w:val="21"/>
                <w:lang w:val="zh-TW" w:eastAsia="zh-TW" w:bidi="ar"/>
                <w14:textFill>
                  <w14:solidFill>
                    <w14:schemeClr w14:val="tx1"/>
                  </w14:solidFill>
                </w14:textFill>
              </w:rPr>
              <w:t>mg/</w:t>
            </w:r>
            <w:r>
              <w:rPr>
                <w:rFonts w:hint="default" w:ascii="Times New Roman" w:hAnsi="Times New Roman" w:eastAsia="宋体" w:cs="Times New Roman"/>
                <w:color w:val="000000" w:themeColor="text1"/>
                <w:sz w:val="21"/>
                <w:szCs w:val="21"/>
                <w:lang w:bidi="ar"/>
                <w14:textFill>
                  <w14:solidFill>
                    <w14:schemeClr w14:val="tx1"/>
                  </w14:solidFill>
                </w14:textFill>
              </w:rPr>
              <w:t>L</w:t>
            </w:r>
            <w:r>
              <w:rPr>
                <w:rFonts w:hint="default" w:ascii="Times New Roman" w:hAnsi="Times New Roman" w:eastAsia="宋体" w:cs="Times New Roman"/>
                <w:color w:val="000000" w:themeColor="text1"/>
                <w:sz w:val="21"/>
                <w:szCs w:val="21"/>
                <w14:textFill>
                  <w14:solidFill>
                    <w14:schemeClr w14:val="tx1"/>
                  </w14:solidFill>
                </w14:textFill>
              </w:rPr>
              <w:t>）</w:t>
            </w:r>
          </w:p>
        </w:tc>
        <w:tc>
          <w:tcPr>
            <w:tcW w:w="733" w:type="pct"/>
            <w:vAlign w:val="center"/>
          </w:tcPr>
          <w:p w14:paraId="094FCF7F">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7.47</w:t>
            </w:r>
          </w:p>
        </w:tc>
        <w:tc>
          <w:tcPr>
            <w:tcW w:w="679" w:type="pct"/>
            <w:vAlign w:val="center"/>
          </w:tcPr>
          <w:p w14:paraId="5DD00289">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3.26</w:t>
            </w:r>
          </w:p>
        </w:tc>
        <w:tc>
          <w:tcPr>
            <w:tcW w:w="611" w:type="pct"/>
            <w:vAlign w:val="center"/>
          </w:tcPr>
          <w:p w14:paraId="1FC14609">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10.6</w:t>
            </w:r>
          </w:p>
        </w:tc>
        <w:tc>
          <w:tcPr>
            <w:tcW w:w="681" w:type="pct"/>
            <w:vAlign w:val="center"/>
          </w:tcPr>
          <w:p w14:paraId="277B3D90">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eastAsia" w:ascii="Times New Roman" w:hAnsi="Times New Roman" w:cs="Times New Roman"/>
                <w:color w:val="000000" w:themeColor="text1"/>
                <w:spacing w:val="-6"/>
                <w:sz w:val="21"/>
                <w:szCs w:val="21"/>
                <w:lang w:val="en-US" w:eastAsia="zh-CN"/>
                <w14:textFill>
                  <w14:solidFill>
                    <w14:schemeClr w14:val="tx1"/>
                  </w14:solidFill>
                </w14:textFill>
              </w:rPr>
              <w:t>20.0</w:t>
            </w:r>
            <w:r>
              <w:rPr>
                <w:rFonts w:hint="default" w:ascii="Times New Roman" w:hAnsi="Times New Roman" w:eastAsia="宋体" w:cs="Times New Roman"/>
                <w:color w:val="000000" w:themeColor="text1"/>
                <w:spacing w:val="-6"/>
                <w:sz w:val="21"/>
                <w:szCs w:val="21"/>
                <w14:textFill>
                  <w14:solidFill>
                    <w14:schemeClr w14:val="tx1"/>
                  </w14:solidFill>
                </w14:textFill>
              </w:rPr>
              <w:t>mg/L</w:t>
            </w:r>
          </w:p>
        </w:tc>
        <w:tc>
          <w:tcPr>
            <w:tcW w:w="431" w:type="pct"/>
            <w:vAlign w:val="center"/>
          </w:tcPr>
          <w:p w14:paraId="18063982">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val="en-US" w:eastAsia="zh-CN"/>
                <w14:textFill>
                  <w14:solidFill>
                    <w14:schemeClr w14:val="tx1"/>
                  </w14:solidFill>
                </w14:textFill>
              </w:rPr>
            </w:pPr>
            <w:r>
              <w:rPr>
                <w:rFonts w:hint="eastAsia" w:ascii="Times New Roman" w:hAnsi="Times New Roman" w:cs="Times New Roman"/>
                <w:color w:val="000000" w:themeColor="text1"/>
                <w:spacing w:val="-6"/>
                <w:sz w:val="21"/>
                <w:szCs w:val="21"/>
                <w:lang w:val="en-US" w:eastAsia="zh-CN"/>
                <w14:textFill>
                  <w14:solidFill>
                    <w14:schemeClr w14:val="tx1"/>
                  </w14:solidFill>
                </w14:textFill>
              </w:rPr>
              <w:t>0.53</w:t>
            </w:r>
          </w:p>
        </w:tc>
        <w:tc>
          <w:tcPr>
            <w:tcW w:w="431" w:type="pct"/>
            <w:vAlign w:val="center"/>
          </w:tcPr>
          <w:p w14:paraId="70C35C46">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达标</w:t>
            </w:r>
          </w:p>
        </w:tc>
      </w:tr>
      <w:tr w14:paraId="659B129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432" w:type="pct"/>
            <w:vAlign w:val="center"/>
          </w:tcPr>
          <w:p w14:paraId="18A4AD24">
            <w:pPr>
              <w:keepNext w:val="0"/>
              <w:keepLines w:val="0"/>
              <w:pageBreakBefore w:val="0"/>
              <w:widowControl/>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挥发酚类（</w:t>
            </w:r>
            <w:r>
              <w:rPr>
                <w:rFonts w:hint="default" w:ascii="Times New Roman" w:hAnsi="Times New Roman" w:eastAsia="宋体" w:cs="Times New Roman"/>
                <w:color w:val="000000" w:themeColor="text1"/>
                <w:sz w:val="21"/>
                <w:szCs w:val="21"/>
                <w:lang w:val="zh-TW" w:eastAsia="zh-TW" w:bidi="ar"/>
                <w14:textFill>
                  <w14:solidFill>
                    <w14:schemeClr w14:val="tx1"/>
                  </w14:solidFill>
                </w14:textFill>
              </w:rPr>
              <w:t>mg/</w:t>
            </w:r>
            <w:r>
              <w:rPr>
                <w:rFonts w:hint="default" w:ascii="Times New Roman" w:hAnsi="Times New Roman" w:eastAsia="宋体" w:cs="Times New Roman"/>
                <w:color w:val="000000" w:themeColor="text1"/>
                <w:sz w:val="21"/>
                <w:szCs w:val="21"/>
                <w:lang w:bidi="ar"/>
                <w14:textFill>
                  <w14:solidFill>
                    <w14:schemeClr w14:val="tx1"/>
                  </w14:solidFill>
                </w14:textFill>
              </w:rPr>
              <w:t>L</w:t>
            </w:r>
            <w:r>
              <w:rPr>
                <w:rFonts w:hint="default" w:ascii="Times New Roman" w:hAnsi="Times New Roman" w:eastAsia="宋体" w:cs="Times New Roman"/>
                <w:color w:val="000000" w:themeColor="text1"/>
                <w:sz w:val="21"/>
                <w:szCs w:val="21"/>
                <w14:textFill>
                  <w14:solidFill>
                    <w14:schemeClr w14:val="tx1"/>
                  </w14:solidFill>
                </w14:textFill>
              </w:rPr>
              <w:t>）</w:t>
            </w:r>
          </w:p>
        </w:tc>
        <w:tc>
          <w:tcPr>
            <w:tcW w:w="733" w:type="pct"/>
            <w:vAlign w:val="center"/>
          </w:tcPr>
          <w:p w14:paraId="65823E1E">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&lt;0.0003</w:t>
            </w:r>
          </w:p>
        </w:tc>
        <w:tc>
          <w:tcPr>
            <w:tcW w:w="679" w:type="pct"/>
            <w:vAlign w:val="center"/>
          </w:tcPr>
          <w:p w14:paraId="36429FF2">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&lt;0.0003</w:t>
            </w:r>
          </w:p>
        </w:tc>
        <w:tc>
          <w:tcPr>
            <w:tcW w:w="611" w:type="pct"/>
            <w:vAlign w:val="center"/>
          </w:tcPr>
          <w:p w14:paraId="2DAA853E">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&lt;0.0003</w:t>
            </w:r>
          </w:p>
        </w:tc>
        <w:tc>
          <w:tcPr>
            <w:tcW w:w="681" w:type="pct"/>
            <w:vAlign w:val="center"/>
          </w:tcPr>
          <w:p w14:paraId="199F87F3">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0.00</w:t>
            </w:r>
            <w:r>
              <w:rPr>
                <w:rFonts w:hint="eastAsia" w:ascii="Times New Roman" w:hAnsi="Times New Roman" w:cs="Times New Roman"/>
                <w:color w:val="000000" w:themeColor="text1"/>
                <w:spacing w:val="-6"/>
                <w:sz w:val="21"/>
                <w:szCs w:val="21"/>
                <w:lang w:val="en-US" w:eastAsia="zh-CN"/>
                <w14:textFill>
                  <w14:solidFill>
                    <w14:schemeClr w14:val="tx1"/>
                  </w14:solidFill>
                </w14:textFill>
              </w:rPr>
              <w:t>2</w:t>
            </w:r>
            <w:r>
              <w:rPr>
                <w:rFonts w:hint="default" w:ascii="Times New Roman" w:hAnsi="Times New Roman" w:eastAsia="宋体" w:cs="Times New Roman"/>
                <w:color w:val="000000" w:themeColor="text1"/>
                <w:spacing w:val="-6"/>
                <w:sz w:val="21"/>
                <w:szCs w:val="21"/>
                <w14:textFill>
                  <w14:solidFill>
                    <w14:schemeClr w14:val="tx1"/>
                  </w14:solidFill>
                </w14:textFill>
              </w:rPr>
              <w:t>mg/L</w:t>
            </w:r>
          </w:p>
        </w:tc>
        <w:tc>
          <w:tcPr>
            <w:tcW w:w="431" w:type="pct"/>
            <w:vAlign w:val="center"/>
          </w:tcPr>
          <w:p w14:paraId="641D3881">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eastAsia" w:ascii="Times New Roman" w:hAnsi="Times New Roman" w:eastAsia="宋体" w:cs="Times New Roman"/>
                <w:color w:val="000000" w:themeColor="text1"/>
                <w:spacing w:val="-6"/>
                <w:sz w:val="21"/>
                <w:szCs w:val="21"/>
                <w:lang w:val="en-US" w:eastAsia="zh-CN"/>
                <w14:textFill>
                  <w14:solidFill>
                    <w14:schemeClr w14:val="tx1"/>
                  </w14:solidFill>
                </w14:textFill>
              </w:rPr>
            </w:pPr>
            <w:r>
              <w:rPr>
                <w:rFonts w:hint="eastAsia" w:ascii="Times New Roman" w:hAnsi="Times New Roman" w:cs="Times New Roman"/>
                <w:color w:val="000000" w:themeColor="text1"/>
                <w:spacing w:val="-6"/>
                <w:sz w:val="21"/>
                <w:szCs w:val="21"/>
                <w:lang w:val="en-US" w:eastAsia="zh-CN"/>
                <w14:textFill>
                  <w14:solidFill>
                    <w14:schemeClr w14:val="tx1"/>
                  </w14:solidFill>
                </w14:textFill>
              </w:rPr>
              <w:t>/</w:t>
            </w:r>
          </w:p>
        </w:tc>
        <w:tc>
          <w:tcPr>
            <w:tcW w:w="850" w:type="dxa"/>
            <w:vAlign w:val="center"/>
          </w:tcPr>
          <w:p w14:paraId="5A01116A">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eastAsia" w:ascii="Times New Roman" w:hAnsi="Times New Roman" w:cs="Times New Roman"/>
                <w:color w:val="000000" w:themeColor="text1"/>
                <w:spacing w:val="-6"/>
                <w:sz w:val="21"/>
                <w:szCs w:val="21"/>
                <w:lang w:val="en-US" w:eastAsia="zh-CN"/>
                <w14:textFill>
                  <w14:solidFill>
                    <w14:schemeClr w14:val="tx1"/>
                  </w14:solidFill>
                </w14:textFill>
              </w:rPr>
              <w:t>/</w:t>
            </w:r>
          </w:p>
        </w:tc>
      </w:tr>
      <w:tr w14:paraId="18DA861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432" w:type="pct"/>
            <w:vAlign w:val="center"/>
          </w:tcPr>
          <w:p w14:paraId="1B1E1C8B">
            <w:pPr>
              <w:keepNext w:val="0"/>
              <w:keepLines w:val="0"/>
              <w:pageBreakBefore w:val="0"/>
              <w:widowControl/>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氰化物（</w:t>
            </w:r>
            <w:r>
              <w:rPr>
                <w:rFonts w:hint="default" w:ascii="Times New Roman" w:hAnsi="Times New Roman" w:eastAsia="宋体" w:cs="Times New Roman"/>
                <w:color w:val="000000" w:themeColor="text1"/>
                <w:sz w:val="21"/>
                <w:szCs w:val="21"/>
                <w:lang w:val="zh-TW" w:eastAsia="zh-TW" w:bidi="ar"/>
                <w14:textFill>
                  <w14:solidFill>
                    <w14:schemeClr w14:val="tx1"/>
                  </w14:solidFill>
                </w14:textFill>
              </w:rPr>
              <w:t>mg/</w:t>
            </w:r>
            <w:r>
              <w:rPr>
                <w:rFonts w:hint="default" w:ascii="Times New Roman" w:hAnsi="Times New Roman" w:eastAsia="宋体" w:cs="Times New Roman"/>
                <w:color w:val="000000" w:themeColor="text1"/>
                <w:sz w:val="21"/>
                <w:szCs w:val="21"/>
                <w:lang w:bidi="ar"/>
                <w14:textFill>
                  <w14:solidFill>
                    <w14:schemeClr w14:val="tx1"/>
                  </w14:solidFill>
                </w14:textFill>
              </w:rPr>
              <w:t>L</w:t>
            </w:r>
            <w:r>
              <w:rPr>
                <w:rFonts w:hint="default" w:ascii="Times New Roman" w:hAnsi="Times New Roman" w:eastAsia="宋体" w:cs="Times New Roman"/>
                <w:color w:val="000000" w:themeColor="text1"/>
                <w:sz w:val="21"/>
                <w:szCs w:val="21"/>
                <w14:textFill>
                  <w14:solidFill>
                    <w14:schemeClr w14:val="tx1"/>
                  </w14:solidFill>
                </w14:textFill>
              </w:rPr>
              <w:t>）</w:t>
            </w:r>
          </w:p>
        </w:tc>
        <w:tc>
          <w:tcPr>
            <w:tcW w:w="733" w:type="pct"/>
            <w:vAlign w:val="center"/>
          </w:tcPr>
          <w:p w14:paraId="4E616E02">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&lt;0.002</w:t>
            </w:r>
          </w:p>
        </w:tc>
        <w:tc>
          <w:tcPr>
            <w:tcW w:w="679" w:type="pct"/>
            <w:vAlign w:val="center"/>
          </w:tcPr>
          <w:p w14:paraId="2089E0A5">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&lt;0.002</w:t>
            </w:r>
          </w:p>
        </w:tc>
        <w:tc>
          <w:tcPr>
            <w:tcW w:w="611" w:type="pct"/>
            <w:vAlign w:val="center"/>
          </w:tcPr>
          <w:p w14:paraId="4380EB63">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&lt;0.002</w:t>
            </w:r>
          </w:p>
        </w:tc>
        <w:tc>
          <w:tcPr>
            <w:tcW w:w="681" w:type="pct"/>
            <w:vAlign w:val="center"/>
          </w:tcPr>
          <w:p w14:paraId="3D34F477">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0.0</w:t>
            </w:r>
            <w:r>
              <w:rPr>
                <w:rFonts w:hint="eastAsia" w:ascii="Times New Roman" w:hAnsi="Times New Roman" w:cs="Times New Roman"/>
                <w:color w:val="000000" w:themeColor="text1"/>
                <w:spacing w:val="-6"/>
                <w:sz w:val="21"/>
                <w:szCs w:val="21"/>
                <w:lang w:val="en-US" w:eastAsia="zh-CN"/>
                <w14:textFill>
                  <w14:solidFill>
                    <w14:schemeClr w14:val="tx1"/>
                  </w14:solidFill>
                </w14:textFill>
              </w:rPr>
              <w:t>5</w:t>
            </w:r>
            <w:r>
              <w:rPr>
                <w:rFonts w:hint="default" w:ascii="Times New Roman" w:hAnsi="Times New Roman" w:eastAsia="宋体" w:cs="Times New Roman"/>
                <w:color w:val="000000" w:themeColor="text1"/>
                <w:spacing w:val="-6"/>
                <w:sz w:val="21"/>
                <w:szCs w:val="21"/>
                <w14:textFill>
                  <w14:solidFill>
                    <w14:schemeClr w14:val="tx1"/>
                  </w14:solidFill>
                </w14:textFill>
              </w:rPr>
              <w:t>mg/L</w:t>
            </w:r>
          </w:p>
        </w:tc>
        <w:tc>
          <w:tcPr>
            <w:tcW w:w="431" w:type="pct"/>
            <w:vAlign w:val="center"/>
          </w:tcPr>
          <w:p w14:paraId="7EF3DDAF">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eastAsia" w:ascii="Times New Roman" w:hAnsi="Times New Roman" w:eastAsia="宋体" w:cs="Times New Roman"/>
                <w:color w:val="000000" w:themeColor="text1"/>
                <w:spacing w:val="-6"/>
                <w:sz w:val="21"/>
                <w:szCs w:val="21"/>
                <w:lang w:val="en-US" w:eastAsia="zh-CN"/>
                <w14:textFill>
                  <w14:solidFill>
                    <w14:schemeClr w14:val="tx1"/>
                  </w14:solidFill>
                </w14:textFill>
              </w:rPr>
            </w:pPr>
            <w:r>
              <w:rPr>
                <w:rFonts w:hint="eastAsia" w:ascii="Times New Roman" w:hAnsi="Times New Roman" w:cs="Times New Roman"/>
                <w:color w:val="000000" w:themeColor="text1"/>
                <w:spacing w:val="-6"/>
                <w:sz w:val="21"/>
                <w:szCs w:val="21"/>
                <w:lang w:val="en-US" w:eastAsia="zh-CN"/>
                <w14:textFill>
                  <w14:solidFill>
                    <w14:schemeClr w14:val="tx1"/>
                  </w14:solidFill>
                </w14:textFill>
              </w:rPr>
              <w:t>/</w:t>
            </w:r>
          </w:p>
        </w:tc>
        <w:tc>
          <w:tcPr>
            <w:tcW w:w="850" w:type="dxa"/>
            <w:vAlign w:val="center"/>
          </w:tcPr>
          <w:p w14:paraId="22AAF1B2">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eastAsia" w:ascii="Times New Roman" w:hAnsi="Times New Roman" w:cs="Times New Roman"/>
                <w:color w:val="000000" w:themeColor="text1"/>
                <w:spacing w:val="-6"/>
                <w:sz w:val="21"/>
                <w:szCs w:val="21"/>
                <w:lang w:val="en-US" w:eastAsia="zh-CN"/>
                <w14:textFill>
                  <w14:solidFill>
                    <w14:schemeClr w14:val="tx1"/>
                  </w14:solidFill>
                </w14:textFill>
              </w:rPr>
              <w:t>/</w:t>
            </w:r>
          </w:p>
        </w:tc>
      </w:tr>
      <w:tr w14:paraId="560A061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jc w:val="center"/>
        </w:trPr>
        <w:tc>
          <w:tcPr>
            <w:tcW w:w="1432" w:type="pct"/>
            <w:vAlign w:val="center"/>
          </w:tcPr>
          <w:p w14:paraId="39385096">
            <w:pPr>
              <w:keepNext w:val="0"/>
              <w:keepLines w:val="0"/>
              <w:pageBreakBefore w:val="0"/>
              <w:widowControl/>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砷（</w:t>
            </w:r>
            <w:r>
              <w:rPr>
                <w:rFonts w:hint="default" w:ascii="Times New Roman" w:hAnsi="Times New Roman" w:eastAsia="宋体" w:cs="Times New Roman"/>
                <w:color w:val="000000" w:themeColor="text1"/>
                <w:sz w:val="21"/>
                <w:szCs w:val="21"/>
                <w:lang w:bidi="ar"/>
                <w14:textFill>
                  <w14:solidFill>
                    <w14:schemeClr w14:val="tx1"/>
                  </w14:solidFill>
                </w14:textFill>
              </w:rPr>
              <w:t>μg/L</w:t>
            </w:r>
            <w:r>
              <w:rPr>
                <w:rFonts w:hint="default" w:ascii="Times New Roman" w:hAnsi="Times New Roman" w:eastAsia="宋体" w:cs="Times New Roman"/>
                <w:color w:val="000000" w:themeColor="text1"/>
                <w:sz w:val="21"/>
                <w:szCs w:val="21"/>
                <w14:textFill>
                  <w14:solidFill>
                    <w14:schemeClr w14:val="tx1"/>
                  </w14:solidFill>
                </w14:textFill>
              </w:rPr>
              <w:t>）</w:t>
            </w:r>
          </w:p>
        </w:tc>
        <w:tc>
          <w:tcPr>
            <w:tcW w:w="733" w:type="pct"/>
            <w:vAlign w:val="center"/>
          </w:tcPr>
          <w:p w14:paraId="120B4AC0">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&lt;1.0</w:t>
            </w:r>
          </w:p>
        </w:tc>
        <w:tc>
          <w:tcPr>
            <w:tcW w:w="679" w:type="pct"/>
            <w:vAlign w:val="center"/>
          </w:tcPr>
          <w:p w14:paraId="06ACF99E">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&lt;1.0</w:t>
            </w:r>
          </w:p>
        </w:tc>
        <w:tc>
          <w:tcPr>
            <w:tcW w:w="611" w:type="pct"/>
            <w:vAlign w:val="center"/>
          </w:tcPr>
          <w:p w14:paraId="55F3DBB0">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&lt;1.0</w:t>
            </w:r>
          </w:p>
        </w:tc>
        <w:tc>
          <w:tcPr>
            <w:tcW w:w="681" w:type="pct"/>
            <w:vAlign w:val="center"/>
          </w:tcPr>
          <w:p w14:paraId="69F47A02">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eastAsia" w:ascii="Times New Roman" w:hAnsi="Times New Roman" w:cs="Times New Roman"/>
                <w:color w:val="000000" w:themeColor="text1"/>
                <w:spacing w:val="-6"/>
                <w:sz w:val="21"/>
                <w:szCs w:val="21"/>
                <w:lang w:val="en-US" w:eastAsia="zh-CN"/>
                <w14:textFill>
                  <w14:solidFill>
                    <w14:schemeClr w14:val="tx1"/>
                  </w14:solidFill>
                </w14:textFill>
              </w:rPr>
              <w:t>0.01</w:t>
            </w:r>
            <w:r>
              <w:rPr>
                <w:rFonts w:hint="default" w:ascii="Times New Roman" w:hAnsi="Times New Roman" w:eastAsia="宋体" w:cs="Times New Roman"/>
                <w:color w:val="000000" w:themeColor="text1"/>
                <w:spacing w:val="-6"/>
                <w:sz w:val="21"/>
                <w:szCs w:val="21"/>
                <w14:textFill>
                  <w14:solidFill>
                    <w14:schemeClr w14:val="tx1"/>
                  </w14:solidFill>
                </w14:textFill>
              </w:rPr>
              <w:t>μg/L</w:t>
            </w:r>
          </w:p>
        </w:tc>
        <w:tc>
          <w:tcPr>
            <w:tcW w:w="431" w:type="pct"/>
            <w:vAlign w:val="center"/>
          </w:tcPr>
          <w:p w14:paraId="61CFAB80">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eastAsia" w:ascii="Times New Roman" w:hAnsi="Times New Roman" w:eastAsia="宋体" w:cs="Times New Roman"/>
                <w:color w:val="000000" w:themeColor="text1"/>
                <w:spacing w:val="-6"/>
                <w:sz w:val="21"/>
                <w:szCs w:val="21"/>
                <w:lang w:val="en-US" w:eastAsia="zh-CN"/>
                <w14:textFill>
                  <w14:solidFill>
                    <w14:schemeClr w14:val="tx1"/>
                  </w14:solidFill>
                </w14:textFill>
              </w:rPr>
            </w:pPr>
            <w:r>
              <w:rPr>
                <w:rFonts w:hint="eastAsia" w:ascii="Times New Roman" w:hAnsi="Times New Roman" w:cs="Times New Roman"/>
                <w:color w:val="000000" w:themeColor="text1"/>
                <w:spacing w:val="-6"/>
                <w:sz w:val="21"/>
                <w:szCs w:val="21"/>
                <w:lang w:val="en-US" w:eastAsia="zh-CN"/>
                <w14:textFill>
                  <w14:solidFill>
                    <w14:schemeClr w14:val="tx1"/>
                  </w14:solidFill>
                </w14:textFill>
              </w:rPr>
              <w:t>/</w:t>
            </w:r>
          </w:p>
        </w:tc>
        <w:tc>
          <w:tcPr>
            <w:tcW w:w="850" w:type="dxa"/>
            <w:vAlign w:val="center"/>
          </w:tcPr>
          <w:p w14:paraId="02A3CAED">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eastAsia" w:ascii="Times New Roman" w:hAnsi="Times New Roman" w:cs="Times New Roman"/>
                <w:color w:val="000000" w:themeColor="text1"/>
                <w:spacing w:val="-6"/>
                <w:sz w:val="21"/>
                <w:szCs w:val="21"/>
                <w:lang w:val="en-US" w:eastAsia="zh-CN"/>
                <w14:textFill>
                  <w14:solidFill>
                    <w14:schemeClr w14:val="tx1"/>
                  </w14:solidFill>
                </w14:textFill>
              </w:rPr>
              <w:t>/</w:t>
            </w:r>
          </w:p>
        </w:tc>
      </w:tr>
      <w:tr w14:paraId="2BD924F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432" w:type="pct"/>
            <w:vAlign w:val="center"/>
          </w:tcPr>
          <w:p w14:paraId="448ADF3C">
            <w:pPr>
              <w:keepNext w:val="0"/>
              <w:keepLines w:val="0"/>
              <w:pageBreakBefore w:val="0"/>
              <w:widowControl/>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汞（</w:t>
            </w:r>
            <w:r>
              <w:rPr>
                <w:rFonts w:hint="default" w:ascii="Times New Roman" w:hAnsi="Times New Roman" w:eastAsia="宋体" w:cs="Times New Roman"/>
                <w:color w:val="000000" w:themeColor="text1"/>
                <w:sz w:val="21"/>
                <w:szCs w:val="21"/>
                <w:lang w:bidi="ar"/>
                <w14:textFill>
                  <w14:solidFill>
                    <w14:schemeClr w14:val="tx1"/>
                  </w14:solidFill>
                </w14:textFill>
              </w:rPr>
              <w:t>μg/L</w:t>
            </w:r>
            <w:r>
              <w:rPr>
                <w:rFonts w:hint="default" w:ascii="Times New Roman" w:hAnsi="Times New Roman" w:eastAsia="宋体" w:cs="Times New Roman"/>
                <w:color w:val="000000" w:themeColor="text1"/>
                <w:sz w:val="21"/>
                <w:szCs w:val="21"/>
                <w14:textFill>
                  <w14:solidFill>
                    <w14:schemeClr w14:val="tx1"/>
                  </w14:solidFill>
                </w14:textFill>
              </w:rPr>
              <w:t>）</w:t>
            </w:r>
          </w:p>
        </w:tc>
        <w:tc>
          <w:tcPr>
            <w:tcW w:w="733" w:type="pct"/>
            <w:vAlign w:val="center"/>
          </w:tcPr>
          <w:p w14:paraId="2C893BDB">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&lt;0.1</w:t>
            </w:r>
          </w:p>
        </w:tc>
        <w:tc>
          <w:tcPr>
            <w:tcW w:w="679" w:type="pct"/>
            <w:vAlign w:val="center"/>
          </w:tcPr>
          <w:p w14:paraId="7FD79B72">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&lt;0.1</w:t>
            </w:r>
          </w:p>
        </w:tc>
        <w:tc>
          <w:tcPr>
            <w:tcW w:w="611" w:type="pct"/>
            <w:vAlign w:val="center"/>
          </w:tcPr>
          <w:p w14:paraId="476ACF2F">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&lt;0.1</w:t>
            </w:r>
          </w:p>
        </w:tc>
        <w:tc>
          <w:tcPr>
            <w:tcW w:w="681" w:type="pct"/>
            <w:vAlign w:val="center"/>
          </w:tcPr>
          <w:p w14:paraId="4530D0D2">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0.</w:t>
            </w:r>
            <w:r>
              <w:rPr>
                <w:rFonts w:hint="eastAsia" w:ascii="Times New Roman" w:hAnsi="Times New Roman" w:cs="Times New Roman"/>
                <w:color w:val="000000" w:themeColor="text1"/>
                <w:spacing w:val="-6"/>
                <w:sz w:val="21"/>
                <w:szCs w:val="21"/>
                <w:lang w:val="en-US" w:eastAsia="zh-CN"/>
                <w14:textFill>
                  <w14:solidFill>
                    <w14:schemeClr w14:val="tx1"/>
                  </w14:solidFill>
                </w14:textFill>
              </w:rPr>
              <w:t>00</w:t>
            </w:r>
            <w:r>
              <w:rPr>
                <w:rFonts w:hint="default" w:ascii="Times New Roman" w:hAnsi="Times New Roman" w:eastAsia="宋体" w:cs="Times New Roman"/>
                <w:color w:val="000000" w:themeColor="text1"/>
                <w:spacing w:val="-6"/>
                <w:sz w:val="21"/>
                <w:szCs w:val="21"/>
                <w14:textFill>
                  <w14:solidFill>
                    <w14:schemeClr w14:val="tx1"/>
                  </w14:solidFill>
                </w14:textFill>
              </w:rPr>
              <w:t>1μg/L</w:t>
            </w:r>
          </w:p>
        </w:tc>
        <w:tc>
          <w:tcPr>
            <w:tcW w:w="431" w:type="pct"/>
            <w:vAlign w:val="center"/>
          </w:tcPr>
          <w:p w14:paraId="6E5215BA">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eastAsia" w:ascii="Times New Roman" w:hAnsi="Times New Roman" w:eastAsia="宋体" w:cs="Times New Roman"/>
                <w:color w:val="000000" w:themeColor="text1"/>
                <w:spacing w:val="-6"/>
                <w:sz w:val="21"/>
                <w:szCs w:val="21"/>
                <w:lang w:val="en-US" w:eastAsia="zh-CN"/>
                <w14:textFill>
                  <w14:solidFill>
                    <w14:schemeClr w14:val="tx1"/>
                  </w14:solidFill>
                </w14:textFill>
              </w:rPr>
            </w:pPr>
            <w:r>
              <w:rPr>
                <w:rFonts w:hint="eastAsia" w:ascii="Times New Roman" w:hAnsi="Times New Roman" w:cs="Times New Roman"/>
                <w:color w:val="000000" w:themeColor="text1"/>
                <w:spacing w:val="-6"/>
                <w:sz w:val="21"/>
                <w:szCs w:val="21"/>
                <w:lang w:val="en-US" w:eastAsia="zh-CN"/>
                <w14:textFill>
                  <w14:solidFill>
                    <w14:schemeClr w14:val="tx1"/>
                  </w14:solidFill>
                </w14:textFill>
              </w:rPr>
              <w:t>/</w:t>
            </w:r>
          </w:p>
        </w:tc>
        <w:tc>
          <w:tcPr>
            <w:tcW w:w="850" w:type="dxa"/>
            <w:vAlign w:val="center"/>
          </w:tcPr>
          <w:p w14:paraId="1E54EEC7">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eastAsia" w:ascii="Times New Roman" w:hAnsi="Times New Roman" w:cs="Times New Roman"/>
                <w:color w:val="000000" w:themeColor="text1"/>
                <w:spacing w:val="-6"/>
                <w:sz w:val="21"/>
                <w:szCs w:val="21"/>
                <w:lang w:val="en-US" w:eastAsia="zh-CN"/>
                <w14:textFill>
                  <w14:solidFill>
                    <w14:schemeClr w14:val="tx1"/>
                  </w14:solidFill>
                </w14:textFill>
              </w:rPr>
              <w:t>/</w:t>
            </w:r>
          </w:p>
        </w:tc>
      </w:tr>
      <w:tr w14:paraId="490B0ED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432" w:type="pct"/>
            <w:vAlign w:val="center"/>
          </w:tcPr>
          <w:p w14:paraId="1BA7D617">
            <w:pPr>
              <w:keepNext w:val="0"/>
              <w:keepLines w:val="0"/>
              <w:pageBreakBefore w:val="0"/>
              <w:widowControl/>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z w:val="21"/>
                <w:szCs w:val="21"/>
                <w:lang w:val="zh-TW"/>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六价铬（</w:t>
            </w:r>
            <w:r>
              <w:rPr>
                <w:rFonts w:hint="default" w:ascii="Times New Roman" w:hAnsi="Times New Roman" w:eastAsia="宋体" w:cs="Times New Roman"/>
                <w:color w:val="000000" w:themeColor="text1"/>
                <w:sz w:val="21"/>
                <w:szCs w:val="21"/>
                <w:lang w:val="zh-TW" w:eastAsia="zh-TW" w:bidi="ar"/>
                <w14:textFill>
                  <w14:solidFill>
                    <w14:schemeClr w14:val="tx1"/>
                  </w14:solidFill>
                </w14:textFill>
              </w:rPr>
              <w:t>mg/</w:t>
            </w:r>
            <w:r>
              <w:rPr>
                <w:rFonts w:hint="default" w:ascii="Times New Roman" w:hAnsi="Times New Roman" w:eastAsia="宋体" w:cs="Times New Roman"/>
                <w:color w:val="000000" w:themeColor="text1"/>
                <w:sz w:val="21"/>
                <w:szCs w:val="21"/>
                <w:lang w:bidi="ar"/>
                <w14:textFill>
                  <w14:solidFill>
                    <w14:schemeClr w14:val="tx1"/>
                  </w14:solidFill>
                </w14:textFill>
              </w:rPr>
              <w:t>L</w:t>
            </w:r>
            <w:r>
              <w:rPr>
                <w:rFonts w:hint="default" w:ascii="Times New Roman" w:hAnsi="Times New Roman" w:eastAsia="宋体" w:cs="Times New Roman"/>
                <w:color w:val="000000" w:themeColor="text1"/>
                <w:sz w:val="21"/>
                <w:szCs w:val="21"/>
                <w14:textFill>
                  <w14:solidFill>
                    <w14:schemeClr w14:val="tx1"/>
                  </w14:solidFill>
                </w14:textFill>
              </w:rPr>
              <w:t>）</w:t>
            </w:r>
          </w:p>
        </w:tc>
        <w:tc>
          <w:tcPr>
            <w:tcW w:w="733" w:type="pct"/>
            <w:vAlign w:val="center"/>
          </w:tcPr>
          <w:p w14:paraId="7CB2540D">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&lt;0.004</w:t>
            </w:r>
          </w:p>
        </w:tc>
        <w:tc>
          <w:tcPr>
            <w:tcW w:w="679" w:type="pct"/>
            <w:vAlign w:val="center"/>
          </w:tcPr>
          <w:p w14:paraId="0B30CB16">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&lt;0.004</w:t>
            </w:r>
          </w:p>
        </w:tc>
        <w:tc>
          <w:tcPr>
            <w:tcW w:w="611" w:type="pct"/>
            <w:vAlign w:val="center"/>
          </w:tcPr>
          <w:p w14:paraId="594984FA">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&lt;0.004</w:t>
            </w:r>
          </w:p>
        </w:tc>
        <w:tc>
          <w:tcPr>
            <w:tcW w:w="681" w:type="pct"/>
            <w:vAlign w:val="center"/>
          </w:tcPr>
          <w:p w14:paraId="786F9E0D">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0.0</w:t>
            </w:r>
            <w:r>
              <w:rPr>
                <w:rFonts w:hint="eastAsia" w:ascii="Times New Roman" w:hAnsi="Times New Roman" w:cs="Times New Roman"/>
                <w:color w:val="000000" w:themeColor="text1"/>
                <w:spacing w:val="-6"/>
                <w:sz w:val="21"/>
                <w:szCs w:val="21"/>
                <w:lang w:val="en-US" w:eastAsia="zh-CN"/>
                <w14:textFill>
                  <w14:solidFill>
                    <w14:schemeClr w14:val="tx1"/>
                  </w14:solidFill>
                </w14:textFill>
              </w:rPr>
              <w:t>5</w:t>
            </w:r>
            <w:r>
              <w:rPr>
                <w:rFonts w:hint="default" w:ascii="Times New Roman" w:hAnsi="Times New Roman" w:eastAsia="宋体" w:cs="Times New Roman"/>
                <w:color w:val="000000" w:themeColor="text1"/>
                <w:spacing w:val="-6"/>
                <w:sz w:val="21"/>
                <w:szCs w:val="21"/>
                <w14:textFill>
                  <w14:solidFill>
                    <w14:schemeClr w14:val="tx1"/>
                  </w14:solidFill>
                </w14:textFill>
              </w:rPr>
              <w:t>mg/L</w:t>
            </w:r>
          </w:p>
        </w:tc>
        <w:tc>
          <w:tcPr>
            <w:tcW w:w="431" w:type="pct"/>
            <w:vAlign w:val="center"/>
          </w:tcPr>
          <w:p w14:paraId="7FFDB6A2">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eastAsia" w:ascii="Times New Roman" w:hAnsi="Times New Roman" w:eastAsia="宋体" w:cs="Times New Roman"/>
                <w:color w:val="000000" w:themeColor="text1"/>
                <w:spacing w:val="-6"/>
                <w:sz w:val="21"/>
                <w:szCs w:val="21"/>
                <w:lang w:val="en-US" w:eastAsia="zh-CN"/>
                <w14:textFill>
                  <w14:solidFill>
                    <w14:schemeClr w14:val="tx1"/>
                  </w14:solidFill>
                </w14:textFill>
              </w:rPr>
            </w:pPr>
            <w:r>
              <w:rPr>
                <w:rFonts w:hint="eastAsia" w:ascii="Times New Roman" w:hAnsi="Times New Roman" w:cs="Times New Roman"/>
                <w:color w:val="000000" w:themeColor="text1"/>
                <w:spacing w:val="-6"/>
                <w:sz w:val="21"/>
                <w:szCs w:val="21"/>
                <w:lang w:val="en-US" w:eastAsia="zh-CN"/>
                <w14:textFill>
                  <w14:solidFill>
                    <w14:schemeClr w14:val="tx1"/>
                  </w14:solidFill>
                </w14:textFill>
              </w:rPr>
              <w:t>/</w:t>
            </w:r>
          </w:p>
        </w:tc>
        <w:tc>
          <w:tcPr>
            <w:tcW w:w="850" w:type="dxa"/>
            <w:vAlign w:val="center"/>
          </w:tcPr>
          <w:p w14:paraId="3ADEA144">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eastAsia" w:ascii="Times New Roman" w:hAnsi="Times New Roman" w:cs="Times New Roman"/>
                <w:color w:val="000000" w:themeColor="text1"/>
                <w:spacing w:val="-6"/>
                <w:sz w:val="21"/>
                <w:szCs w:val="21"/>
                <w:lang w:val="en-US" w:eastAsia="zh-CN"/>
                <w14:textFill>
                  <w14:solidFill>
                    <w14:schemeClr w14:val="tx1"/>
                  </w14:solidFill>
                </w14:textFill>
              </w:rPr>
              <w:t>/</w:t>
            </w:r>
          </w:p>
        </w:tc>
      </w:tr>
      <w:tr w14:paraId="31779D3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432" w:type="pct"/>
            <w:vAlign w:val="center"/>
          </w:tcPr>
          <w:p w14:paraId="669E84AC">
            <w:pPr>
              <w:pStyle w:val="36"/>
              <w:keepNext w:val="0"/>
              <w:keepLines w:val="0"/>
              <w:pageBreakBefore w:val="0"/>
              <w:widowControl/>
              <w:kinsoku/>
              <w:wordWrap/>
              <w:overflowPunct/>
              <w:topLinePunct w:val="0"/>
              <w:autoSpaceDE/>
              <w:autoSpaceDN/>
              <w:bidi w:val="0"/>
              <w:adjustRightInd/>
              <w:spacing w:line="240" w:lineRule="auto"/>
              <w:ind w:firstLine="0" w:firstLineChars="0"/>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zh-TW"/>
                <w14:textFill>
                  <w14:solidFill>
                    <w14:schemeClr w14:val="tx1"/>
                  </w14:solidFill>
                </w14:textFill>
              </w:rPr>
              <w:t>氟化物</w:t>
            </w:r>
            <w:r>
              <w:rPr>
                <w:rFonts w:hint="default" w:ascii="Times New Roman" w:hAnsi="Times New Roman" w:eastAsia="宋体" w:cs="Times New Roman"/>
                <w:color w:val="000000" w:themeColor="text1"/>
                <w:sz w:val="21"/>
                <w:szCs w:val="21"/>
                <w14:textFill>
                  <w14:solidFill>
                    <w14:schemeClr w14:val="tx1"/>
                  </w14:solidFill>
                </w14:textFill>
              </w:rPr>
              <w:t>（</w:t>
            </w:r>
            <w:r>
              <w:rPr>
                <w:rFonts w:hint="default" w:ascii="Times New Roman" w:hAnsi="Times New Roman" w:eastAsia="宋体" w:cs="Times New Roman"/>
                <w:color w:val="000000" w:themeColor="text1"/>
                <w:sz w:val="21"/>
                <w:szCs w:val="21"/>
                <w:lang w:val="zh-TW" w:eastAsia="zh-TW" w:bidi="ar"/>
                <w14:textFill>
                  <w14:solidFill>
                    <w14:schemeClr w14:val="tx1"/>
                  </w14:solidFill>
                </w14:textFill>
              </w:rPr>
              <w:t>mg/</w:t>
            </w:r>
            <w:r>
              <w:rPr>
                <w:rFonts w:hint="default" w:ascii="Times New Roman" w:hAnsi="Times New Roman" w:eastAsia="宋体" w:cs="Times New Roman"/>
                <w:color w:val="000000" w:themeColor="text1"/>
                <w:sz w:val="21"/>
                <w:szCs w:val="21"/>
                <w:lang w:bidi="ar"/>
                <w14:textFill>
                  <w14:solidFill>
                    <w14:schemeClr w14:val="tx1"/>
                  </w14:solidFill>
                </w14:textFill>
              </w:rPr>
              <w:t>L</w:t>
            </w:r>
            <w:r>
              <w:rPr>
                <w:rFonts w:hint="default" w:ascii="Times New Roman" w:hAnsi="Times New Roman" w:eastAsia="宋体" w:cs="Times New Roman"/>
                <w:color w:val="000000" w:themeColor="text1"/>
                <w:sz w:val="21"/>
                <w:szCs w:val="21"/>
                <w14:textFill>
                  <w14:solidFill>
                    <w14:schemeClr w14:val="tx1"/>
                  </w14:solidFill>
                </w14:textFill>
              </w:rPr>
              <w:t>）</w:t>
            </w:r>
          </w:p>
        </w:tc>
        <w:tc>
          <w:tcPr>
            <w:tcW w:w="733" w:type="pct"/>
            <w:vAlign w:val="center"/>
          </w:tcPr>
          <w:p w14:paraId="2F034044">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0.56</w:t>
            </w:r>
          </w:p>
        </w:tc>
        <w:tc>
          <w:tcPr>
            <w:tcW w:w="679" w:type="pct"/>
            <w:vAlign w:val="center"/>
          </w:tcPr>
          <w:p w14:paraId="152BE036">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0.63</w:t>
            </w:r>
          </w:p>
        </w:tc>
        <w:tc>
          <w:tcPr>
            <w:tcW w:w="611" w:type="pct"/>
            <w:vAlign w:val="center"/>
          </w:tcPr>
          <w:p w14:paraId="63BEB492">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0.77</w:t>
            </w:r>
          </w:p>
        </w:tc>
        <w:tc>
          <w:tcPr>
            <w:tcW w:w="681" w:type="pct"/>
            <w:vAlign w:val="center"/>
          </w:tcPr>
          <w:p w14:paraId="38C2EEB8">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eastAsia" w:ascii="Times New Roman" w:hAnsi="Times New Roman" w:cs="Times New Roman"/>
                <w:color w:val="000000" w:themeColor="text1"/>
                <w:spacing w:val="-6"/>
                <w:sz w:val="21"/>
                <w:szCs w:val="21"/>
                <w:lang w:val="en-US" w:eastAsia="zh-CN"/>
                <w14:textFill>
                  <w14:solidFill>
                    <w14:schemeClr w14:val="tx1"/>
                  </w14:solidFill>
                </w14:textFill>
              </w:rPr>
              <w:t>1.0</w:t>
            </w:r>
            <w:r>
              <w:rPr>
                <w:rFonts w:hint="default" w:ascii="Times New Roman" w:hAnsi="Times New Roman" w:eastAsia="宋体" w:cs="Times New Roman"/>
                <w:color w:val="000000" w:themeColor="text1"/>
                <w:spacing w:val="-6"/>
                <w:sz w:val="21"/>
                <w:szCs w:val="21"/>
                <w:lang w:val="zh-TW" w:eastAsia="zh-TW"/>
                <w14:textFill>
                  <w14:solidFill>
                    <w14:schemeClr w14:val="tx1"/>
                  </w14:solidFill>
                </w14:textFill>
              </w:rPr>
              <w:t>mg/L</w:t>
            </w:r>
          </w:p>
        </w:tc>
        <w:tc>
          <w:tcPr>
            <w:tcW w:w="431" w:type="pct"/>
            <w:vAlign w:val="center"/>
          </w:tcPr>
          <w:p w14:paraId="5A8ABDEC">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val="en-US" w:eastAsia="zh-CN"/>
                <w14:textFill>
                  <w14:solidFill>
                    <w14:schemeClr w14:val="tx1"/>
                  </w14:solidFill>
                </w14:textFill>
              </w:rPr>
            </w:pPr>
            <w:r>
              <w:rPr>
                <w:rFonts w:hint="eastAsia" w:ascii="Times New Roman" w:hAnsi="Times New Roman" w:cs="Times New Roman"/>
                <w:color w:val="000000" w:themeColor="text1"/>
                <w:spacing w:val="-6"/>
                <w:sz w:val="21"/>
                <w:szCs w:val="21"/>
                <w:lang w:val="en-US" w:eastAsia="zh-CN"/>
                <w14:textFill>
                  <w14:solidFill>
                    <w14:schemeClr w14:val="tx1"/>
                  </w14:solidFill>
                </w14:textFill>
              </w:rPr>
              <w:t>0.77</w:t>
            </w:r>
          </w:p>
        </w:tc>
        <w:tc>
          <w:tcPr>
            <w:tcW w:w="431" w:type="pct"/>
            <w:vAlign w:val="center"/>
          </w:tcPr>
          <w:p w14:paraId="3D60ECD2">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达标</w:t>
            </w:r>
          </w:p>
        </w:tc>
      </w:tr>
      <w:tr w14:paraId="17FBDDA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432" w:type="pct"/>
            <w:vAlign w:val="center"/>
          </w:tcPr>
          <w:p w14:paraId="5D67CC82">
            <w:pPr>
              <w:pStyle w:val="36"/>
              <w:keepNext w:val="0"/>
              <w:keepLines w:val="0"/>
              <w:pageBreakBefore w:val="0"/>
              <w:widowControl/>
              <w:kinsoku/>
              <w:wordWrap/>
              <w:overflowPunct/>
              <w:topLinePunct w:val="0"/>
              <w:autoSpaceDE/>
              <w:autoSpaceDN/>
              <w:bidi w:val="0"/>
              <w:adjustRightInd/>
              <w:spacing w:line="240" w:lineRule="auto"/>
              <w:ind w:firstLine="0" w:firstLineChars="0"/>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硫化物（</w:t>
            </w:r>
            <w:r>
              <w:rPr>
                <w:rFonts w:hint="default" w:ascii="Times New Roman" w:hAnsi="Times New Roman" w:eastAsia="宋体" w:cs="Times New Roman"/>
                <w:color w:val="000000" w:themeColor="text1"/>
                <w:sz w:val="21"/>
                <w:szCs w:val="21"/>
                <w:lang w:val="zh-TW" w:eastAsia="zh-TW" w:bidi="ar"/>
                <w14:textFill>
                  <w14:solidFill>
                    <w14:schemeClr w14:val="tx1"/>
                  </w14:solidFill>
                </w14:textFill>
              </w:rPr>
              <w:t>mg/</w:t>
            </w:r>
            <w:r>
              <w:rPr>
                <w:rFonts w:hint="default" w:ascii="Times New Roman" w:hAnsi="Times New Roman" w:eastAsia="宋体" w:cs="Times New Roman"/>
                <w:color w:val="000000" w:themeColor="text1"/>
                <w:sz w:val="21"/>
                <w:szCs w:val="21"/>
                <w:lang w:bidi="ar"/>
                <w14:textFill>
                  <w14:solidFill>
                    <w14:schemeClr w14:val="tx1"/>
                  </w14:solidFill>
                </w14:textFill>
              </w:rPr>
              <w:t>L</w:t>
            </w:r>
            <w:r>
              <w:rPr>
                <w:rFonts w:hint="default" w:ascii="Times New Roman" w:hAnsi="Times New Roman" w:eastAsia="宋体" w:cs="Times New Roman"/>
                <w:color w:val="000000" w:themeColor="text1"/>
                <w:sz w:val="21"/>
                <w:szCs w:val="21"/>
                <w14:textFill>
                  <w14:solidFill>
                    <w14:schemeClr w14:val="tx1"/>
                  </w14:solidFill>
                </w14:textFill>
              </w:rPr>
              <w:t>）</w:t>
            </w:r>
          </w:p>
        </w:tc>
        <w:tc>
          <w:tcPr>
            <w:tcW w:w="733" w:type="pct"/>
            <w:vAlign w:val="center"/>
          </w:tcPr>
          <w:p w14:paraId="4ECBDB9F">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&lt;0.003</w:t>
            </w:r>
          </w:p>
        </w:tc>
        <w:tc>
          <w:tcPr>
            <w:tcW w:w="679" w:type="pct"/>
            <w:vAlign w:val="center"/>
          </w:tcPr>
          <w:p w14:paraId="575703AD">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&lt;0.003</w:t>
            </w:r>
          </w:p>
        </w:tc>
        <w:tc>
          <w:tcPr>
            <w:tcW w:w="611" w:type="pct"/>
            <w:vAlign w:val="center"/>
          </w:tcPr>
          <w:p w14:paraId="151AC93E">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&lt;0.003</w:t>
            </w:r>
          </w:p>
        </w:tc>
        <w:tc>
          <w:tcPr>
            <w:tcW w:w="681" w:type="pct"/>
            <w:vAlign w:val="center"/>
          </w:tcPr>
          <w:p w14:paraId="5D504C2E">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0.0</w:t>
            </w:r>
            <w:r>
              <w:rPr>
                <w:rFonts w:hint="eastAsia" w:ascii="Times New Roman" w:hAnsi="Times New Roman" w:cs="Times New Roman"/>
                <w:color w:val="000000" w:themeColor="text1"/>
                <w:spacing w:val="-6"/>
                <w:sz w:val="21"/>
                <w:szCs w:val="21"/>
                <w:lang w:val="en-US" w:eastAsia="zh-CN"/>
                <w14:textFill>
                  <w14:solidFill>
                    <w14:schemeClr w14:val="tx1"/>
                  </w14:solidFill>
                </w14:textFill>
              </w:rPr>
              <w:t>2</w:t>
            </w:r>
            <w:r>
              <w:rPr>
                <w:rFonts w:hint="default" w:ascii="Times New Roman" w:hAnsi="Times New Roman" w:eastAsia="宋体" w:cs="Times New Roman"/>
                <w:color w:val="000000" w:themeColor="text1"/>
                <w:spacing w:val="-6"/>
                <w:sz w:val="21"/>
                <w:szCs w:val="21"/>
                <w14:textFill>
                  <w14:solidFill>
                    <w14:schemeClr w14:val="tx1"/>
                  </w14:solidFill>
                </w14:textFill>
              </w:rPr>
              <w:t>mg/L</w:t>
            </w:r>
          </w:p>
        </w:tc>
        <w:tc>
          <w:tcPr>
            <w:tcW w:w="431" w:type="pct"/>
            <w:vAlign w:val="center"/>
          </w:tcPr>
          <w:p w14:paraId="0BA3C7E2">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eastAsia" w:ascii="Times New Roman" w:hAnsi="Times New Roman" w:eastAsia="宋体" w:cs="Times New Roman"/>
                <w:color w:val="000000" w:themeColor="text1"/>
                <w:spacing w:val="-6"/>
                <w:sz w:val="21"/>
                <w:szCs w:val="21"/>
                <w:lang w:val="en-US" w:eastAsia="zh-CN"/>
                <w14:textFill>
                  <w14:solidFill>
                    <w14:schemeClr w14:val="tx1"/>
                  </w14:solidFill>
                </w14:textFill>
              </w:rPr>
            </w:pPr>
            <w:r>
              <w:rPr>
                <w:rFonts w:hint="eastAsia" w:ascii="Times New Roman" w:hAnsi="Times New Roman" w:cs="Times New Roman"/>
                <w:color w:val="000000" w:themeColor="text1"/>
                <w:spacing w:val="-6"/>
                <w:sz w:val="21"/>
                <w:szCs w:val="21"/>
                <w:lang w:val="en-US" w:eastAsia="zh-CN"/>
                <w14:textFill>
                  <w14:solidFill>
                    <w14:schemeClr w14:val="tx1"/>
                  </w14:solidFill>
                </w14:textFill>
              </w:rPr>
              <w:t>/</w:t>
            </w:r>
          </w:p>
        </w:tc>
        <w:tc>
          <w:tcPr>
            <w:tcW w:w="850" w:type="dxa"/>
            <w:vAlign w:val="center"/>
          </w:tcPr>
          <w:p w14:paraId="01BA9558">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eastAsia" w:ascii="Times New Roman" w:hAnsi="Times New Roman" w:cs="Times New Roman"/>
                <w:color w:val="000000" w:themeColor="text1"/>
                <w:spacing w:val="-6"/>
                <w:sz w:val="21"/>
                <w:szCs w:val="21"/>
                <w:lang w:val="en-US" w:eastAsia="zh-CN"/>
                <w14:textFill>
                  <w14:solidFill>
                    <w14:schemeClr w14:val="tx1"/>
                  </w14:solidFill>
                </w14:textFill>
              </w:rPr>
              <w:t>/</w:t>
            </w:r>
          </w:p>
        </w:tc>
      </w:tr>
      <w:tr w14:paraId="41481EB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432" w:type="pct"/>
            <w:vAlign w:val="center"/>
          </w:tcPr>
          <w:p w14:paraId="43B513AD">
            <w:pPr>
              <w:keepNext w:val="0"/>
              <w:keepLines w:val="0"/>
              <w:pageBreakBefore w:val="0"/>
              <w:widowControl/>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z w:val="21"/>
                <w:szCs w:val="21"/>
                <w:lang w:bidi="ar"/>
                <w14:textFill>
                  <w14:solidFill>
                    <w14:schemeClr w14:val="tx1"/>
                  </w14:solidFill>
                </w14:textFill>
              </w:rPr>
            </w:pPr>
            <w:r>
              <w:rPr>
                <w:rFonts w:hint="default" w:ascii="Times New Roman" w:hAnsi="Times New Roman" w:eastAsia="宋体" w:cs="Times New Roman"/>
                <w:color w:val="000000" w:themeColor="text1"/>
                <w:sz w:val="21"/>
                <w:szCs w:val="21"/>
                <w:lang w:bidi="ar"/>
                <w14:textFill>
                  <w14:solidFill>
                    <w14:schemeClr w14:val="tx1"/>
                  </w14:solidFill>
                </w14:textFill>
              </w:rPr>
              <w:t>锰</w:t>
            </w:r>
            <w:r>
              <w:rPr>
                <w:rFonts w:hint="default" w:ascii="Times New Roman" w:hAnsi="Times New Roman" w:eastAsia="宋体" w:cs="Times New Roman"/>
                <w:color w:val="000000" w:themeColor="text1"/>
                <w:sz w:val="21"/>
                <w:szCs w:val="21"/>
                <w14:textFill>
                  <w14:solidFill>
                    <w14:schemeClr w14:val="tx1"/>
                  </w14:solidFill>
                </w14:textFill>
              </w:rPr>
              <w:t>（</w:t>
            </w:r>
            <w:r>
              <w:rPr>
                <w:rFonts w:hint="default" w:ascii="Times New Roman" w:hAnsi="Times New Roman" w:eastAsia="宋体" w:cs="Times New Roman"/>
                <w:color w:val="000000" w:themeColor="text1"/>
                <w:sz w:val="21"/>
                <w:szCs w:val="21"/>
                <w:lang w:val="zh-TW" w:eastAsia="zh-TW" w:bidi="ar"/>
                <w14:textFill>
                  <w14:solidFill>
                    <w14:schemeClr w14:val="tx1"/>
                  </w14:solidFill>
                </w14:textFill>
              </w:rPr>
              <w:t>mg/</w:t>
            </w:r>
            <w:r>
              <w:rPr>
                <w:rFonts w:hint="default" w:ascii="Times New Roman" w:hAnsi="Times New Roman" w:eastAsia="宋体" w:cs="Times New Roman"/>
                <w:color w:val="000000" w:themeColor="text1"/>
                <w:sz w:val="21"/>
                <w:szCs w:val="21"/>
                <w:lang w:bidi="ar"/>
                <w14:textFill>
                  <w14:solidFill>
                    <w14:schemeClr w14:val="tx1"/>
                  </w14:solidFill>
                </w14:textFill>
              </w:rPr>
              <w:t>L</w:t>
            </w:r>
            <w:r>
              <w:rPr>
                <w:rFonts w:hint="default" w:ascii="Times New Roman" w:hAnsi="Times New Roman" w:eastAsia="宋体" w:cs="Times New Roman"/>
                <w:color w:val="000000" w:themeColor="text1"/>
                <w:sz w:val="21"/>
                <w:szCs w:val="21"/>
                <w14:textFill>
                  <w14:solidFill>
                    <w14:schemeClr w14:val="tx1"/>
                  </w14:solidFill>
                </w14:textFill>
              </w:rPr>
              <w:t>）</w:t>
            </w:r>
          </w:p>
        </w:tc>
        <w:tc>
          <w:tcPr>
            <w:tcW w:w="733" w:type="pct"/>
            <w:vAlign w:val="center"/>
          </w:tcPr>
          <w:p w14:paraId="68F8CEFE">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&lt;0.01</w:t>
            </w:r>
          </w:p>
        </w:tc>
        <w:tc>
          <w:tcPr>
            <w:tcW w:w="679" w:type="pct"/>
            <w:vAlign w:val="center"/>
          </w:tcPr>
          <w:p w14:paraId="09FAB88E">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&lt;0.01</w:t>
            </w:r>
          </w:p>
        </w:tc>
        <w:tc>
          <w:tcPr>
            <w:tcW w:w="611" w:type="pct"/>
            <w:vAlign w:val="center"/>
          </w:tcPr>
          <w:p w14:paraId="175B2F86">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&lt;0.01</w:t>
            </w:r>
          </w:p>
        </w:tc>
        <w:tc>
          <w:tcPr>
            <w:tcW w:w="681" w:type="pct"/>
            <w:vAlign w:val="center"/>
          </w:tcPr>
          <w:p w14:paraId="4DB2E9B1">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0.1</w:t>
            </w:r>
            <w:r>
              <w:rPr>
                <w:rFonts w:hint="default" w:ascii="Times New Roman" w:hAnsi="Times New Roman" w:eastAsia="宋体" w:cs="Times New Roman"/>
                <w:color w:val="000000" w:themeColor="text1"/>
                <w:spacing w:val="-6"/>
                <w:sz w:val="21"/>
                <w:szCs w:val="21"/>
                <w:lang w:val="zh-TW" w:eastAsia="zh-TW"/>
                <w14:textFill>
                  <w14:solidFill>
                    <w14:schemeClr w14:val="tx1"/>
                  </w14:solidFill>
                </w14:textFill>
              </w:rPr>
              <w:t>mg/</w:t>
            </w:r>
            <w:r>
              <w:rPr>
                <w:rFonts w:hint="default" w:ascii="Times New Roman" w:hAnsi="Times New Roman" w:eastAsia="宋体" w:cs="Times New Roman"/>
                <w:color w:val="000000" w:themeColor="text1"/>
                <w:spacing w:val="-6"/>
                <w:sz w:val="21"/>
                <w:szCs w:val="21"/>
                <w14:textFill>
                  <w14:solidFill>
                    <w14:schemeClr w14:val="tx1"/>
                  </w14:solidFill>
                </w14:textFill>
              </w:rPr>
              <w:t>L</w:t>
            </w:r>
          </w:p>
        </w:tc>
        <w:tc>
          <w:tcPr>
            <w:tcW w:w="431" w:type="pct"/>
            <w:vAlign w:val="center"/>
          </w:tcPr>
          <w:p w14:paraId="4DCEEBEE">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eastAsia" w:ascii="Times New Roman" w:hAnsi="Times New Roman" w:eastAsia="宋体" w:cs="Times New Roman"/>
                <w:color w:val="000000" w:themeColor="text1"/>
                <w:spacing w:val="-6"/>
                <w:sz w:val="21"/>
                <w:szCs w:val="21"/>
                <w:lang w:val="en-US" w:eastAsia="zh-CN"/>
                <w14:textFill>
                  <w14:solidFill>
                    <w14:schemeClr w14:val="tx1"/>
                  </w14:solidFill>
                </w14:textFill>
              </w:rPr>
            </w:pPr>
            <w:r>
              <w:rPr>
                <w:rFonts w:hint="eastAsia" w:ascii="Times New Roman" w:hAnsi="Times New Roman" w:cs="Times New Roman"/>
                <w:color w:val="000000" w:themeColor="text1"/>
                <w:spacing w:val="-6"/>
                <w:sz w:val="21"/>
                <w:szCs w:val="21"/>
                <w:lang w:val="en-US" w:eastAsia="zh-CN"/>
                <w14:textFill>
                  <w14:solidFill>
                    <w14:schemeClr w14:val="tx1"/>
                  </w14:solidFill>
                </w14:textFill>
              </w:rPr>
              <w:t>/</w:t>
            </w:r>
          </w:p>
        </w:tc>
        <w:tc>
          <w:tcPr>
            <w:tcW w:w="850" w:type="dxa"/>
            <w:vAlign w:val="center"/>
          </w:tcPr>
          <w:p w14:paraId="155DF667">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eastAsia" w:ascii="Times New Roman" w:hAnsi="Times New Roman" w:cs="Times New Roman"/>
                <w:color w:val="000000" w:themeColor="text1"/>
                <w:spacing w:val="-6"/>
                <w:sz w:val="21"/>
                <w:szCs w:val="21"/>
                <w:lang w:val="en-US" w:eastAsia="zh-CN"/>
                <w14:textFill>
                  <w14:solidFill>
                    <w14:schemeClr w14:val="tx1"/>
                  </w14:solidFill>
                </w14:textFill>
              </w:rPr>
              <w:t>/</w:t>
            </w:r>
          </w:p>
        </w:tc>
      </w:tr>
      <w:tr w14:paraId="396106F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22" w:hRule="atLeast"/>
          <w:jc w:val="center"/>
        </w:trPr>
        <w:tc>
          <w:tcPr>
            <w:tcW w:w="1432" w:type="pct"/>
            <w:vAlign w:val="center"/>
          </w:tcPr>
          <w:p w14:paraId="0F18F096">
            <w:pPr>
              <w:keepNext w:val="0"/>
              <w:keepLines w:val="0"/>
              <w:pageBreakBefore w:val="0"/>
              <w:widowControl/>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z w:val="21"/>
                <w:szCs w:val="21"/>
                <w:lang w:bidi="ar"/>
                <w14:textFill>
                  <w14:solidFill>
                    <w14:schemeClr w14:val="tx1"/>
                  </w14:solidFill>
                </w14:textFill>
              </w:rPr>
            </w:pPr>
            <w:r>
              <w:rPr>
                <w:rFonts w:hint="default" w:ascii="Times New Roman" w:hAnsi="Times New Roman" w:eastAsia="宋体" w:cs="Times New Roman"/>
                <w:color w:val="000000" w:themeColor="text1"/>
                <w:sz w:val="21"/>
                <w:szCs w:val="21"/>
                <w:lang w:bidi="ar"/>
                <w14:textFill>
                  <w14:solidFill>
                    <w14:schemeClr w14:val="tx1"/>
                  </w14:solidFill>
                </w14:textFill>
              </w:rPr>
              <w:t>铁</w:t>
            </w:r>
            <w:r>
              <w:rPr>
                <w:rFonts w:hint="default" w:ascii="Times New Roman" w:hAnsi="Times New Roman" w:eastAsia="宋体" w:cs="Times New Roman"/>
                <w:color w:val="000000" w:themeColor="text1"/>
                <w:sz w:val="21"/>
                <w:szCs w:val="21"/>
                <w14:textFill>
                  <w14:solidFill>
                    <w14:schemeClr w14:val="tx1"/>
                  </w14:solidFill>
                </w14:textFill>
              </w:rPr>
              <w:t>（</w:t>
            </w:r>
            <w:r>
              <w:rPr>
                <w:rFonts w:hint="default" w:ascii="Times New Roman" w:hAnsi="Times New Roman" w:eastAsia="宋体" w:cs="Times New Roman"/>
                <w:color w:val="000000" w:themeColor="text1"/>
                <w:sz w:val="21"/>
                <w:szCs w:val="21"/>
                <w:lang w:val="zh-TW" w:eastAsia="zh-TW" w:bidi="ar"/>
                <w14:textFill>
                  <w14:solidFill>
                    <w14:schemeClr w14:val="tx1"/>
                  </w14:solidFill>
                </w14:textFill>
              </w:rPr>
              <w:t>mg/</w:t>
            </w:r>
            <w:r>
              <w:rPr>
                <w:rFonts w:hint="default" w:ascii="Times New Roman" w:hAnsi="Times New Roman" w:eastAsia="宋体" w:cs="Times New Roman"/>
                <w:color w:val="000000" w:themeColor="text1"/>
                <w:sz w:val="21"/>
                <w:szCs w:val="21"/>
                <w:lang w:bidi="ar"/>
                <w14:textFill>
                  <w14:solidFill>
                    <w14:schemeClr w14:val="tx1"/>
                  </w14:solidFill>
                </w14:textFill>
              </w:rPr>
              <w:t>L</w:t>
            </w:r>
            <w:r>
              <w:rPr>
                <w:rFonts w:hint="default" w:ascii="Times New Roman" w:hAnsi="Times New Roman" w:eastAsia="宋体" w:cs="Times New Roman"/>
                <w:color w:val="000000" w:themeColor="text1"/>
                <w:sz w:val="21"/>
                <w:szCs w:val="21"/>
                <w14:textFill>
                  <w14:solidFill>
                    <w14:schemeClr w14:val="tx1"/>
                  </w14:solidFill>
                </w14:textFill>
              </w:rPr>
              <w:t>）</w:t>
            </w:r>
          </w:p>
        </w:tc>
        <w:tc>
          <w:tcPr>
            <w:tcW w:w="733" w:type="pct"/>
            <w:vAlign w:val="center"/>
          </w:tcPr>
          <w:p w14:paraId="2F82F55C">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&lt;0.03</w:t>
            </w:r>
          </w:p>
        </w:tc>
        <w:tc>
          <w:tcPr>
            <w:tcW w:w="679" w:type="pct"/>
            <w:vAlign w:val="center"/>
          </w:tcPr>
          <w:p w14:paraId="17022056">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&lt;0.03</w:t>
            </w:r>
          </w:p>
        </w:tc>
        <w:tc>
          <w:tcPr>
            <w:tcW w:w="611" w:type="pct"/>
            <w:vAlign w:val="center"/>
          </w:tcPr>
          <w:p w14:paraId="34FF0885">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&lt;0.03</w:t>
            </w:r>
          </w:p>
        </w:tc>
        <w:tc>
          <w:tcPr>
            <w:tcW w:w="681" w:type="pct"/>
            <w:vAlign w:val="center"/>
          </w:tcPr>
          <w:p w14:paraId="7ABF05C9">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0.</w:t>
            </w:r>
            <w:r>
              <w:rPr>
                <w:rFonts w:hint="eastAsia" w:ascii="Times New Roman" w:hAnsi="Times New Roman" w:cs="Times New Roman"/>
                <w:color w:val="000000" w:themeColor="text1"/>
                <w:spacing w:val="-6"/>
                <w:sz w:val="21"/>
                <w:szCs w:val="21"/>
                <w:lang w:val="en-US" w:eastAsia="zh-CN"/>
                <w14:textFill>
                  <w14:solidFill>
                    <w14:schemeClr w14:val="tx1"/>
                  </w14:solidFill>
                </w14:textFill>
              </w:rPr>
              <w:t>3</w:t>
            </w:r>
            <w:r>
              <w:rPr>
                <w:rFonts w:hint="default" w:ascii="Times New Roman" w:hAnsi="Times New Roman" w:eastAsia="宋体" w:cs="Times New Roman"/>
                <w:color w:val="000000" w:themeColor="text1"/>
                <w:spacing w:val="-6"/>
                <w:sz w:val="21"/>
                <w:szCs w:val="21"/>
                <w:lang w:val="zh-TW" w:eastAsia="zh-TW"/>
                <w14:textFill>
                  <w14:solidFill>
                    <w14:schemeClr w14:val="tx1"/>
                  </w14:solidFill>
                </w14:textFill>
              </w:rPr>
              <w:t>mg/</w:t>
            </w:r>
            <w:r>
              <w:rPr>
                <w:rFonts w:hint="default" w:ascii="Times New Roman" w:hAnsi="Times New Roman" w:eastAsia="宋体" w:cs="Times New Roman"/>
                <w:color w:val="000000" w:themeColor="text1"/>
                <w:spacing w:val="-6"/>
                <w:sz w:val="21"/>
                <w:szCs w:val="21"/>
                <w14:textFill>
                  <w14:solidFill>
                    <w14:schemeClr w14:val="tx1"/>
                  </w14:solidFill>
                </w14:textFill>
              </w:rPr>
              <w:t>L</w:t>
            </w:r>
          </w:p>
        </w:tc>
        <w:tc>
          <w:tcPr>
            <w:tcW w:w="431" w:type="pct"/>
            <w:vAlign w:val="center"/>
          </w:tcPr>
          <w:p w14:paraId="4D40677C">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eastAsia" w:ascii="Times New Roman" w:hAnsi="Times New Roman" w:eastAsia="宋体" w:cs="Times New Roman"/>
                <w:color w:val="000000" w:themeColor="text1"/>
                <w:spacing w:val="-6"/>
                <w:sz w:val="21"/>
                <w:szCs w:val="21"/>
                <w:lang w:val="en-US" w:eastAsia="zh-CN"/>
                <w14:textFill>
                  <w14:solidFill>
                    <w14:schemeClr w14:val="tx1"/>
                  </w14:solidFill>
                </w14:textFill>
              </w:rPr>
            </w:pPr>
            <w:r>
              <w:rPr>
                <w:rFonts w:hint="eastAsia" w:ascii="Times New Roman" w:hAnsi="Times New Roman" w:cs="Times New Roman"/>
                <w:color w:val="000000" w:themeColor="text1"/>
                <w:spacing w:val="-6"/>
                <w:sz w:val="21"/>
                <w:szCs w:val="21"/>
                <w:lang w:val="en-US" w:eastAsia="zh-CN"/>
                <w14:textFill>
                  <w14:solidFill>
                    <w14:schemeClr w14:val="tx1"/>
                  </w14:solidFill>
                </w14:textFill>
              </w:rPr>
              <w:t>/</w:t>
            </w:r>
          </w:p>
        </w:tc>
        <w:tc>
          <w:tcPr>
            <w:tcW w:w="850" w:type="dxa"/>
            <w:vAlign w:val="center"/>
          </w:tcPr>
          <w:p w14:paraId="4FB4DFF1">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eastAsia" w:ascii="Times New Roman" w:hAnsi="Times New Roman" w:cs="Times New Roman"/>
                <w:color w:val="000000" w:themeColor="text1"/>
                <w:spacing w:val="-6"/>
                <w:sz w:val="21"/>
                <w:szCs w:val="21"/>
                <w:lang w:val="en-US" w:eastAsia="zh-CN"/>
                <w14:textFill>
                  <w14:solidFill>
                    <w14:schemeClr w14:val="tx1"/>
                  </w14:solidFill>
                </w14:textFill>
              </w:rPr>
              <w:t>/</w:t>
            </w:r>
          </w:p>
        </w:tc>
      </w:tr>
      <w:tr w14:paraId="1163A69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432" w:type="pct"/>
            <w:vAlign w:val="center"/>
          </w:tcPr>
          <w:p w14:paraId="0D77FC1D">
            <w:pPr>
              <w:keepNext w:val="0"/>
              <w:keepLines w:val="0"/>
              <w:pageBreakBefore w:val="0"/>
              <w:widowControl/>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z w:val="21"/>
                <w:szCs w:val="21"/>
                <w:lang w:bidi="ar"/>
                <w14:textFill>
                  <w14:solidFill>
                    <w14:schemeClr w14:val="tx1"/>
                  </w14:solidFill>
                </w14:textFill>
              </w:rPr>
            </w:pPr>
            <w:r>
              <w:rPr>
                <w:rFonts w:hint="default" w:ascii="Times New Roman" w:hAnsi="Times New Roman" w:eastAsia="宋体" w:cs="Times New Roman"/>
                <w:color w:val="000000" w:themeColor="text1"/>
                <w:sz w:val="21"/>
                <w:szCs w:val="21"/>
                <w:lang w:bidi="ar"/>
                <w14:textFill>
                  <w14:solidFill>
                    <w14:schemeClr w14:val="tx1"/>
                  </w14:solidFill>
                </w14:textFill>
              </w:rPr>
              <w:t>铅</w:t>
            </w:r>
            <w:r>
              <w:rPr>
                <w:rFonts w:hint="default" w:ascii="Times New Roman" w:hAnsi="Times New Roman" w:eastAsia="宋体" w:cs="Times New Roman"/>
                <w:color w:val="000000" w:themeColor="text1"/>
                <w:sz w:val="21"/>
                <w:szCs w:val="21"/>
                <w14:textFill>
                  <w14:solidFill>
                    <w14:schemeClr w14:val="tx1"/>
                  </w14:solidFill>
                </w14:textFill>
              </w:rPr>
              <w:t>（</w:t>
            </w:r>
            <w:r>
              <w:rPr>
                <w:rFonts w:hint="default" w:ascii="Times New Roman" w:hAnsi="Times New Roman" w:eastAsia="宋体" w:cs="Times New Roman"/>
                <w:color w:val="000000" w:themeColor="text1"/>
                <w:sz w:val="21"/>
                <w:szCs w:val="21"/>
                <w:lang w:bidi="ar"/>
                <w14:textFill>
                  <w14:solidFill>
                    <w14:schemeClr w14:val="tx1"/>
                  </w14:solidFill>
                </w14:textFill>
              </w:rPr>
              <w:t>μg/L</w:t>
            </w:r>
            <w:r>
              <w:rPr>
                <w:rFonts w:hint="default" w:ascii="Times New Roman" w:hAnsi="Times New Roman" w:eastAsia="宋体" w:cs="Times New Roman"/>
                <w:color w:val="000000" w:themeColor="text1"/>
                <w:sz w:val="21"/>
                <w:szCs w:val="21"/>
                <w14:textFill>
                  <w14:solidFill>
                    <w14:schemeClr w14:val="tx1"/>
                  </w14:solidFill>
                </w14:textFill>
              </w:rPr>
              <w:t>）</w:t>
            </w:r>
          </w:p>
        </w:tc>
        <w:tc>
          <w:tcPr>
            <w:tcW w:w="733" w:type="pct"/>
            <w:vAlign w:val="center"/>
          </w:tcPr>
          <w:p w14:paraId="31BB29C3">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&lt;2.5</w:t>
            </w:r>
          </w:p>
        </w:tc>
        <w:tc>
          <w:tcPr>
            <w:tcW w:w="679" w:type="pct"/>
            <w:vAlign w:val="center"/>
          </w:tcPr>
          <w:p w14:paraId="416A2275">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&lt;2.5</w:t>
            </w:r>
          </w:p>
        </w:tc>
        <w:tc>
          <w:tcPr>
            <w:tcW w:w="611" w:type="pct"/>
            <w:vAlign w:val="center"/>
          </w:tcPr>
          <w:p w14:paraId="756D56F1">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&lt;2.5</w:t>
            </w:r>
          </w:p>
        </w:tc>
        <w:tc>
          <w:tcPr>
            <w:tcW w:w="681" w:type="pct"/>
            <w:vAlign w:val="center"/>
          </w:tcPr>
          <w:p w14:paraId="4EA89375">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eastAsia" w:ascii="Times New Roman" w:hAnsi="Times New Roman" w:cs="Times New Roman"/>
                <w:color w:val="000000" w:themeColor="text1"/>
                <w:spacing w:val="-6"/>
                <w:sz w:val="21"/>
                <w:szCs w:val="21"/>
                <w:lang w:val="en-US" w:eastAsia="zh-CN"/>
                <w14:textFill>
                  <w14:solidFill>
                    <w14:schemeClr w14:val="tx1"/>
                  </w14:solidFill>
                </w14:textFill>
              </w:rPr>
              <w:t>0.01</w:t>
            </w:r>
            <w:r>
              <w:rPr>
                <w:rFonts w:hint="default" w:ascii="Times New Roman" w:hAnsi="Times New Roman" w:eastAsia="宋体" w:cs="Times New Roman"/>
                <w:color w:val="000000" w:themeColor="text1"/>
                <w:spacing w:val="-6"/>
                <w:sz w:val="21"/>
                <w:szCs w:val="21"/>
                <w14:textFill>
                  <w14:solidFill>
                    <w14:schemeClr w14:val="tx1"/>
                  </w14:solidFill>
                </w14:textFill>
              </w:rPr>
              <w:t>μg/L</w:t>
            </w:r>
          </w:p>
        </w:tc>
        <w:tc>
          <w:tcPr>
            <w:tcW w:w="431" w:type="pct"/>
            <w:vAlign w:val="center"/>
          </w:tcPr>
          <w:p w14:paraId="0C817840">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eastAsia" w:ascii="Times New Roman" w:hAnsi="Times New Roman" w:eastAsia="宋体" w:cs="Times New Roman"/>
                <w:color w:val="000000" w:themeColor="text1"/>
                <w:spacing w:val="-6"/>
                <w:sz w:val="21"/>
                <w:szCs w:val="21"/>
                <w:lang w:val="en-US" w:eastAsia="zh-CN"/>
                <w14:textFill>
                  <w14:solidFill>
                    <w14:schemeClr w14:val="tx1"/>
                  </w14:solidFill>
                </w14:textFill>
              </w:rPr>
            </w:pPr>
            <w:r>
              <w:rPr>
                <w:rFonts w:hint="eastAsia" w:ascii="Times New Roman" w:hAnsi="Times New Roman" w:cs="Times New Roman"/>
                <w:color w:val="000000" w:themeColor="text1"/>
                <w:spacing w:val="-6"/>
                <w:sz w:val="21"/>
                <w:szCs w:val="21"/>
                <w:lang w:val="en-US" w:eastAsia="zh-CN"/>
                <w14:textFill>
                  <w14:solidFill>
                    <w14:schemeClr w14:val="tx1"/>
                  </w14:solidFill>
                </w14:textFill>
              </w:rPr>
              <w:t>/</w:t>
            </w:r>
          </w:p>
        </w:tc>
        <w:tc>
          <w:tcPr>
            <w:tcW w:w="850" w:type="dxa"/>
            <w:vAlign w:val="center"/>
          </w:tcPr>
          <w:p w14:paraId="66C2ED6A">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eastAsia" w:ascii="Times New Roman" w:hAnsi="Times New Roman" w:cs="Times New Roman"/>
                <w:color w:val="000000" w:themeColor="text1"/>
                <w:spacing w:val="-6"/>
                <w:sz w:val="21"/>
                <w:szCs w:val="21"/>
                <w:lang w:val="en-US" w:eastAsia="zh-CN"/>
                <w14:textFill>
                  <w14:solidFill>
                    <w14:schemeClr w14:val="tx1"/>
                  </w14:solidFill>
                </w14:textFill>
              </w:rPr>
              <w:t>/</w:t>
            </w:r>
          </w:p>
        </w:tc>
      </w:tr>
      <w:tr w14:paraId="600E494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432" w:type="pct"/>
            <w:vAlign w:val="center"/>
          </w:tcPr>
          <w:p w14:paraId="3449118B">
            <w:pPr>
              <w:keepNext w:val="0"/>
              <w:keepLines w:val="0"/>
              <w:pageBreakBefore w:val="0"/>
              <w:widowControl/>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z w:val="21"/>
                <w:szCs w:val="21"/>
                <w:lang w:bidi="ar"/>
                <w14:textFill>
                  <w14:solidFill>
                    <w14:schemeClr w14:val="tx1"/>
                  </w14:solidFill>
                </w14:textFill>
              </w:rPr>
            </w:pPr>
            <w:r>
              <w:rPr>
                <w:rFonts w:hint="default" w:ascii="Times New Roman" w:hAnsi="Times New Roman" w:eastAsia="宋体" w:cs="Times New Roman"/>
                <w:color w:val="000000" w:themeColor="text1"/>
                <w:sz w:val="21"/>
                <w:szCs w:val="21"/>
                <w:lang w:bidi="ar"/>
                <w14:textFill>
                  <w14:solidFill>
                    <w14:schemeClr w14:val="tx1"/>
                  </w14:solidFill>
                </w14:textFill>
              </w:rPr>
              <w:t>镉</w:t>
            </w:r>
            <w:r>
              <w:rPr>
                <w:rFonts w:hint="default" w:ascii="Times New Roman" w:hAnsi="Times New Roman" w:eastAsia="宋体" w:cs="Times New Roman"/>
                <w:color w:val="000000" w:themeColor="text1"/>
                <w:sz w:val="21"/>
                <w:szCs w:val="21"/>
                <w14:textFill>
                  <w14:solidFill>
                    <w14:schemeClr w14:val="tx1"/>
                  </w14:solidFill>
                </w14:textFill>
              </w:rPr>
              <w:t>（</w:t>
            </w:r>
            <w:r>
              <w:rPr>
                <w:rFonts w:hint="default" w:ascii="Times New Roman" w:hAnsi="Times New Roman" w:eastAsia="宋体" w:cs="Times New Roman"/>
                <w:color w:val="000000" w:themeColor="text1"/>
                <w:sz w:val="21"/>
                <w:szCs w:val="21"/>
                <w:lang w:bidi="ar"/>
                <w14:textFill>
                  <w14:solidFill>
                    <w14:schemeClr w14:val="tx1"/>
                  </w14:solidFill>
                </w14:textFill>
              </w:rPr>
              <w:t>μg/L</w:t>
            </w:r>
            <w:r>
              <w:rPr>
                <w:rFonts w:hint="default" w:ascii="Times New Roman" w:hAnsi="Times New Roman" w:eastAsia="宋体" w:cs="Times New Roman"/>
                <w:color w:val="000000" w:themeColor="text1"/>
                <w:sz w:val="21"/>
                <w:szCs w:val="21"/>
                <w14:textFill>
                  <w14:solidFill>
                    <w14:schemeClr w14:val="tx1"/>
                  </w14:solidFill>
                </w14:textFill>
              </w:rPr>
              <w:t>）</w:t>
            </w:r>
          </w:p>
        </w:tc>
        <w:tc>
          <w:tcPr>
            <w:tcW w:w="733" w:type="pct"/>
            <w:vAlign w:val="center"/>
          </w:tcPr>
          <w:p w14:paraId="10D88794">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&lt;0.5</w:t>
            </w:r>
          </w:p>
        </w:tc>
        <w:tc>
          <w:tcPr>
            <w:tcW w:w="679" w:type="pct"/>
            <w:vAlign w:val="center"/>
          </w:tcPr>
          <w:p w14:paraId="3EA5ED83">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&lt;0.5</w:t>
            </w:r>
          </w:p>
        </w:tc>
        <w:tc>
          <w:tcPr>
            <w:tcW w:w="611" w:type="pct"/>
            <w:vAlign w:val="center"/>
          </w:tcPr>
          <w:p w14:paraId="1A1E090A">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&lt;0.5</w:t>
            </w:r>
          </w:p>
        </w:tc>
        <w:tc>
          <w:tcPr>
            <w:tcW w:w="681" w:type="pct"/>
            <w:vAlign w:val="center"/>
          </w:tcPr>
          <w:p w14:paraId="2C41FBA1">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0.</w:t>
            </w:r>
            <w:r>
              <w:rPr>
                <w:rFonts w:hint="eastAsia" w:ascii="Times New Roman" w:hAnsi="Times New Roman" w:cs="Times New Roman"/>
                <w:color w:val="000000" w:themeColor="text1"/>
                <w:spacing w:val="-6"/>
                <w:sz w:val="21"/>
                <w:szCs w:val="21"/>
                <w:lang w:val="en-US" w:eastAsia="zh-CN"/>
                <w14:textFill>
                  <w14:solidFill>
                    <w14:schemeClr w14:val="tx1"/>
                  </w14:solidFill>
                </w14:textFill>
              </w:rPr>
              <w:t>00</w:t>
            </w:r>
            <w:r>
              <w:rPr>
                <w:rFonts w:hint="default" w:ascii="Times New Roman" w:hAnsi="Times New Roman" w:eastAsia="宋体" w:cs="Times New Roman"/>
                <w:color w:val="000000" w:themeColor="text1"/>
                <w:spacing w:val="-6"/>
                <w:sz w:val="21"/>
                <w:szCs w:val="21"/>
                <w14:textFill>
                  <w14:solidFill>
                    <w14:schemeClr w14:val="tx1"/>
                  </w14:solidFill>
                </w14:textFill>
              </w:rPr>
              <w:t>5μg/L</w:t>
            </w:r>
          </w:p>
        </w:tc>
        <w:tc>
          <w:tcPr>
            <w:tcW w:w="431" w:type="pct"/>
            <w:vAlign w:val="center"/>
          </w:tcPr>
          <w:p w14:paraId="73BA2314">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eastAsia" w:ascii="Times New Roman" w:hAnsi="Times New Roman" w:eastAsia="宋体" w:cs="Times New Roman"/>
                <w:color w:val="000000" w:themeColor="text1"/>
                <w:spacing w:val="-6"/>
                <w:sz w:val="21"/>
                <w:szCs w:val="21"/>
                <w:lang w:val="en-US" w:eastAsia="zh-CN"/>
                <w14:textFill>
                  <w14:solidFill>
                    <w14:schemeClr w14:val="tx1"/>
                  </w14:solidFill>
                </w14:textFill>
              </w:rPr>
            </w:pPr>
            <w:r>
              <w:rPr>
                <w:rFonts w:hint="eastAsia" w:ascii="Times New Roman" w:hAnsi="Times New Roman" w:cs="Times New Roman"/>
                <w:color w:val="000000" w:themeColor="text1"/>
                <w:spacing w:val="-6"/>
                <w:sz w:val="21"/>
                <w:szCs w:val="21"/>
                <w:lang w:val="en-US" w:eastAsia="zh-CN"/>
                <w14:textFill>
                  <w14:solidFill>
                    <w14:schemeClr w14:val="tx1"/>
                  </w14:solidFill>
                </w14:textFill>
              </w:rPr>
              <w:t>/</w:t>
            </w:r>
          </w:p>
        </w:tc>
        <w:tc>
          <w:tcPr>
            <w:tcW w:w="850" w:type="dxa"/>
            <w:vAlign w:val="center"/>
          </w:tcPr>
          <w:p w14:paraId="35C5F692">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eastAsia" w:ascii="Times New Roman" w:hAnsi="Times New Roman" w:cs="Times New Roman"/>
                <w:color w:val="000000" w:themeColor="text1"/>
                <w:spacing w:val="-6"/>
                <w:sz w:val="21"/>
                <w:szCs w:val="21"/>
                <w:lang w:val="en-US" w:eastAsia="zh-CN"/>
                <w14:textFill>
                  <w14:solidFill>
                    <w14:schemeClr w14:val="tx1"/>
                  </w14:solidFill>
                </w14:textFill>
              </w:rPr>
              <w:t>/</w:t>
            </w:r>
          </w:p>
        </w:tc>
      </w:tr>
      <w:tr w14:paraId="290CA93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432" w:type="pct"/>
            <w:vAlign w:val="center"/>
          </w:tcPr>
          <w:p w14:paraId="3DE6BC2E">
            <w:pPr>
              <w:keepNext w:val="0"/>
              <w:keepLines w:val="0"/>
              <w:pageBreakBefore w:val="0"/>
              <w:widowControl/>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z w:val="21"/>
                <w:szCs w:val="21"/>
                <w:lang w:bidi="ar"/>
                <w14:textFill>
                  <w14:solidFill>
                    <w14:schemeClr w14:val="tx1"/>
                  </w14:solidFill>
                </w14:textFill>
              </w:rPr>
            </w:pPr>
            <w:r>
              <w:rPr>
                <w:rFonts w:hint="default" w:ascii="Times New Roman" w:hAnsi="Times New Roman" w:eastAsia="宋体" w:cs="Times New Roman"/>
                <w:color w:val="000000" w:themeColor="text1"/>
                <w:sz w:val="21"/>
                <w:szCs w:val="21"/>
                <w:lang w:bidi="ar"/>
                <w14:textFill>
                  <w14:solidFill>
                    <w14:schemeClr w14:val="tx1"/>
                  </w14:solidFill>
                </w14:textFill>
              </w:rPr>
              <w:t>耗氧量</w:t>
            </w:r>
            <w:r>
              <w:rPr>
                <w:rFonts w:hint="default" w:ascii="Times New Roman" w:hAnsi="Times New Roman" w:eastAsia="宋体" w:cs="Times New Roman"/>
                <w:color w:val="000000" w:themeColor="text1"/>
                <w:sz w:val="21"/>
                <w:szCs w:val="21"/>
                <w14:textFill>
                  <w14:solidFill>
                    <w14:schemeClr w14:val="tx1"/>
                  </w14:solidFill>
                </w14:textFill>
              </w:rPr>
              <w:t>（</w:t>
            </w:r>
            <w:r>
              <w:rPr>
                <w:rFonts w:hint="default" w:ascii="Times New Roman" w:hAnsi="Times New Roman" w:eastAsia="宋体" w:cs="Times New Roman"/>
                <w:color w:val="000000" w:themeColor="text1"/>
                <w:sz w:val="21"/>
                <w:szCs w:val="21"/>
                <w:lang w:val="zh-TW" w:eastAsia="zh-TW" w:bidi="ar"/>
                <w14:textFill>
                  <w14:solidFill>
                    <w14:schemeClr w14:val="tx1"/>
                  </w14:solidFill>
                </w14:textFill>
              </w:rPr>
              <w:t>mg/</w:t>
            </w:r>
            <w:r>
              <w:rPr>
                <w:rFonts w:hint="default" w:ascii="Times New Roman" w:hAnsi="Times New Roman" w:eastAsia="宋体" w:cs="Times New Roman"/>
                <w:color w:val="000000" w:themeColor="text1"/>
                <w:sz w:val="21"/>
                <w:szCs w:val="21"/>
                <w:lang w:bidi="ar"/>
                <w14:textFill>
                  <w14:solidFill>
                    <w14:schemeClr w14:val="tx1"/>
                  </w14:solidFill>
                </w14:textFill>
              </w:rPr>
              <w:t>L</w:t>
            </w:r>
            <w:r>
              <w:rPr>
                <w:rFonts w:hint="default" w:ascii="Times New Roman" w:hAnsi="Times New Roman" w:eastAsia="宋体" w:cs="Times New Roman"/>
                <w:color w:val="000000" w:themeColor="text1"/>
                <w:sz w:val="21"/>
                <w:szCs w:val="21"/>
                <w14:textFill>
                  <w14:solidFill>
                    <w14:schemeClr w14:val="tx1"/>
                  </w14:solidFill>
                </w14:textFill>
              </w:rPr>
              <w:t>）</w:t>
            </w:r>
          </w:p>
        </w:tc>
        <w:tc>
          <w:tcPr>
            <w:tcW w:w="733" w:type="pct"/>
            <w:vAlign w:val="center"/>
          </w:tcPr>
          <w:p w14:paraId="3BF73B01">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2.23</w:t>
            </w:r>
          </w:p>
        </w:tc>
        <w:tc>
          <w:tcPr>
            <w:tcW w:w="679" w:type="pct"/>
            <w:vAlign w:val="center"/>
          </w:tcPr>
          <w:p w14:paraId="66F92E38">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0.58</w:t>
            </w:r>
          </w:p>
        </w:tc>
        <w:tc>
          <w:tcPr>
            <w:tcW w:w="611" w:type="pct"/>
            <w:vAlign w:val="center"/>
          </w:tcPr>
          <w:p w14:paraId="29C39722">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2.78</w:t>
            </w:r>
          </w:p>
        </w:tc>
        <w:tc>
          <w:tcPr>
            <w:tcW w:w="681" w:type="pct"/>
            <w:vAlign w:val="center"/>
          </w:tcPr>
          <w:p w14:paraId="3953E9D3">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eastAsia" w:ascii="Times New Roman" w:hAnsi="Times New Roman" w:cs="Times New Roman"/>
                <w:color w:val="000000" w:themeColor="text1"/>
                <w:spacing w:val="-6"/>
                <w:sz w:val="21"/>
                <w:szCs w:val="21"/>
                <w:lang w:val="en-US" w:eastAsia="zh-CN"/>
                <w14:textFill>
                  <w14:solidFill>
                    <w14:schemeClr w14:val="tx1"/>
                  </w14:solidFill>
                </w14:textFill>
              </w:rPr>
              <w:t>3.0</w:t>
            </w:r>
            <w:r>
              <w:rPr>
                <w:rFonts w:hint="default" w:ascii="Times New Roman" w:hAnsi="Times New Roman" w:eastAsia="宋体" w:cs="Times New Roman"/>
                <w:color w:val="000000" w:themeColor="text1"/>
                <w:spacing w:val="-6"/>
                <w:sz w:val="21"/>
                <w:szCs w:val="21"/>
                <w:lang w:val="zh-TW" w:eastAsia="zh-TW"/>
                <w14:textFill>
                  <w14:solidFill>
                    <w14:schemeClr w14:val="tx1"/>
                  </w14:solidFill>
                </w14:textFill>
              </w:rPr>
              <w:t>mg/</w:t>
            </w:r>
            <w:r>
              <w:rPr>
                <w:rFonts w:hint="default" w:ascii="Times New Roman" w:hAnsi="Times New Roman" w:eastAsia="宋体" w:cs="Times New Roman"/>
                <w:color w:val="000000" w:themeColor="text1"/>
                <w:spacing w:val="-6"/>
                <w:sz w:val="21"/>
                <w:szCs w:val="21"/>
                <w14:textFill>
                  <w14:solidFill>
                    <w14:schemeClr w14:val="tx1"/>
                  </w14:solidFill>
                </w14:textFill>
              </w:rPr>
              <w:t>L</w:t>
            </w:r>
          </w:p>
        </w:tc>
        <w:tc>
          <w:tcPr>
            <w:tcW w:w="431" w:type="pct"/>
            <w:vAlign w:val="center"/>
          </w:tcPr>
          <w:p w14:paraId="656A6EAE">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val="en-US" w:eastAsia="zh-CN"/>
                <w14:textFill>
                  <w14:solidFill>
                    <w14:schemeClr w14:val="tx1"/>
                  </w14:solidFill>
                </w14:textFill>
              </w:rPr>
            </w:pPr>
            <w:r>
              <w:rPr>
                <w:rFonts w:hint="eastAsia" w:ascii="Times New Roman" w:hAnsi="Times New Roman" w:cs="Times New Roman"/>
                <w:color w:val="000000" w:themeColor="text1"/>
                <w:spacing w:val="-6"/>
                <w:sz w:val="21"/>
                <w:szCs w:val="21"/>
                <w:lang w:val="en-US" w:eastAsia="zh-CN"/>
                <w14:textFill>
                  <w14:solidFill>
                    <w14:schemeClr w14:val="tx1"/>
                  </w14:solidFill>
                </w14:textFill>
              </w:rPr>
              <w:t>0.93</w:t>
            </w:r>
          </w:p>
        </w:tc>
        <w:tc>
          <w:tcPr>
            <w:tcW w:w="431" w:type="pct"/>
            <w:vAlign w:val="center"/>
          </w:tcPr>
          <w:p w14:paraId="06D4075B">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达标</w:t>
            </w:r>
          </w:p>
        </w:tc>
      </w:tr>
      <w:tr w14:paraId="519DB03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432" w:type="pct"/>
            <w:vAlign w:val="center"/>
          </w:tcPr>
          <w:p w14:paraId="4D7C4B0B">
            <w:pPr>
              <w:keepNext w:val="0"/>
              <w:keepLines w:val="0"/>
              <w:pageBreakBefore w:val="0"/>
              <w:widowControl/>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细菌总数（CFU/mL）</w:t>
            </w:r>
          </w:p>
        </w:tc>
        <w:tc>
          <w:tcPr>
            <w:tcW w:w="733" w:type="pct"/>
            <w:vAlign w:val="center"/>
          </w:tcPr>
          <w:p w14:paraId="4749717C">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67</w:t>
            </w:r>
          </w:p>
        </w:tc>
        <w:tc>
          <w:tcPr>
            <w:tcW w:w="679" w:type="pct"/>
            <w:vAlign w:val="center"/>
          </w:tcPr>
          <w:p w14:paraId="4E755872">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23</w:t>
            </w:r>
          </w:p>
        </w:tc>
        <w:tc>
          <w:tcPr>
            <w:tcW w:w="611" w:type="pct"/>
            <w:vAlign w:val="center"/>
          </w:tcPr>
          <w:p w14:paraId="7C1F705E">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56</w:t>
            </w:r>
          </w:p>
        </w:tc>
        <w:tc>
          <w:tcPr>
            <w:tcW w:w="681" w:type="pct"/>
            <w:vAlign w:val="center"/>
          </w:tcPr>
          <w:p w14:paraId="107911CB">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val="en-US" w:eastAsia="zh-CN"/>
                <w14:textFill>
                  <w14:solidFill>
                    <w14:schemeClr w14:val="tx1"/>
                  </w14:solidFill>
                </w14:textFill>
              </w:rPr>
            </w:pPr>
            <w:r>
              <w:rPr>
                <w:rFonts w:hint="eastAsia" w:ascii="Times New Roman" w:hAnsi="Times New Roman" w:cs="Times New Roman"/>
                <w:color w:val="000000" w:themeColor="text1"/>
                <w:spacing w:val="-6"/>
                <w:sz w:val="21"/>
                <w:szCs w:val="21"/>
                <w:lang w:val="en-US" w:eastAsia="zh-CN"/>
                <w14:textFill>
                  <w14:solidFill>
                    <w14:schemeClr w14:val="tx1"/>
                  </w14:solidFill>
                </w14:textFill>
              </w:rPr>
              <w:t>100</w:t>
            </w:r>
          </w:p>
        </w:tc>
        <w:tc>
          <w:tcPr>
            <w:tcW w:w="431" w:type="pct"/>
            <w:vAlign w:val="center"/>
          </w:tcPr>
          <w:p w14:paraId="2D7AF9FB">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val="en-US" w:eastAsia="zh-CN"/>
                <w14:textFill>
                  <w14:solidFill>
                    <w14:schemeClr w14:val="tx1"/>
                  </w14:solidFill>
                </w14:textFill>
              </w:rPr>
            </w:pPr>
            <w:r>
              <w:rPr>
                <w:rFonts w:hint="eastAsia" w:ascii="Times New Roman" w:hAnsi="Times New Roman" w:cs="Times New Roman"/>
                <w:color w:val="000000" w:themeColor="text1"/>
                <w:spacing w:val="-6"/>
                <w:sz w:val="21"/>
                <w:szCs w:val="21"/>
                <w:lang w:val="en-US" w:eastAsia="zh-CN"/>
                <w14:textFill>
                  <w14:solidFill>
                    <w14:schemeClr w14:val="tx1"/>
                  </w14:solidFill>
                </w14:textFill>
              </w:rPr>
              <w:t>0.67</w:t>
            </w:r>
          </w:p>
        </w:tc>
        <w:tc>
          <w:tcPr>
            <w:tcW w:w="431" w:type="pct"/>
            <w:vAlign w:val="center"/>
          </w:tcPr>
          <w:p w14:paraId="4445CF93">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达标</w:t>
            </w:r>
          </w:p>
        </w:tc>
      </w:tr>
      <w:tr w14:paraId="0264CAB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432" w:type="pct"/>
            <w:vAlign w:val="center"/>
          </w:tcPr>
          <w:p w14:paraId="141E8ADF">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总大肠菌群（MPN/100mL）</w:t>
            </w:r>
          </w:p>
        </w:tc>
        <w:tc>
          <w:tcPr>
            <w:tcW w:w="733" w:type="pct"/>
            <w:vAlign w:val="center"/>
          </w:tcPr>
          <w:p w14:paraId="7FCE5CB6">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未检出</w:t>
            </w:r>
          </w:p>
        </w:tc>
        <w:tc>
          <w:tcPr>
            <w:tcW w:w="679" w:type="pct"/>
            <w:vAlign w:val="center"/>
          </w:tcPr>
          <w:p w14:paraId="21590D6E">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未检出</w:t>
            </w:r>
          </w:p>
        </w:tc>
        <w:tc>
          <w:tcPr>
            <w:tcW w:w="611" w:type="pct"/>
            <w:vAlign w:val="center"/>
          </w:tcPr>
          <w:p w14:paraId="4F6EAC6D">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bidi="ar"/>
                <w14:textFill>
                  <w14:solidFill>
                    <w14:schemeClr w14:val="tx1"/>
                  </w14:solidFill>
                </w14:textFill>
              </w:rPr>
              <w:t>未检出</w:t>
            </w:r>
          </w:p>
        </w:tc>
        <w:tc>
          <w:tcPr>
            <w:tcW w:w="681" w:type="pct"/>
            <w:vAlign w:val="center"/>
          </w:tcPr>
          <w:p w14:paraId="594826E9">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val="en-US" w:eastAsia="zh-CN"/>
                <w14:textFill>
                  <w14:solidFill>
                    <w14:schemeClr w14:val="tx1"/>
                  </w14:solidFill>
                </w14:textFill>
              </w:rPr>
            </w:pPr>
            <w:r>
              <w:rPr>
                <w:rFonts w:hint="eastAsia" w:ascii="Times New Roman" w:hAnsi="Times New Roman" w:cs="Times New Roman"/>
                <w:color w:val="000000" w:themeColor="text1"/>
                <w:spacing w:val="-6"/>
                <w:sz w:val="21"/>
                <w:szCs w:val="21"/>
                <w:lang w:val="en-US" w:eastAsia="zh-CN"/>
                <w14:textFill>
                  <w14:solidFill>
                    <w14:schemeClr w14:val="tx1"/>
                  </w14:solidFill>
                </w14:textFill>
              </w:rPr>
              <w:t>3.0</w:t>
            </w:r>
          </w:p>
        </w:tc>
        <w:tc>
          <w:tcPr>
            <w:tcW w:w="431" w:type="pct"/>
            <w:vAlign w:val="center"/>
          </w:tcPr>
          <w:p w14:paraId="58624867">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eastAsia" w:ascii="Times New Roman" w:hAnsi="Times New Roman" w:eastAsia="宋体" w:cs="Times New Roman"/>
                <w:color w:val="000000" w:themeColor="text1"/>
                <w:spacing w:val="-6"/>
                <w:sz w:val="21"/>
                <w:szCs w:val="21"/>
                <w:lang w:val="en-US" w:eastAsia="zh-CN"/>
                <w14:textFill>
                  <w14:solidFill>
                    <w14:schemeClr w14:val="tx1"/>
                  </w14:solidFill>
                </w14:textFill>
              </w:rPr>
            </w:pPr>
            <w:r>
              <w:rPr>
                <w:rFonts w:hint="eastAsia" w:ascii="Times New Roman" w:hAnsi="Times New Roman" w:cs="Times New Roman"/>
                <w:color w:val="000000" w:themeColor="text1"/>
                <w:spacing w:val="-6"/>
                <w:sz w:val="21"/>
                <w:szCs w:val="21"/>
                <w:lang w:val="en-US" w:eastAsia="zh-CN"/>
                <w14:textFill>
                  <w14:solidFill>
                    <w14:schemeClr w14:val="tx1"/>
                  </w14:solidFill>
                </w14:textFill>
              </w:rPr>
              <w:t>/</w:t>
            </w:r>
          </w:p>
        </w:tc>
        <w:tc>
          <w:tcPr>
            <w:tcW w:w="431" w:type="pct"/>
            <w:vAlign w:val="center"/>
          </w:tcPr>
          <w:p w14:paraId="51C4AAD0">
            <w:pPr>
              <w:pStyle w:val="11"/>
              <w:keepNext w:val="0"/>
              <w:keepLines w:val="0"/>
              <w:pageBreakBefore w:val="0"/>
              <w:kinsoku/>
              <w:wordWrap/>
              <w:overflowPunct/>
              <w:topLinePunct w:val="0"/>
              <w:autoSpaceDE/>
              <w:autoSpaceDN/>
              <w:bidi w:val="0"/>
              <w:adjustRightInd/>
              <w:spacing w:line="240" w:lineRule="auto"/>
              <w:ind w:firstLine="0" w:firstLineChars="0"/>
              <w:jc w:val="center"/>
              <w:outlineLvl w:val="9"/>
              <w:rPr>
                <w:rFonts w:hint="eastAsia" w:ascii="Times New Roman" w:hAnsi="Times New Roman" w:eastAsia="宋体" w:cs="Times New Roman"/>
                <w:color w:val="000000" w:themeColor="text1"/>
                <w:spacing w:val="-6"/>
                <w:sz w:val="21"/>
                <w:szCs w:val="21"/>
                <w:lang w:eastAsia="zh-CN"/>
                <w14:textFill>
                  <w14:solidFill>
                    <w14:schemeClr w14:val="tx1"/>
                  </w14:solidFill>
                </w14:textFill>
              </w:rPr>
            </w:pPr>
            <w:r>
              <w:rPr>
                <w:rFonts w:hint="eastAsia" w:ascii="Times New Roman" w:hAnsi="Times New Roman" w:cs="Times New Roman"/>
                <w:color w:val="000000" w:themeColor="text1"/>
                <w:spacing w:val="-6"/>
                <w:sz w:val="21"/>
                <w:szCs w:val="21"/>
                <w:lang w:val="en-US" w:eastAsia="zh-CN"/>
                <w14:textFill>
                  <w14:solidFill>
                    <w14:schemeClr w14:val="tx1"/>
                  </w14:solidFill>
                </w14:textFill>
              </w:rPr>
              <w:t>/</w:t>
            </w:r>
          </w:p>
        </w:tc>
      </w:tr>
    </w:tbl>
    <w:p w14:paraId="221585D7">
      <w:pPr>
        <w:pStyle w:val="11"/>
        <w:keepNext w:val="0"/>
        <w:keepLines w:val="0"/>
        <w:pageBreakBefore w:val="0"/>
        <w:kinsoku/>
        <w:wordWrap/>
        <w:overflowPunct/>
        <w:topLinePunct w:val="0"/>
        <w:autoSpaceDE/>
        <w:autoSpaceDN/>
        <w:bidi w:val="0"/>
        <w:adjustRightInd/>
        <w:ind w:firstLine="456"/>
        <w:outlineLvl w:val="9"/>
        <w:rPr>
          <w:rFonts w:hint="default" w:ascii="Times New Roman" w:hAnsi="Times New Roman" w:eastAsia="宋体" w:cs="Times New Roman"/>
          <w:color w:val="000000" w:themeColor="text1"/>
          <w:spacing w:val="-6"/>
          <w:lang w:eastAsia="zh-CN"/>
          <w14:textFill>
            <w14:solidFill>
              <w14:schemeClr w14:val="tx1"/>
            </w14:solidFill>
          </w14:textFill>
        </w:rPr>
      </w:pPr>
      <w:r>
        <w:rPr>
          <w:rFonts w:hint="default" w:ascii="Times New Roman" w:hAnsi="Times New Roman" w:eastAsia="宋体" w:cs="Times New Roman"/>
          <w:color w:val="000000" w:themeColor="text1"/>
          <w:spacing w:val="-6"/>
          <w:lang w:eastAsia="zh-CN"/>
          <w14:textFill>
            <w14:solidFill>
              <w14:schemeClr w14:val="tx1"/>
            </w14:solidFill>
          </w14:textFill>
        </w:rPr>
        <w:t>由上表可知，项目区地下水3个</w:t>
      </w:r>
      <w:r>
        <w:rPr>
          <w:rFonts w:hint="eastAsia" w:ascii="Times New Roman" w:hAnsi="Times New Roman" w:cs="Times New Roman"/>
          <w:color w:val="000000" w:themeColor="text1"/>
          <w:spacing w:val="-6"/>
          <w:lang w:val="en-US" w:eastAsia="zh-CN"/>
          <w14:textFill>
            <w14:solidFill>
              <w14:schemeClr w14:val="tx1"/>
            </w14:solidFill>
          </w14:textFill>
        </w:rPr>
        <w:t>水质</w:t>
      </w:r>
      <w:r>
        <w:rPr>
          <w:rFonts w:hint="default" w:ascii="Times New Roman" w:hAnsi="Times New Roman" w:eastAsia="宋体" w:cs="Times New Roman"/>
          <w:color w:val="000000" w:themeColor="text1"/>
          <w:spacing w:val="-6"/>
          <w:lang w:eastAsia="zh-CN"/>
          <w14:textFill>
            <w14:solidFill>
              <w14:schemeClr w14:val="tx1"/>
            </w14:solidFill>
          </w14:textFill>
        </w:rPr>
        <w:t>监测点中，各项监测</w:t>
      </w:r>
      <w:r>
        <w:rPr>
          <w:rFonts w:hint="eastAsia" w:ascii="Times New Roman" w:hAnsi="Times New Roman" w:cs="Times New Roman"/>
          <w:color w:val="000000" w:themeColor="text1"/>
          <w:spacing w:val="-6"/>
          <w:lang w:val="en-US" w:eastAsia="zh-CN"/>
          <w14:textFill>
            <w14:solidFill>
              <w14:schemeClr w14:val="tx1"/>
            </w14:solidFill>
          </w14:textFill>
        </w:rPr>
        <w:t>指标</w:t>
      </w:r>
      <w:r>
        <w:rPr>
          <w:rFonts w:hint="default" w:ascii="Times New Roman" w:hAnsi="Times New Roman" w:eastAsia="宋体" w:cs="Times New Roman"/>
          <w:color w:val="000000" w:themeColor="text1"/>
          <w:spacing w:val="-6"/>
          <w:lang w:eastAsia="zh-CN"/>
          <w14:textFill>
            <w14:solidFill>
              <w14:schemeClr w14:val="tx1"/>
            </w14:solidFill>
          </w14:textFill>
        </w:rPr>
        <w:t>结果均满足《地下水质量标准》（GB/T14848-2017）Ⅲ类标准限值要求。</w:t>
      </w:r>
    </w:p>
    <w:p w14:paraId="2FF087DC">
      <w:pPr>
        <w:pStyle w:val="11"/>
        <w:ind w:firstLine="458"/>
        <w:outlineLvl w:val="2"/>
        <w:rPr>
          <w:rFonts w:hint="default" w:ascii="Times New Roman" w:hAnsi="Times New Roman" w:eastAsia="宋体" w:cs="Times New Roman"/>
          <w:b/>
          <w:bCs/>
          <w:color w:val="000000" w:themeColor="text1"/>
          <w:spacing w:val="-6"/>
          <w:lang w:eastAsia="zh-CN"/>
          <w14:textFill>
            <w14:solidFill>
              <w14:schemeClr w14:val="tx1"/>
            </w14:solidFill>
          </w14:textFill>
        </w:rPr>
      </w:pPr>
      <w:bookmarkStart w:id="208" w:name="bookmark6"/>
      <w:bookmarkEnd w:id="208"/>
      <w:bookmarkStart w:id="209" w:name="_Toc1576"/>
      <w:r>
        <w:rPr>
          <w:rFonts w:hint="default" w:ascii="Times New Roman" w:hAnsi="Times New Roman" w:eastAsia="宋体" w:cs="Times New Roman"/>
          <w:b/>
          <w:bCs/>
          <w:color w:val="000000" w:themeColor="text1"/>
          <w:spacing w:val="-6"/>
          <w:lang w:eastAsia="zh-CN"/>
          <w14:textFill>
            <w14:solidFill>
              <w14:schemeClr w14:val="tx1"/>
            </w14:solidFill>
          </w14:textFill>
        </w:rPr>
        <w:t>4.2.4声环境质量</w:t>
      </w:r>
      <w:bookmarkEnd w:id="209"/>
    </w:p>
    <w:p w14:paraId="135A5147">
      <w:pPr>
        <w:pStyle w:val="11"/>
        <w:keepNext w:val="0"/>
        <w:keepLines w:val="0"/>
        <w:pageBreakBefore w:val="0"/>
        <w:widowControl w:val="0"/>
        <w:kinsoku/>
        <w:wordWrap/>
        <w:overflowPunct/>
        <w:topLinePunct w:val="0"/>
        <w:autoSpaceDE/>
        <w:autoSpaceDN/>
        <w:bidi w:val="0"/>
        <w:adjustRightInd/>
        <w:snapToGrid/>
        <w:ind w:firstLine="456"/>
        <w:textAlignment w:val="auto"/>
        <w:outlineLvl w:val="9"/>
        <w:rPr>
          <w:rFonts w:hint="default" w:ascii="Times New Roman" w:hAnsi="Times New Roman" w:eastAsia="宋体" w:cs="Times New Roman"/>
          <w:color w:val="000000" w:themeColor="text1"/>
          <w:spacing w:val="-6"/>
          <w:lang w:eastAsia="zh-CN"/>
          <w14:textFill>
            <w14:solidFill>
              <w14:schemeClr w14:val="tx1"/>
            </w14:solidFill>
          </w14:textFill>
        </w:rPr>
      </w:pPr>
      <w:r>
        <w:rPr>
          <w:rFonts w:hint="default" w:ascii="Times New Roman" w:hAnsi="Times New Roman" w:eastAsia="宋体" w:cs="Times New Roman"/>
          <w:color w:val="000000" w:themeColor="text1"/>
          <w:spacing w:val="-6"/>
          <w:lang w:eastAsia="zh-CN"/>
          <w14:textFill>
            <w14:solidFill>
              <w14:schemeClr w14:val="tx1"/>
            </w14:solidFill>
          </w14:textFill>
        </w:rPr>
        <w:t>项目声环境质量现状委托北京华成星科检测服务有限公司进行检测。</w:t>
      </w:r>
    </w:p>
    <w:p w14:paraId="0DC650FD">
      <w:pPr>
        <w:pStyle w:val="11"/>
        <w:keepNext w:val="0"/>
        <w:keepLines w:val="0"/>
        <w:pageBreakBefore w:val="0"/>
        <w:widowControl w:val="0"/>
        <w:kinsoku/>
        <w:wordWrap/>
        <w:overflowPunct/>
        <w:topLinePunct w:val="0"/>
        <w:autoSpaceDE/>
        <w:autoSpaceDN/>
        <w:bidi w:val="0"/>
        <w:adjustRightInd/>
        <w:snapToGrid/>
        <w:ind w:firstLine="456"/>
        <w:textAlignment w:val="auto"/>
        <w:outlineLvl w:val="9"/>
        <w:rPr>
          <w:rFonts w:hint="default" w:ascii="Times New Roman" w:hAnsi="Times New Roman" w:eastAsia="宋体" w:cs="Times New Roman"/>
          <w:color w:val="000000" w:themeColor="text1"/>
          <w:spacing w:val="-6"/>
          <w:lang w:eastAsia="zh-CN"/>
          <w14:textFill>
            <w14:solidFill>
              <w14:schemeClr w14:val="tx1"/>
            </w14:solidFill>
          </w14:textFill>
        </w:rPr>
      </w:pPr>
      <w:bookmarkStart w:id="210" w:name="_Toc20102"/>
      <w:bookmarkStart w:id="211" w:name="_Toc26162"/>
      <w:r>
        <w:rPr>
          <w:rFonts w:hint="default" w:ascii="Times New Roman" w:hAnsi="Times New Roman" w:eastAsia="宋体" w:cs="Times New Roman"/>
          <w:color w:val="000000" w:themeColor="text1"/>
          <w:spacing w:val="-6"/>
          <w:lang w:eastAsia="zh-CN"/>
          <w14:textFill>
            <w14:solidFill>
              <w14:schemeClr w14:val="tx1"/>
            </w14:solidFill>
          </w14:textFill>
        </w:rPr>
        <w:t>（1）检测项目</w:t>
      </w:r>
      <w:bookmarkEnd w:id="210"/>
      <w:bookmarkEnd w:id="211"/>
    </w:p>
    <w:p w14:paraId="7DF169C7">
      <w:pPr>
        <w:pStyle w:val="11"/>
        <w:keepNext w:val="0"/>
        <w:keepLines w:val="0"/>
        <w:pageBreakBefore w:val="0"/>
        <w:widowControl w:val="0"/>
        <w:kinsoku/>
        <w:wordWrap/>
        <w:overflowPunct/>
        <w:topLinePunct w:val="0"/>
        <w:autoSpaceDE/>
        <w:autoSpaceDN/>
        <w:bidi w:val="0"/>
        <w:adjustRightInd/>
        <w:snapToGrid/>
        <w:ind w:firstLine="456"/>
        <w:textAlignment w:val="auto"/>
        <w:outlineLvl w:val="9"/>
        <w:rPr>
          <w:rFonts w:hint="default" w:ascii="Times New Roman" w:hAnsi="Times New Roman" w:eastAsia="宋体" w:cs="Times New Roman"/>
          <w:color w:val="000000" w:themeColor="text1"/>
          <w:spacing w:val="-6"/>
          <w:lang w:eastAsia="zh-CN"/>
          <w14:textFill>
            <w14:solidFill>
              <w14:schemeClr w14:val="tx1"/>
            </w14:solidFill>
          </w14:textFill>
        </w:rPr>
      </w:pPr>
      <w:r>
        <w:rPr>
          <w:rFonts w:hint="default" w:ascii="Times New Roman" w:hAnsi="Times New Roman" w:eastAsia="宋体" w:cs="Times New Roman"/>
          <w:color w:val="000000" w:themeColor="text1"/>
          <w:spacing w:val="-6"/>
          <w:lang w:eastAsia="zh-CN"/>
          <w14:textFill>
            <w14:solidFill>
              <w14:schemeClr w14:val="tx1"/>
            </w14:solidFill>
          </w14:textFill>
        </w:rPr>
        <w:t>噪声检测：等效A声级。</w:t>
      </w:r>
    </w:p>
    <w:p w14:paraId="7424C801">
      <w:pPr>
        <w:pStyle w:val="11"/>
        <w:keepNext w:val="0"/>
        <w:keepLines w:val="0"/>
        <w:pageBreakBefore w:val="0"/>
        <w:widowControl w:val="0"/>
        <w:kinsoku/>
        <w:wordWrap/>
        <w:overflowPunct/>
        <w:topLinePunct w:val="0"/>
        <w:autoSpaceDE/>
        <w:autoSpaceDN/>
        <w:bidi w:val="0"/>
        <w:adjustRightInd/>
        <w:snapToGrid/>
        <w:ind w:firstLine="456"/>
        <w:textAlignment w:val="auto"/>
        <w:outlineLvl w:val="9"/>
        <w:rPr>
          <w:rFonts w:hint="default" w:ascii="Times New Roman" w:hAnsi="Times New Roman" w:eastAsia="宋体" w:cs="Times New Roman"/>
          <w:color w:val="000000" w:themeColor="text1"/>
          <w:spacing w:val="-6"/>
          <w:lang w:eastAsia="zh-CN"/>
          <w14:textFill>
            <w14:solidFill>
              <w14:schemeClr w14:val="tx1"/>
            </w14:solidFill>
          </w14:textFill>
        </w:rPr>
      </w:pPr>
      <w:bookmarkStart w:id="212" w:name="_Toc7245"/>
      <w:bookmarkStart w:id="213" w:name="_Toc1083"/>
      <w:r>
        <w:rPr>
          <w:rFonts w:hint="default" w:ascii="Times New Roman" w:hAnsi="Times New Roman" w:eastAsia="宋体" w:cs="Times New Roman"/>
          <w:color w:val="000000" w:themeColor="text1"/>
          <w:spacing w:val="-6"/>
          <w:lang w:eastAsia="zh-CN"/>
          <w14:textFill>
            <w14:solidFill>
              <w14:schemeClr w14:val="tx1"/>
            </w14:solidFill>
          </w14:textFill>
        </w:rPr>
        <w:t>（2）检测点位</w:t>
      </w:r>
      <w:bookmarkEnd w:id="212"/>
      <w:bookmarkEnd w:id="213"/>
    </w:p>
    <w:p w14:paraId="40433DC8">
      <w:pPr>
        <w:pStyle w:val="11"/>
        <w:keepNext w:val="0"/>
        <w:keepLines w:val="0"/>
        <w:pageBreakBefore w:val="0"/>
        <w:widowControl w:val="0"/>
        <w:kinsoku/>
        <w:wordWrap/>
        <w:overflowPunct/>
        <w:topLinePunct w:val="0"/>
        <w:autoSpaceDE/>
        <w:autoSpaceDN/>
        <w:bidi w:val="0"/>
        <w:adjustRightInd/>
        <w:snapToGrid/>
        <w:ind w:firstLine="456"/>
        <w:textAlignment w:val="auto"/>
        <w:outlineLvl w:val="9"/>
        <w:rPr>
          <w:rFonts w:hint="default" w:ascii="Times New Roman" w:hAnsi="Times New Roman" w:eastAsia="宋体" w:cs="Times New Roman"/>
          <w:color w:val="000000" w:themeColor="text1"/>
          <w:spacing w:val="-6"/>
          <w:lang w:eastAsia="zh-CN"/>
          <w14:textFill>
            <w14:solidFill>
              <w14:schemeClr w14:val="tx1"/>
            </w14:solidFill>
          </w14:textFill>
        </w:rPr>
      </w:pPr>
      <w:r>
        <w:rPr>
          <w:rFonts w:hint="default" w:ascii="Times New Roman" w:hAnsi="Times New Roman" w:eastAsia="宋体" w:cs="Times New Roman"/>
          <w:color w:val="000000" w:themeColor="text1"/>
          <w:spacing w:val="-6"/>
          <w:lang w:eastAsia="zh-CN"/>
          <w14:textFill>
            <w14:solidFill>
              <w14:schemeClr w14:val="tx1"/>
            </w14:solidFill>
          </w14:textFill>
        </w:rPr>
        <w:t>噪声检测布设4个检测点位。检测点位及地理坐标见表4.2-18。</w:t>
      </w:r>
    </w:p>
    <w:p w14:paraId="67BCCD6A">
      <w:pPr>
        <w:pStyle w:val="11"/>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9"/>
        <w:rPr>
          <w:rFonts w:hint="default" w:ascii="Times New Roman" w:hAnsi="Times New Roman" w:eastAsia="宋体" w:cs="Times New Roman"/>
          <w:b/>
          <w:bCs/>
          <w:color w:val="000000" w:themeColor="text1"/>
          <w:spacing w:val="-6"/>
          <w:lang w:eastAsia="zh-CN"/>
          <w14:textFill>
            <w14:solidFill>
              <w14:schemeClr w14:val="tx1"/>
            </w14:solidFill>
          </w14:textFill>
        </w:rPr>
      </w:pPr>
      <w:r>
        <w:rPr>
          <w:rFonts w:hint="default" w:ascii="Times New Roman" w:hAnsi="Times New Roman" w:eastAsia="宋体" w:cs="Times New Roman"/>
          <w:b/>
          <w:bCs/>
          <w:color w:val="000000" w:themeColor="text1"/>
          <w:spacing w:val="-6"/>
          <w:lang w:eastAsia="zh-CN"/>
          <w14:textFill>
            <w14:solidFill>
              <w14:schemeClr w14:val="tx1"/>
            </w14:solidFill>
          </w14:textFill>
        </w:rPr>
        <w:t>表4.2-18检测点位及地理位置坐标一览表</w:t>
      </w:r>
    </w:p>
    <w:tbl>
      <w:tblPr>
        <w:tblStyle w:val="35"/>
        <w:tblW w:w="5000"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2362"/>
        <w:gridCol w:w="6634"/>
      </w:tblGrid>
      <w:tr w14:paraId="3BDE06F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6" w:hRule="atLeast"/>
          <w:jc w:val="center"/>
        </w:trPr>
        <w:tc>
          <w:tcPr>
            <w:tcW w:w="1313" w:type="pct"/>
            <w:vAlign w:val="center"/>
          </w:tcPr>
          <w:p w14:paraId="5D54EB8F">
            <w:pPr>
              <w:pStyle w:val="11"/>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检测点位</w:t>
            </w:r>
          </w:p>
        </w:tc>
        <w:tc>
          <w:tcPr>
            <w:tcW w:w="3687" w:type="pct"/>
            <w:vAlign w:val="center"/>
          </w:tcPr>
          <w:p w14:paraId="0F52A134">
            <w:pPr>
              <w:pStyle w:val="11"/>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地理坐标</w:t>
            </w:r>
          </w:p>
        </w:tc>
      </w:tr>
      <w:tr w14:paraId="7DA8138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1" w:hRule="atLeast"/>
          <w:jc w:val="center"/>
        </w:trPr>
        <w:tc>
          <w:tcPr>
            <w:tcW w:w="1313" w:type="pct"/>
            <w:vAlign w:val="center"/>
          </w:tcPr>
          <w:p w14:paraId="5313E8EF">
            <w:pPr>
              <w:pStyle w:val="11"/>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厂址</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东</w:t>
            </w:r>
            <w:r>
              <w:rPr>
                <w:rFonts w:hint="default" w:ascii="Times New Roman" w:hAnsi="Times New Roman" w:eastAsia="宋体" w:cs="Times New Roman"/>
                <w:color w:val="000000" w:themeColor="text1"/>
                <w:spacing w:val="-6"/>
                <w:sz w:val="21"/>
                <w:szCs w:val="21"/>
                <w14:textFill>
                  <w14:solidFill>
                    <w14:schemeClr w14:val="tx1"/>
                  </w14:solidFill>
                </w14:textFill>
              </w:rPr>
              <w:t>场界</w:t>
            </w:r>
          </w:p>
        </w:tc>
        <w:tc>
          <w:tcPr>
            <w:tcW w:w="3687" w:type="pct"/>
            <w:vAlign w:val="center"/>
          </w:tcPr>
          <w:p w14:paraId="04A8398F">
            <w:pPr>
              <w:pStyle w:val="11"/>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东经122°16'48.96"，北纬46°11'14.12"</w:t>
            </w:r>
          </w:p>
        </w:tc>
      </w:tr>
      <w:tr w14:paraId="09BEB4E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1" w:hRule="atLeast"/>
          <w:jc w:val="center"/>
        </w:trPr>
        <w:tc>
          <w:tcPr>
            <w:tcW w:w="1313" w:type="pct"/>
            <w:vAlign w:val="center"/>
          </w:tcPr>
          <w:p w14:paraId="79A9E83A">
            <w:pPr>
              <w:pStyle w:val="11"/>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厂址</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南</w:t>
            </w:r>
            <w:r>
              <w:rPr>
                <w:rFonts w:hint="default" w:ascii="Times New Roman" w:hAnsi="Times New Roman" w:eastAsia="宋体" w:cs="Times New Roman"/>
                <w:color w:val="000000" w:themeColor="text1"/>
                <w:spacing w:val="-6"/>
                <w:sz w:val="21"/>
                <w:szCs w:val="21"/>
                <w14:textFill>
                  <w14:solidFill>
                    <w14:schemeClr w14:val="tx1"/>
                  </w14:solidFill>
                </w14:textFill>
              </w:rPr>
              <w:t>场界</w:t>
            </w:r>
          </w:p>
        </w:tc>
        <w:tc>
          <w:tcPr>
            <w:tcW w:w="3687" w:type="pct"/>
            <w:vAlign w:val="center"/>
          </w:tcPr>
          <w:p w14:paraId="6C6388B5">
            <w:pPr>
              <w:pStyle w:val="11"/>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东经122°16'34.55"，北纬46°11'5.14"</w:t>
            </w:r>
          </w:p>
        </w:tc>
      </w:tr>
      <w:tr w14:paraId="68D3E11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1" w:hRule="atLeast"/>
          <w:jc w:val="center"/>
        </w:trPr>
        <w:tc>
          <w:tcPr>
            <w:tcW w:w="1313" w:type="pct"/>
            <w:vAlign w:val="center"/>
          </w:tcPr>
          <w:p w14:paraId="6FAED05C">
            <w:pPr>
              <w:pStyle w:val="11"/>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厂址西场界</w:t>
            </w:r>
          </w:p>
        </w:tc>
        <w:tc>
          <w:tcPr>
            <w:tcW w:w="3687" w:type="pct"/>
            <w:vAlign w:val="center"/>
          </w:tcPr>
          <w:p w14:paraId="6A43996D">
            <w:pPr>
              <w:pStyle w:val="11"/>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东经122°16'23.02"，北纬46°11'10.02"</w:t>
            </w:r>
          </w:p>
        </w:tc>
      </w:tr>
      <w:tr w14:paraId="6C14A33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5" w:hRule="atLeast"/>
          <w:jc w:val="center"/>
        </w:trPr>
        <w:tc>
          <w:tcPr>
            <w:tcW w:w="1313" w:type="pct"/>
            <w:vAlign w:val="center"/>
          </w:tcPr>
          <w:p w14:paraId="5321C343">
            <w:pPr>
              <w:pStyle w:val="11"/>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厂址北场界</w:t>
            </w:r>
          </w:p>
        </w:tc>
        <w:tc>
          <w:tcPr>
            <w:tcW w:w="3687" w:type="pct"/>
            <w:vAlign w:val="center"/>
          </w:tcPr>
          <w:p w14:paraId="5DA5B0ED">
            <w:pPr>
              <w:pStyle w:val="11"/>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东经122°16'35.20"，北纬46°11'17.51"</w:t>
            </w:r>
          </w:p>
        </w:tc>
      </w:tr>
    </w:tbl>
    <w:p w14:paraId="114EEF38">
      <w:pPr>
        <w:pStyle w:val="11"/>
        <w:keepNext w:val="0"/>
        <w:keepLines w:val="0"/>
        <w:pageBreakBefore w:val="0"/>
        <w:widowControl w:val="0"/>
        <w:kinsoku/>
        <w:wordWrap/>
        <w:overflowPunct/>
        <w:topLinePunct w:val="0"/>
        <w:autoSpaceDE/>
        <w:autoSpaceDN/>
        <w:bidi w:val="0"/>
        <w:adjustRightInd/>
        <w:snapToGrid/>
        <w:ind w:firstLine="456"/>
        <w:textAlignment w:val="auto"/>
        <w:outlineLvl w:val="9"/>
        <w:rPr>
          <w:rFonts w:hint="default" w:ascii="Times New Roman" w:hAnsi="Times New Roman" w:eastAsia="宋体" w:cs="Times New Roman"/>
          <w:color w:val="000000" w:themeColor="text1"/>
          <w:spacing w:val="-6"/>
          <w:lang w:eastAsia="zh-CN"/>
          <w14:textFill>
            <w14:solidFill>
              <w14:schemeClr w14:val="tx1"/>
            </w14:solidFill>
          </w14:textFill>
        </w:rPr>
      </w:pPr>
      <w:bookmarkStart w:id="214" w:name="_Toc15026"/>
      <w:bookmarkStart w:id="215" w:name="_Toc18849"/>
      <w:r>
        <w:rPr>
          <w:rFonts w:hint="default" w:ascii="Times New Roman" w:hAnsi="Times New Roman" w:eastAsia="宋体" w:cs="Times New Roman"/>
          <w:color w:val="000000" w:themeColor="text1"/>
          <w:spacing w:val="-6"/>
          <w:lang w:eastAsia="zh-CN"/>
          <w14:textFill>
            <w14:solidFill>
              <w14:schemeClr w14:val="tx1"/>
            </w14:solidFill>
          </w14:textFill>
        </w:rPr>
        <w:t>（3）检测时间及频次</w:t>
      </w:r>
      <w:bookmarkEnd w:id="214"/>
      <w:bookmarkEnd w:id="215"/>
    </w:p>
    <w:p w14:paraId="6086D2E9">
      <w:pPr>
        <w:pStyle w:val="11"/>
        <w:keepNext w:val="0"/>
        <w:keepLines w:val="0"/>
        <w:pageBreakBefore w:val="0"/>
        <w:widowControl w:val="0"/>
        <w:kinsoku/>
        <w:wordWrap/>
        <w:overflowPunct/>
        <w:topLinePunct w:val="0"/>
        <w:autoSpaceDE/>
        <w:autoSpaceDN/>
        <w:bidi w:val="0"/>
        <w:adjustRightInd/>
        <w:snapToGrid/>
        <w:ind w:firstLine="456"/>
        <w:textAlignment w:val="auto"/>
        <w:outlineLvl w:val="9"/>
        <w:rPr>
          <w:rFonts w:hint="default" w:ascii="Times New Roman" w:hAnsi="Times New Roman" w:eastAsia="宋体" w:cs="Times New Roman"/>
          <w:color w:val="000000" w:themeColor="text1"/>
          <w:spacing w:val="-6"/>
          <w:lang w:eastAsia="zh-CN"/>
          <w14:textFill>
            <w14:solidFill>
              <w14:schemeClr w14:val="tx1"/>
            </w14:solidFill>
          </w14:textFill>
        </w:rPr>
      </w:pPr>
      <w:r>
        <w:rPr>
          <w:rFonts w:hint="default" w:ascii="Times New Roman" w:hAnsi="Times New Roman" w:eastAsia="宋体" w:cs="Times New Roman"/>
          <w:color w:val="000000" w:themeColor="text1"/>
          <w:spacing w:val="-6"/>
          <w:lang w:eastAsia="zh-CN"/>
          <w14:textFill>
            <w14:solidFill>
              <w14:schemeClr w14:val="tx1"/>
            </w14:solidFill>
          </w14:textFill>
        </w:rPr>
        <w:t>噪声检测时间为2023年8月13日-14日，昼、夜各检测1次。</w:t>
      </w:r>
    </w:p>
    <w:p w14:paraId="1FF85788">
      <w:pPr>
        <w:pStyle w:val="11"/>
        <w:keepNext w:val="0"/>
        <w:keepLines w:val="0"/>
        <w:pageBreakBefore w:val="0"/>
        <w:widowControl w:val="0"/>
        <w:kinsoku/>
        <w:wordWrap/>
        <w:overflowPunct/>
        <w:topLinePunct w:val="0"/>
        <w:autoSpaceDE/>
        <w:autoSpaceDN/>
        <w:bidi w:val="0"/>
        <w:adjustRightInd/>
        <w:snapToGrid/>
        <w:ind w:firstLine="456"/>
        <w:textAlignment w:val="auto"/>
        <w:outlineLvl w:val="9"/>
        <w:rPr>
          <w:rFonts w:hint="default" w:ascii="Times New Roman" w:hAnsi="Times New Roman" w:eastAsia="宋体" w:cs="Times New Roman"/>
          <w:color w:val="000000" w:themeColor="text1"/>
          <w:spacing w:val="-6"/>
          <w:lang w:eastAsia="zh-CN"/>
          <w14:textFill>
            <w14:solidFill>
              <w14:schemeClr w14:val="tx1"/>
            </w14:solidFill>
          </w14:textFill>
        </w:rPr>
      </w:pPr>
      <w:bookmarkStart w:id="216" w:name="_Toc23689"/>
      <w:bookmarkStart w:id="217" w:name="_Toc2908"/>
      <w:r>
        <w:rPr>
          <w:rFonts w:hint="default" w:ascii="Times New Roman" w:hAnsi="Times New Roman" w:eastAsia="宋体" w:cs="Times New Roman"/>
          <w:color w:val="000000" w:themeColor="text1"/>
          <w:spacing w:val="-6"/>
          <w:lang w:eastAsia="zh-CN"/>
          <w14:textFill>
            <w14:solidFill>
              <w14:schemeClr w14:val="tx1"/>
            </w14:solidFill>
          </w14:textFill>
        </w:rPr>
        <w:t>（4）分析仪器及方法</w:t>
      </w:r>
      <w:bookmarkEnd w:id="216"/>
      <w:bookmarkEnd w:id="217"/>
    </w:p>
    <w:p w14:paraId="4D723ADD">
      <w:pPr>
        <w:pStyle w:val="11"/>
        <w:keepNext w:val="0"/>
        <w:keepLines w:val="0"/>
        <w:pageBreakBefore w:val="0"/>
        <w:widowControl w:val="0"/>
        <w:kinsoku/>
        <w:wordWrap/>
        <w:overflowPunct/>
        <w:topLinePunct w:val="0"/>
        <w:autoSpaceDE/>
        <w:autoSpaceDN/>
        <w:bidi w:val="0"/>
        <w:adjustRightInd/>
        <w:snapToGrid/>
        <w:ind w:firstLine="456"/>
        <w:textAlignment w:val="auto"/>
        <w:outlineLvl w:val="9"/>
        <w:rPr>
          <w:rFonts w:hint="default" w:ascii="Times New Roman" w:hAnsi="Times New Roman" w:eastAsia="宋体" w:cs="Times New Roman"/>
          <w:color w:val="000000" w:themeColor="text1"/>
          <w:spacing w:val="-6"/>
          <w:lang w:eastAsia="zh-CN"/>
          <w14:textFill>
            <w14:solidFill>
              <w14:schemeClr w14:val="tx1"/>
            </w14:solidFill>
          </w14:textFill>
        </w:rPr>
      </w:pPr>
      <w:r>
        <w:rPr>
          <w:rFonts w:hint="default" w:ascii="Times New Roman" w:hAnsi="Times New Roman" w:eastAsia="宋体" w:cs="Times New Roman"/>
          <w:color w:val="000000" w:themeColor="text1"/>
          <w:spacing w:val="-6"/>
          <w:lang w:eastAsia="zh-CN"/>
          <w14:textFill>
            <w14:solidFill>
              <w14:schemeClr w14:val="tx1"/>
            </w14:solidFill>
          </w14:textFill>
        </w:rPr>
        <w:t>分析仪器及方法见表4.2-19。</w:t>
      </w:r>
    </w:p>
    <w:p w14:paraId="2A5ABFCD">
      <w:pPr>
        <w:pStyle w:val="11"/>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9"/>
        <w:rPr>
          <w:rFonts w:hint="default" w:ascii="Times New Roman" w:hAnsi="Times New Roman" w:eastAsia="宋体" w:cs="Times New Roman"/>
          <w:b/>
          <w:bCs/>
          <w:color w:val="000000" w:themeColor="text1"/>
          <w:spacing w:val="-6"/>
          <w:lang w:eastAsia="zh-CN"/>
          <w14:textFill>
            <w14:solidFill>
              <w14:schemeClr w14:val="tx1"/>
            </w14:solidFill>
          </w14:textFill>
        </w:rPr>
      </w:pPr>
      <w:r>
        <w:rPr>
          <w:rFonts w:hint="default" w:ascii="Times New Roman" w:hAnsi="Times New Roman" w:eastAsia="宋体" w:cs="Times New Roman"/>
          <w:b/>
          <w:bCs/>
          <w:color w:val="000000" w:themeColor="text1"/>
          <w:spacing w:val="-6"/>
          <w:lang w:eastAsia="zh-CN"/>
          <w14:textFill>
            <w14:solidFill>
              <w14:schemeClr w14:val="tx1"/>
            </w14:solidFill>
          </w14:textFill>
        </w:rPr>
        <w:t>表4.2-19分析仪器及方法一览表</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28"/>
        <w:gridCol w:w="1027"/>
        <w:gridCol w:w="4172"/>
        <w:gridCol w:w="2479"/>
      </w:tblGrid>
      <w:tr w14:paraId="5EA61E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30" w:type="pct"/>
            <w:vAlign w:val="center"/>
          </w:tcPr>
          <w:p w14:paraId="0858A87F">
            <w:pPr>
              <w:pStyle w:val="11"/>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检测项目</w:t>
            </w:r>
          </w:p>
        </w:tc>
        <w:tc>
          <w:tcPr>
            <w:tcW w:w="558" w:type="pct"/>
            <w:vAlign w:val="center"/>
          </w:tcPr>
          <w:p w14:paraId="5FF515BA">
            <w:pPr>
              <w:pStyle w:val="11"/>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检出限</w:t>
            </w:r>
          </w:p>
        </w:tc>
        <w:tc>
          <w:tcPr>
            <w:tcW w:w="2266" w:type="pct"/>
            <w:vAlign w:val="center"/>
          </w:tcPr>
          <w:p w14:paraId="19958852">
            <w:pPr>
              <w:pStyle w:val="11"/>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检测</w:t>
            </w:r>
            <w:r>
              <w:rPr>
                <w:rFonts w:hint="default" w:ascii="Times New Roman" w:hAnsi="Times New Roman" w:eastAsia="宋体" w:cs="Times New Roman"/>
                <w:color w:val="000000" w:themeColor="text1"/>
                <w:spacing w:val="-6"/>
                <w:sz w:val="21"/>
                <w:szCs w:val="21"/>
                <w:lang w:val="zh-TW" w:eastAsia="zh-CN"/>
                <w14:textFill>
                  <w14:solidFill>
                    <w14:schemeClr w14:val="tx1"/>
                  </w14:solidFill>
                </w14:textFill>
              </w:rPr>
              <w:t>标准（方法）</w:t>
            </w:r>
          </w:p>
        </w:tc>
        <w:tc>
          <w:tcPr>
            <w:tcW w:w="1346" w:type="pct"/>
            <w:vAlign w:val="center"/>
          </w:tcPr>
          <w:p w14:paraId="377C8FC6">
            <w:pPr>
              <w:pStyle w:val="11"/>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主要检测仪器及编号</w:t>
            </w:r>
          </w:p>
        </w:tc>
      </w:tr>
      <w:tr w14:paraId="614AE6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830" w:type="pct"/>
            <w:vMerge w:val="restart"/>
            <w:vAlign w:val="center"/>
          </w:tcPr>
          <w:p w14:paraId="28AD1700">
            <w:pPr>
              <w:pStyle w:val="11"/>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厂界</w:t>
            </w:r>
            <w:r>
              <w:rPr>
                <w:rFonts w:hint="default" w:ascii="Times New Roman" w:hAnsi="Times New Roman" w:eastAsia="宋体" w:cs="Times New Roman"/>
                <w:color w:val="000000" w:themeColor="text1"/>
                <w:spacing w:val="-6"/>
                <w:sz w:val="21"/>
                <w:szCs w:val="21"/>
                <w:lang w:val="zh-TW" w:eastAsia="zh-CN"/>
                <w14:textFill>
                  <w14:solidFill>
                    <w14:schemeClr w14:val="tx1"/>
                  </w14:solidFill>
                </w14:textFill>
              </w:rPr>
              <w:t>噪声</w:t>
            </w:r>
          </w:p>
        </w:tc>
        <w:tc>
          <w:tcPr>
            <w:tcW w:w="558" w:type="pct"/>
            <w:vMerge w:val="restart"/>
            <w:vAlign w:val="center"/>
          </w:tcPr>
          <w:p w14:paraId="339A0FE2">
            <w:pPr>
              <w:pStyle w:val="11"/>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9"/>
              <w:rPr>
                <w:rFonts w:hint="default" w:ascii="Times New Roman" w:hAnsi="Times New Roman" w:eastAsia="宋体" w:cs="Times New Roman"/>
                <w:color w:val="000000" w:themeColor="text1"/>
                <w:spacing w:val="-6"/>
                <w:sz w:val="21"/>
                <w:szCs w:val="21"/>
                <w:lang w:val="zh-TW"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w:t>
            </w:r>
          </w:p>
        </w:tc>
        <w:tc>
          <w:tcPr>
            <w:tcW w:w="2266" w:type="pct"/>
            <w:vAlign w:val="center"/>
          </w:tcPr>
          <w:p w14:paraId="42855D03">
            <w:pPr>
              <w:pStyle w:val="11"/>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《环境噪声监测技术规范噪声测量值修正》/HJ706-2014</w:t>
            </w:r>
          </w:p>
        </w:tc>
        <w:tc>
          <w:tcPr>
            <w:tcW w:w="1346" w:type="pct"/>
            <w:vMerge w:val="restart"/>
            <w:vAlign w:val="center"/>
          </w:tcPr>
          <w:p w14:paraId="370D386B">
            <w:pPr>
              <w:pStyle w:val="11"/>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多功能声级计</w:t>
            </w:r>
          </w:p>
          <w:p w14:paraId="21212581">
            <w:pPr>
              <w:pStyle w:val="11"/>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AWA5688、YQ-029</w:t>
            </w:r>
          </w:p>
          <w:p w14:paraId="4E1A7108">
            <w:pPr>
              <w:pStyle w:val="11"/>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声校准器</w:t>
            </w:r>
          </w:p>
          <w:p w14:paraId="0B788E2D">
            <w:pPr>
              <w:pStyle w:val="11"/>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AWA6022A、YQ-039</w:t>
            </w:r>
          </w:p>
        </w:tc>
      </w:tr>
      <w:tr w14:paraId="4BB13C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830" w:type="pct"/>
            <w:vMerge w:val="continue"/>
            <w:vAlign w:val="center"/>
          </w:tcPr>
          <w:p w14:paraId="1B49376E">
            <w:pPr>
              <w:pStyle w:val="11"/>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p>
        </w:tc>
        <w:tc>
          <w:tcPr>
            <w:tcW w:w="558" w:type="pct"/>
            <w:vMerge w:val="continue"/>
            <w:vAlign w:val="center"/>
          </w:tcPr>
          <w:p w14:paraId="0D3DA644">
            <w:pPr>
              <w:pStyle w:val="11"/>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p>
        </w:tc>
        <w:tc>
          <w:tcPr>
            <w:tcW w:w="2266" w:type="pct"/>
            <w:vAlign w:val="center"/>
          </w:tcPr>
          <w:p w14:paraId="22E3A1A3">
            <w:pPr>
              <w:pStyle w:val="11"/>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《工业企业厂界环境噪声排放标准》/GB12348-2008</w:t>
            </w:r>
          </w:p>
        </w:tc>
        <w:tc>
          <w:tcPr>
            <w:tcW w:w="1346" w:type="pct"/>
            <w:vMerge w:val="continue"/>
            <w:vAlign w:val="center"/>
          </w:tcPr>
          <w:p w14:paraId="18171CB9">
            <w:pPr>
              <w:pStyle w:val="11"/>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p>
        </w:tc>
      </w:tr>
    </w:tbl>
    <w:p w14:paraId="1C1E6670">
      <w:pPr>
        <w:pStyle w:val="11"/>
        <w:keepNext w:val="0"/>
        <w:keepLines w:val="0"/>
        <w:pageBreakBefore w:val="0"/>
        <w:widowControl w:val="0"/>
        <w:kinsoku/>
        <w:wordWrap/>
        <w:overflowPunct/>
        <w:topLinePunct w:val="0"/>
        <w:autoSpaceDE/>
        <w:autoSpaceDN/>
        <w:bidi w:val="0"/>
        <w:adjustRightInd/>
        <w:snapToGrid/>
        <w:ind w:firstLine="456"/>
        <w:textAlignment w:val="auto"/>
        <w:outlineLvl w:val="9"/>
        <w:rPr>
          <w:rFonts w:hint="default" w:ascii="Times New Roman" w:hAnsi="Times New Roman" w:eastAsia="宋体" w:cs="Times New Roman"/>
          <w:color w:val="000000" w:themeColor="text1"/>
          <w:spacing w:val="-6"/>
          <w:lang w:eastAsia="zh-CN"/>
          <w14:textFill>
            <w14:solidFill>
              <w14:schemeClr w14:val="tx1"/>
            </w14:solidFill>
          </w14:textFill>
        </w:rPr>
      </w:pPr>
      <w:bookmarkStart w:id="218" w:name="_Toc636"/>
      <w:bookmarkStart w:id="219" w:name="_Toc32753"/>
      <w:r>
        <w:rPr>
          <w:rFonts w:hint="default" w:ascii="Times New Roman" w:hAnsi="Times New Roman" w:eastAsia="宋体" w:cs="Times New Roman"/>
          <w:color w:val="000000" w:themeColor="text1"/>
          <w:spacing w:val="-6"/>
          <w:lang w:eastAsia="zh-CN"/>
          <w14:textFill>
            <w14:solidFill>
              <w14:schemeClr w14:val="tx1"/>
            </w14:solidFill>
          </w14:textFill>
        </w:rPr>
        <w:t>（5）执行标准</w:t>
      </w:r>
      <w:bookmarkEnd w:id="218"/>
      <w:bookmarkEnd w:id="219"/>
    </w:p>
    <w:p w14:paraId="598026AC">
      <w:pPr>
        <w:pStyle w:val="11"/>
        <w:keepNext w:val="0"/>
        <w:keepLines w:val="0"/>
        <w:pageBreakBefore w:val="0"/>
        <w:widowControl w:val="0"/>
        <w:kinsoku/>
        <w:wordWrap/>
        <w:overflowPunct/>
        <w:topLinePunct w:val="0"/>
        <w:autoSpaceDE/>
        <w:autoSpaceDN/>
        <w:bidi w:val="0"/>
        <w:adjustRightInd/>
        <w:snapToGrid/>
        <w:ind w:firstLine="456"/>
        <w:textAlignment w:val="auto"/>
        <w:outlineLvl w:val="9"/>
        <w:rPr>
          <w:rFonts w:hint="default" w:ascii="Times New Roman" w:hAnsi="Times New Roman" w:eastAsia="宋体" w:cs="Times New Roman"/>
          <w:color w:val="000000" w:themeColor="text1"/>
          <w:spacing w:val="-6"/>
          <w:lang w:eastAsia="zh-CN"/>
          <w14:textFill>
            <w14:solidFill>
              <w14:schemeClr w14:val="tx1"/>
            </w14:solidFill>
          </w14:textFill>
        </w:rPr>
      </w:pPr>
      <w:r>
        <w:rPr>
          <w:rFonts w:hint="default" w:ascii="Times New Roman" w:hAnsi="Times New Roman" w:eastAsia="宋体" w:cs="Times New Roman"/>
          <w:color w:val="000000" w:themeColor="text1"/>
          <w:spacing w:val="-6"/>
          <w:lang w:eastAsia="zh-CN"/>
          <w14:textFill>
            <w14:solidFill>
              <w14:schemeClr w14:val="tx1"/>
            </w14:solidFill>
          </w14:textFill>
        </w:rPr>
        <w:t>执行《声环境质量标准》（GB3096-2008）</w:t>
      </w:r>
      <w:r>
        <w:rPr>
          <w:rFonts w:hint="default" w:ascii="Times New Roman" w:hAnsi="Times New Roman" w:eastAsia="宋体" w:cs="Times New Roman"/>
          <w:color w:val="000000" w:themeColor="text1"/>
          <w:spacing w:val="-6"/>
          <w:lang w:val="en-US" w:eastAsia="zh-CN"/>
          <w14:textFill>
            <w14:solidFill>
              <w14:schemeClr w14:val="tx1"/>
            </w14:solidFill>
          </w14:textFill>
        </w:rPr>
        <w:t>2</w:t>
      </w:r>
      <w:r>
        <w:rPr>
          <w:rFonts w:hint="default" w:ascii="Times New Roman" w:hAnsi="Times New Roman" w:eastAsia="宋体" w:cs="Times New Roman"/>
          <w:color w:val="000000" w:themeColor="text1"/>
          <w:spacing w:val="-6"/>
          <w:lang w:eastAsia="zh-CN"/>
          <w14:textFill>
            <w14:solidFill>
              <w14:schemeClr w14:val="tx1"/>
            </w14:solidFill>
          </w14:textFill>
        </w:rPr>
        <w:t>类声环境功能区标准。</w:t>
      </w:r>
    </w:p>
    <w:p w14:paraId="4BE0F413">
      <w:pPr>
        <w:pStyle w:val="11"/>
        <w:keepNext w:val="0"/>
        <w:keepLines w:val="0"/>
        <w:pageBreakBefore w:val="0"/>
        <w:widowControl w:val="0"/>
        <w:kinsoku/>
        <w:wordWrap/>
        <w:overflowPunct/>
        <w:topLinePunct w:val="0"/>
        <w:autoSpaceDE/>
        <w:autoSpaceDN/>
        <w:bidi w:val="0"/>
        <w:adjustRightInd/>
        <w:snapToGrid/>
        <w:ind w:firstLine="456"/>
        <w:textAlignment w:val="auto"/>
        <w:outlineLvl w:val="9"/>
        <w:rPr>
          <w:rFonts w:hint="default" w:ascii="Times New Roman" w:hAnsi="Times New Roman" w:eastAsia="宋体" w:cs="Times New Roman"/>
          <w:color w:val="000000" w:themeColor="text1"/>
          <w:spacing w:val="-6"/>
          <w:lang w:eastAsia="zh-CN"/>
          <w14:textFill>
            <w14:solidFill>
              <w14:schemeClr w14:val="tx1"/>
            </w14:solidFill>
          </w14:textFill>
        </w:rPr>
      </w:pPr>
      <w:bookmarkStart w:id="220" w:name="_Toc28691"/>
      <w:bookmarkStart w:id="221" w:name="_Toc7338"/>
      <w:r>
        <w:rPr>
          <w:rFonts w:hint="default" w:ascii="Times New Roman" w:hAnsi="Times New Roman" w:eastAsia="宋体" w:cs="Times New Roman"/>
          <w:color w:val="000000" w:themeColor="text1"/>
          <w:spacing w:val="-6"/>
          <w:lang w:eastAsia="zh-CN"/>
          <w14:textFill>
            <w14:solidFill>
              <w14:schemeClr w14:val="tx1"/>
            </w14:solidFill>
          </w14:textFill>
        </w:rPr>
        <w:t>（6）检测结果</w:t>
      </w:r>
      <w:bookmarkEnd w:id="220"/>
      <w:bookmarkEnd w:id="221"/>
    </w:p>
    <w:p w14:paraId="5B01C6ED">
      <w:pPr>
        <w:pStyle w:val="11"/>
        <w:keepNext w:val="0"/>
        <w:keepLines w:val="0"/>
        <w:pageBreakBefore w:val="0"/>
        <w:widowControl w:val="0"/>
        <w:kinsoku/>
        <w:wordWrap/>
        <w:overflowPunct/>
        <w:topLinePunct w:val="0"/>
        <w:autoSpaceDE/>
        <w:autoSpaceDN/>
        <w:bidi w:val="0"/>
        <w:adjustRightInd/>
        <w:snapToGrid/>
        <w:ind w:firstLine="456"/>
        <w:textAlignment w:val="auto"/>
        <w:outlineLvl w:val="9"/>
        <w:rPr>
          <w:rFonts w:hint="default" w:ascii="Times New Roman" w:hAnsi="Times New Roman" w:eastAsia="宋体" w:cs="Times New Roman"/>
          <w:color w:val="000000" w:themeColor="text1"/>
          <w:spacing w:val="-6"/>
          <w:lang w:eastAsia="zh-CN"/>
          <w14:textFill>
            <w14:solidFill>
              <w14:schemeClr w14:val="tx1"/>
            </w14:solidFill>
          </w14:textFill>
        </w:rPr>
      </w:pPr>
      <w:r>
        <w:rPr>
          <w:rFonts w:hint="default" w:ascii="Times New Roman" w:hAnsi="Times New Roman" w:eastAsia="宋体" w:cs="Times New Roman"/>
          <w:color w:val="000000" w:themeColor="text1"/>
          <w:spacing w:val="-6"/>
          <w:lang w:eastAsia="zh-CN"/>
          <w14:textFill>
            <w14:solidFill>
              <w14:schemeClr w14:val="tx1"/>
            </w14:solidFill>
          </w14:textFill>
        </w:rPr>
        <w:t>噪声检测结果见表4.2-20。</w:t>
      </w:r>
    </w:p>
    <w:p w14:paraId="27F91628">
      <w:pPr>
        <w:pStyle w:val="11"/>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9"/>
        <w:rPr>
          <w:rFonts w:hint="default" w:ascii="Times New Roman" w:hAnsi="Times New Roman" w:eastAsia="宋体" w:cs="Times New Roman"/>
          <w:b/>
          <w:bCs/>
          <w:color w:val="000000" w:themeColor="text1"/>
          <w:spacing w:val="-6"/>
          <w14:textFill>
            <w14:solidFill>
              <w14:schemeClr w14:val="tx1"/>
            </w14:solidFill>
          </w14:textFill>
        </w:rPr>
      </w:pPr>
      <w:r>
        <w:rPr>
          <w:rFonts w:hint="default" w:ascii="Times New Roman" w:hAnsi="Times New Roman" w:eastAsia="宋体" w:cs="Times New Roman"/>
          <w:b/>
          <w:bCs/>
          <w:color w:val="000000" w:themeColor="text1"/>
          <w:spacing w:val="-6"/>
          <w14:textFill>
            <w14:solidFill>
              <w14:schemeClr w14:val="tx1"/>
            </w14:solidFill>
          </w14:textFill>
        </w:rPr>
        <w:t>表</w:t>
      </w:r>
      <w:r>
        <w:rPr>
          <w:rFonts w:hint="default" w:ascii="Times New Roman" w:hAnsi="Times New Roman" w:eastAsia="宋体" w:cs="Times New Roman"/>
          <w:b/>
          <w:bCs/>
          <w:color w:val="000000" w:themeColor="text1"/>
          <w:spacing w:val="-6"/>
          <w:lang w:eastAsia="zh-CN"/>
          <w14:textFill>
            <w14:solidFill>
              <w14:schemeClr w14:val="tx1"/>
            </w14:solidFill>
          </w14:textFill>
        </w:rPr>
        <w:t>4.2-20</w:t>
      </w:r>
      <w:r>
        <w:rPr>
          <w:rFonts w:hint="default" w:ascii="Times New Roman" w:hAnsi="Times New Roman" w:eastAsia="宋体" w:cs="Times New Roman"/>
          <w:b/>
          <w:bCs/>
          <w:color w:val="000000" w:themeColor="text1"/>
          <w:spacing w:val="-6"/>
          <w14:textFill>
            <w14:solidFill>
              <w14:schemeClr w14:val="tx1"/>
            </w14:solidFill>
          </w14:textFill>
        </w:rPr>
        <w:t>噪声检测结果表</w:t>
      </w:r>
    </w:p>
    <w:tbl>
      <w:tblPr>
        <w:tblStyle w:val="29"/>
        <w:tblW w:w="944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60"/>
        <w:gridCol w:w="986"/>
        <w:gridCol w:w="1113"/>
        <w:gridCol w:w="1113"/>
        <w:gridCol w:w="1113"/>
        <w:gridCol w:w="1119"/>
        <w:gridCol w:w="1370"/>
        <w:gridCol w:w="1370"/>
      </w:tblGrid>
      <w:tr w14:paraId="14B411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33" w:hRule="atLeast"/>
          <w:jc w:val="center"/>
        </w:trPr>
        <w:tc>
          <w:tcPr>
            <w:tcW w:w="2246" w:type="dxa"/>
            <w:gridSpan w:val="2"/>
            <w:vMerge w:val="restart"/>
            <w:vAlign w:val="center"/>
          </w:tcPr>
          <w:p w14:paraId="5F6DC853">
            <w:pPr>
              <w:pStyle w:val="11"/>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9"/>
              <w:rPr>
                <w:rFonts w:hint="default" w:ascii="Times New Roman" w:hAnsi="Times New Roman" w:eastAsia="宋体" w:cs="Times New Roman"/>
                <w:b/>
                <w:bCs/>
                <w:color w:val="000000" w:themeColor="text1"/>
                <w:spacing w:val="-6"/>
                <w:sz w:val="21"/>
                <w:szCs w:val="21"/>
                <w14:textFill>
                  <w14:solidFill>
                    <w14:schemeClr w14:val="tx1"/>
                  </w14:solidFill>
                </w14:textFill>
              </w:rPr>
            </w:pPr>
            <w:r>
              <w:rPr>
                <w:rFonts w:hint="default" w:ascii="Times New Roman" w:hAnsi="Times New Roman" w:eastAsia="宋体" w:cs="Times New Roman"/>
                <w:b/>
                <w:bCs/>
                <w:color w:val="000000" w:themeColor="text1"/>
                <w:spacing w:val="-6"/>
                <w:sz w:val="21"/>
                <w:szCs w:val="21"/>
                <w14:textFill>
                  <w14:solidFill>
                    <w14:schemeClr w14:val="tx1"/>
                  </w14:solidFill>
                </w14:textFill>
              </w:rPr>
              <w:t>检测时间</w:t>
            </w:r>
          </w:p>
        </w:tc>
        <w:tc>
          <w:tcPr>
            <w:tcW w:w="4458" w:type="dxa"/>
            <w:gridSpan w:val="4"/>
            <w:vAlign w:val="center"/>
          </w:tcPr>
          <w:p w14:paraId="7F4277E7">
            <w:pPr>
              <w:pStyle w:val="11"/>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9"/>
              <w:rPr>
                <w:rFonts w:hint="eastAsia" w:ascii="Times New Roman" w:hAnsi="Times New Roman" w:eastAsia="宋体" w:cs="Times New Roman"/>
                <w:b/>
                <w:bCs/>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b/>
                <w:bCs/>
                <w:color w:val="000000" w:themeColor="text1"/>
                <w:spacing w:val="-6"/>
                <w:sz w:val="21"/>
                <w:szCs w:val="21"/>
                <w14:textFill>
                  <w14:solidFill>
                    <w14:schemeClr w14:val="tx1"/>
                  </w14:solidFill>
                </w14:textFill>
              </w:rPr>
              <w:t>检测结果dB</w:t>
            </w:r>
            <w:r>
              <w:rPr>
                <w:rFonts w:hint="eastAsia" w:ascii="Times New Roman" w:hAnsi="Times New Roman" w:cs="Times New Roman"/>
                <w:b/>
                <w:bCs/>
                <w:color w:val="000000" w:themeColor="text1"/>
                <w:spacing w:val="-6"/>
                <w:sz w:val="21"/>
                <w:szCs w:val="21"/>
                <w:lang w:eastAsia="zh-CN"/>
                <w14:textFill>
                  <w14:solidFill>
                    <w14:schemeClr w14:val="tx1"/>
                  </w14:solidFill>
                </w14:textFill>
              </w:rPr>
              <w:t>（</w:t>
            </w:r>
            <w:r>
              <w:rPr>
                <w:rFonts w:hint="default" w:ascii="Times New Roman" w:hAnsi="Times New Roman" w:eastAsia="宋体" w:cs="Times New Roman"/>
                <w:b/>
                <w:bCs/>
                <w:color w:val="000000" w:themeColor="text1"/>
                <w:spacing w:val="-6"/>
                <w:sz w:val="21"/>
                <w:szCs w:val="21"/>
                <w14:textFill>
                  <w14:solidFill>
                    <w14:schemeClr w14:val="tx1"/>
                  </w14:solidFill>
                </w14:textFill>
              </w:rPr>
              <w:t>A</w:t>
            </w:r>
            <w:r>
              <w:rPr>
                <w:rFonts w:hint="eastAsia" w:ascii="Times New Roman" w:hAnsi="Times New Roman" w:cs="Times New Roman"/>
                <w:b/>
                <w:bCs/>
                <w:color w:val="000000" w:themeColor="text1"/>
                <w:spacing w:val="-6"/>
                <w:sz w:val="21"/>
                <w:szCs w:val="21"/>
                <w:lang w:eastAsia="zh-CN"/>
                <w14:textFill>
                  <w14:solidFill>
                    <w14:schemeClr w14:val="tx1"/>
                  </w14:solidFill>
                </w14:textFill>
              </w:rPr>
              <w:t>）</w:t>
            </w:r>
          </w:p>
        </w:tc>
        <w:tc>
          <w:tcPr>
            <w:tcW w:w="1370" w:type="dxa"/>
            <w:vMerge w:val="restart"/>
            <w:vAlign w:val="center"/>
          </w:tcPr>
          <w:p w14:paraId="6FDF8892">
            <w:pPr>
              <w:pStyle w:val="11"/>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9"/>
              <w:rPr>
                <w:rFonts w:hint="default" w:ascii="Times New Roman" w:hAnsi="Times New Roman" w:eastAsia="宋体" w:cs="Times New Roman"/>
                <w:b/>
                <w:bCs/>
                <w:color w:val="000000" w:themeColor="text1"/>
                <w:spacing w:val="-6"/>
                <w:sz w:val="21"/>
                <w:szCs w:val="21"/>
                <w14:textFill>
                  <w14:solidFill>
                    <w14:schemeClr w14:val="tx1"/>
                  </w14:solidFill>
                </w14:textFill>
              </w:rPr>
            </w:pPr>
            <w:r>
              <w:rPr>
                <w:rFonts w:hint="default" w:ascii="Times New Roman" w:hAnsi="Times New Roman" w:eastAsia="宋体" w:cs="Times New Roman"/>
                <w:b/>
                <w:bCs/>
                <w:color w:val="000000" w:themeColor="text1"/>
                <w:spacing w:val="-6"/>
                <w:sz w:val="21"/>
                <w:szCs w:val="21"/>
                <w14:textFill>
                  <w14:solidFill>
                    <w14:schemeClr w14:val="tx1"/>
                  </w14:solidFill>
                </w14:textFill>
              </w:rPr>
              <w:t>标准限值</w:t>
            </w:r>
          </w:p>
        </w:tc>
        <w:tc>
          <w:tcPr>
            <w:tcW w:w="1370" w:type="dxa"/>
            <w:vMerge w:val="restart"/>
            <w:vAlign w:val="center"/>
          </w:tcPr>
          <w:p w14:paraId="0F0F97E2">
            <w:pPr>
              <w:pStyle w:val="11"/>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9"/>
              <w:rPr>
                <w:rFonts w:hint="default" w:ascii="Times New Roman" w:hAnsi="Times New Roman" w:eastAsia="宋体" w:cs="Times New Roman"/>
                <w:b/>
                <w:bCs/>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b/>
                <w:bCs/>
                <w:color w:val="000000" w:themeColor="text1"/>
                <w:spacing w:val="-6"/>
                <w:sz w:val="21"/>
                <w:szCs w:val="21"/>
                <w:lang w:eastAsia="zh-CN"/>
                <w14:textFill>
                  <w14:solidFill>
                    <w14:schemeClr w14:val="tx1"/>
                  </w14:solidFill>
                </w14:textFill>
              </w:rPr>
              <w:t>达标分析</w:t>
            </w:r>
          </w:p>
        </w:tc>
      </w:tr>
      <w:tr w14:paraId="678E44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85" w:hRule="atLeast"/>
          <w:jc w:val="center"/>
        </w:trPr>
        <w:tc>
          <w:tcPr>
            <w:tcW w:w="2246" w:type="dxa"/>
            <w:gridSpan w:val="2"/>
            <w:vMerge w:val="continue"/>
            <w:vAlign w:val="center"/>
          </w:tcPr>
          <w:p w14:paraId="0E49B43F">
            <w:pPr>
              <w:pStyle w:val="11"/>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p>
        </w:tc>
        <w:tc>
          <w:tcPr>
            <w:tcW w:w="1113" w:type="dxa"/>
            <w:vAlign w:val="center"/>
          </w:tcPr>
          <w:p w14:paraId="75EEC9E4">
            <w:pPr>
              <w:pStyle w:val="11"/>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东（</w:t>
            </w:r>
            <w:r>
              <w:rPr>
                <w:rFonts w:hint="default" w:ascii="Times New Roman" w:hAnsi="Times New Roman" w:eastAsia="宋体" w:cs="Times New Roman"/>
                <w:color w:val="000000" w:themeColor="text1"/>
                <w:spacing w:val="-6"/>
                <w:sz w:val="21"/>
                <w:szCs w:val="21"/>
                <w14:textFill>
                  <w14:solidFill>
                    <w14:schemeClr w14:val="tx1"/>
                  </w14:solidFill>
                </w14:textFill>
              </w:rPr>
              <w:t>1#</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w:t>
            </w:r>
          </w:p>
        </w:tc>
        <w:tc>
          <w:tcPr>
            <w:tcW w:w="1113" w:type="dxa"/>
            <w:vAlign w:val="center"/>
          </w:tcPr>
          <w:p w14:paraId="20319437">
            <w:pPr>
              <w:pStyle w:val="11"/>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南（</w:t>
            </w:r>
            <w:r>
              <w:rPr>
                <w:rFonts w:hint="default" w:ascii="Times New Roman" w:hAnsi="Times New Roman" w:eastAsia="宋体" w:cs="Times New Roman"/>
                <w:color w:val="000000" w:themeColor="text1"/>
                <w:spacing w:val="-6"/>
                <w:sz w:val="21"/>
                <w:szCs w:val="21"/>
                <w14:textFill>
                  <w14:solidFill>
                    <w14:schemeClr w14:val="tx1"/>
                  </w14:solidFill>
                </w14:textFill>
              </w:rPr>
              <w:t>2#</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w:t>
            </w:r>
          </w:p>
        </w:tc>
        <w:tc>
          <w:tcPr>
            <w:tcW w:w="1113" w:type="dxa"/>
            <w:vAlign w:val="center"/>
          </w:tcPr>
          <w:p w14:paraId="4D8F982F">
            <w:pPr>
              <w:pStyle w:val="11"/>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西（</w:t>
            </w:r>
            <w:r>
              <w:rPr>
                <w:rFonts w:hint="default" w:ascii="Times New Roman" w:hAnsi="Times New Roman" w:eastAsia="宋体" w:cs="Times New Roman"/>
                <w:color w:val="000000" w:themeColor="text1"/>
                <w:spacing w:val="-6"/>
                <w:sz w:val="21"/>
                <w:szCs w:val="21"/>
                <w14:textFill>
                  <w14:solidFill>
                    <w14:schemeClr w14:val="tx1"/>
                  </w14:solidFill>
                </w14:textFill>
              </w:rPr>
              <w:t>3#</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w:t>
            </w:r>
          </w:p>
        </w:tc>
        <w:tc>
          <w:tcPr>
            <w:tcW w:w="1119" w:type="dxa"/>
            <w:vAlign w:val="center"/>
          </w:tcPr>
          <w:p w14:paraId="23C725C2">
            <w:pPr>
              <w:pStyle w:val="11"/>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北（</w:t>
            </w:r>
            <w:r>
              <w:rPr>
                <w:rFonts w:hint="default" w:ascii="Times New Roman" w:hAnsi="Times New Roman" w:eastAsia="宋体" w:cs="Times New Roman"/>
                <w:color w:val="000000" w:themeColor="text1"/>
                <w:spacing w:val="-6"/>
                <w:sz w:val="21"/>
                <w:szCs w:val="21"/>
                <w14:textFill>
                  <w14:solidFill>
                    <w14:schemeClr w14:val="tx1"/>
                  </w14:solidFill>
                </w14:textFill>
              </w:rPr>
              <w:t>4#</w:t>
            </w: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w:t>
            </w:r>
          </w:p>
        </w:tc>
        <w:tc>
          <w:tcPr>
            <w:tcW w:w="1370" w:type="dxa"/>
            <w:vMerge w:val="continue"/>
            <w:vAlign w:val="center"/>
          </w:tcPr>
          <w:p w14:paraId="3A3A21CA">
            <w:pPr>
              <w:pStyle w:val="11"/>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p>
        </w:tc>
        <w:tc>
          <w:tcPr>
            <w:tcW w:w="1370" w:type="dxa"/>
            <w:vMerge w:val="continue"/>
            <w:vAlign w:val="center"/>
          </w:tcPr>
          <w:p w14:paraId="0B35B1EC">
            <w:pPr>
              <w:pStyle w:val="11"/>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p>
        </w:tc>
      </w:tr>
      <w:tr w14:paraId="014FF9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33" w:hRule="atLeast"/>
          <w:jc w:val="center"/>
        </w:trPr>
        <w:tc>
          <w:tcPr>
            <w:tcW w:w="1260" w:type="dxa"/>
            <w:vMerge w:val="restart"/>
            <w:vAlign w:val="center"/>
          </w:tcPr>
          <w:p w14:paraId="07FF93D7">
            <w:pPr>
              <w:pStyle w:val="11"/>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2023.08.13</w:t>
            </w:r>
          </w:p>
        </w:tc>
        <w:tc>
          <w:tcPr>
            <w:tcW w:w="986" w:type="dxa"/>
            <w:vAlign w:val="center"/>
          </w:tcPr>
          <w:p w14:paraId="5109E9B9">
            <w:pPr>
              <w:pStyle w:val="11"/>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昼间</w:t>
            </w:r>
          </w:p>
        </w:tc>
        <w:tc>
          <w:tcPr>
            <w:tcW w:w="1113" w:type="dxa"/>
            <w:vAlign w:val="center"/>
          </w:tcPr>
          <w:p w14:paraId="65444541">
            <w:pPr>
              <w:pStyle w:val="11"/>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46.5</w:t>
            </w:r>
          </w:p>
        </w:tc>
        <w:tc>
          <w:tcPr>
            <w:tcW w:w="1113" w:type="dxa"/>
            <w:vAlign w:val="center"/>
          </w:tcPr>
          <w:p w14:paraId="449B6B78">
            <w:pPr>
              <w:pStyle w:val="11"/>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47.3</w:t>
            </w:r>
          </w:p>
        </w:tc>
        <w:tc>
          <w:tcPr>
            <w:tcW w:w="1113" w:type="dxa"/>
            <w:vAlign w:val="center"/>
          </w:tcPr>
          <w:p w14:paraId="17519060">
            <w:pPr>
              <w:pStyle w:val="11"/>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47.4</w:t>
            </w:r>
          </w:p>
        </w:tc>
        <w:tc>
          <w:tcPr>
            <w:tcW w:w="1119" w:type="dxa"/>
            <w:vAlign w:val="center"/>
          </w:tcPr>
          <w:p w14:paraId="7D0B7A9F">
            <w:pPr>
              <w:pStyle w:val="11"/>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46.5</w:t>
            </w:r>
          </w:p>
        </w:tc>
        <w:tc>
          <w:tcPr>
            <w:tcW w:w="1370" w:type="dxa"/>
            <w:vAlign w:val="center"/>
          </w:tcPr>
          <w:p w14:paraId="11ED8F6B">
            <w:pPr>
              <w:pStyle w:val="11"/>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60</w:t>
            </w:r>
          </w:p>
        </w:tc>
        <w:tc>
          <w:tcPr>
            <w:tcW w:w="1370" w:type="dxa"/>
            <w:vAlign w:val="center"/>
          </w:tcPr>
          <w:p w14:paraId="1F5EED67">
            <w:pPr>
              <w:pStyle w:val="11"/>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达标</w:t>
            </w:r>
          </w:p>
        </w:tc>
      </w:tr>
      <w:tr w14:paraId="02131C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33" w:hRule="atLeast"/>
          <w:jc w:val="center"/>
        </w:trPr>
        <w:tc>
          <w:tcPr>
            <w:tcW w:w="1260" w:type="dxa"/>
            <w:vMerge w:val="continue"/>
            <w:vAlign w:val="center"/>
          </w:tcPr>
          <w:p w14:paraId="0F048449">
            <w:pPr>
              <w:pStyle w:val="11"/>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p>
        </w:tc>
        <w:tc>
          <w:tcPr>
            <w:tcW w:w="986" w:type="dxa"/>
            <w:vAlign w:val="center"/>
          </w:tcPr>
          <w:p w14:paraId="0400BA65">
            <w:pPr>
              <w:pStyle w:val="11"/>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夜间</w:t>
            </w:r>
          </w:p>
        </w:tc>
        <w:tc>
          <w:tcPr>
            <w:tcW w:w="1113" w:type="dxa"/>
            <w:vAlign w:val="center"/>
          </w:tcPr>
          <w:p w14:paraId="6B1D4111">
            <w:pPr>
              <w:pStyle w:val="11"/>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41.0</w:t>
            </w:r>
          </w:p>
        </w:tc>
        <w:tc>
          <w:tcPr>
            <w:tcW w:w="1113" w:type="dxa"/>
            <w:vAlign w:val="center"/>
          </w:tcPr>
          <w:p w14:paraId="06AA9CAB">
            <w:pPr>
              <w:pStyle w:val="11"/>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40.2</w:t>
            </w:r>
          </w:p>
        </w:tc>
        <w:tc>
          <w:tcPr>
            <w:tcW w:w="1113" w:type="dxa"/>
            <w:vAlign w:val="center"/>
          </w:tcPr>
          <w:p w14:paraId="348CAD45">
            <w:pPr>
              <w:pStyle w:val="11"/>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41.3</w:t>
            </w:r>
          </w:p>
        </w:tc>
        <w:tc>
          <w:tcPr>
            <w:tcW w:w="1119" w:type="dxa"/>
            <w:vAlign w:val="center"/>
          </w:tcPr>
          <w:p w14:paraId="35AFCA1B">
            <w:pPr>
              <w:pStyle w:val="11"/>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42.9</w:t>
            </w:r>
          </w:p>
        </w:tc>
        <w:tc>
          <w:tcPr>
            <w:tcW w:w="1370" w:type="dxa"/>
            <w:vAlign w:val="center"/>
          </w:tcPr>
          <w:p w14:paraId="165FB820">
            <w:pPr>
              <w:pStyle w:val="11"/>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50</w:t>
            </w:r>
          </w:p>
        </w:tc>
        <w:tc>
          <w:tcPr>
            <w:tcW w:w="1370" w:type="dxa"/>
            <w:vAlign w:val="center"/>
          </w:tcPr>
          <w:p w14:paraId="35BD089E">
            <w:pPr>
              <w:pStyle w:val="11"/>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达标</w:t>
            </w:r>
          </w:p>
        </w:tc>
      </w:tr>
      <w:tr w14:paraId="46C48D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33" w:hRule="atLeast"/>
          <w:jc w:val="center"/>
        </w:trPr>
        <w:tc>
          <w:tcPr>
            <w:tcW w:w="1260" w:type="dxa"/>
            <w:vMerge w:val="restart"/>
            <w:vAlign w:val="center"/>
          </w:tcPr>
          <w:p w14:paraId="4276DB6C">
            <w:pPr>
              <w:pStyle w:val="11"/>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2023.08.14</w:t>
            </w:r>
          </w:p>
        </w:tc>
        <w:tc>
          <w:tcPr>
            <w:tcW w:w="986" w:type="dxa"/>
            <w:vAlign w:val="center"/>
          </w:tcPr>
          <w:p w14:paraId="2104C578">
            <w:pPr>
              <w:pStyle w:val="11"/>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昼间</w:t>
            </w:r>
          </w:p>
        </w:tc>
        <w:tc>
          <w:tcPr>
            <w:tcW w:w="1113" w:type="dxa"/>
            <w:vAlign w:val="center"/>
          </w:tcPr>
          <w:p w14:paraId="66D6642B">
            <w:pPr>
              <w:pStyle w:val="11"/>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47.5</w:t>
            </w:r>
          </w:p>
        </w:tc>
        <w:tc>
          <w:tcPr>
            <w:tcW w:w="1113" w:type="dxa"/>
            <w:vAlign w:val="center"/>
          </w:tcPr>
          <w:p w14:paraId="2840F20A">
            <w:pPr>
              <w:pStyle w:val="11"/>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48.7</w:t>
            </w:r>
          </w:p>
        </w:tc>
        <w:tc>
          <w:tcPr>
            <w:tcW w:w="1113" w:type="dxa"/>
            <w:vAlign w:val="center"/>
          </w:tcPr>
          <w:p w14:paraId="4FC35F84">
            <w:pPr>
              <w:pStyle w:val="11"/>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47.8</w:t>
            </w:r>
          </w:p>
        </w:tc>
        <w:tc>
          <w:tcPr>
            <w:tcW w:w="1119" w:type="dxa"/>
            <w:vAlign w:val="center"/>
          </w:tcPr>
          <w:p w14:paraId="6B10214E">
            <w:pPr>
              <w:pStyle w:val="11"/>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48.5</w:t>
            </w:r>
          </w:p>
        </w:tc>
        <w:tc>
          <w:tcPr>
            <w:tcW w:w="1370" w:type="dxa"/>
            <w:vAlign w:val="center"/>
          </w:tcPr>
          <w:p w14:paraId="08D5C4B2">
            <w:pPr>
              <w:pStyle w:val="11"/>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60</w:t>
            </w:r>
          </w:p>
        </w:tc>
        <w:tc>
          <w:tcPr>
            <w:tcW w:w="1370" w:type="dxa"/>
            <w:vAlign w:val="center"/>
          </w:tcPr>
          <w:p w14:paraId="43F5EF75">
            <w:pPr>
              <w:pStyle w:val="11"/>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达标</w:t>
            </w:r>
          </w:p>
        </w:tc>
      </w:tr>
      <w:tr w14:paraId="3ACB25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48" w:hRule="atLeast"/>
          <w:jc w:val="center"/>
        </w:trPr>
        <w:tc>
          <w:tcPr>
            <w:tcW w:w="1260" w:type="dxa"/>
            <w:vMerge w:val="continue"/>
            <w:vAlign w:val="center"/>
          </w:tcPr>
          <w:p w14:paraId="4BF4BB35">
            <w:pPr>
              <w:pStyle w:val="11"/>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p>
        </w:tc>
        <w:tc>
          <w:tcPr>
            <w:tcW w:w="986" w:type="dxa"/>
            <w:vAlign w:val="center"/>
          </w:tcPr>
          <w:p w14:paraId="333DF7CA">
            <w:pPr>
              <w:pStyle w:val="11"/>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夜间</w:t>
            </w:r>
          </w:p>
        </w:tc>
        <w:tc>
          <w:tcPr>
            <w:tcW w:w="1113" w:type="dxa"/>
            <w:vAlign w:val="center"/>
          </w:tcPr>
          <w:p w14:paraId="433D04C9">
            <w:pPr>
              <w:pStyle w:val="11"/>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39.9</w:t>
            </w:r>
          </w:p>
        </w:tc>
        <w:tc>
          <w:tcPr>
            <w:tcW w:w="1113" w:type="dxa"/>
            <w:vAlign w:val="center"/>
          </w:tcPr>
          <w:p w14:paraId="0B1DB458">
            <w:pPr>
              <w:pStyle w:val="11"/>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41.9</w:t>
            </w:r>
          </w:p>
        </w:tc>
        <w:tc>
          <w:tcPr>
            <w:tcW w:w="1113" w:type="dxa"/>
            <w:vAlign w:val="center"/>
          </w:tcPr>
          <w:p w14:paraId="18420BF5">
            <w:pPr>
              <w:pStyle w:val="11"/>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40.7</w:t>
            </w:r>
          </w:p>
        </w:tc>
        <w:tc>
          <w:tcPr>
            <w:tcW w:w="1119" w:type="dxa"/>
            <w:vAlign w:val="center"/>
          </w:tcPr>
          <w:p w14:paraId="7ABA6C08">
            <w:pPr>
              <w:pStyle w:val="11"/>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41.9</w:t>
            </w:r>
          </w:p>
        </w:tc>
        <w:tc>
          <w:tcPr>
            <w:tcW w:w="1370" w:type="dxa"/>
            <w:vAlign w:val="center"/>
          </w:tcPr>
          <w:p w14:paraId="2B1DA15D">
            <w:pPr>
              <w:pStyle w:val="11"/>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50</w:t>
            </w:r>
          </w:p>
        </w:tc>
        <w:tc>
          <w:tcPr>
            <w:tcW w:w="1370" w:type="dxa"/>
            <w:vAlign w:val="center"/>
          </w:tcPr>
          <w:p w14:paraId="003DF788">
            <w:pPr>
              <w:pStyle w:val="11"/>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达标</w:t>
            </w:r>
          </w:p>
        </w:tc>
      </w:tr>
    </w:tbl>
    <w:p w14:paraId="2E9265BC">
      <w:pPr>
        <w:pStyle w:val="11"/>
        <w:keepNext w:val="0"/>
        <w:keepLines w:val="0"/>
        <w:pageBreakBefore w:val="0"/>
        <w:widowControl w:val="0"/>
        <w:kinsoku/>
        <w:wordWrap/>
        <w:overflowPunct/>
        <w:topLinePunct w:val="0"/>
        <w:autoSpaceDE/>
        <w:autoSpaceDN/>
        <w:bidi w:val="0"/>
        <w:adjustRightInd/>
        <w:snapToGrid/>
        <w:ind w:firstLine="456"/>
        <w:textAlignment w:val="auto"/>
        <w:outlineLvl w:val="9"/>
        <w:rPr>
          <w:rFonts w:hint="default" w:ascii="Times New Roman" w:hAnsi="Times New Roman" w:eastAsia="宋体" w:cs="Times New Roman"/>
          <w:color w:val="000000" w:themeColor="text1"/>
          <w:spacing w:val="-6"/>
          <w:lang w:eastAsia="zh-CN"/>
          <w14:textFill>
            <w14:solidFill>
              <w14:schemeClr w14:val="tx1"/>
            </w14:solidFill>
          </w14:textFill>
        </w:rPr>
      </w:pPr>
      <w:r>
        <w:rPr>
          <w:rFonts w:hint="default" w:ascii="Times New Roman" w:hAnsi="Times New Roman" w:eastAsia="宋体" w:cs="Times New Roman"/>
          <w:color w:val="000000" w:themeColor="text1"/>
          <w:spacing w:val="-6"/>
          <w:lang w:eastAsia="zh-CN"/>
          <w14:textFill>
            <w14:solidFill>
              <w14:schemeClr w14:val="tx1"/>
            </w14:solidFill>
          </w14:textFill>
        </w:rPr>
        <w:t>由上表可以看出，项目区场址附近环境噪声现状监测值满足《声环境质量标准》（GB3096－2008）中的2类区标准限值要求。项目区场址附近声环境质量状况良好。</w:t>
      </w:r>
    </w:p>
    <w:p w14:paraId="30BA474A">
      <w:pPr>
        <w:pStyle w:val="11"/>
        <w:ind w:firstLine="458"/>
        <w:outlineLvl w:val="2"/>
        <w:rPr>
          <w:rFonts w:hint="default" w:ascii="Times New Roman" w:hAnsi="Times New Roman" w:eastAsia="宋体" w:cs="Times New Roman"/>
          <w:b/>
          <w:bCs/>
          <w:color w:val="000000" w:themeColor="text1"/>
          <w:spacing w:val="-6"/>
          <w:lang w:eastAsia="zh-CN"/>
          <w14:textFill>
            <w14:solidFill>
              <w14:schemeClr w14:val="tx1"/>
            </w14:solidFill>
          </w14:textFill>
        </w:rPr>
      </w:pPr>
      <w:bookmarkStart w:id="222" w:name="bookmark7"/>
      <w:bookmarkEnd w:id="222"/>
      <w:bookmarkStart w:id="223" w:name="_Toc23412"/>
      <w:r>
        <w:rPr>
          <w:rFonts w:hint="default" w:ascii="Times New Roman" w:hAnsi="Times New Roman" w:eastAsia="宋体" w:cs="Times New Roman"/>
          <w:b/>
          <w:bCs/>
          <w:color w:val="000000" w:themeColor="text1"/>
          <w:spacing w:val="-6"/>
          <w:lang w:eastAsia="zh-CN"/>
          <w14:textFill>
            <w14:solidFill>
              <w14:schemeClr w14:val="tx1"/>
            </w14:solidFill>
          </w14:textFill>
        </w:rPr>
        <w:t>4.2.5土壤环境质量</w:t>
      </w:r>
      <w:bookmarkEnd w:id="223"/>
    </w:p>
    <w:p w14:paraId="7F4AEDF0">
      <w:pPr>
        <w:pStyle w:val="11"/>
        <w:keepNext w:val="0"/>
        <w:keepLines w:val="0"/>
        <w:pageBreakBefore w:val="0"/>
        <w:kinsoku/>
        <w:wordWrap/>
        <w:overflowPunct/>
        <w:topLinePunct w:val="0"/>
        <w:autoSpaceDE/>
        <w:autoSpaceDN/>
        <w:bidi w:val="0"/>
        <w:adjustRightInd/>
        <w:snapToGrid/>
        <w:ind w:firstLine="456"/>
        <w:outlineLvl w:val="9"/>
        <w:rPr>
          <w:rFonts w:hint="default" w:ascii="Times New Roman" w:hAnsi="Times New Roman" w:eastAsia="宋体" w:cs="Times New Roman"/>
          <w:color w:val="000000" w:themeColor="text1"/>
          <w:spacing w:val="-6"/>
          <w:lang w:eastAsia="zh-CN"/>
          <w14:textFill>
            <w14:solidFill>
              <w14:schemeClr w14:val="tx1"/>
            </w14:solidFill>
          </w14:textFill>
        </w:rPr>
      </w:pPr>
      <w:r>
        <w:rPr>
          <w:rFonts w:hint="default" w:ascii="Times New Roman" w:hAnsi="Times New Roman" w:eastAsia="宋体" w:cs="Times New Roman"/>
          <w:color w:val="000000" w:themeColor="text1"/>
          <w:spacing w:val="-6"/>
          <w:lang w:eastAsia="zh-CN"/>
          <w14:textFill>
            <w14:solidFill>
              <w14:schemeClr w14:val="tx1"/>
            </w14:solidFill>
          </w14:textFill>
        </w:rPr>
        <w:t>为了解项目所在区域土壤环境质量状况，土壤环境质量现状监测委托北京华成星科检测服务有限公司进行监测。</w:t>
      </w:r>
    </w:p>
    <w:p w14:paraId="15EA3E5A">
      <w:pPr>
        <w:pStyle w:val="11"/>
        <w:keepNext w:val="0"/>
        <w:keepLines w:val="0"/>
        <w:pageBreakBefore w:val="0"/>
        <w:kinsoku/>
        <w:wordWrap/>
        <w:overflowPunct/>
        <w:topLinePunct w:val="0"/>
        <w:autoSpaceDE/>
        <w:autoSpaceDN/>
        <w:bidi w:val="0"/>
        <w:adjustRightInd/>
        <w:snapToGrid/>
        <w:ind w:firstLine="456"/>
        <w:outlineLvl w:val="9"/>
        <w:rPr>
          <w:rFonts w:hint="default" w:ascii="Times New Roman" w:hAnsi="Times New Roman" w:eastAsia="宋体" w:cs="Times New Roman"/>
          <w:color w:val="000000" w:themeColor="text1"/>
          <w:spacing w:val="-6"/>
          <w:lang w:eastAsia="zh-CN"/>
          <w14:textFill>
            <w14:solidFill>
              <w14:schemeClr w14:val="tx1"/>
            </w14:solidFill>
          </w14:textFill>
        </w:rPr>
      </w:pPr>
      <w:bookmarkStart w:id="224" w:name="_Toc28045"/>
      <w:bookmarkStart w:id="225" w:name="_Toc2190"/>
      <w:r>
        <w:rPr>
          <w:rFonts w:hint="default" w:ascii="Times New Roman" w:hAnsi="Times New Roman" w:eastAsia="宋体" w:cs="Times New Roman"/>
          <w:color w:val="000000" w:themeColor="text1"/>
          <w:spacing w:val="-6"/>
          <w:lang w:eastAsia="zh-CN"/>
          <w14:textFill>
            <w14:solidFill>
              <w14:schemeClr w14:val="tx1"/>
            </w14:solidFill>
          </w14:textFill>
        </w:rPr>
        <w:t>（1）检测项目</w:t>
      </w:r>
      <w:bookmarkEnd w:id="224"/>
      <w:bookmarkEnd w:id="225"/>
    </w:p>
    <w:p w14:paraId="7F4B4810">
      <w:pPr>
        <w:pStyle w:val="11"/>
        <w:keepNext w:val="0"/>
        <w:keepLines w:val="0"/>
        <w:pageBreakBefore w:val="0"/>
        <w:kinsoku/>
        <w:wordWrap/>
        <w:overflowPunct/>
        <w:topLinePunct w:val="0"/>
        <w:autoSpaceDE/>
        <w:autoSpaceDN/>
        <w:bidi w:val="0"/>
        <w:adjustRightInd/>
        <w:snapToGrid/>
        <w:ind w:firstLine="456"/>
        <w:outlineLvl w:val="9"/>
        <w:rPr>
          <w:rFonts w:hint="default" w:ascii="Times New Roman" w:hAnsi="Times New Roman" w:eastAsia="宋体" w:cs="Times New Roman"/>
          <w:color w:val="000000" w:themeColor="text1"/>
          <w:spacing w:val="-6"/>
          <w:lang w:eastAsia="zh-CN"/>
          <w14:textFill>
            <w14:solidFill>
              <w14:schemeClr w14:val="tx1"/>
            </w14:solidFill>
          </w14:textFill>
        </w:rPr>
      </w:pPr>
      <w:r>
        <w:rPr>
          <w:rFonts w:hint="default" w:ascii="Times New Roman" w:hAnsi="Times New Roman" w:eastAsia="宋体" w:cs="Times New Roman"/>
          <w:color w:val="000000" w:themeColor="text1"/>
          <w:spacing w:val="-6"/>
          <w:lang w:eastAsia="zh-CN"/>
          <w14:textFill>
            <w14:solidFill>
              <w14:schemeClr w14:val="tx1"/>
            </w14:solidFill>
          </w14:textFill>
        </w:rPr>
        <w:t>pH、砷、镉、铜、铅、汞、镍、锌、铬。</w:t>
      </w:r>
    </w:p>
    <w:p w14:paraId="61DDF59F">
      <w:pPr>
        <w:pStyle w:val="11"/>
        <w:keepNext w:val="0"/>
        <w:keepLines w:val="0"/>
        <w:pageBreakBefore w:val="0"/>
        <w:kinsoku/>
        <w:wordWrap/>
        <w:overflowPunct/>
        <w:topLinePunct w:val="0"/>
        <w:autoSpaceDE/>
        <w:autoSpaceDN/>
        <w:bidi w:val="0"/>
        <w:adjustRightInd/>
        <w:snapToGrid/>
        <w:ind w:firstLine="456"/>
        <w:outlineLvl w:val="9"/>
        <w:rPr>
          <w:rFonts w:hint="default" w:ascii="Times New Roman" w:hAnsi="Times New Roman" w:eastAsia="宋体" w:cs="Times New Roman"/>
          <w:color w:val="000000" w:themeColor="text1"/>
          <w:spacing w:val="-6"/>
          <w:lang w:eastAsia="zh-CN"/>
          <w14:textFill>
            <w14:solidFill>
              <w14:schemeClr w14:val="tx1"/>
            </w14:solidFill>
          </w14:textFill>
        </w:rPr>
      </w:pPr>
      <w:bookmarkStart w:id="226" w:name="_Toc5410"/>
      <w:bookmarkStart w:id="227" w:name="_Toc366"/>
      <w:r>
        <w:rPr>
          <w:rFonts w:hint="default" w:ascii="Times New Roman" w:hAnsi="Times New Roman" w:eastAsia="宋体" w:cs="Times New Roman"/>
          <w:color w:val="000000" w:themeColor="text1"/>
          <w:spacing w:val="-6"/>
          <w:lang w:eastAsia="zh-CN"/>
          <w14:textFill>
            <w14:solidFill>
              <w14:schemeClr w14:val="tx1"/>
            </w14:solidFill>
          </w14:textFill>
        </w:rPr>
        <w:t>（2）检测点位</w:t>
      </w:r>
      <w:bookmarkEnd w:id="226"/>
      <w:bookmarkEnd w:id="227"/>
    </w:p>
    <w:p w14:paraId="1E04AA1D">
      <w:pPr>
        <w:pStyle w:val="11"/>
        <w:keepNext w:val="0"/>
        <w:keepLines w:val="0"/>
        <w:pageBreakBefore w:val="0"/>
        <w:kinsoku/>
        <w:wordWrap/>
        <w:overflowPunct/>
        <w:topLinePunct w:val="0"/>
        <w:autoSpaceDE/>
        <w:autoSpaceDN/>
        <w:bidi w:val="0"/>
        <w:adjustRightInd/>
        <w:snapToGrid/>
        <w:ind w:firstLine="456"/>
        <w:outlineLvl w:val="9"/>
        <w:rPr>
          <w:rFonts w:hint="default" w:ascii="Times New Roman" w:hAnsi="Times New Roman" w:eastAsia="宋体" w:cs="Times New Roman"/>
          <w:color w:val="000000" w:themeColor="text1"/>
          <w:spacing w:val="-6"/>
          <w:lang w:eastAsia="zh-CN"/>
          <w14:textFill>
            <w14:solidFill>
              <w14:schemeClr w14:val="tx1"/>
            </w14:solidFill>
          </w14:textFill>
        </w:rPr>
      </w:pPr>
      <w:r>
        <w:rPr>
          <w:rFonts w:hint="default" w:ascii="Times New Roman" w:hAnsi="Times New Roman" w:eastAsia="宋体" w:cs="Times New Roman"/>
          <w:color w:val="000000" w:themeColor="text1"/>
          <w:spacing w:val="-6"/>
          <w:lang w:eastAsia="zh-CN"/>
          <w14:textFill>
            <w14:solidFill>
              <w14:schemeClr w14:val="tx1"/>
            </w14:solidFill>
          </w14:textFill>
        </w:rPr>
        <w:t>监测布点本次土壤环境质量现状监测共布设了4个监测点，占地范围内3个表层，占地范围外1表层。检测点位及样品状态见表4.2-21。</w:t>
      </w:r>
    </w:p>
    <w:p w14:paraId="6B6A3495">
      <w:pPr>
        <w:pStyle w:val="11"/>
        <w:keepNext w:val="0"/>
        <w:keepLines w:val="0"/>
        <w:pageBreakBefore w:val="0"/>
        <w:kinsoku/>
        <w:wordWrap/>
        <w:overflowPunct/>
        <w:topLinePunct w:val="0"/>
        <w:autoSpaceDE/>
        <w:autoSpaceDN/>
        <w:bidi w:val="0"/>
        <w:adjustRightInd/>
        <w:snapToGrid/>
        <w:ind w:firstLine="0" w:firstLineChars="0"/>
        <w:jc w:val="center"/>
        <w:outlineLvl w:val="9"/>
        <w:rPr>
          <w:rFonts w:hint="default" w:ascii="Times New Roman" w:hAnsi="Times New Roman" w:eastAsia="宋体" w:cs="Times New Roman"/>
          <w:b/>
          <w:bCs/>
          <w:color w:val="000000" w:themeColor="text1"/>
          <w:spacing w:val="-6"/>
          <w:lang w:eastAsia="zh-CN"/>
          <w14:textFill>
            <w14:solidFill>
              <w14:schemeClr w14:val="tx1"/>
            </w14:solidFill>
          </w14:textFill>
        </w:rPr>
      </w:pPr>
      <w:r>
        <w:rPr>
          <w:rFonts w:hint="default" w:ascii="Times New Roman" w:hAnsi="Times New Roman" w:eastAsia="宋体" w:cs="Times New Roman"/>
          <w:b/>
          <w:bCs/>
          <w:color w:val="000000" w:themeColor="text1"/>
          <w:spacing w:val="-6"/>
          <w:lang w:eastAsia="zh-CN"/>
          <w14:textFill>
            <w14:solidFill>
              <w14:schemeClr w14:val="tx1"/>
            </w14:solidFill>
          </w14:textFill>
        </w:rPr>
        <w:t>表4.2-21检测点位及样品状态一览表</w:t>
      </w:r>
    </w:p>
    <w:tbl>
      <w:tblPr>
        <w:tblStyle w:val="35"/>
        <w:tblW w:w="8173"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10"/>
        <w:gridCol w:w="1358"/>
        <w:gridCol w:w="2933"/>
        <w:gridCol w:w="2437"/>
        <w:gridCol w:w="735"/>
      </w:tblGrid>
      <w:tr w14:paraId="6BAC736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710" w:type="dxa"/>
            <w:vAlign w:val="center"/>
          </w:tcPr>
          <w:p w14:paraId="4C3AE73F">
            <w:pPr>
              <w:pStyle w:val="11"/>
              <w:keepNext w:val="0"/>
              <w:keepLines w:val="0"/>
              <w:pageBreakBefore w:val="0"/>
              <w:kinsoku/>
              <w:wordWrap/>
              <w:overflowPunct/>
              <w:topLinePunct w:val="0"/>
              <w:autoSpaceDE/>
              <w:autoSpaceDN/>
              <w:bidi w:val="0"/>
              <w:adjustRightInd/>
              <w:snapToGrid/>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序号</w:t>
            </w:r>
          </w:p>
        </w:tc>
        <w:tc>
          <w:tcPr>
            <w:tcW w:w="1358" w:type="dxa"/>
            <w:vAlign w:val="center"/>
          </w:tcPr>
          <w:p w14:paraId="65D97679">
            <w:pPr>
              <w:pStyle w:val="11"/>
              <w:keepNext w:val="0"/>
              <w:keepLines w:val="0"/>
              <w:pageBreakBefore w:val="0"/>
              <w:kinsoku/>
              <w:wordWrap/>
              <w:overflowPunct/>
              <w:topLinePunct w:val="0"/>
              <w:autoSpaceDE/>
              <w:autoSpaceDN/>
              <w:bidi w:val="0"/>
              <w:adjustRightInd/>
              <w:snapToGrid/>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检测点位</w:t>
            </w:r>
          </w:p>
        </w:tc>
        <w:tc>
          <w:tcPr>
            <w:tcW w:w="2933" w:type="dxa"/>
            <w:vAlign w:val="center"/>
          </w:tcPr>
          <w:p w14:paraId="50FA3D18">
            <w:pPr>
              <w:pStyle w:val="11"/>
              <w:keepNext w:val="0"/>
              <w:keepLines w:val="0"/>
              <w:pageBreakBefore w:val="0"/>
              <w:kinsoku/>
              <w:wordWrap/>
              <w:overflowPunct/>
              <w:topLinePunct w:val="0"/>
              <w:autoSpaceDE/>
              <w:autoSpaceDN/>
              <w:bidi w:val="0"/>
              <w:adjustRightInd/>
              <w:snapToGrid/>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地理坐标</w:t>
            </w:r>
          </w:p>
        </w:tc>
        <w:tc>
          <w:tcPr>
            <w:tcW w:w="2437" w:type="dxa"/>
            <w:vAlign w:val="center"/>
          </w:tcPr>
          <w:p w14:paraId="07ADA3E4">
            <w:pPr>
              <w:pStyle w:val="11"/>
              <w:keepNext w:val="0"/>
              <w:keepLines w:val="0"/>
              <w:pageBreakBefore w:val="0"/>
              <w:kinsoku/>
              <w:wordWrap/>
              <w:overflowPunct/>
              <w:topLinePunct w:val="0"/>
              <w:autoSpaceDE/>
              <w:autoSpaceDN/>
              <w:bidi w:val="0"/>
              <w:adjustRightInd/>
              <w:snapToGrid/>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样品状态</w:t>
            </w:r>
          </w:p>
        </w:tc>
        <w:tc>
          <w:tcPr>
            <w:tcW w:w="735" w:type="dxa"/>
            <w:vAlign w:val="center"/>
          </w:tcPr>
          <w:p w14:paraId="1ED100F6">
            <w:pPr>
              <w:pStyle w:val="11"/>
              <w:keepNext w:val="0"/>
              <w:keepLines w:val="0"/>
              <w:pageBreakBefore w:val="0"/>
              <w:kinsoku/>
              <w:wordWrap/>
              <w:overflowPunct/>
              <w:topLinePunct w:val="0"/>
              <w:autoSpaceDE/>
              <w:autoSpaceDN/>
              <w:bidi w:val="0"/>
              <w:adjustRightInd/>
              <w:snapToGrid/>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备注</w:t>
            </w:r>
          </w:p>
        </w:tc>
      </w:tr>
      <w:tr w14:paraId="038FE60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710" w:type="dxa"/>
            <w:vAlign w:val="center"/>
          </w:tcPr>
          <w:p w14:paraId="0E8D43D3">
            <w:pPr>
              <w:pStyle w:val="11"/>
              <w:keepNext w:val="0"/>
              <w:keepLines w:val="0"/>
              <w:pageBreakBefore w:val="0"/>
              <w:kinsoku/>
              <w:wordWrap/>
              <w:overflowPunct/>
              <w:topLinePunct w:val="0"/>
              <w:autoSpaceDE/>
              <w:autoSpaceDN/>
              <w:bidi w:val="0"/>
              <w:adjustRightInd/>
              <w:snapToGrid/>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1</w:t>
            </w:r>
          </w:p>
        </w:tc>
        <w:tc>
          <w:tcPr>
            <w:tcW w:w="1358" w:type="dxa"/>
            <w:vAlign w:val="center"/>
          </w:tcPr>
          <w:p w14:paraId="14201426">
            <w:pPr>
              <w:pStyle w:val="11"/>
              <w:keepNext w:val="0"/>
              <w:keepLines w:val="0"/>
              <w:pageBreakBefore w:val="0"/>
              <w:kinsoku/>
              <w:wordWrap/>
              <w:overflowPunct/>
              <w:topLinePunct w:val="0"/>
              <w:autoSpaceDE/>
              <w:autoSpaceDN/>
              <w:bidi w:val="0"/>
              <w:adjustRightInd/>
              <w:snapToGrid/>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厂区内T1</w:t>
            </w:r>
          </w:p>
        </w:tc>
        <w:tc>
          <w:tcPr>
            <w:tcW w:w="2933" w:type="dxa"/>
            <w:vAlign w:val="center"/>
          </w:tcPr>
          <w:p w14:paraId="64069DCD">
            <w:pPr>
              <w:pStyle w:val="11"/>
              <w:keepNext w:val="0"/>
              <w:keepLines w:val="0"/>
              <w:pageBreakBefore w:val="0"/>
              <w:kinsoku/>
              <w:wordWrap/>
              <w:overflowPunct/>
              <w:topLinePunct w:val="0"/>
              <w:autoSpaceDE/>
              <w:autoSpaceDN/>
              <w:bidi w:val="0"/>
              <w:adjustRightInd/>
              <w:snapToGrid/>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46°11′0.13″</w:t>
            </w:r>
            <w:r>
              <w:rPr>
                <w:rFonts w:hint="default" w:ascii="Times New Roman" w:hAnsi="Times New Roman" w:eastAsia="宋体" w:cs="Times New Roman"/>
                <w:color w:val="000000" w:themeColor="text1"/>
                <w:kern w:val="0"/>
                <w:sz w:val="21"/>
                <w:szCs w:val="21"/>
                <w14:textFill>
                  <w14:solidFill>
                    <w14:schemeClr w14:val="tx1"/>
                  </w14:solidFill>
                </w14:textFill>
              </w:rPr>
              <w:t>N，</w:t>
            </w:r>
            <w:r>
              <w:rPr>
                <w:rFonts w:hint="default" w:ascii="Times New Roman" w:hAnsi="Times New Roman" w:eastAsia="宋体" w:cs="Times New Roman"/>
                <w:color w:val="000000" w:themeColor="text1"/>
                <w:sz w:val="21"/>
                <w:szCs w:val="21"/>
                <w14:textFill>
                  <w14:solidFill>
                    <w14:schemeClr w14:val="tx1"/>
                  </w14:solidFill>
                </w14:textFill>
              </w:rPr>
              <w:t>122°16′40.72″</w:t>
            </w:r>
            <w:r>
              <w:rPr>
                <w:rFonts w:hint="default" w:ascii="Times New Roman" w:hAnsi="Times New Roman" w:eastAsia="宋体" w:cs="Times New Roman"/>
                <w:color w:val="000000" w:themeColor="text1"/>
                <w:kern w:val="0"/>
                <w:sz w:val="21"/>
                <w:szCs w:val="21"/>
                <w14:textFill>
                  <w14:solidFill>
                    <w14:schemeClr w14:val="tx1"/>
                  </w14:solidFill>
                </w14:textFill>
              </w:rPr>
              <w:t>E</w:t>
            </w:r>
          </w:p>
        </w:tc>
        <w:tc>
          <w:tcPr>
            <w:tcW w:w="2437" w:type="dxa"/>
            <w:vMerge w:val="restart"/>
            <w:vAlign w:val="center"/>
          </w:tcPr>
          <w:p w14:paraId="7972A9EE">
            <w:pPr>
              <w:pStyle w:val="11"/>
              <w:keepNext w:val="0"/>
              <w:keepLines w:val="0"/>
              <w:pageBreakBefore w:val="0"/>
              <w:kinsoku/>
              <w:wordWrap/>
              <w:overflowPunct/>
              <w:topLinePunct w:val="0"/>
              <w:autoSpaceDE/>
              <w:autoSpaceDN/>
              <w:bidi w:val="0"/>
              <w:adjustRightInd/>
              <w:snapToGrid/>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黑褐色、轻壤土、少许根系，少许砂砾</w:t>
            </w:r>
          </w:p>
        </w:tc>
        <w:tc>
          <w:tcPr>
            <w:tcW w:w="735" w:type="dxa"/>
            <w:vMerge w:val="restart"/>
            <w:vAlign w:val="center"/>
          </w:tcPr>
          <w:p w14:paraId="628B6F93">
            <w:pPr>
              <w:pStyle w:val="11"/>
              <w:keepNext w:val="0"/>
              <w:keepLines w:val="0"/>
              <w:pageBreakBefore w:val="0"/>
              <w:kinsoku/>
              <w:wordWrap/>
              <w:overflowPunct/>
              <w:topLinePunct w:val="0"/>
              <w:autoSpaceDE/>
              <w:autoSpaceDN/>
              <w:bidi w:val="0"/>
              <w:adjustRightInd/>
              <w:snapToGrid/>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表层样</w:t>
            </w:r>
          </w:p>
        </w:tc>
      </w:tr>
      <w:tr w14:paraId="7105E09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710" w:type="dxa"/>
            <w:vAlign w:val="center"/>
          </w:tcPr>
          <w:p w14:paraId="48365D17">
            <w:pPr>
              <w:pStyle w:val="11"/>
              <w:keepNext w:val="0"/>
              <w:keepLines w:val="0"/>
              <w:pageBreakBefore w:val="0"/>
              <w:kinsoku/>
              <w:wordWrap/>
              <w:overflowPunct/>
              <w:topLinePunct w:val="0"/>
              <w:autoSpaceDE/>
              <w:autoSpaceDN/>
              <w:bidi w:val="0"/>
              <w:adjustRightInd/>
              <w:snapToGrid/>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2</w:t>
            </w:r>
          </w:p>
        </w:tc>
        <w:tc>
          <w:tcPr>
            <w:tcW w:w="1358" w:type="dxa"/>
            <w:vAlign w:val="center"/>
          </w:tcPr>
          <w:p w14:paraId="3ADDB539">
            <w:pPr>
              <w:pStyle w:val="11"/>
              <w:keepNext w:val="0"/>
              <w:keepLines w:val="0"/>
              <w:pageBreakBefore w:val="0"/>
              <w:kinsoku/>
              <w:wordWrap/>
              <w:overflowPunct/>
              <w:topLinePunct w:val="0"/>
              <w:autoSpaceDE/>
              <w:autoSpaceDN/>
              <w:bidi w:val="0"/>
              <w:adjustRightInd/>
              <w:snapToGrid/>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厂区内T2</w:t>
            </w:r>
          </w:p>
        </w:tc>
        <w:tc>
          <w:tcPr>
            <w:tcW w:w="2933" w:type="dxa"/>
            <w:vAlign w:val="center"/>
          </w:tcPr>
          <w:p w14:paraId="25104F94">
            <w:pPr>
              <w:pStyle w:val="11"/>
              <w:keepNext w:val="0"/>
              <w:keepLines w:val="0"/>
              <w:pageBreakBefore w:val="0"/>
              <w:kinsoku/>
              <w:wordWrap/>
              <w:overflowPunct/>
              <w:topLinePunct w:val="0"/>
              <w:autoSpaceDE/>
              <w:autoSpaceDN/>
              <w:bidi w:val="0"/>
              <w:adjustRightInd/>
              <w:snapToGrid/>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46°11.23.37″</w:t>
            </w:r>
            <w:r>
              <w:rPr>
                <w:rFonts w:hint="default" w:ascii="Times New Roman" w:hAnsi="Times New Roman" w:eastAsia="宋体" w:cs="Times New Roman"/>
                <w:color w:val="000000" w:themeColor="text1"/>
                <w:kern w:val="0"/>
                <w:sz w:val="21"/>
                <w:szCs w:val="21"/>
                <w14:textFill>
                  <w14:solidFill>
                    <w14:schemeClr w14:val="tx1"/>
                  </w14:solidFill>
                </w14:textFill>
              </w:rPr>
              <w:t>N，</w:t>
            </w:r>
            <w:r>
              <w:rPr>
                <w:rFonts w:hint="default" w:ascii="Times New Roman" w:hAnsi="Times New Roman" w:eastAsia="宋体" w:cs="Times New Roman"/>
                <w:color w:val="000000" w:themeColor="text1"/>
                <w:sz w:val="21"/>
                <w:szCs w:val="21"/>
                <w14:textFill>
                  <w14:solidFill>
                    <w14:schemeClr w14:val="tx1"/>
                  </w14:solidFill>
                </w14:textFill>
              </w:rPr>
              <w:t>122°16′41.03″</w:t>
            </w:r>
            <w:r>
              <w:rPr>
                <w:rFonts w:hint="default" w:ascii="Times New Roman" w:hAnsi="Times New Roman" w:eastAsia="宋体" w:cs="Times New Roman"/>
                <w:color w:val="000000" w:themeColor="text1"/>
                <w:kern w:val="0"/>
                <w:sz w:val="21"/>
                <w:szCs w:val="21"/>
                <w14:textFill>
                  <w14:solidFill>
                    <w14:schemeClr w14:val="tx1"/>
                  </w14:solidFill>
                </w14:textFill>
              </w:rPr>
              <w:t>E</w:t>
            </w:r>
          </w:p>
        </w:tc>
        <w:tc>
          <w:tcPr>
            <w:tcW w:w="2437" w:type="dxa"/>
            <w:vMerge w:val="continue"/>
            <w:vAlign w:val="center"/>
          </w:tcPr>
          <w:p w14:paraId="7E0589FD">
            <w:pPr>
              <w:pStyle w:val="11"/>
              <w:keepNext w:val="0"/>
              <w:keepLines w:val="0"/>
              <w:pageBreakBefore w:val="0"/>
              <w:kinsoku/>
              <w:wordWrap/>
              <w:overflowPunct/>
              <w:topLinePunct w:val="0"/>
              <w:autoSpaceDE/>
              <w:autoSpaceDN/>
              <w:bidi w:val="0"/>
              <w:adjustRightInd/>
              <w:snapToGrid/>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p>
        </w:tc>
        <w:tc>
          <w:tcPr>
            <w:tcW w:w="735" w:type="dxa"/>
            <w:vMerge w:val="continue"/>
            <w:vAlign w:val="center"/>
          </w:tcPr>
          <w:p w14:paraId="30B8691E">
            <w:pPr>
              <w:pStyle w:val="11"/>
              <w:keepNext w:val="0"/>
              <w:keepLines w:val="0"/>
              <w:pageBreakBefore w:val="0"/>
              <w:kinsoku/>
              <w:wordWrap/>
              <w:overflowPunct/>
              <w:topLinePunct w:val="0"/>
              <w:autoSpaceDE/>
              <w:autoSpaceDN/>
              <w:bidi w:val="0"/>
              <w:adjustRightInd/>
              <w:snapToGrid/>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p>
        </w:tc>
      </w:tr>
      <w:tr w14:paraId="4DA6640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710" w:type="dxa"/>
            <w:vAlign w:val="center"/>
          </w:tcPr>
          <w:p w14:paraId="0DCF05D8">
            <w:pPr>
              <w:pStyle w:val="11"/>
              <w:keepNext w:val="0"/>
              <w:keepLines w:val="0"/>
              <w:pageBreakBefore w:val="0"/>
              <w:kinsoku/>
              <w:wordWrap/>
              <w:overflowPunct/>
              <w:topLinePunct w:val="0"/>
              <w:autoSpaceDE/>
              <w:autoSpaceDN/>
              <w:bidi w:val="0"/>
              <w:adjustRightInd/>
              <w:snapToGrid/>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3</w:t>
            </w:r>
          </w:p>
        </w:tc>
        <w:tc>
          <w:tcPr>
            <w:tcW w:w="1358" w:type="dxa"/>
            <w:vAlign w:val="center"/>
          </w:tcPr>
          <w:p w14:paraId="3FF47229">
            <w:pPr>
              <w:pStyle w:val="11"/>
              <w:keepNext w:val="0"/>
              <w:keepLines w:val="0"/>
              <w:pageBreakBefore w:val="0"/>
              <w:kinsoku/>
              <w:wordWrap/>
              <w:overflowPunct/>
              <w:topLinePunct w:val="0"/>
              <w:autoSpaceDE/>
              <w:autoSpaceDN/>
              <w:bidi w:val="0"/>
              <w:adjustRightInd/>
              <w:snapToGrid/>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厂区内T3</w:t>
            </w:r>
          </w:p>
        </w:tc>
        <w:tc>
          <w:tcPr>
            <w:tcW w:w="2933" w:type="dxa"/>
            <w:vAlign w:val="center"/>
          </w:tcPr>
          <w:p w14:paraId="25CE4FE6">
            <w:pPr>
              <w:pStyle w:val="11"/>
              <w:keepNext w:val="0"/>
              <w:keepLines w:val="0"/>
              <w:pageBreakBefore w:val="0"/>
              <w:kinsoku/>
              <w:wordWrap/>
              <w:overflowPunct/>
              <w:topLinePunct w:val="0"/>
              <w:autoSpaceDE/>
              <w:autoSpaceDN/>
              <w:bidi w:val="0"/>
              <w:adjustRightInd/>
              <w:snapToGrid/>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46°11′19.81″</w:t>
            </w:r>
            <w:r>
              <w:rPr>
                <w:rFonts w:hint="default" w:ascii="Times New Roman" w:hAnsi="Times New Roman" w:eastAsia="宋体" w:cs="Times New Roman"/>
                <w:color w:val="000000" w:themeColor="text1"/>
                <w:kern w:val="0"/>
                <w:sz w:val="21"/>
                <w:szCs w:val="21"/>
                <w14:textFill>
                  <w14:solidFill>
                    <w14:schemeClr w14:val="tx1"/>
                  </w14:solidFill>
                </w14:textFill>
              </w:rPr>
              <w:t>N，</w:t>
            </w:r>
            <w:r>
              <w:rPr>
                <w:rFonts w:hint="default" w:ascii="Times New Roman" w:hAnsi="Times New Roman" w:eastAsia="宋体" w:cs="Times New Roman"/>
                <w:color w:val="000000" w:themeColor="text1"/>
                <w:sz w:val="21"/>
                <w:szCs w:val="21"/>
                <w14:textFill>
                  <w14:solidFill>
                    <w14:schemeClr w14:val="tx1"/>
                  </w14:solidFill>
                </w14:textFill>
              </w:rPr>
              <w:t>122°16′51.45″</w:t>
            </w:r>
            <w:r>
              <w:rPr>
                <w:rFonts w:hint="default" w:ascii="Times New Roman" w:hAnsi="Times New Roman" w:eastAsia="宋体" w:cs="Times New Roman"/>
                <w:color w:val="000000" w:themeColor="text1"/>
                <w:kern w:val="0"/>
                <w:sz w:val="21"/>
                <w:szCs w:val="21"/>
                <w14:textFill>
                  <w14:solidFill>
                    <w14:schemeClr w14:val="tx1"/>
                  </w14:solidFill>
                </w14:textFill>
              </w:rPr>
              <w:t>E</w:t>
            </w:r>
          </w:p>
        </w:tc>
        <w:tc>
          <w:tcPr>
            <w:tcW w:w="2437" w:type="dxa"/>
            <w:vMerge w:val="continue"/>
            <w:vAlign w:val="center"/>
          </w:tcPr>
          <w:p w14:paraId="102CD12B">
            <w:pPr>
              <w:pStyle w:val="11"/>
              <w:keepNext w:val="0"/>
              <w:keepLines w:val="0"/>
              <w:pageBreakBefore w:val="0"/>
              <w:kinsoku/>
              <w:wordWrap/>
              <w:overflowPunct/>
              <w:topLinePunct w:val="0"/>
              <w:autoSpaceDE/>
              <w:autoSpaceDN/>
              <w:bidi w:val="0"/>
              <w:adjustRightInd/>
              <w:snapToGrid/>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p>
        </w:tc>
        <w:tc>
          <w:tcPr>
            <w:tcW w:w="735" w:type="dxa"/>
            <w:vMerge w:val="continue"/>
            <w:vAlign w:val="center"/>
          </w:tcPr>
          <w:p w14:paraId="46BA5CBF">
            <w:pPr>
              <w:pStyle w:val="11"/>
              <w:keepNext w:val="0"/>
              <w:keepLines w:val="0"/>
              <w:pageBreakBefore w:val="0"/>
              <w:kinsoku/>
              <w:wordWrap/>
              <w:overflowPunct/>
              <w:topLinePunct w:val="0"/>
              <w:autoSpaceDE/>
              <w:autoSpaceDN/>
              <w:bidi w:val="0"/>
              <w:adjustRightInd/>
              <w:snapToGrid/>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p>
        </w:tc>
      </w:tr>
      <w:tr w14:paraId="2DF1FBA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710" w:type="dxa"/>
            <w:vAlign w:val="center"/>
          </w:tcPr>
          <w:p w14:paraId="39C4DA6B">
            <w:pPr>
              <w:pStyle w:val="11"/>
              <w:keepNext w:val="0"/>
              <w:keepLines w:val="0"/>
              <w:pageBreakBefore w:val="0"/>
              <w:kinsoku/>
              <w:wordWrap/>
              <w:overflowPunct/>
              <w:topLinePunct w:val="0"/>
              <w:autoSpaceDE/>
              <w:autoSpaceDN/>
              <w:bidi w:val="0"/>
              <w:adjustRightInd/>
              <w:snapToGrid/>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4</w:t>
            </w:r>
          </w:p>
        </w:tc>
        <w:tc>
          <w:tcPr>
            <w:tcW w:w="1358" w:type="dxa"/>
            <w:vAlign w:val="center"/>
          </w:tcPr>
          <w:p w14:paraId="0AFB6548">
            <w:pPr>
              <w:pStyle w:val="11"/>
              <w:keepNext w:val="0"/>
              <w:keepLines w:val="0"/>
              <w:pageBreakBefore w:val="0"/>
              <w:kinsoku/>
              <w:wordWrap/>
              <w:overflowPunct/>
              <w:topLinePunct w:val="0"/>
              <w:autoSpaceDE/>
              <w:autoSpaceDN/>
              <w:bidi w:val="0"/>
              <w:adjustRightInd/>
              <w:snapToGrid/>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厂区外T4</w:t>
            </w:r>
          </w:p>
        </w:tc>
        <w:tc>
          <w:tcPr>
            <w:tcW w:w="2933" w:type="dxa"/>
            <w:vAlign w:val="center"/>
          </w:tcPr>
          <w:p w14:paraId="68DA87F5">
            <w:pPr>
              <w:pStyle w:val="11"/>
              <w:keepNext w:val="0"/>
              <w:keepLines w:val="0"/>
              <w:pageBreakBefore w:val="0"/>
              <w:kinsoku/>
              <w:wordWrap/>
              <w:overflowPunct/>
              <w:topLinePunct w:val="0"/>
              <w:autoSpaceDE/>
              <w:autoSpaceDN/>
              <w:bidi w:val="0"/>
              <w:adjustRightInd/>
              <w:snapToGrid/>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46°11′2.19″N，122°16′23.94″E</w:t>
            </w:r>
          </w:p>
        </w:tc>
        <w:tc>
          <w:tcPr>
            <w:tcW w:w="2437" w:type="dxa"/>
            <w:vMerge w:val="continue"/>
            <w:vAlign w:val="center"/>
          </w:tcPr>
          <w:p w14:paraId="58D73929">
            <w:pPr>
              <w:pStyle w:val="11"/>
              <w:keepNext w:val="0"/>
              <w:keepLines w:val="0"/>
              <w:pageBreakBefore w:val="0"/>
              <w:kinsoku/>
              <w:wordWrap/>
              <w:overflowPunct/>
              <w:topLinePunct w:val="0"/>
              <w:autoSpaceDE/>
              <w:autoSpaceDN/>
              <w:bidi w:val="0"/>
              <w:adjustRightInd/>
              <w:snapToGrid/>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p>
        </w:tc>
        <w:tc>
          <w:tcPr>
            <w:tcW w:w="735" w:type="dxa"/>
            <w:vMerge w:val="continue"/>
            <w:vAlign w:val="center"/>
          </w:tcPr>
          <w:p w14:paraId="7634AA7E">
            <w:pPr>
              <w:pStyle w:val="11"/>
              <w:keepNext w:val="0"/>
              <w:keepLines w:val="0"/>
              <w:pageBreakBefore w:val="0"/>
              <w:kinsoku/>
              <w:wordWrap/>
              <w:overflowPunct/>
              <w:topLinePunct w:val="0"/>
              <w:autoSpaceDE/>
              <w:autoSpaceDN/>
              <w:bidi w:val="0"/>
              <w:adjustRightInd/>
              <w:snapToGrid/>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p>
        </w:tc>
      </w:tr>
    </w:tbl>
    <w:p w14:paraId="1F390D56">
      <w:pPr>
        <w:pStyle w:val="11"/>
        <w:keepNext w:val="0"/>
        <w:keepLines w:val="0"/>
        <w:pageBreakBefore w:val="0"/>
        <w:kinsoku/>
        <w:wordWrap/>
        <w:overflowPunct/>
        <w:topLinePunct w:val="0"/>
        <w:autoSpaceDE/>
        <w:autoSpaceDN/>
        <w:bidi w:val="0"/>
        <w:adjustRightInd/>
        <w:snapToGrid/>
        <w:ind w:firstLine="456"/>
        <w:outlineLvl w:val="9"/>
        <w:rPr>
          <w:rFonts w:hint="default" w:ascii="Times New Roman" w:hAnsi="Times New Roman" w:eastAsia="宋体" w:cs="Times New Roman"/>
          <w:color w:val="000000" w:themeColor="text1"/>
          <w:spacing w:val="-6"/>
          <w14:textFill>
            <w14:solidFill>
              <w14:schemeClr w14:val="tx1"/>
            </w14:solidFill>
          </w14:textFill>
        </w:rPr>
      </w:pPr>
      <w:bookmarkStart w:id="228" w:name="_Toc733"/>
      <w:bookmarkStart w:id="229" w:name="_Toc21168"/>
      <w:r>
        <w:rPr>
          <w:rFonts w:hint="default" w:ascii="Times New Roman" w:hAnsi="Times New Roman" w:eastAsia="宋体" w:cs="Times New Roman"/>
          <w:color w:val="000000" w:themeColor="text1"/>
          <w:spacing w:val="-6"/>
          <w:lang w:eastAsia="zh-CN"/>
          <w14:textFill>
            <w14:solidFill>
              <w14:schemeClr w14:val="tx1"/>
            </w14:solidFill>
          </w14:textFill>
        </w:rPr>
        <w:t>（3）</w:t>
      </w:r>
      <w:r>
        <w:rPr>
          <w:rFonts w:hint="default" w:ascii="Times New Roman" w:hAnsi="Times New Roman" w:eastAsia="宋体" w:cs="Times New Roman"/>
          <w:color w:val="000000" w:themeColor="text1"/>
          <w:spacing w:val="-6"/>
          <w14:textFill>
            <w14:solidFill>
              <w14:schemeClr w14:val="tx1"/>
            </w14:solidFill>
          </w14:textFill>
        </w:rPr>
        <w:t>检测时间和频次</w:t>
      </w:r>
      <w:bookmarkEnd w:id="228"/>
      <w:bookmarkEnd w:id="229"/>
    </w:p>
    <w:p w14:paraId="50A0DC04">
      <w:pPr>
        <w:pStyle w:val="11"/>
        <w:keepNext w:val="0"/>
        <w:keepLines w:val="0"/>
        <w:pageBreakBefore w:val="0"/>
        <w:kinsoku/>
        <w:wordWrap/>
        <w:overflowPunct/>
        <w:topLinePunct w:val="0"/>
        <w:autoSpaceDE/>
        <w:autoSpaceDN/>
        <w:bidi w:val="0"/>
        <w:adjustRightInd/>
        <w:snapToGrid/>
        <w:ind w:firstLine="456"/>
        <w:outlineLvl w:val="9"/>
        <w:rPr>
          <w:rFonts w:hint="default" w:ascii="Times New Roman" w:hAnsi="Times New Roman" w:eastAsia="宋体" w:cs="Times New Roman"/>
          <w:color w:val="000000" w:themeColor="text1"/>
          <w:spacing w:val="-6"/>
          <w14:textFill>
            <w14:solidFill>
              <w14:schemeClr w14:val="tx1"/>
            </w14:solidFill>
          </w14:textFill>
        </w:rPr>
      </w:pPr>
      <w:r>
        <w:rPr>
          <w:rFonts w:hint="default" w:ascii="Times New Roman" w:hAnsi="Times New Roman" w:eastAsia="宋体" w:cs="Times New Roman"/>
          <w:color w:val="000000" w:themeColor="text1"/>
          <w:spacing w:val="-6"/>
          <w14:textFill>
            <w14:solidFill>
              <w14:schemeClr w14:val="tx1"/>
            </w14:solidFill>
          </w14:textFill>
        </w:rPr>
        <w:t>采样时间为2023年</w:t>
      </w:r>
      <w:r>
        <w:rPr>
          <w:rFonts w:hint="default" w:ascii="Times New Roman" w:hAnsi="Times New Roman" w:eastAsia="宋体" w:cs="Times New Roman"/>
          <w:color w:val="000000" w:themeColor="text1"/>
          <w:spacing w:val="-6"/>
          <w:lang w:eastAsia="zh-CN"/>
          <w14:textFill>
            <w14:solidFill>
              <w14:schemeClr w14:val="tx1"/>
            </w14:solidFill>
          </w14:textFill>
        </w:rPr>
        <w:t>8</w:t>
      </w:r>
      <w:r>
        <w:rPr>
          <w:rFonts w:hint="default" w:ascii="Times New Roman" w:hAnsi="Times New Roman" w:eastAsia="宋体" w:cs="Times New Roman"/>
          <w:color w:val="000000" w:themeColor="text1"/>
          <w:spacing w:val="-6"/>
          <w14:textFill>
            <w14:solidFill>
              <w14:schemeClr w14:val="tx1"/>
            </w14:solidFill>
          </w14:textFill>
        </w:rPr>
        <w:t>月</w:t>
      </w:r>
      <w:r>
        <w:rPr>
          <w:rFonts w:hint="default" w:ascii="Times New Roman" w:hAnsi="Times New Roman" w:eastAsia="宋体" w:cs="Times New Roman"/>
          <w:color w:val="000000" w:themeColor="text1"/>
          <w:spacing w:val="-6"/>
          <w:lang w:eastAsia="zh-CN"/>
          <w14:textFill>
            <w14:solidFill>
              <w14:schemeClr w14:val="tx1"/>
            </w14:solidFill>
          </w14:textFill>
        </w:rPr>
        <w:t>13</w:t>
      </w:r>
      <w:r>
        <w:rPr>
          <w:rFonts w:hint="default" w:ascii="Times New Roman" w:hAnsi="Times New Roman" w:eastAsia="宋体" w:cs="Times New Roman"/>
          <w:color w:val="000000" w:themeColor="text1"/>
          <w:spacing w:val="-6"/>
          <w14:textFill>
            <w14:solidFill>
              <w14:schemeClr w14:val="tx1"/>
            </w14:solidFill>
          </w14:textFill>
        </w:rPr>
        <w:t>日。</w:t>
      </w:r>
    </w:p>
    <w:p w14:paraId="3F8079C5">
      <w:pPr>
        <w:pStyle w:val="11"/>
        <w:keepNext w:val="0"/>
        <w:keepLines w:val="0"/>
        <w:pageBreakBefore w:val="0"/>
        <w:kinsoku/>
        <w:wordWrap/>
        <w:overflowPunct/>
        <w:topLinePunct w:val="0"/>
        <w:autoSpaceDE/>
        <w:autoSpaceDN/>
        <w:bidi w:val="0"/>
        <w:adjustRightInd/>
        <w:snapToGrid/>
        <w:ind w:firstLine="456"/>
        <w:outlineLvl w:val="9"/>
        <w:rPr>
          <w:rFonts w:hint="default" w:ascii="Times New Roman" w:hAnsi="Times New Roman" w:eastAsia="宋体" w:cs="Times New Roman"/>
          <w:color w:val="000000" w:themeColor="text1"/>
          <w:spacing w:val="-6"/>
          <w14:textFill>
            <w14:solidFill>
              <w14:schemeClr w14:val="tx1"/>
            </w14:solidFill>
          </w14:textFill>
        </w:rPr>
      </w:pPr>
      <w:bookmarkStart w:id="230" w:name="_Toc2474"/>
      <w:bookmarkStart w:id="231" w:name="_Toc11000"/>
      <w:r>
        <w:rPr>
          <w:rFonts w:hint="default" w:ascii="Times New Roman" w:hAnsi="Times New Roman" w:eastAsia="宋体" w:cs="Times New Roman"/>
          <w:color w:val="000000" w:themeColor="text1"/>
          <w:spacing w:val="-6"/>
          <w:lang w:eastAsia="zh-CN"/>
          <w14:textFill>
            <w14:solidFill>
              <w14:schemeClr w14:val="tx1"/>
            </w14:solidFill>
          </w14:textFill>
        </w:rPr>
        <w:t>（4）</w:t>
      </w:r>
      <w:r>
        <w:rPr>
          <w:rFonts w:hint="default" w:ascii="Times New Roman" w:hAnsi="Times New Roman" w:eastAsia="宋体" w:cs="Times New Roman"/>
          <w:color w:val="000000" w:themeColor="text1"/>
          <w:spacing w:val="-6"/>
          <w14:textFill>
            <w14:solidFill>
              <w14:schemeClr w14:val="tx1"/>
            </w14:solidFill>
          </w14:textFill>
        </w:rPr>
        <w:t>分析仪器及方法</w:t>
      </w:r>
      <w:bookmarkEnd w:id="230"/>
      <w:bookmarkEnd w:id="231"/>
    </w:p>
    <w:p w14:paraId="21FAA027">
      <w:pPr>
        <w:pStyle w:val="11"/>
        <w:keepNext w:val="0"/>
        <w:keepLines w:val="0"/>
        <w:pageBreakBefore w:val="0"/>
        <w:kinsoku/>
        <w:wordWrap/>
        <w:overflowPunct/>
        <w:topLinePunct w:val="0"/>
        <w:autoSpaceDE/>
        <w:autoSpaceDN/>
        <w:bidi w:val="0"/>
        <w:adjustRightInd/>
        <w:snapToGrid/>
        <w:ind w:firstLine="456"/>
        <w:outlineLvl w:val="9"/>
        <w:rPr>
          <w:rFonts w:hint="default" w:ascii="Times New Roman" w:hAnsi="Times New Roman" w:eastAsia="宋体" w:cs="Times New Roman"/>
          <w:color w:val="000000" w:themeColor="text1"/>
          <w:spacing w:val="-6"/>
          <w14:textFill>
            <w14:solidFill>
              <w14:schemeClr w14:val="tx1"/>
            </w14:solidFill>
          </w14:textFill>
        </w:rPr>
      </w:pPr>
      <w:r>
        <w:rPr>
          <w:rFonts w:hint="default" w:ascii="Times New Roman" w:hAnsi="Times New Roman" w:eastAsia="宋体" w:cs="Times New Roman"/>
          <w:color w:val="000000" w:themeColor="text1"/>
          <w:spacing w:val="-6"/>
          <w14:textFill>
            <w14:solidFill>
              <w14:schemeClr w14:val="tx1"/>
            </w14:solidFill>
          </w14:textFill>
        </w:rPr>
        <w:t>分析仪器及方法见表</w:t>
      </w:r>
      <w:r>
        <w:rPr>
          <w:rFonts w:hint="default" w:ascii="Times New Roman" w:hAnsi="Times New Roman" w:eastAsia="宋体" w:cs="Times New Roman"/>
          <w:color w:val="000000" w:themeColor="text1"/>
          <w:spacing w:val="-6"/>
          <w:lang w:eastAsia="zh-CN"/>
          <w14:textFill>
            <w14:solidFill>
              <w14:schemeClr w14:val="tx1"/>
            </w14:solidFill>
          </w14:textFill>
        </w:rPr>
        <w:t>4.2-22</w:t>
      </w:r>
      <w:r>
        <w:rPr>
          <w:rFonts w:hint="default" w:ascii="Times New Roman" w:hAnsi="Times New Roman" w:eastAsia="宋体" w:cs="Times New Roman"/>
          <w:color w:val="000000" w:themeColor="text1"/>
          <w:spacing w:val="-6"/>
          <w14:textFill>
            <w14:solidFill>
              <w14:schemeClr w14:val="tx1"/>
            </w14:solidFill>
          </w14:textFill>
        </w:rPr>
        <w:t>。</w:t>
      </w:r>
    </w:p>
    <w:p w14:paraId="714456A6">
      <w:pPr>
        <w:pStyle w:val="11"/>
        <w:keepNext w:val="0"/>
        <w:keepLines w:val="0"/>
        <w:pageBreakBefore w:val="0"/>
        <w:kinsoku/>
        <w:wordWrap/>
        <w:overflowPunct/>
        <w:topLinePunct w:val="0"/>
        <w:autoSpaceDE/>
        <w:autoSpaceDN/>
        <w:bidi w:val="0"/>
        <w:adjustRightInd/>
        <w:snapToGrid/>
        <w:ind w:firstLine="0" w:firstLineChars="0"/>
        <w:jc w:val="center"/>
        <w:outlineLvl w:val="9"/>
        <w:rPr>
          <w:rFonts w:hint="default" w:ascii="Times New Roman" w:hAnsi="Times New Roman" w:eastAsia="宋体" w:cs="Times New Roman"/>
          <w:b/>
          <w:bCs/>
          <w:color w:val="000000" w:themeColor="text1"/>
          <w:spacing w:val="-6"/>
          <w:lang w:eastAsia="zh-CN"/>
          <w14:textFill>
            <w14:solidFill>
              <w14:schemeClr w14:val="tx1"/>
            </w14:solidFill>
          </w14:textFill>
        </w:rPr>
      </w:pPr>
      <w:r>
        <w:rPr>
          <w:rFonts w:hint="default" w:ascii="Times New Roman" w:hAnsi="Times New Roman" w:eastAsia="宋体" w:cs="Times New Roman"/>
          <w:b/>
          <w:bCs/>
          <w:color w:val="000000" w:themeColor="text1"/>
          <w:spacing w:val="-6"/>
          <w:lang w:eastAsia="zh-CN"/>
          <w14:textFill>
            <w14:solidFill>
              <w14:schemeClr w14:val="tx1"/>
            </w14:solidFill>
          </w14:textFill>
        </w:rPr>
        <w:t>表4.2-22分析仪器及方法一览表</w:t>
      </w:r>
    </w:p>
    <w:tbl>
      <w:tblPr>
        <w:tblStyle w:val="29"/>
        <w:tblW w:w="892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36"/>
        <w:gridCol w:w="1473"/>
        <w:gridCol w:w="3107"/>
        <w:gridCol w:w="2008"/>
      </w:tblGrid>
      <w:tr w14:paraId="07B5A4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336" w:type="dxa"/>
            <w:vAlign w:val="center"/>
          </w:tcPr>
          <w:p w14:paraId="0974919E">
            <w:pPr>
              <w:pStyle w:val="11"/>
              <w:keepNext w:val="0"/>
              <w:keepLines w:val="0"/>
              <w:pageBreakBefore w:val="0"/>
              <w:kinsoku/>
              <w:wordWrap/>
              <w:overflowPunct/>
              <w:topLinePunct w:val="0"/>
              <w:autoSpaceDE/>
              <w:autoSpaceDN/>
              <w:bidi w:val="0"/>
              <w:adjustRightInd/>
              <w:snapToGrid/>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检测项目</w:t>
            </w:r>
          </w:p>
        </w:tc>
        <w:tc>
          <w:tcPr>
            <w:tcW w:w="1473" w:type="dxa"/>
            <w:vAlign w:val="center"/>
          </w:tcPr>
          <w:p w14:paraId="478C280C">
            <w:pPr>
              <w:pStyle w:val="11"/>
              <w:keepNext w:val="0"/>
              <w:keepLines w:val="0"/>
              <w:pageBreakBefore w:val="0"/>
              <w:kinsoku/>
              <w:wordWrap/>
              <w:overflowPunct/>
              <w:topLinePunct w:val="0"/>
              <w:autoSpaceDE/>
              <w:autoSpaceDN/>
              <w:bidi w:val="0"/>
              <w:adjustRightInd/>
              <w:snapToGrid/>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检出限</w:t>
            </w:r>
          </w:p>
        </w:tc>
        <w:tc>
          <w:tcPr>
            <w:tcW w:w="3107" w:type="dxa"/>
            <w:vAlign w:val="center"/>
          </w:tcPr>
          <w:p w14:paraId="2161AD07">
            <w:pPr>
              <w:pStyle w:val="11"/>
              <w:keepNext w:val="0"/>
              <w:keepLines w:val="0"/>
              <w:pageBreakBefore w:val="0"/>
              <w:kinsoku/>
              <w:wordWrap/>
              <w:overflowPunct/>
              <w:topLinePunct w:val="0"/>
              <w:autoSpaceDE/>
              <w:autoSpaceDN/>
              <w:bidi w:val="0"/>
              <w:adjustRightInd/>
              <w:snapToGrid/>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检测</w:t>
            </w:r>
            <w:r>
              <w:rPr>
                <w:rFonts w:hint="default" w:ascii="Times New Roman" w:hAnsi="Times New Roman" w:eastAsia="宋体" w:cs="Times New Roman"/>
                <w:color w:val="000000" w:themeColor="text1"/>
                <w:spacing w:val="-6"/>
                <w:sz w:val="21"/>
                <w:szCs w:val="21"/>
                <w:lang w:val="zh-TW" w:eastAsia="zh-TW"/>
                <w14:textFill>
                  <w14:solidFill>
                    <w14:schemeClr w14:val="tx1"/>
                  </w14:solidFill>
                </w14:textFill>
              </w:rPr>
              <w:t>标准（方法）</w:t>
            </w:r>
          </w:p>
        </w:tc>
        <w:tc>
          <w:tcPr>
            <w:tcW w:w="2008" w:type="dxa"/>
            <w:vAlign w:val="center"/>
          </w:tcPr>
          <w:p w14:paraId="03551EDA">
            <w:pPr>
              <w:pStyle w:val="11"/>
              <w:keepNext w:val="0"/>
              <w:keepLines w:val="0"/>
              <w:pageBreakBefore w:val="0"/>
              <w:kinsoku/>
              <w:wordWrap/>
              <w:overflowPunct/>
              <w:topLinePunct w:val="0"/>
              <w:autoSpaceDE/>
              <w:autoSpaceDN/>
              <w:bidi w:val="0"/>
              <w:adjustRightInd/>
              <w:snapToGrid/>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主要检测仪器及编号</w:t>
            </w:r>
          </w:p>
        </w:tc>
      </w:tr>
      <w:tr w14:paraId="0BF567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336" w:type="dxa"/>
            <w:vAlign w:val="center"/>
          </w:tcPr>
          <w:p w14:paraId="478B293C">
            <w:pPr>
              <w:pStyle w:val="11"/>
              <w:keepNext w:val="0"/>
              <w:keepLines w:val="0"/>
              <w:pageBreakBefore w:val="0"/>
              <w:kinsoku/>
              <w:wordWrap/>
              <w:overflowPunct/>
              <w:topLinePunct w:val="0"/>
              <w:autoSpaceDE/>
              <w:autoSpaceDN/>
              <w:bidi w:val="0"/>
              <w:adjustRightInd/>
              <w:snapToGrid/>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砷</w:t>
            </w:r>
          </w:p>
        </w:tc>
        <w:tc>
          <w:tcPr>
            <w:tcW w:w="1473" w:type="dxa"/>
            <w:vAlign w:val="center"/>
          </w:tcPr>
          <w:p w14:paraId="2C073FCE">
            <w:pPr>
              <w:pStyle w:val="11"/>
              <w:keepNext w:val="0"/>
              <w:keepLines w:val="0"/>
              <w:pageBreakBefore w:val="0"/>
              <w:kinsoku/>
              <w:wordWrap/>
              <w:overflowPunct/>
              <w:topLinePunct w:val="0"/>
              <w:autoSpaceDE/>
              <w:autoSpaceDN/>
              <w:bidi w:val="0"/>
              <w:adjustRightInd/>
              <w:snapToGrid/>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0.01mg/kg</w:t>
            </w:r>
          </w:p>
        </w:tc>
        <w:tc>
          <w:tcPr>
            <w:tcW w:w="3107" w:type="dxa"/>
            <w:vAlign w:val="center"/>
          </w:tcPr>
          <w:p w14:paraId="27B48D9A">
            <w:pPr>
              <w:pStyle w:val="11"/>
              <w:keepNext w:val="0"/>
              <w:keepLines w:val="0"/>
              <w:pageBreakBefore w:val="0"/>
              <w:kinsoku/>
              <w:wordWrap/>
              <w:overflowPunct/>
              <w:topLinePunct w:val="0"/>
              <w:autoSpaceDE/>
              <w:autoSpaceDN/>
              <w:bidi w:val="0"/>
              <w:adjustRightInd/>
              <w:snapToGrid/>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《土壤质量总汞、总砷、总铅的测定原子荧光法第2部分：土壤中总砷的测定》/GB/T22105.2-2008</w:t>
            </w:r>
          </w:p>
        </w:tc>
        <w:tc>
          <w:tcPr>
            <w:tcW w:w="2008" w:type="dxa"/>
            <w:vAlign w:val="center"/>
          </w:tcPr>
          <w:p w14:paraId="01977C30">
            <w:pPr>
              <w:pStyle w:val="11"/>
              <w:keepNext w:val="0"/>
              <w:keepLines w:val="0"/>
              <w:pageBreakBefore w:val="0"/>
              <w:kinsoku/>
              <w:wordWrap/>
              <w:overflowPunct/>
              <w:topLinePunct w:val="0"/>
              <w:autoSpaceDE/>
              <w:autoSpaceDN/>
              <w:bidi w:val="0"/>
              <w:adjustRightInd/>
              <w:snapToGrid/>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原子荧光分光光度计</w:t>
            </w:r>
          </w:p>
          <w:p w14:paraId="03F04930">
            <w:pPr>
              <w:pStyle w:val="11"/>
              <w:keepNext w:val="0"/>
              <w:keepLines w:val="0"/>
              <w:pageBreakBefore w:val="0"/>
              <w:kinsoku/>
              <w:wordWrap/>
              <w:overflowPunct/>
              <w:topLinePunct w:val="0"/>
              <w:autoSpaceDE/>
              <w:autoSpaceDN/>
              <w:bidi w:val="0"/>
              <w:adjustRightInd/>
              <w:snapToGrid/>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AFS-8220、YQ-001</w:t>
            </w:r>
          </w:p>
        </w:tc>
      </w:tr>
      <w:tr w14:paraId="1B3F4B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336" w:type="dxa"/>
            <w:vAlign w:val="center"/>
          </w:tcPr>
          <w:p w14:paraId="10E16E9A">
            <w:pPr>
              <w:pStyle w:val="11"/>
              <w:keepNext w:val="0"/>
              <w:keepLines w:val="0"/>
              <w:pageBreakBefore w:val="0"/>
              <w:kinsoku/>
              <w:wordWrap/>
              <w:overflowPunct/>
              <w:topLinePunct w:val="0"/>
              <w:autoSpaceDE/>
              <w:autoSpaceDN/>
              <w:bidi w:val="0"/>
              <w:adjustRightInd/>
              <w:snapToGrid/>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镉</w:t>
            </w:r>
          </w:p>
        </w:tc>
        <w:tc>
          <w:tcPr>
            <w:tcW w:w="1473" w:type="dxa"/>
            <w:vAlign w:val="center"/>
          </w:tcPr>
          <w:p w14:paraId="7E3EF0DF">
            <w:pPr>
              <w:pStyle w:val="11"/>
              <w:keepNext w:val="0"/>
              <w:keepLines w:val="0"/>
              <w:pageBreakBefore w:val="0"/>
              <w:kinsoku/>
              <w:wordWrap/>
              <w:overflowPunct/>
              <w:topLinePunct w:val="0"/>
              <w:autoSpaceDE/>
              <w:autoSpaceDN/>
              <w:bidi w:val="0"/>
              <w:adjustRightInd/>
              <w:snapToGrid/>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0.01mg/kg</w:t>
            </w:r>
          </w:p>
        </w:tc>
        <w:tc>
          <w:tcPr>
            <w:tcW w:w="3107" w:type="dxa"/>
            <w:vAlign w:val="center"/>
          </w:tcPr>
          <w:p w14:paraId="126AF1B9">
            <w:pPr>
              <w:pStyle w:val="11"/>
              <w:keepNext w:val="0"/>
              <w:keepLines w:val="0"/>
              <w:pageBreakBefore w:val="0"/>
              <w:kinsoku/>
              <w:wordWrap/>
              <w:overflowPunct/>
              <w:topLinePunct w:val="0"/>
              <w:autoSpaceDE/>
              <w:autoSpaceDN/>
              <w:bidi w:val="0"/>
              <w:adjustRightInd/>
              <w:snapToGrid/>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《土壤质量铅、镉的测定石墨炉原子吸收分光光度法》/GB/T17141-1997</w:t>
            </w:r>
          </w:p>
        </w:tc>
        <w:tc>
          <w:tcPr>
            <w:tcW w:w="2008" w:type="dxa"/>
            <w:vMerge w:val="restart"/>
            <w:vAlign w:val="center"/>
          </w:tcPr>
          <w:p w14:paraId="0AA8E5BB">
            <w:pPr>
              <w:pStyle w:val="11"/>
              <w:keepNext w:val="0"/>
              <w:keepLines w:val="0"/>
              <w:pageBreakBefore w:val="0"/>
              <w:kinsoku/>
              <w:wordWrap/>
              <w:overflowPunct/>
              <w:topLinePunct w:val="0"/>
              <w:autoSpaceDE/>
              <w:autoSpaceDN/>
              <w:bidi w:val="0"/>
              <w:adjustRightInd/>
              <w:snapToGrid/>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原子吸收分光光度计</w:t>
            </w:r>
          </w:p>
          <w:p w14:paraId="286E5D6B">
            <w:pPr>
              <w:pStyle w:val="11"/>
              <w:keepNext w:val="0"/>
              <w:keepLines w:val="0"/>
              <w:pageBreakBefore w:val="0"/>
              <w:kinsoku/>
              <w:wordWrap/>
              <w:overflowPunct/>
              <w:topLinePunct w:val="0"/>
              <w:autoSpaceDE/>
              <w:autoSpaceDN/>
              <w:bidi w:val="0"/>
              <w:adjustRightInd/>
              <w:snapToGrid/>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SP-3803AA、YQ-002</w:t>
            </w:r>
          </w:p>
        </w:tc>
      </w:tr>
      <w:tr w14:paraId="1E6236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336" w:type="dxa"/>
            <w:vAlign w:val="center"/>
          </w:tcPr>
          <w:p w14:paraId="152B47E6">
            <w:pPr>
              <w:pStyle w:val="11"/>
              <w:keepNext w:val="0"/>
              <w:keepLines w:val="0"/>
              <w:pageBreakBefore w:val="0"/>
              <w:kinsoku/>
              <w:wordWrap/>
              <w:overflowPunct/>
              <w:topLinePunct w:val="0"/>
              <w:autoSpaceDE/>
              <w:autoSpaceDN/>
              <w:bidi w:val="0"/>
              <w:adjustRightInd/>
              <w:snapToGrid/>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eastAsia" w:ascii="Times New Roman" w:hAnsi="Times New Roman" w:cs="Times New Roman"/>
                <w:color w:val="000000" w:themeColor="text1"/>
                <w:spacing w:val="-6"/>
                <w:sz w:val="21"/>
                <w:szCs w:val="21"/>
                <w:lang w:val="en-US" w:eastAsia="zh-CN"/>
                <w14:textFill>
                  <w14:solidFill>
                    <w14:schemeClr w14:val="tx1"/>
                  </w14:solidFill>
                </w14:textFill>
              </w:rPr>
              <w:t>总</w:t>
            </w:r>
            <w:r>
              <w:rPr>
                <w:rFonts w:hint="default" w:ascii="Times New Roman" w:hAnsi="Times New Roman" w:eastAsia="宋体" w:cs="Times New Roman"/>
                <w:color w:val="000000" w:themeColor="text1"/>
                <w:spacing w:val="-6"/>
                <w:sz w:val="21"/>
                <w:szCs w:val="21"/>
                <w14:textFill>
                  <w14:solidFill>
                    <w14:schemeClr w14:val="tx1"/>
                  </w14:solidFill>
                </w14:textFill>
              </w:rPr>
              <w:t>铬</w:t>
            </w:r>
          </w:p>
        </w:tc>
        <w:tc>
          <w:tcPr>
            <w:tcW w:w="1473" w:type="dxa"/>
            <w:vAlign w:val="center"/>
          </w:tcPr>
          <w:p w14:paraId="53668A4A">
            <w:pPr>
              <w:pStyle w:val="11"/>
              <w:keepNext w:val="0"/>
              <w:keepLines w:val="0"/>
              <w:pageBreakBefore w:val="0"/>
              <w:kinsoku/>
              <w:wordWrap/>
              <w:overflowPunct/>
              <w:topLinePunct w:val="0"/>
              <w:autoSpaceDE/>
              <w:autoSpaceDN/>
              <w:bidi w:val="0"/>
              <w:adjustRightInd/>
              <w:snapToGrid/>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0.5mg/kg</w:t>
            </w:r>
          </w:p>
        </w:tc>
        <w:tc>
          <w:tcPr>
            <w:tcW w:w="3107" w:type="dxa"/>
            <w:vAlign w:val="center"/>
          </w:tcPr>
          <w:p w14:paraId="5D8A3BBE">
            <w:pPr>
              <w:pStyle w:val="11"/>
              <w:keepNext w:val="0"/>
              <w:keepLines w:val="0"/>
              <w:pageBreakBefore w:val="0"/>
              <w:kinsoku/>
              <w:wordWrap/>
              <w:overflowPunct/>
              <w:topLinePunct w:val="0"/>
              <w:autoSpaceDE/>
              <w:autoSpaceDN/>
              <w:bidi w:val="0"/>
              <w:adjustRightInd/>
              <w:snapToGrid/>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《土壤和沉积物六价铬的测定碱溶液提取-火焰原子吸收分光光度法》/HJ1082-2019</w:t>
            </w:r>
          </w:p>
        </w:tc>
        <w:tc>
          <w:tcPr>
            <w:tcW w:w="2008" w:type="dxa"/>
            <w:vMerge w:val="continue"/>
            <w:vAlign w:val="center"/>
          </w:tcPr>
          <w:p w14:paraId="54AA3D17">
            <w:pPr>
              <w:pStyle w:val="11"/>
              <w:keepNext w:val="0"/>
              <w:keepLines w:val="0"/>
              <w:pageBreakBefore w:val="0"/>
              <w:kinsoku/>
              <w:wordWrap/>
              <w:overflowPunct/>
              <w:topLinePunct w:val="0"/>
              <w:autoSpaceDE/>
              <w:autoSpaceDN/>
              <w:bidi w:val="0"/>
              <w:adjustRightInd/>
              <w:snapToGrid/>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p>
        </w:tc>
      </w:tr>
      <w:tr w14:paraId="5E6E25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336" w:type="dxa"/>
            <w:vAlign w:val="center"/>
          </w:tcPr>
          <w:p w14:paraId="59E963EC">
            <w:pPr>
              <w:pStyle w:val="11"/>
              <w:keepNext w:val="0"/>
              <w:keepLines w:val="0"/>
              <w:pageBreakBefore w:val="0"/>
              <w:kinsoku/>
              <w:wordWrap/>
              <w:overflowPunct/>
              <w:topLinePunct w:val="0"/>
              <w:autoSpaceDE/>
              <w:autoSpaceDN/>
              <w:bidi w:val="0"/>
              <w:adjustRightInd/>
              <w:snapToGrid/>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铜</w:t>
            </w:r>
          </w:p>
        </w:tc>
        <w:tc>
          <w:tcPr>
            <w:tcW w:w="1473" w:type="dxa"/>
            <w:vAlign w:val="center"/>
          </w:tcPr>
          <w:p w14:paraId="78EFA4E3">
            <w:pPr>
              <w:pStyle w:val="11"/>
              <w:keepNext w:val="0"/>
              <w:keepLines w:val="0"/>
              <w:pageBreakBefore w:val="0"/>
              <w:kinsoku/>
              <w:wordWrap/>
              <w:overflowPunct/>
              <w:topLinePunct w:val="0"/>
              <w:autoSpaceDE/>
              <w:autoSpaceDN/>
              <w:bidi w:val="0"/>
              <w:adjustRightInd/>
              <w:snapToGrid/>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1mg/kg</w:t>
            </w:r>
          </w:p>
        </w:tc>
        <w:tc>
          <w:tcPr>
            <w:tcW w:w="3107" w:type="dxa"/>
            <w:vMerge w:val="restart"/>
            <w:vAlign w:val="center"/>
          </w:tcPr>
          <w:p w14:paraId="4C9BBCAD">
            <w:pPr>
              <w:pStyle w:val="11"/>
              <w:keepNext w:val="0"/>
              <w:keepLines w:val="0"/>
              <w:pageBreakBefore w:val="0"/>
              <w:kinsoku/>
              <w:wordWrap/>
              <w:overflowPunct/>
              <w:topLinePunct w:val="0"/>
              <w:autoSpaceDE/>
              <w:autoSpaceDN/>
              <w:bidi w:val="0"/>
              <w:adjustRightInd/>
              <w:snapToGrid/>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《土壤和沉积物铜、锌、铅、镍、铬的测定火焰原子吸收分光光度法》/HJ491-2019</w:t>
            </w:r>
          </w:p>
        </w:tc>
        <w:tc>
          <w:tcPr>
            <w:tcW w:w="2008" w:type="dxa"/>
            <w:vMerge w:val="restart"/>
            <w:vAlign w:val="center"/>
          </w:tcPr>
          <w:p w14:paraId="1DF68265">
            <w:pPr>
              <w:pStyle w:val="11"/>
              <w:keepNext w:val="0"/>
              <w:keepLines w:val="0"/>
              <w:pageBreakBefore w:val="0"/>
              <w:kinsoku/>
              <w:wordWrap/>
              <w:overflowPunct/>
              <w:topLinePunct w:val="0"/>
              <w:autoSpaceDE/>
              <w:autoSpaceDN/>
              <w:bidi w:val="0"/>
              <w:adjustRightInd/>
              <w:snapToGrid/>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原子吸收分光光度计</w:t>
            </w:r>
          </w:p>
          <w:p w14:paraId="32291552">
            <w:pPr>
              <w:pStyle w:val="11"/>
              <w:keepNext w:val="0"/>
              <w:keepLines w:val="0"/>
              <w:pageBreakBefore w:val="0"/>
              <w:kinsoku/>
              <w:wordWrap/>
              <w:overflowPunct/>
              <w:topLinePunct w:val="0"/>
              <w:autoSpaceDE/>
              <w:autoSpaceDN/>
              <w:bidi w:val="0"/>
              <w:adjustRightInd/>
              <w:snapToGrid/>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SP-3803AA、YQ-002</w:t>
            </w:r>
          </w:p>
        </w:tc>
      </w:tr>
      <w:tr w14:paraId="2AB0ED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336" w:type="dxa"/>
            <w:vAlign w:val="center"/>
          </w:tcPr>
          <w:p w14:paraId="463AB388">
            <w:pPr>
              <w:pStyle w:val="11"/>
              <w:keepNext w:val="0"/>
              <w:keepLines w:val="0"/>
              <w:pageBreakBefore w:val="0"/>
              <w:kinsoku/>
              <w:wordWrap/>
              <w:overflowPunct/>
              <w:topLinePunct w:val="0"/>
              <w:autoSpaceDE/>
              <w:autoSpaceDN/>
              <w:bidi w:val="0"/>
              <w:adjustRightInd/>
              <w:snapToGrid/>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铅</w:t>
            </w:r>
          </w:p>
        </w:tc>
        <w:tc>
          <w:tcPr>
            <w:tcW w:w="1473" w:type="dxa"/>
            <w:vAlign w:val="center"/>
          </w:tcPr>
          <w:p w14:paraId="27469338">
            <w:pPr>
              <w:pStyle w:val="11"/>
              <w:keepNext w:val="0"/>
              <w:keepLines w:val="0"/>
              <w:pageBreakBefore w:val="0"/>
              <w:kinsoku/>
              <w:wordWrap/>
              <w:overflowPunct/>
              <w:topLinePunct w:val="0"/>
              <w:autoSpaceDE/>
              <w:autoSpaceDN/>
              <w:bidi w:val="0"/>
              <w:adjustRightInd/>
              <w:snapToGrid/>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10mg/kg</w:t>
            </w:r>
          </w:p>
        </w:tc>
        <w:tc>
          <w:tcPr>
            <w:tcW w:w="3107" w:type="dxa"/>
            <w:vMerge w:val="continue"/>
            <w:vAlign w:val="center"/>
          </w:tcPr>
          <w:p w14:paraId="75F58C42">
            <w:pPr>
              <w:pStyle w:val="11"/>
              <w:keepNext w:val="0"/>
              <w:keepLines w:val="0"/>
              <w:pageBreakBefore w:val="0"/>
              <w:kinsoku/>
              <w:wordWrap/>
              <w:overflowPunct/>
              <w:topLinePunct w:val="0"/>
              <w:autoSpaceDE/>
              <w:autoSpaceDN/>
              <w:bidi w:val="0"/>
              <w:adjustRightInd/>
              <w:snapToGrid/>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p>
        </w:tc>
        <w:tc>
          <w:tcPr>
            <w:tcW w:w="2008" w:type="dxa"/>
            <w:vMerge w:val="continue"/>
            <w:vAlign w:val="center"/>
          </w:tcPr>
          <w:p w14:paraId="427A683D">
            <w:pPr>
              <w:pStyle w:val="11"/>
              <w:keepNext w:val="0"/>
              <w:keepLines w:val="0"/>
              <w:pageBreakBefore w:val="0"/>
              <w:kinsoku/>
              <w:wordWrap/>
              <w:overflowPunct/>
              <w:topLinePunct w:val="0"/>
              <w:autoSpaceDE/>
              <w:autoSpaceDN/>
              <w:bidi w:val="0"/>
              <w:adjustRightInd/>
              <w:snapToGrid/>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p>
        </w:tc>
      </w:tr>
      <w:tr w14:paraId="5FF274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336" w:type="dxa"/>
            <w:vAlign w:val="center"/>
          </w:tcPr>
          <w:p w14:paraId="6898B857">
            <w:pPr>
              <w:pStyle w:val="11"/>
              <w:keepNext w:val="0"/>
              <w:keepLines w:val="0"/>
              <w:pageBreakBefore w:val="0"/>
              <w:kinsoku/>
              <w:wordWrap/>
              <w:overflowPunct/>
              <w:topLinePunct w:val="0"/>
              <w:autoSpaceDE/>
              <w:autoSpaceDN/>
              <w:bidi w:val="0"/>
              <w:adjustRightInd/>
              <w:snapToGrid/>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镍</w:t>
            </w:r>
          </w:p>
        </w:tc>
        <w:tc>
          <w:tcPr>
            <w:tcW w:w="1473" w:type="dxa"/>
            <w:vAlign w:val="center"/>
          </w:tcPr>
          <w:p w14:paraId="37C4CF1B">
            <w:pPr>
              <w:pStyle w:val="11"/>
              <w:keepNext w:val="0"/>
              <w:keepLines w:val="0"/>
              <w:pageBreakBefore w:val="0"/>
              <w:kinsoku/>
              <w:wordWrap/>
              <w:overflowPunct/>
              <w:topLinePunct w:val="0"/>
              <w:autoSpaceDE/>
              <w:autoSpaceDN/>
              <w:bidi w:val="0"/>
              <w:adjustRightInd/>
              <w:snapToGrid/>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3mg/kg</w:t>
            </w:r>
          </w:p>
        </w:tc>
        <w:tc>
          <w:tcPr>
            <w:tcW w:w="3107" w:type="dxa"/>
            <w:vMerge w:val="continue"/>
            <w:vAlign w:val="center"/>
          </w:tcPr>
          <w:p w14:paraId="683AA15D">
            <w:pPr>
              <w:pStyle w:val="11"/>
              <w:keepNext w:val="0"/>
              <w:keepLines w:val="0"/>
              <w:pageBreakBefore w:val="0"/>
              <w:kinsoku/>
              <w:wordWrap/>
              <w:overflowPunct/>
              <w:topLinePunct w:val="0"/>
              <w:autoSpaceDE/>
              <w:autoSpaceDN/>
              <w:bidi w:val="0"/>
              <w:adjustRightInd/>
              <w:snapToGrid/>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p>
        </w:tc>
        <w:tc>
          <w:tcPr>
            <w:tcW w:w="2008" w:type="dxa"/>
            <w:vMerge w:val="continue"/>
            <w:vAlign w:val="center"/>
          </w:tcPr>
          <w:p w14:paraId="04842C1C">
            <w:pPr>
              <w:pStyle w:val="11"/>
              <w:keepNext w:val="0"/>
              <w:keepLines w:val="0"/>
              <w:pageBreakBefore w:val="0"/>
              <w:kinsoku/>
              <w:wordWrap/>
              <w:overflowPunct/>
              <w:topLinePunct w:val="0"/>
              <w:autoSpaceDE/>
              <w:autoSpaceDN/>
              <w:bidi w:val="0"/>
              <w:adjustRightInd/>
              <w:snapToGrid/>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p>
        </w:tc>
      </w:tr>
      <w:tr w14:paraId="28D477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336" w:type="dxa"/>
            <w:vAlign w:val="center"/>
          </w:tcPr>
          <w:p w14:paraId="4794992F">
            <w:pPr>
              <w:pStyle w:val="11"/>
              <w:keepNext w:val="0"/>
              <w:keepLines w:val="0"/>
              <w:pageBreakBefore w:val="0"/>
              <w:kinsoku/>
              <w:wordWrap/>
              <w:overflowPunct/>
              <w:topLinePunct w:val="0"/>
              <w:autoSpaceDE/>
              <w:autoSpaceDN/>
              <w:bidi w:val="0"/>
              <w:adjustRightInd/>
              <w:snapToGrid/>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铬</w:t>
            </w:r>
          </w:p>
        </w:tc>
        <w:tc>
          <w:tcPr>
            <w:tcW w:w="1473" w:type="dxa"/>
            <w:vAlign w:val="center"/>
          </w:tcPr>
          <w:p w14:paraId="53434009">
            <w:pPr>
              <w:pStyle w:val="11"/>
              <w:keepNext w:val="0"/>
              <w:keepLines w:val="0"/>
              <w:pageBreakBefore w:val="0"/>
              <w:kinsoku/>
              <w:wordWrap/>
              <w:overflowPunct/>
              <w:topLinePunct w:val="0"/>
              <w:autoSpaceDE/>
              <w:autoSpaceDN/>
              <w:bidi w:val="0"/>
              <w:adjustRightInd/>
              <w:snapToGrid/>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4mg/kg</w:t>
            </w:r>
          </w:p>
        </w:tc>
        <w:tc>
          <w:tcPr>
            <w:tcW w:w="3107" w:type="dxa"/>
            <w:vMerge w:val="continue"/>
            <w:vAlign w:val="center"/>
          </w:tcPr>
          <w:p w14:paraId="4E088C08">
            <w:pPr>
              <w:pStyle w:val="11"/>
              <w:keepNext w:val="0"/>
              <w:keepLines w:val="0"/>
              <w:pageBreakBefore w:val="0"/>
              <w:kinsoku/>
              <w:wordWrap/>
              <w:overflowPunct/>
              <w:topLinePunct w:val="0"/>
              <w:autoSpaceDE/>
              <w:autoSpaceDN/>
              <w:bidi w:val="0"/>
              <w:adjustRightInd/>
              <w:snapToGrid/>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p>
        </w:tc>
        <w:tc>
          <w:tcPr>
            <w:tcW w:w="2008" w:type="dxa"/>
            <w:vMerge w:val="continue"/>
            <w:vAlign w:val="center"/>
          </w:tcPr>
          <w:p w14:paraId="79DDBE34">
            <w:pPr>
              <w:pStyle w:val="11"/>
              <w:keepNext w:val="0"/>
              <w:keepLines w:val="0"/>
              <w:pageBreakBefore w:val="0"/>
              <w:kinsoku/>
              <w:wordWrap/>
              <w:overflowPunct/>
              <w:topLinePunct w:val="0"/>
              <w:autoSpaceDE/>
              <w:autoSpaceDN/>
              <w:bidi w:val="0"/>
              <w:adjustRightInd/>
              <w:snapToGrid/>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p>
        </w:tc>
      </w:tr>
      <w:tr w14:paraId="70F6D0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336" w:type="dxa"/>
            <w:vAlign w:val="center"/>
          </w:tcPr>
          <w:p w14:paraId="2162BEB1">
            <w:pPr>
              <w:pStyle w:val="11"/>
              <w:keepNext w:val="0"/>
              <w:keepLines w:val="0"/>
              <w:pageBreakBefore w:val="0"/>
              <w:kinsoku/>
              <w:wordWrap/>
              <w:overflowPunct/>
              <w:topLinePunct w:val="0"/>
              <w:autoSpaceDE/>
              <w:autoSpaceDN/>
              <w:bidi w:val="0"/>
              <w:adjustRightInd/>
              <w:snapToGrid/>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锌</w:t>
            </w:r>
          </w:p>
        </w:tc>
        <w:tc>
          <w:tcPr>
            <w:tcW w:w="1473" w:type="dxa"/>
            <w:vAlign w:val="center"/>
          </w:tcPr>
          <w:p w14:paraId="5EC64DF4">
            <w:pPr>
              <w:pStyle w:val="11"/>
              <w:keepNext w:val="0"/>
              <w:keepLines w:val="0"/>
              <w:pageBreakBefore w:val="0"/>
              <w:kinsoku/>
              <w:wordWrap/>
              <w:overflowPunct/>
              <w:topLinePunct w:val="0"/>
              <w:autoSpaceDE/>
              <w:autoSpaceDN/>
              <w:bidi w:val="0"/>
              <w:adjustRightInd/>
              <w:snapToGrid/>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1mg/kg</w:t>
            </w:r>
          </w:p>
        </w:tc>
        <w:tc>
          <w:tcPr>
            <w:tcW w:w="3107" w:type="dxa"/>
            <w:vMerge w:val="continue"/>
            <w:vAlign w:val="center"/>
          </w:tcPr>
          <w:p w14:paraId="72F97B70">
            <w:pPr>
              <w:pStyle w:val="11"/>
              <w:keepNext w:val="0"/>
              <w:keepLines w:val="0"/>
              <w:pageBreakBefore w:val="0"/>
              <w:kinsoku/>
              <w:wordWrap/>
              <w:overflowPunct/>
              <w:topLinePunct w:val="0"/>
              <w:autoSpaceDE/>
              <w:autoSpaceDN/>
              <w:bidi w:val="0"/>
              <w:adjustRightInd/>
              <w:snapToGrid/>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p>
        </w:tc>
        <w:tc>
          <w:tcPr>
            <w:tcW w:w="2008" w:type="dxa"/>
            <w:vMerge w:val="continue"/>
            <w:vAlign w:val="center"/>
          </w:tcPr>
          <w:p w14:paraId="7B9EE99E">
            <w:pPr>
              <w:pStyle w:val="11"/>
              <w:keepNext w:val="0"/>
              <w:keepLines w:val="0"/>
              <w:pageBreakBefore w:val="0"/>
              <w:kinsoku/>
              <w:wordWrap/>
              <w:overflowPunct/>
              <w:topLinePunct w:val="0"/>
              <w:autoSpaceDE/>
              <w:autoSpaceDN/>
              <w:bidi w:val="0"/>
              <w:adjustRightInd/>
              <w:snapToGrid/>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p>
        </w:tc>
      </w:tr>
      <w:tr w14:paraId="48E91C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336" w:type="dxa"/>
            <w:vAlign w:val="center"/>
          </w:tcPr>
          <w:p w14:paraId="0CC23EC5">
            <w:pPr>
              <w:pStyle w:val="11"/>
              <w:keepNext w:val="0"/>
              <w:keepLines w:val="0"/>
              <w:pageBreakBefore w:val="0"/>
              <w:kinsoku/>
              <w:wordWrap/>
              <w:overflowPunct/>
              <w:topLinePunct w:val="0"/>
              <w:autoSpaceDE/>
              <w:autoSpaceDN/>
              <w:bidi w:val="0"/>
              <w:adjustRightInd/>
              <w:snapToGrid/>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汞</w:t>
            </w:r>
          </w:p>
        </w:tc>
        <w:tc>
          <w:tcPr>
            <w:tcW w:w="1473" w:type="dxa"/>
            <w:vAlign w:val="center"/>
          </w:tcPr>
          <w:p w14:paraId="46EC04F4">
            <w:pPr>
              <w:pStyle w:val="11"/>
              <w:keepNext w:val="0"/>
              <w:keepLines w:val="0"/>
              <w:pageBreakBefore w:val="0"/>
              <w:kinsoku/>
              <w:wordWrap/>
              <w:overflowPunct/>
              <w:topLinePunct w:val="0"/>
              <w:autoSpaceDE/>
              <w:autoSpaceDN/>
              <w:bidi w:val="0"/>
              <w:adjustRightInd/>
              <w:snapToGrid/>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0.002mg/kg</w:t>
            </w:r>
          </w:p>
        </w:tc>
        <w:tc>
          <w:tcPr>
            <w:tcW w:w="3107" w:type="dxa"/>
            <w:vAlign w:val="center"/>
          </w:tcPr>
          <w:p w14:paraId="34A7DD0D">
            <w:pPr>
              <w:pStyle w:val="11"/>
              <w:keepNext w:val="0"/>
              <w:keepLines w:val="0"/>
              <w:pageBreakBefore w:val="0"/>
              <w:kinsoku/>
              <w:wordWrap/>
              <w:overflowPunct/>
              <w:topLinePunct w:val="0"/>
              <w:autoSpaceDE/>
              <w:autoSpaceDN/>
              <w:bidi w:val="0"/>
              <w:adjustRightInd/>
              <w:snapToGrid/>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《土壤质量总汞、总砷、总铅的测定原子荧光法第1部分：土壤中总汞的测定》/GB/T22105.1-2008</w:t>
            </w:r>
          </w:p>
        </w:tc>
        <w:tc>
          <w:tcPr>
            <w:tcW w:w="2008" w:type="dxa"/>
            <w:vAlign w:val="center"/>
          </w:tcPr>
          <w:p w14:paraId="72D83272">
            <w:pPr>
              <w:pStyle w:val="11"/>
              <w:keepNext w:val="0"/>
              <w:keepLines w:val="0"/>
              <w:pageBreakBefore w:val="0"/>
              <w:kinsoku/>
              <w:wordWrap/>
              <w:overflowPunct/>
              <w:topLinePunct w:val="0"/>
              <w:autoSpaceDE/>
              <w:autoSpaceDN/>
              <w:bidi w:val="0"/>
              <w:adjustRightInd/>
              <w:snapToGrid/>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原子荧光分光光度计</w:t>
            </w:r>
          </w:p>
          <w:p w14:paraId="3202F7DF">
            <w:pPr>
              <w:pStyle w:val="11"/>
              <w:keepNext w:val="0"/>
              <w:keepLines w:val="0"/>
              <w:pageBreakBefore w:val="0"/>
              <w:kinsoku/>
              <w:wordWrap/>
              <w:overflowPunct/>
              <w:topLinePunct w:val="0"/>
              <w:autoSpaceDE/>
              <w:autoSpaceDN/>
              <w:bidi w:val="0"/>
              <w:adjustRightInd/>
              <w:snapToGrid/>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AFS-8220、YQ-001</w:t>
            </w:r>
          </w:p>
        </w:tc>
      </w:tr>
      <w:tr w14:paraId="780664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336" w:type="dxa"/>
            <w:vAlign w:val="center"/>
          </w:tcPr>
          <w:p w14:paraId="73940DB5">
            <w:pPr>
              <w:pStyle w:val="11"/>
              <w:keepNext w:val="0"/>
              <w:keepLines w:val="0"/>
              <w:pageBreakBefore w:val="0"/>
              <w:kinsoku/>
              <w:wordWrap/>
              <w:overflowPunct/>
              <w:topLinePunct w:val="0"/>
              <w:autoSpaceDE/>
              <w:autoSpaceDN/>
              <w:bidi w:val="0"/>
              <w:adjustRightInd/>
              <w:snapToGrid/>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pH值</w:t>
            </w:r>
          </w:p>
        </w:tc>
        <w:tc>
          <w:tcPr>
            <w:tcW w:w="1473" w:type="dxa"/>
            <w:vAlign w:val="center"/>
          </w:tcPr>
          <w:p w14:paraId="5A78FD71">
            <w:pPr>
              <w:pStyle w:val="11"/>
              <w:keepNext w:val="0"/>
              <w:keepLines w:val="0"/>
              <w:pageBreakBefore w:val="0"/>
              <w:kinsoku/>
              <w:wordWrap/>
              <w:overflowPunct/>
              <w:topLinePunct w:val="0"/>
              <w:autoSpaceDE/>
              <w:autoSpaceDN/>
              <w:bidi w:val="0"/>
              <w:adjustRightInd/>
              <w:snapToGrid/>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w:t>
            </w:r>
          </w:p>
        </w:tc>
        <w:tc>
          <w:tcPr>
            <w:tcW w:w="3107" w:type="dxa"/>
            <w:vAlign w:val="center"/>
          </w:tcPr>
          <w:p w14:paraId="7C20E2DD">
            <w:pPr>
              <w:pStyle w:val="11"/>
              <w:keepNext w:val="0"/>
              <w:keepLines w:val="0"/>
              <w:pageBreakBefore w:val="0"/>
              <w:kinsoku/>
              <w:wordWrap/>
              <w:overflowPunct/>
              <w:topLinePunct w:val="0"/>
              <w:autoSpaceDE/>
              <w:autoSpaceDN/>
              <w:bidi w:val="0"/>
              <w:adjustRightInd/>
              <w:snapToGrid/>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《土壤pH值的测定电位法》/HJ962-2018</w:t>
            </w:r>
          </w:p>
        </w:tc>
        <w:tc>
          <w:tcPr>
            <w:tcW w:w="2008" w:type="dxa"/>
            <w:vAlign w:val="center"/>
          </w:tcPr>
          <w:p w14:paraId="723A80B8">
            <w:pPr>
              <w:pStyle w:val="11"/>
              <w:keepNext w:val="0"/>
              <w:keepLines w:val="0"/>
              <w:pageBreakBefore w:val="0"/>
              <w:kinsoku/>
              <w:wordWrap/>
              <w:overflowPunct/>
              <w:topLinePunct w:val="0"/>
              <w:autoSpaceDE/>
              <w:autoSpaceDN/>
              <w:bidi w:val="0"/>
              <w:adjustRightInd/>
              <w:snapToGrid/>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pH计PHS-3E、</w:t>
            </w:r>
          </w:p>
          <w:p w14:paraId="72FBE343">
            <w:pPr>
              <w:pStyle w:val="11"/>
              <w:keepNext w:val="0"/>
              <w:keepLines w:val="0"/>
              <w:pageBreakBefore w:val="0"/>
              <w:kinsoku/>
              <w:wordWrap/>
              <w:overflowPunct/>
              <w:topLinePunct w:val="0"/>
              <w:autoSpaceDE/>
              <w:autoSpaceDN/>
              <w:bidi w:val="0"/>
              <w:adjustRightInd/>
              <w:snapToGrid/>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YQ-067</w:t>
            </w:r>
          </w:p>
        </w:tc>
      </w:tr>
    </w:tbl>
    <w:p w14:paraId="7D1B2489">
      <w:pPr>
        <w:pStyle w:val="11"/>
        <w:keepNext w:val="0"/>
        <w:keepLines w:val="0"/>
        <w:pageBreakBefore w:val="0"/>
        <w:kinsoku/>
        <w:wordWrap/>
        <w:overflowPunct/>
        <w:topLinePunct w:val="0"/>
        <w:autoSpaceDE/>
        <w:autoSpaceDN/>
        <w:bidi w:val="0"/>
        <w:adjustRightInd/>
        <w:snapToGrid/>
        <w:ind w:firstLine="456"/>
        <w:outlineLvl w:val="9"/>
        <w:rPr>
          <w:rFonts w:hint="default" w:ascii="Times New Roman" w:hAnsi="Times New Roman" w:eastAsia="宋体" w:cs="Times New Roman"/>
          <w:color w:val="000000" w:themeColor="text1"/>
          <w:spacing w:val="-6"/>
          <w14:textFill>
            <w14:solidFill>
              <w14:schemeClr w14:val="tx1"/>
            </w14:solidFill>
          </w14:textFill>
        </w:rPr>
      </w:pPr>
      <w:bookmarkStart w:id="232" w:name="_Toc12332"/>
      <w:bookmarkStart w:id="233" w:name="_Toc7095"/>
      <w:r>
        <w:rPr>
          <w:rFonts w:hint="default" w:ascii="Times New Roman" w:hAnsi="Times New Roman" w:eastAsia="宋体" w:cs="Times New Roman"/>
          <w:color w:val="000000" w:themeColor="text1"/>
          <w:spacing w:val="-6"/>
          <w:lang w:eastAsia="zh-CN"/>
          <w14:textFill>
            <w14:solidFill>
              <w14:schemeClr w14:val="tx1"/>
            </w14:solidFill>
          </w14:textFill>
        </w:rPr>
        <w:t>（5）</w:t>
      </w:r>
      <w:r>
        <w:rPr>
          <w:rFonts w:hint="default" w:ascii="Times New Roman" w:hAnsi="Times New Roman" w:eastAsia="宋体" w:cs="Times New Roman"/>
          <w:color w:val="000000" w:themeColor="text1"/>
          <w:spacing w:val="-6"/>
          <w14:textFill>
            <w14:solidFill>
              <w14:schemeClr w14:val="tx1"/>
            </w14:solidFill>
          </w14:textFill>
        </w:rPr>
        <w:t>执行标准</w:t>
      </w:r>
      <w:bookmarkEnd w:id="232"/>
      <w:bookmarkEnd w:id="233"/>
    </w:p>
    <w:p w14:paraId="4EAFAA19">
      <w:pPr>
        <w:pStyle w:val="11"/>
        <w:keepNext w:val="0"/>
        <w:keepLines w:val="0"/>
        <w:pageBreakBefore w:val="0"/>
        <w:kinsoku/>
        <w:wordWrap/>
        <w:overflowPunct/>
        <w:topLinePunct w:val="0"/>
        <w:autoSpaceDE/>
        <w:autoSpaceDN/>
        <w:bidi w:val="0"/>
        <w:adjustRightInd/>
        <w:snapToGrid/>
        <w:ind w:firstLine="456"/>
        <w:outlineLvl w:val="9"/>
        <w:rPr>
          <w:rFonts w:hint="default" w:ascii="Times New Roman" w:hAnsi="Times New Roman" w:eastAsia="宋体" w:cs="Times New Roman"/>
          <w:color w:val="000000" w:themeColor="text1"/>
          <w:spacing w:val="-6"/>
          <w:lang w:eastAsia="zh-CN"/>
          <w14:textFill>
            <w14:solidFill>
              <w14:schemeClr w14:val="tx1"/>
            </w14:solidFill>
          </w14:textFill>
        </w:rPr>
      </w:pPr>
      <w:r>
        <w:rPr>
          <w:rFonts w:hint="default" w:ascii="Times New Roman" w:hAnsi="Times New Roman" w:eastAsia="宋体" w:cs="Times New Roman"/>
          <w:color w:val="000000" w:themeColor="text1"/>
          <w:spacing w:val="-6"/>
          <w:lang w:eastAsia="zh-CN"/>
          <w14:textFill>
            <w14:solidFill>
              <w14:schemeClr w14:val="tx1"/>
            </w14:solidFill>
          </w14:textFill>
        </w:rPr>
        <w:t>土壤检测因子执行《土壤环境质量农用地土壤污染风险管控标准》（GB15618-2018）第二类用地筛选值要求。</w:t>
      </w:r>
    </w:p>
    <w:p w14:paraId="0A86AD62">
      <w:pPr>
        <w:pStyle w:val="11"/>
        <w:keepNext w:val="0"/>
        <w:keepLines w:val="0"/>
        <w:pageBreakBefore w:val="0"/>
        <w:kinsoku/>
        <w:wordWrap/>
        <w:overflowPunct/>
        <w:topLinePunct w:val="0"/>
        <w:autoSpaceDE/>
        <w:autoSpaceDN/>
        <w:bidi w:val="0"/>
        <w:adjustRightInd/>
        <w:snapToGrid/>
        <w:ind w:firstLine="456"/>
        <w:outlineLvl w:val="9"/>
        <w:rPr>
          <w:rFonts w:hint="default" w:ascii="Times New Roman" w:hAnsi="Times New Roman" w:eastAsia="宋体" w:cs="Times New Roman"/>
          <w:color w:val="000000" w:themeColor="text1"/>
          <w:spacing w:val="-6"/>
          <w:lang w:eastAsia="zh-CN"/>
          <w14:textFill>
            <w14:solidFill>
              <w14:schemeClr w14:val="tx1"/>
            </w14:solidFill>
          </w14:textFill>
        </w:rPr>
      </w:pPr>
      <w:bookmarkStart w:id="234" w:name="_Toc14143"/>
      <w:bookmarkStart w:id="235" w:name="_Toc6007"/>
      <w:r>
        <w:rPr>
          <w:rFonts w:hint="default" w:ascii="Times New Roman" w:hAnsi="Times New Roman" w:eastAsia="宋体" w:cs="Times New Roman"/>
          <w:color w:val="000000" w:themeColor="text1"/>
          <w:spacing w:val="-6"/>
          <w:lang w:eastAsia="zh-CN"/>
          <w14:textFill>
            <w14:solidFill>
              <w14:schemeClr w14:val="tx1"/>
            </w14:solidFill>
          </w14:textFill>
        </w:rPr>
        <w:t>（6）评价方法</w:t>
      </w:r>
      <w:bookmarkEnd w:id="234"/>
      <w:bookmarkEnd w:id="235"/>
    </w:p>
    <w:p w14:paraId="2905FC5C">
      <w:pPr>
        <w:pStyle w:val="11"/>
        <w:keepNext w:val="0"/>
        <w:keepLines w:val="0"/>
        <w:pageBreakBefore w:val="0"/>
        <w:kinsoku/>
        <w:wordWrap/>
        <w:overflowPunct/>
        <w:topLinePunct w:val="0"/>
        <w:autoSpaceDE/>
        <w:autoSpaceDN/>
        <w:bidi w:val="0"/>
        <w:adjustRightInd/>
        <w:snapToGrid/>
        <w:ind w:firstLine="456"/>
        <w:outlineLvl w:val="9"/>
        <w:rPr>
          <w:rFonts w:hint="default" w:ascii="Times New Roman" w:hAnsi="Times New Roman" w:eastAsia="宋体" w:cs="Times New Roman"/>
          <w:color w:val="000000" w:themeColor="text1"/>
          <w:spacing w:val="-6"/>
          <w:lang w:eastAsia="zh-CN"/>
          <w14:textFill>
            <w14:solidFill>
              <w14:schemeClr w14:val="tx1"/>
            </w14:solidFill>
          </w14:textFill>
        </w:rPr>
      </w:pPr>
      <w:r>
        <w:rPr>
          <w:rFonts w:hint="default" w:ascii="Times New Roman" w:hAnsi="Times New Roman" w:eastAsia="宋体" w:cs="Times New Roman"/>
          <w:color w:val="000000" w:themeColor="text1"/>
          <w:spacing w:val="-6"/>
          <w:lang w:eastAsia="zh-CN"/>
          <w14:textFill>
            <w14:solidFill>
              <w14:schemeClr w14:val="tx1"/>
            </w14:solidFill>
          </w14:textFill>
        </w:rPr>
        <w:t>评价方法采用标准指数法。</w:t>
      </w:r>
    </w:p>
    <w:p w14:paraId="09372EA9">
      <w:pPr>
        <w:pStyle w:val="11"/>
        <w:keepNext w:val="0"/>
        <w:keepLines w:val="0"/>
        <w:pageBreakBefore w:val="0"/>
        <w:kinsoku/>
        <w:wordWrap/>
        <w:overflowPunct/>
        <w:topLinePunct w:val="0"/>
        <w:autoSpaceDE/>
        <w:autoSpaceDN/>
        <w:bidi w:val="0"/>
        <w:adjustRightInd/>
        <w:snapToGrid/>
        <w:ind w:firstLine="456"/>
        <w:outlineLvl w:val="9"/>
        <w:rPr>
          <w:rFonts w:hint="default" w:ascii="Times New Roman" w:hAnsi="Times New Roman" w:eastAsia="宋体" w:cs="Times New Roman"/>
          <w:color w:val="000000" w:themeColor="text1"/>
          <w:spacing w:val="-6"/>
          <w:lang w:eastAsia="zh-CN"/>
          <w14:textFill>
            <w14:solidFill>
              <w14:schemeClr w14:val="tx1"/>
            </w14:solidFill>
          </w14:textFill>
        </w:rPr>
      </w:pPr>
      <w:r>
        <w:rPr>
          <w:rFonts w:hint="default" w:ascii="Times New Roman" w:hAnsi="Times New Roman" w:eastAsia="宋体" w:cs="Times New Roman"/>
          <w:color w:val="000000" w:themeColor="text1"/>
          <w:spacing w:val="-6"/>
          <w:lang w:eastAsia="zh-CN"/>
          <w14:textFill>
            <w14:solidFill>
              <w14:schemeClr w14:val="tx1"/>
            </w14:solidFill>
          </w14:textFill>
        </w:rPr>
        <w:t>模式为：</w:t>
      </w:r>
      <w:r>
        <w:rPr>
          <w:rFonts w:hint="default" w:ascii="Times New Roman" w:hAnsi="Times New Roman" w:eastAsia="宋体" w:cs="Times New Roman"/>
          <w:b/>
          <w:bCs/>
          <w:color w:val="000000" w:themeColor="text1"/>
          <w:spacing w:val="-6"/>
          <w:sz w:val="30"/>
          <w:szCs w:val="30"/>
          <w:lang w:eastAsia="zh-CN"/>
          <w14:textFill>
            <w14:solidFill>
              <w14:schemeClr w14:val="tx1"/>
            </w14:solidFill>
          </w14:textFill>
        </w:rPr>
        <w:t>Pi=Ci/Si</w:t>
      </w:r>
    </w:p>
    <w:p w14:paraId="1B3F3A95">
      <w:pPr>
        <w:pStyle w:val="11"/>
        <w:keepNext w:val="0"/>
        <w:keepLines w:val="0"/>
        <w:pageBreakBefore w:val="0"/>
        <w:kinsoku/>
        <w:wordWrap/>
        <w:overflowPunct/>
        <w:topLinePunct w:val="0"/>
        <w:autoSpaceDE/>
        <w:autoSpaceDN/>
        <w:bidi w:val="0"/>
        <w:adjustRightInd/>
        <w:snapToGrid/>
        <w:ind w:firstLine="456"/>
        <w:outlineLvl w:val="9"/>
        <w:rPr>
          <w:rFonts w:hint="default" w:ascii="Times New Roman" w:hAnsi="Times New Roman" w:eastAsia="宋体" w:cs="Times New Roman"/>
          <w:color w:val="000000" w:themeColor="text1"/>
          <w:spacing w:val="-6"/>
          <w:lang w:eastAsia="zh-CN"/>
          <w14:textFill>
            <w14:solidFill>
              <w14:schemeClr w14:val="tx1"/>
            </w14:solidFill>
          </w14:textFill>
        </w:rPr>
      </w:pPr>
      <w:r>
        <w:rPr>
          <w:rFonts w:hint="default" w:ascii="Times New Roman" w:hAnsi="Times New Roman" w:eastAsia="宋体" w:cs="Times New Roman"/>
          <w:color w:val="000000" w:themeColor="text1"/>
          <w:spacing w:val="-6"/>
          <w:lang w:eastAsia="zh-CN"/>
          <w14:textFill>
            <w14:solidFill>
              <w14:schemeClr w14:val="tx1"/>
            </w14:solidFill>
          </w14:textFill>
        </w:rPr>
        <w:t>式中：Pi―第i种因子的标准指数；</w:t>
      </w:r>
    </w:p>
    <w:p w14:paraId="214D788A">
      <w:pPr>
        <w:pStyle w:val="11"/>
        <w:keepNext w:val="0"/>
        <w:keepLines w:val="0"/>
        <w:pageBreakBefore w:val="0"/>
        <w:kinsoku/>
        <w:wordWrap/>
        <w:overflowPunct/>
        <w:topLinePunct w:val="0"/>
        <w:autoSpaceDE/>
        <w:autoSpaceDN/>
        <w:bidi w:val="0"/>
        <w:adjustRightInd/>
        <w:snapToGrid/>
        <w:ind w:firstLine="1140" w:firstLineChars="500"/>
        <w:outlineLvl w:val="9"/>
        <w:rPr>
          <w:rFonts w:hint="default" w:ascii="Times New Roman" w:hAnsi="Times New Roman" w:eastAsia="宋体" w:cs="Times New Roman"/>
          <w:color w:val="000000" w:themeColor="text1"/>
          <w:spacing w:val="-6"/>
          <w:lang w:eastAsia="zh-CN"/>
          <w14:textFill>
            <w14:solidFill>
              <w14:schemeClr w14:val="tx1"/>
            </w14:solidFill>
          </w14:textFill>
        </w:rPr>
      </w:pPr>
      <w:r>
        <w:rPr>
          <w:rFonts w:hint="default" w:ascii="Times New Roman" w:hAnsi="Times New Roman" w:eastAsia="宋体" w:cs="Times New Roman"/>
          <w:color w:val="000000" w:themeColor="text1"/>
          <w:spacing w:val="-6"/>
          <w:lang w:eastAsia="zh-CN"/>
          <w14:textFill>
            <w14:solidFill>
              <w14:schemeClr w14:val="tx1"/>
            </w14:solidFill>
          </w14:textFill>
        </w:rPr>
        <w:t>Ci―第i种因子的现状监测值（mg/l）；</w:t>
      </w:r>
    </w:p>
    <w:p w14:paraId="701B7D75">
      <w:pPr>
        <w:pStyle w:val="11"/>
        <w:keepNext w:val="0"/>
        <w:keepLines w:val="0"/>
        <w:pageBreakBefore w:val="0"/>
        <w:kinsoku/>
        <w:wordWrap/>
        <w:overflowPunct/>
        <w:topLinePunct w:val="0"/>
        <w:autoSpaceDE/>
        <w:autoSpaceDN/>
        <w:bidi w:val="0"/>
        <w:adjustRightInd/>
        <w:snapToGrid/>
        <w:ind w:firstLine="1140" w:firstLineChars="500"/>
        <w:outlineLvl w:val="9"/>
        <w:rPr>
          <w:rFonts w:hint="default" w:ascii="Times New Roman" w:hAnsi="Times New Roman" w:eastAsia="宋体" w:cs="Times New Roman"/>
          <w:color w:val="000000" w:themeColor="text1"/>
          <w:spacing w:val="-6"/>
          <w:lang w:eastAsia="zh-CN"/>
          <w14:textFill>
            <w14:solidFill>
              <w14:schemeClr w14:val="tx1"/>
            </w14:solidFill>
          </w14:textFill>
        </w:rPr>
      </w:pPr>
      <w:r>
        <w:rPr>
          <w:rFonts w:hint="default" w:ascii="Times New Roman" w:hAnsi="Times New Roman" w:eastAsia="宋体" w:cs="Times New Roman"/>
          <w:color w:val="000000" w:themeColor="text1"/>
          <w:spacing w:val="-6"/>
          <w:lang w:eastAsia="zh-CN"/>
          <w14:textFill>
            <w14:solidFill>
              <w14:schemeClr w14:val="tx1"/>
            </w14:solidFill>
          </w14:textFill>
        </w:rPr>
        <w:t>Si―第i种因子环境标准值（mg/l）。</w:t>
      </w:r>
    </w:p>
    <w:p w14:paraId="0AA44C72">
      <w:pPr>
        <w:pStyle w:val="11"/>
        <w:keepNext w:val="0"/>
        <w:keepLines w:val="0"/>
        <w:pageBreakBefore w:val="0"/>
        <w:kinsoku/>
        <w:wordWrap/>
        <w:overflowPunct/>
        <w:topLinePunct w:val="0"/>
        <w:autoSpaceDE/>
        <w:autoSpaceDN/>
        <w:bidi w:val="0"/>
        <w:adjustRightInd/>
        <w:snapToGrid/>
        <w:ind w:firstLine="456"/>
        <w:outlineLvl w:val="9"/>
        <w:rPr>
          <w:rFonts w:hint="default" w:ascii="Times New Roman" w:hAnsi="Times New Roman" w:eastAsia="宋体" w:cs="Times New Roman"/>
          <w:color w:val="000000" w:themeColor="text1"/>
          <w:spacing w:val="-6"/>
          <w:lang w:eastAsia="zh-CN"/>
          <w14:textFill>
            <w14:solidFill>
              <w14:schemeClr w14:val="tx1"/>
            </w14:solidFill>
          </w14:textFill>
        </w:rPr>
      </w:pPr>
      <w:bookmarkStart w:id="236" w:name="_Toc23405"/>
      <w:bookmarkStart w:id="237" w:name="_Toc24235"/>
      <w:r>
        <w:rPr>
          <w:rFonts w:hint="default" w:ascii="Times New Roman" w:hAnsi="Times New Roman" w:eastAsia="宋体" w:cs="Times New Roman"/>
          <w:color w:val="000000" w:themeColor="text1"/>
          <w:spacing w:val="-6"/>
          <w:lang w:eastAsia="zh-CN"/>
          <w14:textFill>
            <w14:solidFill>
              <w14:schemeClr w14:val="tx1"/>
            </w14:solidFill>
          </w14:textFill>
        </w:rPr>
        <w:t>（7）检测结果</w:t>
      </w:r>
      <w:bookmarkEnd w:id="236"/>
      <w:bookmarkEnd w:id="237"/>
    </w:p>
    <w:p w14:paraId="4A266999">
      <w:pPr>
        <w:pStyle w:val="11"/>
        <w:keepNext w:val="0"/>
        <w:keepLines w:val="0"/>
        <w:pageBreakBefore w:val="0"/>
        <w:kinsoku/>
        <w:wordWrap/>
        <w:overflowPunct/>
        <w:topLinePunct w:val="0"/>
        <w:autoSpaceDE/>
        <w:autoSpaceDN/>
        <w:bidi w:val="0"/>
        <w:adjustRightInd/>
        <w:snapToGrid/>
        <w:ind w:firstLine="456"/>
        <w:outlineLvl w:val="9"/>
        <w:rPr>
          <w:rFonts w:hint="default" w:ascii="Times New Roman" w:hAnsi="Times New Roman" w:eastAsia="宋体" w:cs="Times New Roman"/>
          <w:color w:val="000000" w:themeColor="text1"/>
          <w:spacing w:val="-6"/>
          <w:lang w:eastAsia="zh-CN"/>
          <w14:textFill>
            <w14:solidFill>
              <w14:schemeClr w14:val="tx1"/>
            </w14:solidFill>
          </w14:textFill>
        </w:rPr>
      </w:pPr>
      <w:r>
        <w:rPr>
          <w:rFonts w:hint="default" w:ascii="Times New Roman" w:hAnsi="Times New Roman" w:eastAsia="宋体" w:cs="Times New Roman"/>
          <w:color w:val="000000" w:themeColor="text1"/>
          <w:spacing w:val="-6"/>
          <w:lang w:eastAsia="zh-CN"/>
          <w14:textFill>
            <w14:solidFill>
              <w14:schemeClr w14:val="tx1"/>
            </w14:solidFill>
          </w14:textFill>
        </w:rPr>
        <w:t>土壤检测结果见表4.2-23。</w:t>
      </w:r>
    </w:p>
    <w:p w14:paraId="7FD63B0B">
      <w:pPr>
        <w:pStyle w:val="11"/>
        <w:keepNext w:val="0"/>
        <w:keepLines w:val="0"/>
        <w:pageBreakBefore w:val="0"/>
        <w:kinsoku/>
        <w:wordWrap/>
        <w:overflowPunct/>
        <w:topLinePunct w:val="0"/>
        <w:autoSpaceDE/>
        <w:autoSpaceDN/>
        <w:bidi w:val="0"/>
        <w:adjustRightInd/>
        <w:snapToGrid/>
        <w:ind w:firstLine="0" w:firstLineChars="0"/>
        <w:jc w:val="center"/>
        <w:outlineLvl w:val="9"/>
        <w:rPr>
          <w:rFonts w:hint="default" w:ascii="Times New Roman" w:hAnsi="Times New Roman" w:eastAsia="宋体" w:cs="Times New Roman"/>
          <w:b/>
          <w:bCs/>
          <w:color w:val="000000" w:themeColor="text1"/>
          <w:spacing w:val="-6"/>
          <w14:textFill>
            <w14:solidFill>
              <w14:schemeClr w14:val="tx1"/>
            </w14:solidFill>
          </w14:textFill>
        </w:rPr>
      </w:pPr>
      <w:r>
        <w:rPr>
          <w:rFonts w:hint="default" w:ascii="Times New Roman" w:hAnsi="Times New Roman" w:eastAsia="宋体" w:cs="Times New Roman"/>
          <w:b/>
          <w:bCs/>
          <w:color w:val="000000" w:themeColor="text1"/>
          <w:spacing w:val="-6"/>
          <w14:textFill>
            <w14:solidFill>
              <w14:schemeClr w14:val="tx1"/>
            </w14:solidFill>
          </w14:textFill>
        </w:rPr>
        <w:t>表</w:t>
      </w:r>
      <w:r>
        <w:rPr>
          <w:rFonts w:hint="default" w:ascii="Times New Roman" w:hAnsi="Times New Roman" w:eastAsia="宋体" w:cs="Times New Roman"/>
          <w:b/>
          <w:bCs/>
          <w:color w:val="000000" w:themeColor="text1"/>
          <w:spacing w:val="-6"/>
          <w:lang w:eastAsia="zh-CN"/>
          <w14:textFill>
            <w14:solidFill>
              <w14:schemeClr w14:val="tx1"/>
            </w14:solidFill>
          </w14:textFill>
        </w:rPr>
        <w:t>4.2-23</w:t>
      </w:r>
      <w:r>
        <w:rPr>
          <w:rFonts w:hint="default" w:ascii="Times New Roman" w:hAnsi="Times New Roman" w:eastAsia="宋体" w:cs="Times New Roman"/>
          <w:b/>
          <w:bCs/>
          <w:color w:val="000000" w:themeColor="text1"/>
          <w:spacing w:val="-6"/>
          <w14:textFill>
            <w14:solidFill>
              <w14:schemeClr w14:val="tx1"/>
            </w14:solidFill>
          </w14:textFill>
        </w:rPr>
        <w:t>土壤检测结果表</w:t>
      </w:r>
    </w:p>
    <w:tbl>
      <w:tblPr>
        <w:tblStyle w:val="29"/>
        <w:tblW w:w="524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34"/>
        <w:gridCol w:w="1416"/>
        <w:gridCol w:w="1441"/>
        <w:gridCol w:w="1274"/>
        <w:gridCol w:w="902"/>
        <w:gridCol w:w="1200"/>
        <w:gridCol w:w="687"/>
      </w:tblGrid>
      <w:tr w14:paraId="3239B7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jc w:val="center"/>
        </w:trPr>
        <w:tc>
          <w:tcPr>
            <w:tcW w:w="1416" w:type="pct"/>
            <w:vAlign w:val="center"/>
          </w:tcPr>
          <w:p w14:paraId="2AA63EC4">
            <w:pPr>
              <w:pStyle w:val="11"/>
              <w:keepNext w:val="0"/>
              <w:keepLines w:val="0"/>
              <w:pageBreakBefore w:val="0"/>
              <w:kinsoku/>
              <w:wordWrap/>
              <w:overflowPunct/>
              <w:topLinePunct w:val="0"/>
              <w:autoSpaceDE/>
              <w:autoSpaceDN/>
              <w:bidi w:val="0"/>
              <w:adjustRightInd/>
              <w:snapToGrid/>
              <w:spacing w:line="240" w:lineRule="auto"/>
              <w:ind w:firstLine="0" w:firstLineChars="0"/>
              <w:jc w:val="right"/>
              <w:outlineLvl w:val="9"/>
              <w:rPr>
                <w:rFonts w:hint="default" w:ascii="Times New Roman" w:hAnsi="Times New Roman" w:eastAsia="宋体" w:cs="Times New Roman"/>
                <w:b/>
                <w:bCs/>
                <w:color w:val="000000" w:themeColor="text1"/>
                <w:spacing w:val="-6"/>
                <w:sz w:val="21"/>
                <w:szCs w:val="21"/>
                <w14:textFill>
                  <w14:solidFill>
                    <w14:schemeClr w14:val="tx1"/>
                  </w14:solidFill>
                </w14:textFill>
              </w:rPr>
            </w:pPr>
            <w:r>
              <w:rPr>
                <w:rFonts w:hint="default" w:ascii="Times New Roman" w:hAnsi="Times New Roman" w:eastAsia="宋体" w:cs="Times New Roman"/>
                <w:b/>
                <w:bCs/>
                <w:color w:val="000000" w:themeColor="text1"/>
                <w:spacing w:val="-6"/>
                <w:sz w:val="21"/>
                <w:szCs w:val="21"/>
                <w14:textFill>
                  <w14:solidFill>
                    <w14:schemeClr w14:val="tx1"/>
                  </w14:solidFill>
                </w14:textFill>
              </w:rPr>
              <w:t>采样位置</w:t>
            </w:r>
          </w:p>
          <w:p w14:paraId="062AFFDF">
            <w:pPr>
              <w:pStyle w:val="11"/>
              <w:keepNext w:val="0"/>
              <w:keepLines w:val="0"/>
              <w:pageBreakBefore w:val="0"/>
              <w:kinsoku/>
              <w:wordWrap/>
              <w:overflowPunct/>
              <w:topLinePunct w:val="0"/>
              <w:autoSpaceDE/>
              <w:autoSpaceDN/>
              <w:bidi w:val="0"/>
              <w:adjustRightInd/>
              <w:snapToGrid/>
              <w:spacing w:line="240" w:lineRule="auto"/>
              <w:ind w:firstLine="0" w:firstLineChars="0"/>
              <w:jc w:val="left"/>
              <w:outlineLvl w:val="9"/>
              <w:rPr>
                <w:rFonts w:hint="default" w:ascii="Times New Roman" w:hAnsi="Times New Roman" w:eastAsia="宋体" w:cs="Times New Roman"/>
                <w:b/>
                <w:bCs/>
                <w:color w:val="000000" w:themeColor="text1"/>
                <w:spacing w:val="-6"/>
                <w:sz w:val="21"/>
                <w:szCs w:val="21"/>
                <w14:textFill>
                  <w14:solidFill>
                    <w14:schemeClr w14:val="tx1"/>
                  </w14:solidFill>
                </w14:textFill>
              </w:rPr>
            </w:pPr>
            <w:r>
              <w:rPr>
                <w:rFonts w:hint="default" w:ascii="Times New Roman" w:hAnsi="Times New Roman" w:eastAsia="宋体" w:cs="Times New Roman"/>
                <w:b/>
                <w:bCs/>
                <w:color w:val="000000" w:themeColor="text1"/>
                <w:spacing w:val="-6"/>
                <w:sz w:val="21"/>
                <w:szCs w:val="21"/>
                <w14:textFill>
                  <w14:solidFill>
                    <w14:schemeClr w14:val="tx1"/>
                  </w14:solidFill>
                </w14:textFill>
              </w:rPr>
              <w:t>检测项目</w:t>
            </w:r>
          </w:p>
        </w:tc>
        <w:tc>
          <w:tcPr>
            <w:tcW w:w="733" w:type="pct"/>
            <w:vAlign w:val="center"/>
          </w:tcPr>
          <w:p w14:paraId="62CC9FA0">
            <w:pPr>
              <w:pStyle w:val="11"/>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b/>
                <w:bCs/>
                <w:color w:val="000000" w:themeColor="text1"/>
                <w:spacing w:val="-6"/>
                <w:sz w:val="21"/>
                <w:szCs w:val="21"/>
                <w14:textFill>
                  <w14:solidFill>
                    <w14:schemeClr w14:val="tx1"/>
                  </w14:solidFill>
                </w14:textFill>
              </w:rPr>
            </w:pPr>
            <w:r>
              <w:rPr>
                <w:rFonts w:hint="default" w:ascii="Times New Roman" w:hAnsi="Times New Roman" w:eastAsia="宋体" w:cs="Times New Roman"/>
                <w:b/>
                <w:bCs/>
                <w:color w:val="000000" w:themeColor="text1"/>
                <w:spacing w:val="-6"/>
                <w:sz w:val="21"/>
                <w:szCs w:val="21"/>
                <w14:textFill>
                  <w14:solidFill>
                    <w14:schemeClr w14:val="tx1"/>
                  </w14:solidFill>
                </w14:textFill>
              </w:rPr>
              <w:t>占地范围内</w:t>
            </w:r>
          </w:p>
          <w:p w14:paraId="06F9C119">
            <w:pPr>
              <w:pStyle w:val="11"/>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b/>
                <w:bCs/>
                <w:color w:val="000000" w:themeColor="text1"/>
                <w:spacing w:val="-6"/>
                <w:sz w:val="21"/>
                <w:szCs w:val="21"/>
                <w14:textFill>
                  <w14:solidFill>
                    <w14:schemeClr w14:val="tx1"/>
                  </w14:solidFill>
                </w14:textFill>
              </w:rPr>
            </w:pPr>
            <w:r>
              <w:rPr>
                <w:rFonts w:hint="default" w:ascii="Times New Roman" w:hAnsi="Times New Roman" w:eastAsia="宋体" w:cs="Times New Roman"/>
                <w:b/>
                <w:bCs/>
                <w:color w:val="000000" w:themeColor="text1"/>
                <w:spacing w:val="-6"/>
                <w:sz w:val="21"/>
                <w:szCs w:val="21"/>
                <w14:textFill>
                  <w14:solidFill>
                    <w14:schemeClr w14:val="tx1"/>
                  </w14:solidFill>
                </w14:textFill>
              </w:rPr>
              <w:t>（0-0.2m）</w:t>
            </w:r>
          </w:p>
        </w:tc>
        <w:tc>
          <w:tcPr>
            <w:tcW w:w="746" w:type="pct"/>
            <w:vAlign w:val="center"/>
          </w:tcPr>
          <w:p w14:paraId="7F2B5076">
            <w:pPr>
              <w:pStyle w:val="11"/>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b/>
                <w:bCs/>
                <w:color w:val="000000" w:themeColor="text1"/>
                <w:spacing w:val="-6"/>
                <w:sz w:val="21"/>
                <w:szCs w:val="21"/>
                <w14:textFill>
                  <w14:solidFill>
                    <w14:schemeClr w14:val="tx1"/>
                  </w14:solidFill>
                </w14:textFill>
              </w:rPr>
            </w:pPr>
            <w:r>
              <w:rPr>
                <w:rFonts w:hint="default" w:ascii="Times New Roman" w:hAnsi="Times New Roman" w:eastAsia="宋体" w:cs="Times New Roman"/>
                <w:b/>
                <w:bCs/>
                <w:color w:val="000000" w:themeColor="text1"/>
                <w:spacing w:val="-6"/>
                <w:sz w:val="21"/>
                <w:szCs w:val="21"/>
                <w14:textFill>
                  <w14:solidFill>
                    <w14:schemeClr w14:val="tx1"/>
                  </w14:solidFill>
                </w14:textFill>
              </w:rPr>
              <w:t>占地范围内</w:t>
            </w:r>
          </w:p>
          <w:p w14:paraId="1F02BD6C">
            <w:pPr>
              <w:pStyle w:val="11"/>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b/>
                <w:bCs/>
                <w:color w:val="000000" w:themeColor="text1"/>
                <w:spacing w:val="-6"/>
                <w:sz w:val="21"/>
                <w:szCs w:val="21"/>
                <w14:textFill>
                  <w14:solidFill>
                    <w14:schemeClr w14:val="tx1"/>
                  </w14:solidFill>
                </w14:textFill>
              </w:rPr>
            </w:pPr>
            <w:r>
              <w:rPr>
                <w:rFonts w:hint="default" w:ascii="Times New Roman" w:hAnsi="Times New Roman" w:eastAsia="宋体" w:cs="Times New Roman"/>
                <w:b/>
                <w:bCs/>
                <w:color w:val="000000" w:themeColor="text1"/>
                <w:spacing w:val="-6"/>
                <w:sz w:val="21"/>
                <w:szCs w:val="21"/>
                <w14:textFill>
                  <w14:solidFill>
                    <w14:schemeClr w14:val="tx1"/>
                  </w14:solidFill>
                </w14:textFill>
              </w:rPr>
              <w:t>（0-0.2m）</w:t>
            </w:r>
          </w:p>
        </w:tc>
        <w:tc>
          <w:tcPr>
            <w:tcW w:w="659" w:type="pct"/>
            <w:vAlign w:val="center"/>
          </w:tcPr>
          <w:p w14:paraId="4620B2B1">
            <w:pPr>
              <w:pStyle w:val="11"/>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b/>
                <w:bCs/>
                <w:color w:val="000000" w:themeColor="text1"/>
                <w:spacing w:val="-6"/>
                <w:sz w:val="21"/>
                <w:szCs w:val="21"/>
                <w14:textFill>
                  <w14:solidFill>
                    <w14:schemeClr w14:val="tx1"/>
                  </w14:solidFill>
                </w14:textFill>
              </w:rPr>
            </w:pPr>
            <w:r>
              <w:rPr>
                <w:rFonts w:hint="default" w:ascii="Times New Roman" w:hAnsi="Times New Roman" w:eastAsia="宋体" w:cs="Times New Roman"/>
                <w:b/>
                <w:bCs/>
                <w:color w:val="000000" w:themeColor="text1"/>
                <w:spacing w:val="-6"/>
                <w:sz w:val="21"/>
                <w:szCs w:val="21"/>
                <w14:textFill>
                  <w14:solidFill>
                    <w14:schemeClr w14:val="tx1"/>
                  </w14:solidFill>
                </w14:textFill>
              </w:rPr>
              <w:t>占地范围内</w:t>
            </w:r>
          </w:p>
          <w:p w14:paraId="65707016">
            <w:pPr>
              <w:pStyle w:val="11"/>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b/>
                <w:bCs/>
                <w:color w:val="000000" w:themeColor="text1"/>
                <w:spacing w:val="-6"/>
                <w:sz w:val="21"/>
                <w:szCs w:val="21"/>
                <w14:textFill>
                  <w14:solidFill>
                    <w14:schemeClr w14:val="tx1"/>
                  </w14:solidFill>
                </w14:textFill>
              </w:rPr>
            </w:pPr>
            <w:r>
              <w:rPr>
                <w:rFonts w:hint="default" w:ascii="Times New Roman" w:hAnsi="Times New Roman" w:eastAsia="宋体" w:cs="Times New Roman"/>
                <w:b/>
                <w:bCs/>
                <w:color w:val="000000" w:themeColor="text1"/>
                <w:spacing w:val="-6"/>
                <w:sz w:val="21"/>
                <w:szCs w:val="21"/>
                <w14:textFill>
                  <w14:solidFill>
                    <w14:schemeClr w14:val="tx1"/>
                  </w14:solidFill>
                </w14:textFill>
              </w:rPr>
              <w:t>（0-0.2m）</w:t>
            </w:r>
          </w:p>
        </w:tc>
        <w:tc>
          <w:tcPr>
            <w:tcW w:w="467" w:type="pct"/>
            <w:vAlign w:val="center"/>
          </w:tcPr>
          <w:p w14:paraId="711455F8">
            <w:pPr>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标准</w:t>
            </w:r>
          </w:p>
          <w:p w14:paraId="676733ED">
            <w:pPr>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限值</w:t>
            </w:r>
          </w:p>
        </w:tc>
        <w:tc>
          <w:tcPr>
            <w:tcW w:w="621" w:type="pct"/>
            <w:vAlign w:val="center"/>
          </w:tcPr>
          <w:p w14:paraId="6B4E4A62">
            <w:pPr>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Pi</w:t>
            </w:r>
          </w:p>
        </w:tc>
        <w:tc>
          <w:tcPr>
            <w:tcW w:w="355" w:type="pct"/>
            <w:vAlign w:val="center"/>
          </w:tcPr>
          <w:p w14:paraId="72E540FB">
            <w:pPr>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达标情况</w:t>
            </w:r>
          </w:p>
        </w:tc>
      </w:tr>
      <w:tr w14:paraId="011F30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416" w:type="pct"/>
            <w:vAlign w:val="center"/>
          </w:tcPr>
          <w:p w14:paraId="7B8B2F4D">
            <w:pPr>
              <w:pStyle w:val="11"/>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砷（mg/kg）</w:t>
            </w:r>
          </w:p>
        </w:tc>
        <w:tc>
          <w:tcPr>
            <w:tcW w:w="733" w:type="pct"/>
            <w:vAlign w:val="center"/>
          </w:tcPr>
          <w:p w14:paraId="25F99BC4">
            <w:pPr>
              <w:pStyle w:val="11"/>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10.3</w:t>
            </w:r>
          </w:p>
        </w:tc>
        <w:tc>
          <w:tcPr>
            <w:tcW w:w="746" w:type="pct"/>
            <w:vAlign w:val="center"/>
          </w:tcPr>
          <w:p w14:paraId="67CAC0CA">
            <w:pPr>
              <w:pStyle w:val="11"/>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9.84</w:t>
            </w:r>
          </w:p>
        </w:tc>
        <w:tc>
          <w:tcPr>
            <w:tcW w:w="659" w:type="pct"/>
            <w:vAlign w:val="center"/>
          </w:tcPr>
          <w:p w14:paraId="0DF3889B">
            <w:pPr>
              <w:pStyle w:val="11"/>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8.77</w:t>
            </w:r>
          </w:p>
        </w:tc>
        <w:tc>
          <w:tcPr>
            <w:tcW w:w="467" w:type="pct"/>
            <w:vAlign w:val="center"/>
          </w:tcPr>
          <w:p w14:paraId="43F32A1D">
            <w:pPr>
              <w:pStyle w:val="11"/>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val="en-US" w:eastAsia="zh-CN"/>
                <w14:textFill>
                  <w14:solidFill>
                    <w14:schemeClr w14:val="tx1"/>
                  </w14:solidFill>
                </w14:textFill>
              </w:rPr>
            </w:pPr>
            <w:r>
              <w:rPr>
                <w:rFonts w:hint="eastAsia" w:ascii="Times New Roman" w:hAnsi="Times New Roman" w:cs="Times New Roman"/>
                <w:color w:val="000000" w:themeColor="text1"/>
                <w:spacing w:val="-6"/>
                <w:sz w:val="21"/>
                <w:szCs w:val="21"/>
                <w:lang w:val="en-US" w:eastAsia="zh-CN"/>
                <w14:textFill>
                  <w14:solidFill>
                    <w14:schemeClr w14:val="tx1"/>
                  </w14:solidFill>
                </w14:textFill>
              </w:rPr>
              <w:t>25</w:t>
            </w:r>
          </w:p>
        </w:tc>
        <w:tc>
          <w:tcPr>
            <w:tcW w:w="621" w:type="pct"/>
            <w:vAlign w:val="center"/>
          </w:tcPr>
          <w:p w14:paraId="67F65C41">
            <w:pPr>
              <w:pStyle w:val="11"/>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val="en-US" w:eastAsia="zh-CN"/>
                <w14:textFill>
                  <w14:solidFill>
                    <w14:schemeClr w14:val="tx1"/>
                  </w14:solidFill>
                </w14:textFill>
              </w:rPr>
            </w:pPr>
            <w:r>
              <w:rPr>
                <w:rFonts w:hint="eastAsia" w:ascii="Times New Roman" w:hAnsi="Times New Roman" w:cs="Times New Roman"/>
                <w:color w:val="000000" w:themeColor="text1"/>
                <w:spacing w:val="-6"/>
                <w:sz w:val="21"/>
                <w:szCs w:val="21"/>
                <w:lang w:val="en-US" w:eastAsia="zh-CN"/>
                <w14:textFill>
                  <w14:solidFill>
                    <w14:schemeClr w14:val="tx1"/>
                  </w14:solidFill>
                </w14:textFill>
              </w:rPr>
              <w:t>0.4-0.35</w:t>
            </w:r>
          </w:p>
        </w:tc>
        <w:tc>
          <w:tcPr>
            <w:tcW w:w="355" w:type="pct"/>
            <w:vAlign w:val="center"/>
          </w:tcPr>
          <w:p w14:paraId="3439615F">
            <w:pPr>
              <w:pStyle w:val="11"/>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达标</w:t>
            </w:r>
          </w:p>
        </w:tc>
      </w:tr>
      <w:tr w14:paraId="13E128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416" w:type="pct"/>
            <w:vAlign w:val="center"/>
          </w:tcPr>
          <w:p w14:paraId="2E97434B">
            <w:pPr>
              <w:pStyle w:val="11"/>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镉（mg/kg）</w:t>
            </w:r>
          </w:p>
        </w:tc>
        <w:tc>
          <w:tcPr>
            <w:tcW w:w="733" w:type="pct"/>
            <w:vAlign w:val="center"/>
          </w:tcPr>
          <w:p w14:paraId="13D2DBA6">
            <w:pPr>
              <w:pStyle w:val="11"/>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0.11</w:t>
            </w:r>
          </w:p>
        </w:tc>
        <w:tc>
          <w:tcPr>
            <w:tcW w:w="746" w:type="pct"/>
            <w:vAlign w:val="center"/>
          </w:tcPr>
          <w:p w14:paraId="2D54CF13">
            <w:pPr>
              <w:pStyle w:val="11"/>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0.15</w:t>
            </w:r>
          </w:p>
        </w:tc>
        <w:tc>
          <w:tcPr>
            <w:tcW w:w="659" w:type="pct"/>
            <w:vAlign w:val="center"/>
          </w:tcPr>
          <w:p w14:paraId="11B5EA53">
            <w:pPr>
              <w:pStyle w:val="11"/>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0.13</w:t>
            </w:r>
          </w:p>
        </w:tc>
        <w:tc>
          <w:tcPr>
            <w:tcW w:w="467" w:type="pct"/>
            <w:vAlign w:val="center"/>
          </w:tcPr>
          <w:p w14:paraId="6CBBB3BA">
            <w:pPr>
              <w:pStyle w:val="11"/>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val="en-US" w:eastAsia="zh-CN"/>
                <w14:textFill>
                  <w14:solidFill>
                    <w14:schemeClr w14:val="tx1"/>
                  </w14:solidFill>
                </w14:textFill>
              </w:rPr>
            </w:pPr>
            <w:r>
              <w:rPr>
                <w:rFonts w:hint="eastAsia" w:ascii="Times New Roman" w:hAnsi="Times New Roman" w:cs="Times New Roman"/>
                <w:color w:val="000000" w:themeColor="text1"/>
                <w:spacing w:val="-6"/>
                <w:sz w:val="21"/>
                <w:szCs w:val="21"/>
                <w:lang w:val="en-US" w:eastAsia="zh-CN"/>
                <w14:textFill>
                  <w14:solidFill>
                    <w14:schemeClr w14:val="tx1"/>
                  </w14:solidFill>
                </w14:textFill>
              </w:rPr>
              <w:t>0.6</w:t>
            </w:r>
          </w:p>
        </w:tc>
        <w:tc>
          <w:tcPr>
            <w:tcW w:w="621" w:type="pct"/>
            <w:vAlign w:val="center"/>
          </w:tcPr>
          <w:p w14:paraId="6088922A">
            <w:pPr>
              <w:pStyle w:val="11"/>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val="en-US" w:eastAsia="zh-CN"/>
                <w14:textFill>
                  <w14:solidFill>
                    <w14:schemeClr w14:val="tx1"/>
                  </w14:solidFill>
                </w14:textFill>
              </w:rPr>
            </w:pPr>
            <w:r>
              <w:rPr>
                <w:rFonts w:hint="eastAsia" w:ascii="Times New Roman" w:hAnsi="Times New Roman" w:cs="Times New Roman"/>
                <w:color w:val="000000" w:themeColor="text1"/>
                <w:spacing w:val="-6"/>
                <w:sz w:val="21"/>
                <w:szCs w:val="21"/>
                <w:lang w:val="en-US" w:eastAsia="zh-CN"/>
                <w14:textFill>
                  <w14:solidFill>
                    <w14:schemeClr w14:val="tx1"/>
                  </w14:solidFill>
                </w14:textFill>
              </w:rPr>
              <w:t>0.25-0.18</w:t>
            </w:r>
          </w:p>
        </w:tc>
        <w:tc>
          <w:tcPr>
            <w:tcW w:w="355" w:type="pct"/>
            <w:vAlign w:val="center"/>
          </w:tcPr>
          <w:p w14:paraId="76E86BD0">
            <w:pPr>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达标</w:t>
            </w:r>
          </w:p>
        </w:tc>
      </w:tr>
      <w:tr w14:paraId="194E54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416" w:type="pct"/>
            <w:vAlign w:val="center"/>
          </w:tcPr>
          <w:p w14:paraId="35ADF860">
            <w:pPr>
              <w:pStyle w:val="11"/>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highlight w:val="yellow"/>
                <w14:textFill>
                  <w14:solidFill>
                    <w14:schemeClr w14:val="tx1"/>
                  </w14:solidFill>
                </w14:textFill>
              </w:rPr>
            </w:pPr>
            <w:r>
              <w:rPr>
                <w:rFonts w:hint="default" w:ascii="Times New Roman" w:hAnsi="Times New Roman" w:eastAsia="宋体" w:cs="Times New Roman"/>
                <w:color w:val="000000" w:themeColor="text1"/>
                <w:spacing w:val="-6"/>
                <w:sz w:val="21"/>
                <w:szCs w:val="21"/>
                <w:highlight w:val="yellow"/>
                <w14:textFill>
                  <w14:solidFill>
                    <w14:schemeClr w14:val="tx1"/>
                  </w14:solidFill>
                </w14:textFill>
              </w:rPr>
              <w:t>铬（mg/kg）</w:t>
            </w:r>
          </w:p>
        </w:tc>
        <w:tc>
          <w:tcPr>
            <w:tcW w:w="733" w:type="pct"/>
            <w:vAlign w:val="center"/>
          </w:tcPr>
          <w:p w14:paraId="175377BF">
            <w:pPr>
              <w:pStyle w:val="11"/>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highlight w:val="yellow"/>
                <w14:textFill>
                  <w14:solidFill>
                    <w14:schemeClr w14:val="tx1"/>
                  </w14:solidFill>
                </w14:textFill>
              </w:rPr>
            </w:pPr>
            <w:r>
              <w:rPr>
                <w:rFonts w:hint="eastAsia" w:ascii="Times New Roman" w:hAnsi="Times New Roman" w:cs="Times New Roman"/>
                <w:color w:val="000000" w:themeColor="text1"/>
                <w:spacing w:val="-6"/>
                <w:sz w:val="21"/>
                <w:szCs w:val="21"/>
                <w:highlight w:val="yellow"/>
                <w:lang w:val="en-US" w:eastAsia="zh-CN"/>
                <w14:textFill>
                  <w14:solidFill>
                    <w14:schemeClr w14:val="tx1"/>
                  </w14:solidFill>
                </w14:textFill>
              </w:rPr>
              <w:t>0.</w:t>
            </w:r>
            <w:r>
              <w:rPr>
                <w:rFonts w:hint="default" w:ascii="Times New Roman" w:hAnsi="Times New Roman" w:eastAsia="宋体" w:cs="Times New Roman"/>
                <w:color w:val="000000" w:themeColor="text1"/>
                <w:spacing w:val="-6"/>
                <w:sz w:val="21"/>
                <w:szCs w:val="21"/>
                <w:highlight w:val="yellow"/>
                <w14:textFill>
                  <w14:solidFill>
                    <w14:schemeClr w14:val="tx1"/>
                  </w14:solidFill>
                </w14:textFill>
              </w:rPr>
              <w:t>18</w:t>
            </w:r>
          </w:p>
        </w:tc>
        <w:tc>
          <w:tcPr>
            <w:tcW w:w="746" w:type="pct"/>
            <w:vAlign w:val="center"/>
          </w:tcPr>
          <w:p w14:paraId="34153E06">
            <w:pPr>
              <w:pStyle w:val="11"/>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highlight w:val="yellow"/>
                <w14:textFill>
                  <w14:solidFill>
                    <w14:schemeClr w14:val="tx1"/>
                  </w14:solidFill>
                </w14:textFill>
              </w:rPr>
            </w:pPr>
            <w:r>
              <w:rPr>
                <w:rFonts w:hint="eastAsia" w:ascii="Times New Roman" w:hAnsi="Times New Roman" w:cs="Times New Roman"/>
                <w:color w:val="000000" w:themeColor="text1"/>
                <w:spacing w:val="-6"/>
                <w:sz w:val="21"/>
                <w:szCs w:val="21"/>
                <w:highlight w:val="yellow"/>
                <w:lang w:val="en-US" w:eastAsia="zh-CN"/>
                <w14:textFill>
                  <w14:solidFill>
                    <w14:schemeClr w14:val="tx1"/>
                  </w14:solidFill>
                </w14:textFill>
              </w:rPr>
              <w:t>0.</w:t>
            </w:r>
            <w:r>
              <w:rPr>
                <w:rFonts w:hint="default" w:ascii="Times New Roman" w:hAnsi="Times New Roman" w:eastAsia="宋体" w:cs="Times New Roman"/>
                <w:color w:val="000000" w:themeColor="text1"/>
                <w:spacing w:val="-6"/>
                <w:sz w:val="21"/>
                <w:szCs w:val="21"/>
                <w:highlight w:val="yellow"/>
                <w14:textFill>
                  <w14:solidFill>
                    <w14:schemeClr w14:val="tx1"/>
                  </w14:solidFill>
                </w14:textFill>
              </w:rPr>
              <w:t>15</w:t>
            </w:r>
          </w:p>
        </w:tc>
        <w:tc>
          <w:tcPr>
            <w:tcW w:w="659" w:type="pct"/>
            <w:vAlign w:val="center"/>
          </w:tcPr>
          <w:p w14:paraId="6BDD308D">
            <w:pPr>
              <w:pStyle w:val="11"/>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highlight w:val="yellow"/>
                <w14:textFill>
                  <w14:solidFill>
                    <w14:schemeClr w14:val="tx1"/>
                  </w14:solidFill>
                </w14:textFill>
              </w:rPr>
            </w:pPr>
            <w:r>
              <w:rPr>
                <w:rFonts w:hint="eastAsia" w:ascii="Times New Roman" w:hAnsi="Times New Roman" w:cs="Times New Roman"/>
                <w:color w:val="000000" w:themeColor="text1"/>
                <w:spacing w:val="-6"/>
                <w:sz w:val="21"/>
                <w:szCs w:val="21"/>
                <w:highlight w:val="yellow"/>
                <w:lang w:val="en-US" w:eastAsia="zh-CN"/>
                <w14:textFill>
                  <w14:solidFill>
                    <w14:schemeClr w14:val="tx1"/>
                  </w14:solidFill>
                </w14:textFill>
              </w:rPr>
              <w:t>0.</w:t>
            </w:r>
            <w:r>
              <w:rPr>
                <w:rFonts w:hint="default" w:ascii="Times New Roman" w:hAnsi="Times New Roman" w:eastAsia="宋体" w:cs="Times New Roman"/>
                <w:color w:val="000000" w:themeColor="text1"/>
                <w:spacing w:val="-6"/>
                <w:sz w:val="21"/>
                <w:szCs w:val="21"/>
                <w:highlight w:val="yellow"/>
                <w14:textFill>
                  <w14:solidFill>
                    <w14:schemeClr w14:val="tx1"/>
                  </w14:solidFill>
                </w14:textFill>
              </w:rPr>
              <w:t>21</w:t>
            </w:r>
          </w:p>
        </w:tc>
        <w:tc>
          <w:tcPr>
            <w:tcW w:w="467" w:type="pct"/>
            <w:vAlign w:val="center"/>
          </w:tcPr>
          <w:p w14:paraId="3AAA7075">
            <w:pPr>
              <w:pStyle w:val="11"/>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highlight w:val="yellow"/>
                <w14:textFill>
                  <w14:solidFill>
                    <w14:schemeClr w14:val="tx1"/>
                  </w14:solidFill>
                </w14:textFill>
              </w:rPr>
            </w:pPr>
            <w:r>
              <w:rPr>
                <w:rFonts w:hint="eastAsia" w:ascii="Times New Roman" w:hAnsi="Times New Roman" w:cs="Times New Roman"/>
                <w:color w:val="000000" w:themeColor="text1"/>
                <w:spacing w:val="-6"/>
                <w:sz w:val="21"/>
                <w:szCs w:val="21"/>
                <w:lang w:val="en-US" w:eastAsia="zh-CN"/>
                <w14:textFill>
                  <w14:solidFill>
                    <w14:schemeClr w14:val="tx1"/>
                  </w14:solidFill>
                </w14:textFill>
              </w:rPr>
              <w:t>250</w:t>
            </w:r>
          </w:p>
        </w:tc>
        <w:tc>
          <w:tcPr>
            <w:tcW w:w="621" w:type="pct"/>
            <w:vAlign w:val="center"/>
          </w:tcPr>
          <w:p w14:paraId="65C6E6EB">
            <w:pPr>
              <w:pStyle w:val="11"/>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eastAsia" w:ascii="Times New Roman" w:hAnsi="Times New Roman" w:cs="Times New Roman"/>
                <w:color w:val="000000" w:themeColor="text1"/>
                <w:spacing w:val="-6"/>
                <w:sz w:val="21"/>
                <w:szCs w:val="21"/>
                <w:highlight w:val="yellow"/>
                <w:lang w:val="en-US" w:eastAsia="zh-CN"/>
                <w14:textFill>
                  <w14:solidFill>
                    <w14:schemeClr w14:val="tx1"/>
                  </w14:solidFill>
                </w14:textFill>
              </w:rPr>
            </w:pPr>
            <w:r>
              <w:rPr>
                <w:rFonts w:hint="eastAsia" w:ascii="Times New Roman" w:hAnsi="Times New Roman" w:cs="Times New Roman"/>
                <w:color w:val="000000" w:themeColor="text1"/>
                <w:spacing w:val="-6"/>
                <w:sz w:val="21"/>
                <w:szCs w:val="21"/>
                <w:highlight w:val="yellow"/>
                <w:lang w:val="en-US" w:eastAsia="zh-CN"/>
                <w14:textFill>
                  <w14:solidFill>
                    <w14:schemeClr w14:val="tx1"/>
                  </w14:solidFill>
                </w14:textFill>
              </w:rPr>
              <w:t>0.0008-</w:t>
            </w:r>
          </w:p>
          <w:p w14:paraId="360821D6">
            <w:pPr>
              <w:pStyle w:val="11"/>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highlight w:val="yellow"/>
                <w:lang w:val="en-US" w:eastAsia="zh-CN"/>
                <w14:textFill>
                  <w14:solidFill>
                    <w14:schemeClr w14:val="tx1"/>
                  </w14:solidFill>
                </w14:textFill>
              </w:rPr>
            </w:pPr>
            <w:r>
              <w:rPr>
                <w:rFonts w:hint="eastAsia" w:ascii="Times New Roman" w:hAnsi="Times New Roman" w:cs="Times New Roman"/>
                <w:color w:val="000000" w:themeColor="text1"/>
                <w:spacing w:val="-6"/>
                <w:sz w:val="21"/>
                <w:szCs w:val="21"/>
                <w:highlight w:val="yellow"/>
                <w:lang w:val="en-US" w:eastAsia="zh-CN"/>
                <w14:textFill>
                  <w14:solidFill>
                    <w14:schemeClr w14:val="tx1"/>
                  </w14:solidFill>
                </w14:textFill>
              </w:rPr>
              <w:t>0.006</w:t>
            </w:r>
          </w:p>
        </w:tc>
        <w:tc>
          <w:tcPr>
            <w:tcW w:w="355" w:type="pct"/>
            <w:vAlign w:val="center"/>
          </w:tcPr>
          <w:p w14:paraId="7979CC91">
            <w:pPr>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highlight w:val="yellow"/>
                <w14:textFill>
                  <w14:solidFill>
                    <w14:schemeClr w14:val="tx1"/>
                  </w14:solidFill>
                </w14:textFill>
              </w:rPr>
            </w:pPr>
            <w:r>
              <w:rPr>
                <w:rFonts w:hint="default" w:ascii="Times New Roman" w:hAnsi="Times New Roman" w:eastAsia="宋体" w:cs="Times New Roman"/>
                <w:color w:val="000000" w:themeColor="text1"/>
                <w:spacing w:val="-6"/>
                <w:sz w:val="21"/>
                <w:szCs w:val="21"/>
                <w:highlight w:val="yellow"/>
                <w14:textFill>
                  <w14:solidFill>
                    <w14:schemeClr w14:val="tx1"/>
                  </w14:solidFill>
                </w14:textFill>
              </w:rPr>
              <w:t>达标</w:t>
            </w:r>
          </w:p>
        </w:tc>
      </w:tr>
      <w:tr w14:paraId="053D71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416" w:type="pct"/>
            <w:vAlign w:val="center"/>
          </w:tcPr>
          <w:p w14:paraId="165F34DE">
            <w:pPr>
              <w:pStyle w:val="11"/>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六价铬（mg/kg）</w:t>
            </w:r>
          </w:p>
        </w:tc>
        <w:tc>
          <w:tcPr>
            <w:tcW w:w="733" w:type="pct"/>
            <w:vAlign w:val="center"/>
          </w:tcPr>
          <w:p w14:paraId="3B0FAB62">
            <w:pPr>
              <w:pStyle w:val="11"/>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&lt;0.5</w:t>
            </w:r>
          </w:p>
        </w:tc>
        <w:tc>
          <w:tcPr>
            <w:tcW w:w="746" w:type="pct"/>
            <w:vAlign w:val="center"/>
          </w:tcPr>
          <w:p w14:paraId="3A78B1A8">
            <w:pPr>
              <w:pStyle w:val="11"/>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&lt;0.5</w:t>
            </w:r>
          </w:p>
        </w:tc>
        <w:tc>
          <w:tcPr>
            <w:tcW w:w="659" w:type="pct"/>
            <w:vAlign w:val="center"/>
          </w:tcPr>
          <w:p w14:paraId="59060FCF">
            <w:pPr>
              <w:pStyle w:val="11"/>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&lt;0.5</w:t>
            </w:r>
          </w:p>
        </w:tc>
        <w:tc>
          <w:tcPr>
            <w:tcW w:w="467" w:type="pct"/>
            <w:vAlign w:val="center"/>
          </w:tcPr>
          <w:p w14:paraId="43BFD41E">
            <w:pPr>
              <w:pStyle w:val="11"/>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eastAsia" w:ascii="Times New Roman" w:hAnsi="Times New Roman" w:eastAsia="宋体" w:cs="Times New Roman"/>
                <w:color w:val="000000" w:themeColor="text1"/>
                <w:spacing w:val="-6"/>
                <w:sz w:val="21"/>
                <w:szCs w:val="21"/>
                <w:lang w:val="en-US" w:eastAsia="zh-CN"/>
                <w14:textFill>
                  <w14:solidFill>
                    <w14:schemeClr w14:val="tx1"/>
                  </w14:solidFill>
                </w14:textFill>
              </w:rPr>
            </w:pPr>
            <w:r>
              <w:rPr>
                <w:rFonts w:hint="eastAsia" w:ascii="Times New Roman" w:hAnsi="Times New Roman" w:cs="Times New Roman"/>
                <w:color w:val="000000" w:themeColor="text1"/>
                <w:spacing w:val="-6"/>
                <w:sz w:val="21"/>
                <w:szCs w:val="21"/>
                <w:lang w:val="en-US" w:eastAsia="zh-CN"/>
                <w14:textFill>
                  <w14:solidFill>
                    <w14:schemeClr w14:val="tx1"/>
                  </w14:solidFill>
                </w14:textFill>
              </w:rPr>
              <w:t>/</w:t>
            </w:r>
          </w:p>
        </w:tc>
        <w:tc>
          <w:tcPr>
            <w:tcW w:w="621" w:type="pct"/>
            <w:vAlign w:val="center"/>
          </w:tcPr>
          <w:p w14:paraId="1DCA1B22">
            <w:pPr>
              <w:pStyle w:val="11"/>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val="en-US" w:eastAsia="zh-CN"/>
                <w14:textFill>
                  <w14:solidFill>
                    <w14:schemeClr w14:val="tx1"/>
                  </w14:solidFill>
                </w14:textFill>
              </w:rPr>
            </w:pPr>
            <w:r>
              <w:rPr>
                <w:rFonts w:hint="eastAsia" w:ascii="Times New Roman" w:hAnsi="Times New Roman" w:cs="Times New Roman"/>
                <w:color w:val="000000" w:themeColor="text1"/>
                <w:spacing w:val="-6"/>
                <w:sz w:val="21"/>
                <w:szCs w:val="21"/>
                <w:lang w:val="en-US" w:eastAsia="zh-CN"/>
                <w14:textFill>
                  <w14:solidFill>
                    <w14:schemeClr w14:val="tx1"/>
                  </w14:solidFill>
                </w14:textFill>
              </w:rPr>
              <w:t>/</w:t>
            </w:r>
          </w:p>
        </w:tc>
        <w:tc>
          <w:tcPr>
            <w:tcW w:w="355" w:type="pct"/>
            <w:vAlign w:val="center"/>
          </w:tcPr>
          <w:p w14:paraId="4DCC3699">
            <w:pPr>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达标</w:t>
            </w:r>
          </w:p>
        </w:tc>
      </w:tr>
      <w:tr w14:paraId="2C9C70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416" w:type="pct"/>
            <w:vAlign w:val="center"/>
          </w:tcPr>
          <w:p w14:paraId="28D3876C">
            <w:pPr>
              <w:pStyle w:val="11"/>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铜（mg/kg）</w:t>
            </w:r>
          </w:p>
        </w:tc>
        <w:tc>
          <w:tcPr>
            <w:tcW w:w="733" w:type="pct"/>
            <w:vAlign w:val="center"/>
          </w:tcPr>
          <w:p w14:paraId="4D8DC1B3">
            <w:pPr>
              <w:pStyle w:val="11"/>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31</w:t>
            </w:r>
          </w:p>
        </w:tc>
        <w:tc>
          <w:tcPr>
            <w:tcW w:w="746" w:type="pct"/>
            <w:vAlign w:val="center"/>
          </w:tcPr>
          <w:p w14:paraId="0DD18849">
            <w:pPr>
              <w:pStyle w:val="11"/>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33</w:t>
            </w:r>
          </w:p>
        </w:tc>
        <w:tc>
          <w:tcPr>
            <w:tcW w:w="659" w:type="pct"/>
            <w:vAlign w:val="center"/>
          </w:tcPr>
          <w:p w14:paraId="70C06DB6">
            <w:pPr>
              <w:pStyle w:val="11"/>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41</w:t>
            </w:r>
          </w:p>
        </w:tc>
        <w:tc>
          <w:tcPr>
            <w:tcW w:w="467" w:type="pct"/>
            <w:vAlign w:val="center"/>
          </w:tcPr>
          <w:p w14:paraId="6CD5B021">
            <w:pPr>
              <w:pStyle w:val="11"/>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val="en-US" w:eastAsia="zh-CN"/>
                <w14:textFill>
                  <w14:solidFill>
                    <w14:schemeClr w14:val="tx1"/>
                  </w14:solidFill>
                </w14:textFill>
              </w:rPr>
            </w:pPr>
            <w:r>
              <w:rPr>
                <w:rFonts w:hint="eastAsia" w:ascii="Times New Roman" w:hAnsi="Times New Roman" w:cs="Times New Roman"/>
                <w:color w:val="000000" w:themeColor="text1"/>
                <w:spacing w:val="-6"/>
                <w:sz w:val="21"/>
                <w:szCs w:val="21"/>
                <w:lang w:val="en-US" w:eastAsia="zh-CN"/>
                <w14:textFill>
                  <w14:solidFill>
                    <w14:schemeClr w14:val="tx1"/>
                  </w14:solidFill>
                </w14:textFill>
              </w:rPr>
              <w:t>100</w:t>
            </w:r>
          </w:p>
        </w:tc>
        <w:tc>
          <w:tcPr>
            <w:tcW w:w="621" w:type="pct"/>
            <w:vAlign w:val="center"/>
          </w:tcPr>
          <w:p w14:paraId="0B607272">
            <w:pPr>
              <w:pStyle w:val="11"/>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val="en-US" w:eastAsia="zh-CN"/>
                <w14:textFill>
                  <w14:solidFill>
                    <w14:schemeClr w14:val="tx1"/>
                  </w14:solidFill>
                </w14:textFill>
              </w:rPr>
            </w:pPr>
            <w:r>
              <w:rPr>
                <w:rFonts w:hint="eastAsia" w:ascii="Times New Roman" w:hAnsi="Times New Roman" w:cs="Times New Roman"/>
                <w:color w:val="000000" w:themeColor="text1"/>
                <w:spacing w:val="-6"/>
                <w:sz w:val="21"/>
                <w:szCs w:val="21"/>
                <w:lang w:val="en-US" w:eastAsia="zh-CN"/>
                <w14:textFill>
                  <w14:solidFill>
                    <w14:schemeClr w14:val="tx1"/>
                  </w14:solidFill>
                </w14:textFill>
              </w:rPr>
              <w:t>0.41-0.31</w:t>
            </w:r>
          </w:p>
        </w:tc>
        <w:tc>
          <w:tcPr>
            <w:tcW w:w="355" w:type="pct"/>
            <w:vAlign w:val="center"/>
          </w:tcPr>
          <w:p w14:paraId="23D76B5C">
            <w:pPr>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达标</w:t>
            </w:r>
          </w:p>
        </w:tc>
      </w:tr>
      <w:tr w14:paraId="1B1E03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416" w:type="pct"/>
            <w:vAlign w:val="center"/>
          </w:tcPr>
          <w:p w14:paraId="655BFCFE">
            <w:pPr>
              <w:pStyle w:val="11"/>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铅（mg/kg）</w:t>
            </w:r>
          </w:p>
        </w:tc>
        <w:tc>
          <w:tcPr>
            <w:tcW w:w="733" w:type="pct"/>
            <w:vAlign w:val="center"/>
          </w:tcPr>
          <w:p w14:paraId="66DE53EF">
            <w:pPr>
              <w:pStyle w:val="11"/>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28</w:t>
            </w:r>
          </w:p>
        </w:tc>
        <w:tc>
          <w:tcPr>
            <w:tcW w:w="746" w:type="pct"/>
            <w:vAlign w:val="center"/>
          </w:tcPr>
          <w:p w14:paraId="73728E76">
            <w:pPr>
              <w:pStyle w:val="11"/>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22</w:t>
            </w:r>
          </w:p>
        </w:tc>
        <w:tc>
          <w:tcPr>
            <w:tcW w:w="659" w:type="pct"/>
            <w:vAlign w:val="center"/>
          </w:tcPr>
          <w:p w14:paraId="028CC204">
            <w:pPr>
              <w:pStyle w:val="11"/>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20</w:t>
            </w:r>
          </w:p>
        </w:tc>
        <w:tc>
          <w:tcPr>
            <w:tcW w:w="467" w:type="pct"/>
            <w:vAlign w:val="center"/>
          </w:tcPr>
          <w:p w14:paraId="671B5CDA">
            <w:pPr>
              <w:pStyle w:val="11"/>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val="en-US" w:eastAsia="zh-CN"/>
                <w14:textFill>
                  <w14:solidFill>
                    <w14:schemeClr w14:val="tx1"/>
                  </w14:solidFill>
                </w14:textFill>
              </w:rPr>
            </w:pPr>
            <w:r>
              <w:rPr>
                <w:rFonts w:hint="eastAsia" w:ascii="Times New Roman" w:hAnsi="Times New Roman" w:cs="Times New Roman"/>
                <w:color w:val="000000" w:themeColor="text1"/>
                <w:spacing w:val="-6"/>
                <w:sz w:val="21"/>
                <w:szCs w:val="21"/>
                <w:lang w:val="en-US" w:eastAsia="zh-CN"/>
                <w14:textFill>
                  <w14:solidFill>
                    <w14:schemeClr w14:val="tx1"/>
                  </w14:solidFill>
                </w14:textFill>
              </w:rPr>
              <w:t>170</w:t>
            </w:r>
          </w:p>
        </w:tc>
        <w:tc>
          <w:tcPr>
            <w:tcW w:w="621" w:type="pct"/>
            <w:vAlign w:val="center"/>
          </w:tcPr>
          <w:p w14:paraId="36317570">
            <w:pPr>
              <w:pStyle w:val="11"/>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val="en-US" w:eastAsia="zh-CN"/>
                <w14:textFill>
                  <w14:solidFill>
                    <w14:schemeClr w14:val="tx1"/>
                  </w14:solidFill>
                </w14:textFill>
              </w:rPr>
            </w:pPr>
            <w:r>
              <w:rPr>
                <w:rFonts w:hint="eastAsia" w:ascii="Times New Roman" w:hAnsi="Times New Roman" w:cs="Times New Roman"/>
                <w:color w:val="000000" w:themeColor="text1"/>
                <w:spacing w:val="-6"/>
                <w:sz w:val="21"/>
                <w:szCs w:val="21"/>
                <w:lang w:val="en-US" w:eastAsia="zh-CN"/>
                <w14:textFill>
                  <w14:solidFill>
                    <w14:schemeClr w14:val="tx1"/>
                  </w14:solidFill>
                </w14:textFill>
              </w:rPr>
              <w:t>0.16-0.11</w:t>
            </w:r>
          </w:p>
        </w:tc>
        <w:tc>
          <w:tcPr>
            <w:tcW w:w="355" w:type="pct"/>
            <w:vAlign w:val="center"/>
          </w:tcPr>
          <w:p w14:paraId="3EF95F47">
            <w:pPr>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达标</w:t>
            </w:r>
          </w:p>
        </w:tc>
      </w:tr>
      <w:tr w14:paraId="72F998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416" w:type="pct"/>
            <w:vAlign w:val="center"/>
          </w:tcPr>
          <w:p w14:paraId="443412F9">
            <w:pPr>
              <w:pStyle w:val="11"/>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汞（mg/kg）</w:t>
            </w:r>
          </w:p>
        </w:tc>
        <w:tc>
          <w:tcPr>
            <w:tcW w:w="733" w:type="pct"/>
            <w:vAlign w:val="center"/>
          </w:tcPr>
          <w:p w14:paraId="15076191">
            <w:pPr>
              <w:pStyle w:val="11"/>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0.075</w:t>
            </w:r>
          </w:p>
        </w:tc>
        <w:tc>
          <w:tcPr>
            <w:tcW w:w="746" w:type="pct"/>
            <w:vAlign w:val="center"/>
          </w:tcPr>
          <w:p w14:paraId="0E978887">
            <w:pPr>
              <w:pStyle w:val="11"/>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0.076</w:t>
            </w:r>
          </w:p>
        </w:tc>
        <w:tc>
          <w:tcPr>
            <w:tcW w:w="659" w:type="pct"/>
            <w:vAlign w:val="center"/>
          </w:tcPr>
          <w:p w14:paraId="4D92CCFA">
            <w:pPr>
              <w:pStyle w:val="11"/>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0.071</w:t>
            </w:r>
          </w:p>
        </w:tc>
        <w:tc>
          <w:tcPr>
            <w:tcW w:w="467" w:type="pct"/>
            <w:vAlign w:val="center"/>
          </w:tcPr>
          <w:p w14:paraId="3B3BE162">
            <w:pPr>
              <w:pStyle w:val="11"/>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val="en-US" w:eastAsia="zh-CN"/>
                <w14:textFill>
                  <w14:solidFill>
                    <w14:schemeClr w14:val="tx1"/>
                  </w14:solidFill>
                </w14:textFill>
              </w:rPr>
            </w:pPr>
            <w:r>
              <w:rPr>
                <w:rFonts w:hint="eastAsia" w:ascii="Times New Roman" w:hAnsi="Times New Roman" w:cs="Times New Roman"/>
                <w:color w:val="000000" w:themeColor="text1"/>
                <w:spacing w:val="-6"/>
                <w:sz w:val="21"/>
                <w:szCs w:val="21"/>
                <w:lang w:val="en-US" w:eastAsia="zh-CN"/>
                <w14:textFill>
                  <w14:solidFill>
                    <w14:schemeClr w14:val="tx1"/>
                  </w14:solidFill>
                </w14:textFill>
              </w:rPr>
              <w:t>3.4</w:t>
            </w:r>
          </w:p>
        </w:tc>
        <w:tc>
          <w:tcPr>
            <w:tcW w:w="621" w:type="pct"/>
            <w:vAlign w:val="center"/>
          </w:tcPr>
          <w:p w14:paraId="79FC2B21">
            <w:pPr>
              <w:pStyle w:val="11"/>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val="en-US" w:eastAsia="zh-CN"/>
                <w14:textFill>
                  <w14:solidFill>
                    <w14:schemeClr w14:val="tx1"/>
                  </w14:solidFill>
                </w14:textFill>
              </w:rPr>
            </w:pPr>
            <w:r>
              <w:rPr>
                <w:rFonts w:hint="eastAsia" w:ascii="Times New Roman" w:hAnsi="Times New Roman" w:cs="Times New Roman"/>
                <w:color w:val="000000" w:themeColor="text1"/>
                <w:spacing w:val="-6"/>
                <w:sz w:val="21"/>
                <w:szCs w:val="21"/>
                <w:lang w:val="en-US" w:eastAsia="zh-CN"/>
                <w14:textFill>
                  <w14:solidFill>
                    <w14:schemeClr w14:val="tx1"/>
                  </w14:solidFill>
                </w14:textFill>
              </w:rPr>
              <w:t>0.02</w:t>
            </w:r>
          </w:p>
        </w:tc>
        <w:tc>
          <w:tcPr>
            <w:tcW w:w="355" w:type="pct"/>
            <w:vAlign w:val="center"/>
          </w:tcPr>
          <w:p w14:paraId="4ADCCED5">
            <w:pPr>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达标</w:t>
            </w:r>
          </w:p>
        </w:tc>
      </w:tr>
      <w:tr w14:paraId="5C21BD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416" w:type="pct"/>
            <w:vAlign w:val="center"/>
          </w:tcPr>
          <w:p w14:paraId="4A2255E9">
            <w:pPr>
              <w:pStyle w:val="11"/>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镍（mg/kg）</w:t>
            </w:r>
          </w:p>
        </w:tc>
        <w:tc>
          <w:tcPr>
            <w:tcW w:w="733" w:type="pct"/>
            <w:vAlign w:val="center"/>
          </w:tcPr>
          <w:p w14:paraId="5CDBDF3D">
            <w:pPr>
              <w:pStyle w:val="11"/>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35</w:t>
            </w:r>
          </w:p>
        </w:tc>
        <w:tc>
          <w:tcPr>
            <w:tcW w:w="746" w:type="pct"/>
            <w:vAlign w:val="center"/>
          </w:tcPr>
          <w:p w14:paraId="5BE86F9C">
            <w:pPr>
              <w:pStyle w:val="11"/>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31</w:t>
            </w:r>
          </w:p>
        </w:tc>
        <w:tc>
          <w:tcPr>
            <w:tcW w:w="659" w:type="pct"/>
            <w:vAlign w:val="center"/>
          </w:tcPr>
          <w:p w14:paraId="316898DF">
            <w:pPr>
              <w:pStyle w:val="11"/>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33</w:t>
            </w:r>
          </w:p>
        </w:tc>
        <w:tc>
          <w:tcPr>
            <w:tcW w:w="467" w:type="pct"/>
            <w:vAlign w:val="center"/>
          </w:tcPr>
          <w:p w14:paraId="7C0853B0">
            <w:pPr>
              <w:pStyle w:val="11"/>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val="en-US" w:eastAsia="zh-CN"/>
                <w14:textFill>
                  <w14:solidFill>
                    <w14:schemeClr w14:val="tx1"/>
                  </w14:solidFill>
                </w14:textFill>
              </w:rPr>
            </w:pPr>
            <w:r>
              <w:rPr>
                <w:rFonts w:hint="eastAsia" w:ascii="Times New Roman" w:hAnsi="Times New Roman" w:cs="Times New Roman"/>
                <w:color w:val="000000" w:themeColor="text1"/>
                <w:spacing w:val="-6"/>
                <w:sz w:val="21"/>
                <w:szCs w:val="21"/>
                <w:lang w:val="en-US" w:eastAsia="zh-CN"/>
                <w14:textFill>
                  <w14:solidFill>
                    <w14:schemeClr w14:val="tx1"/>
                  </w14:solidFill>
                </w14:textFill>
              </w:rPr>
              <w:t>190</w:t>
            </w:r>
          </w:p>
        </w:tc>
        <w:tc>
          <w:tcPr>
            <w:tcW w:w="621" w:type="pct"/>
            <w:vAlign w:val="center"/>
          </w:tcPr>
          <w:p w14:paraId="7B7524C2">
            <w:pPr>
              <w:pStyle w:val="11"/>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val="en-US" w:eastAsia="zh-CN"/>
                <w14:textFill>
                  <w14:solidFill>
                    <w14:schemeClr w14:val="tx1"/>
                  </w14:solidFill>
                </w14:textFill>
              </w:rPr>
            </w:pPr>
            <w:r>
              <w:rPr>
                <w:rFonts w:hint="eastAsia" w:ascii="Times New Roman" w:hAnsi="Times New Roman" w:cs="Times New Roman"/>
                <w:color w:val="000000" w:themeColor="text1"/>
                <w:spacing w:val="-6"/>
                <w:sz w:val="21"/>
                <w:szCs w:val="21"/>
                <w:lang w:val="en-US" w:eastAsia="zh-CN"/>
                <w14:textFill>
                  <w14:solidFill>
                    <w14:schemeClr w14:val="tx1"/>
                  </w14:solidFill>
                </w14:textFill>
              </w:rPr>
              <w:t>0.16-0.18</w:t>
            </w:r>
          </w:p>
        </w:tc>
        <w:tc>
          <w:tcPr>
            <w:tcW w:w="355" w:type="pct"/>
            <w:vAlign w:val="center"/>
          </w:tcPr>
          <w:p w14:paraId="2282ACA9">
            <w:pPr>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达标</w:t>
            </w:r>
          </w:p>
        </w:tc>
      </w:tr>
      <w:tr w14:paraId="7B2641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416" w:type="pct"/>
            <w:vAlign w:val="center"/>
          </w:tcPr>
          <w:p w14:paraId="52F5B9D6">
            <w:pPr>
              <w:pStyle w:val="11"/>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highlight w:val="yellow"/>
                <w14:textFill>
                  <w14:solidFill>
                    <w14:schemeClr w14:val="tx1"/>
                  </w14:solidFill>
                </w14:textFill>
              </w:rPr>
            </w:pPr>
            <w:r>
              <w:rPr>
                <w:rFonts w:hint="default" w:ascii="Times New Roman" w:hAnsi="Times New Roman" w:eastAsia="宋体" w:cs="Times New Roman"/>
                <w:color w:val="000000" w:themeColor="text1"/>
                <w:spacing w:val="-6"/>
                <w:sz w:val="21"/>
                <w:szCs w:val="21"/>
                <w:highlight w:val="yellow"/>
                <w14:textFill>
                  <w14:solidFill>
                    <w14:schemeClr w14:val="tx1"/>
                  </w14:solidFill>
                </w14:textFill>
              </w:rPr>
              <w:t>锌（mg/kg）</w:t>
            </w:r>
          </w:p>
        </w:tc>
        <w:tc>
          <w:tcPr>
            <w:tcW w:w="733" w:type="pct"/>
            <w:vAlign w:val="center"/>
          </w:tcPr>
          <w:p w14:paraId="06237388">
            <w:pPr>
              <w:pStyle w:val="11"/>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highlight w:val="yellow"/>
                <w14:textFill>
                  <w14:solidFill>
                    <w14:schemeClr w14:val="tx1"/>
                  </w14:solidFill>
                </w14:textFill>
              </w:rPr>
            </w:pPr>
            <w:r>
              <w:rPr>
                <w:rFonts w:hint="default" w:ascii="Times New Roman" w:hAnsi="Times New Roman" w:eastAsia="宋体" w:cs="Times New Roman"/>
                <w:color w:val="000000" w:themeColor="text1"/>
                <w:spacing w:val="-6"/>
                <w:sz w:val="21"/>
                <w:szCs w:val="21"/>
                <w:highlight w:val="yellow"/>
                <w14:textFill>
                  <w14:solidFill>
                    <w14:schemeClr w14:val="tx1"/>
                  </w14:solidFill>
                </w14:textFill>
              </w:rPr>
              <w:t>42</w:t>
            </w:r>
          </w:p>
        </w:tc>
        <w:tc>
          <w:tcPr>
            <w:tcW w:w="746" w:type="pct"/>
            <w:vAlign w:val="center"/>
          </w:tcPr>
          <w:p w14:paraId="1DD5053C">
            <w:pPr>
              <w:pStyle w:val="11"/>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highlight w:val="yellow"/>
                <w14:textFill>
                  <w14:solidFill>
                    <w14:schemeClr w14:val="tx1"/>
                  </w14:solidFill>
                </w14:textFill>
              </w:rPr>
            </w:pPr>
            <w:r>
              <w:rPr>
                <w:rFonts w:hint="default" w:ascii="Times New Roman" w:hAnsi="Times New Roman" w:eastAsia="宋体" w:cs="Times New Roman"/>
                <w:color w:val="000000" w:themeColor="text1"/>
                <w:spacing w:val="-6"/>
                <w:sz w:val="21"/>
                <w:szCs w:val="21"/>
                <w:highlight w:val="yellow"/>
                <w14:textFill>
                  <w14:solidFill>
                    <w14:schemeClr w14:val="tx1"/>
                  </w14:solidFill>
                </w14:textFill>
              </w:rPr>
              <w:t>46</w:t>
            </w:r>
          </w:p>
        </w:tc>
        <w:tc>
          <w:tcPr>
            <w:tcW w:w="659" w:type="pct"/>
            <w:vAlign w:val="center"/>
          </w:tcPr>
          <w:p w14:paraId="164260B3">
            <w:pPr>
              <w:pStyle w:val="11"/>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highlight w:val="yellow"/>
                <w14:textFill>
                  <w14:solidFill>
                    <w14:schemeClr w14:val="tx1"/>
                  </w14:solidFill>
                </w14:textFill>
              </w:rPr>
            </w:pPr>
            <w:r>
              <w:rPr>
                <w:rFonts w:hint="default" w:ascii="Times New Roman" w:hAnsi="Times New Roman" w:eastAsia="宋体" w:cs="Times New Roman"/>
                <w:color w:val="000000" w:themeColor="text1"/>
                <w:spacing w:val="-6"/>
                <w:sz w:val="21"/>
                <w:szCs w:val="21"/>
                <w:highlight w:val="yellow"/>
                <w14:textFill>
                  <w14:solidFill>
                    <w14:schemeClr w14:val="tx1"/>
                  </w14:solidFill>
                </w14:textFill>
              </w:rPr>
              <w:t>44</w:t>
            </w:r>
          </w:p>
        </w:tc>
        <w:tc>
          <w:tcPr>
            <w:tcW w:w="467" w:type="pct"/>
            <w:vAlign w:val="center"/>
          </w:tcPr>
          <w:p w14:paraId="5B9056DF">
            <w:pPr>
              <w:pStyle w:val="11"/>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highlight w:val="yellow"/>
                <w:lang w:val="en-US" w:eastAsia="zh-CN"/>
                <w14:textFill>
                  <w14:solidFill>
                    <w14:schemeClr w14:val="tx1"/>
                  </w14:solidFill>
                </w14:textFill>
              </w:rPr>
            </w:pPr>
            <w:r>
              <w:rPr>
                <w:rFonts w:hint="eastAsia" w:ascii="Times New Roman" w:hAnsi="Times New Roman" w:cs="Times New Roman"/>
                <w:color w:val="000000" w:themeColor="text1"/>
                <w:spacing w:val="-6"/>
                <w:sz w:val="21"/>
                <w:szCs w:val="21"/>
                <w:highlight w:val="yellow"/>
                <w:lang w:val="en-US" w:eastAsia="zh-CN"/>
                <w14:textFill>
                  <w14:solidFill>
                    <w14:schemeClr w14:val="tx1"/>
                  </w14:solidFill>
                </w14:textFill>
              </w:rPr>
              <w:t>300</w:t>
            </w:r>
          </w:p>
        </w:tc>
        <w:tc>
          <w:tcPr>
            <w:tcW w:w="621" w:type="pct"/>
            <w:vAlign w:val="center"/>
          </w:tcPr>
          <w:p w14:paraId="539FEFFE">
            <w:pPr>
              <w:pStyle w:val="11"/>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highlight w:val="yellow"/>
                <w:lang w:val="en-US" w:eastAsia="zh-CN"/>
                <w14:textFill>
                  <w14:solidFill>
                    <w14:schemeClr w14:val="tx1"/>
                  </w14:solidFill>
                </w14:textFill>
              </w:rPr>
            </w:pPr>
            <w:r>
              <w:rPr>
                <w:rFonts w:hint="eastAsia" w:ascii="Times New Roman" w:hAnsi="Times New Roman" w:cs="Times New Roman"/>
                <w:color w:val="000000" w:themeColor="text1"/>
                <w:spacing w:val="-6"/>
                <w:sz w:val="21"/>
                <w:szCs w:val="21"/>
                <w:highlight w:val="yellow"/>
                <w:lang w:val="en-US" w:eastAsia="zh-CN"/>
                <w14:textFill>
                  <w14:solidFill>
                    <w14:schemeClr w14:val="tx1"/>
                  </w14:solidFill>
                </w14:textFill>
              </w:rPr>
              <w:t>0.14-0.15</w:t>
            </w:r>
          </w:p>
        </w:tc>
        <w:tc>
          <w:tcPr>
            <w:tcW w:w="355" w:type="pct"/>
            <w:vAlign w:val="center"/>
          </w:tcPr>
          <w:p w14:paraId="15F8972F">
            <w:pPr>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highlight w:val="yellow"/>
                <w14:textFill>
                  <w14:solidFill>
                    <w14:schemeClr w14:val="tx1"/>
                  </w14:solidFill>
                </w14:textFill>
              </w:rPr>
            </w:pPr>
            <w:r>
              <w:rPr>
                <w:rFonts w:hint="default" w:ascii="Times New Roman" w:hAnsi="Times New Roman" w:eastAsia="宋体" w:cs="Times New Roman"/>
                <w:color w:val="000000" w:themeColor="text1"/>
                <w:spacing w:val="-6"/>
                <w:sz w:val="21"/>
                <w:szCs w:val="21"/>
                <w:highlight w:val="yellow"/>
                <w14:textFill>
                  <w14:solidFill>
                    <w14:schemeClr w14:val="tx1"/>
                  </w14:solidFill>
                </w14:textFill>
              </w:rPr>
              <w:t>达标</w:t>
            </w:r>
          </w:p>
        </w:tc>
      </w:tr>
      <w:tr w14:paraId="14CFA7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1416" w:type="pct"/>
            <w:vAlign w:val="center"/>
          </w:tcPr>
          <w:p w14:paraId="3E094A21">
            <w:pPr>
              <w:pStyle w:val="11"/>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pH值（无量纲）</w:t>
            </w:r>
          </w:p>
        </w:tc>
        <w:tc>
          <w:tcPr>
            <w:tcW w:w="733" w:type="pct"/>
            <w:vAlign w:val="center"/>
          </w:tcPr>
          <w:p w14:paraId="76743AD8">
            <w:pPr>
              <w:pStyle w:val="11"/>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8.17</w:t>
            </w:r>
          </w:p>
        </w:tc>
        <w:tc>
          <w:tcPr>
            <w:tcW w:w="746" w:type="pct"/>
            <w:vAlign w:val="center"/>
          </w:tcPr>
          <w:p w14:paraId="16357411">
            <w:pPr>
              <w:pStyle w:val="11"/>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8.23</w:t>
            </w:r>
          </w:p>
        </w:tc>
        <w:tc>
          <w:tcPr>
            <w:tcW w:w="659" w:type="pct"/>
            <w:vAlign w:val="center"/>
          </w:tcPr>
          <w:p w14:paraId="4F4D380D">
            <w:pPr>
              <w:pStyle w:val="11"/>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8.25</w:t>
            </w:r>
          </w:p>
        </w:tc>
        <w:tc>
          <w:tcPr>
            <w:tcW w:w="467" w:type="pct"/>
            <w:vAlign w:val="center"/>
          </w:tcPr>
          <w:p w14:paraId="4A6A6D90">
            <w:pPr>
              <w:pStyle w:val="11"/>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val="en-US" w:eastAsia="zh-CN"/>
                <w14:textFill>
                  <w14:solidFill>
                    <w14:schemeClr w14:val="tx1"/>
                  </w14:solidFill>
                </w14:textFill>
              </w:rPr>
            </w:pPr>
            <w:r>
              <w:rPr>
                <w:rFonts w:hint="eastAsia" w:ascii="Times New Roman" w:hAnsi="Times New Roman" w:cs="Times New Roman"/>
                <w:color w:val="000000" w:themeColor="text1"/>
                <w:spacing w:val="-6"/>
                <w:sz w:val="21"/>
                <w:szCs w:val="21"/>
                <w:lang w:val="en-US" w:eastAsia="zh-CN"/>
                <w14:textFill>
                  <w14:solidFill>
                    <w14:schemeClr w14:val="tx1"/>
                  </w14:solidFill>
                </w14:textFill>
              </w:rPr>
              <w:t>pH&gt;7.5</w:t>
            </w:r>
          </w:p>
        </w:tc>
        <w:tc>
          <w:tcPr>
            <w:tcW w:w="621" w:type="pct"/>
            <w:vAlign w:val="center"/>
          </w:tcPr>
          <w:p w14:paraId="5859B59C">
            <w:pPr>
              <w:pStyle w:val="11"/>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val="en-US" w:eastAsia="zh-CN"/>
                <w14:textFill>
                  <w14:solidFill>
                    <w14:schemeClr w14:val="tx1"/>
                  </w14:solidFill>
                </w14:textFill>
              </w:rPr>
            </w:pPr>
            <w:r>
              <w:rPr>
                <w:rFonts w:hint="eastAsia" w:ascii="Times New Roman" w:hAnsi="Times New Roman" w:cs="Times New Roman"/>
                <w:color w:val="000000" w:themeColor="text1"/>
                <w:spacing w:val="-6"/>
                <w:sz w:val="21"/>
                <w:szCs w:val="21"/>
                <w:lang w:val="en-US" w:eastAsia="zh-CN"/>
                <w14:textFill>
                  <w14:solidFill>
                    <w14:schemeClr w14:val="tx1"/>
                  </w14:solidFill>
                </w14:textFill>
              </w:rPr>
              <w:t>/</w:t>
            </w:r>
          </w:p>
        </w:tc>
        <w:tc>
          <w:tcPr>
            <w:tcW w:w="355" w:type="pct"/>
            <w:vAlign w:val="center"/>
          </w:tcPr>
          <w:p w14:paraId="7083AA2C">
            <w:pPr>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达标</w:t>
            </w:r>
          </w:p>
        </w:tc>
      </w:tr>
    </w:tbl>
    <w:p w14:paraId="577788FC">
      <w:pPr>
        <w:pStyle w:val="11"/>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9"/>
        <w:rPr>
          <w:rFonts w:hint="default" w:ascii="Times New Roman" w:hAnsi="Times New Roman" w:eastAsia="宋体" w:cs="Times New Roman"/>
          <w:b/>
          <w:bCs/>
          <w:color w:val="000000" w:themeColor="text1"/>
          <w:spacing w:val="-6"/>
          <w:lang w:eastAsia="zh-CN"/>
          <w14:textFill>
            <w14:solidFill>
              <w14:schemeClr w14:val="tx1"/>
            </w14:solidFill>
          </w14:textFill>
        </w:rPr>
      </w:pPr>
      <w:bookmarkStart w:id="238" w:name="_Toc3271"/>
      <w:bookmarkStart w:id="239" w:name="_Toc11361"/>
      <w:bookmarkStart w:id="240" w:name="_Toc1826"/>
      <w:r>
        <w:rPr>
          <w:rFonts w:hint="default" w:ascii="Times New Roman" w:hAnsi="Times New Roman" w:eastAsia="宋体" w:cs="Times New Roman"/>
          <w:b/>
          <w:bCs/>
          <w:color w:val="000000" w:themeColor="text1"/>
          <w:spacing w:val="-6"/>
          <w:lang w:eastAsia="zh-CN"/>
          <w14:textFill>
            <w14:solidFill>
              <w14:schemeClr w14:val="tx1"/>
            </w14:solidFill>
          </w14:textFill>
        </w:rPr>
        <w:t>续表4.2-23土壤检测结果表</w:t>
      </w:r>
      <w:bookmarkEnd w:id="238"/>
      <w:bookmarkEnd w:id="239"/>
      <w:bookmarkEnd w:id="240"/>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05"/>
        <w:gridCol w:w="2090"/>
        <w:gridCol w:w="1670"/>
        <w:gridCol w:w="1670"/>
        <w:gridCol w:w="1671"/>
      </w:tblGrid>
      <w:tr w14:paraId="20F550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1" w:hRule="atLeast"/>
          <w:jc w:val="center"/>
        </w:trPr>
        <w:tc>
          <w:tcPr>
            <w:tcW w:w="1143" w:type="pct"/>
            <w:vAlign w:val="center"/>
          </w:tcPr>
          <w:p w14:paraId="3C9BFBE6">
            <w:pPr>
              <w:pStyle w:val="11"/>
              <w:keepNext w:val="0"/>
              <w:keepLines w:val="0"/>
              <w:pageBreakBefore w:val="0"/>
              <w:kinsoku/>
              <w:wordWrap/>
              <w:overflowPunct/>
              <w:topLinePunct w:val="0"/>
              <w:autoSpaceDE/>
              <w:autoSpaceDN/>
              <w:bidi w:val="0"/>
              <w:adjustRightInd/>
              <w:snapToGrid/>
              <w:spacing w:line="240" w:lineRule="auto"/>
              <w:ind w:firstLine="0" w:firstLineChars="0"/>
              <w:jc w:val="right"/>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采样位置</w:t>
            </w:r>
          </w:p>
          <w:p w14:paraId="1F361C63">
            <w:pPr>
              <w:pStyle w:val="11"/>
              <w:keepNext w:val="0"/>
              <w:keepLines w:val="0"/>
              <w:pageBreakBefore w:val="0"/>
              <w:kinsoku/>
              <w:wordWrap/>
              <w:overflowPunct/>
              <w:topLinePunct w:val="0"/>
              <w:autoSpaceDE/>
              <w:autoSpaceDN/>
              <w:bidi w:val="0"/>
              <w:adjustRightInd/>
              <w:snapToGrid/>
              <w:spacing w:line="240" w:lineRule="auto"/>
              <w:ind w:firstLine="0" w:firstLineChars="0"/>
              <w:jc w:val="left"/>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检测项目</w:t>
            </w:r>
          </w:p>
        </w:tc>
        <w:tc>
          <w:tcPr>
            <w:tcW w:w="1135" w:type="pct"/>
            <w:vAlign w:val="center"/>
          </w:tcPr>
          <w:p w14:paraId="3D2D28F7">
            <w:pPr>
              <w:pStyle w:val="11"/>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占地范围外（0-0.2m）</w:t>
            </w:r>
          </w:p>
        </w:tc>
        <w:tc>
          <w:tcPr>
            <w:tcW w:w="907" w:type="pct"/>
            <w:vAlign w:val="center"/>
          </w:tcPr>
          <w:p w14:paraId="4F5E6B52">
            <w:pPr>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标准限值</w:t>
            </w:r>
          </w:p>
        </w:tc>
        <w:tc>
          <w:tcPr>
            <w:tcW w:w="907" w:type="pct"/>
            <w:vAlign w:val="center"/>
          </w:tcPr>
          <w:p w14:paraId="6FF07DA2">
            <w:pPr>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Pi</w:t>
            </w:r>
          </w:p>
        </w:tc>
        <w:tc>
          <w:tcPr>
            <w:tcW w:w="907" w:type="pct"/>
            <w:vAlign w:val="center"/>
          </w:tcPr>
          <w:p w14:paraId="1CFA1B36">
            <w:pPr>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达标情况</w:t>
            </w:r>
          </w:p>
        </w:tc>
      </w:tr>
      <w:tr w14:paraId="52F529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1143" w:type="pct"/>
            <w:vAlign w:val="center"/>
          </w:tcPr>
          <w:p w14:paraId="3D3EFFAD">
            <w:pPr>
              <w:pStyle w:val="11"/>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pH值（无量纲）</w:t>
            </w:r>
          </w:p>
        </w:tc>
        <w:tc>
          <w:tcPr>
            <w:tcW w:w="1135" w:type="pct"/>
            <w:vAlign w:val="center"/>
          </w:tcPr>
          <w:p w14:paraId="20BE029D">
            <w:pPr>
              <w:pStyle w:val="11"/>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8.38</w:t>
            </w:r>
          </w:p>
        </w:tc>
        <w:tc>
          <w:tcPr>
            <w:tcW w:w="907" w:type="pct"/>
            <w:vAlign w:val="center"/>
          </w:tcPr>
          <w:p w14:paraId="12D6774A">
            <w:pPr>
              <w:pStyle w:val="11"/>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val="en-US" w:eastAsia="zh-CN"/>
                <w14:textFill>
                  <w14:solidFill>
                    <w14:schemeClr w14:val="tx1"/>
                  </w14:solidFill>
                </w14:textFill>
              </w:rPr>
              <w:t>pH&gt;7.5</w:t>
            </w:r>
          </w:p>
        </w:tc>
        <w:tc>
          <w:tcPr>
            <w:tcW w:w="907" w:type="pct"/>
            <w:vAlign w:val="center"/>
          </w:tcPr>
          <w:p w14:paraId="74121DBB">
            <w:pPr>
              <w:pStyle w:val="11"/>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val="en-US" w:eastAsia="zh-CN"/>
                <w14:textFill>
                  <w14:solidFill>
                    <w14:schemeClr w14:val="tx1"/>
                  </w14:solidFill>
                </w14:textFill>
              </w:rPr>
            </w:pPr>
            <w:r>
              <w:rPr>
                <w:rFonts w:hint="eastAsia" w:ascii="Times New Roman" w:hAnsi="Times New Roman" w:cs="Times New Roman"/>
                <w:color w:val="000000" w:themeColor="text1"/>
                <w:spacing w:val="-6"/>
                <w:sz w:val="21"/>
                <w:szCs w:val="21"/>
                <w:lang w:val="en-US" w:eastAsia="zh-CN"/>
                <w14:textFill>
                  <w14:solidFill>
                    <w14:schemeClr w14:val="tx1"/>
                  </w14:solidFill>
                </w14:textFill>
              </w:rPr>
              <w:t>/</w:t>
            </w:r>
          </w:p>
        </w:tc>
        <w:tc>
          <w:tcPr>
            <w:tcW w:w="907" w:type="pct"/>
            <w:vAlign w:val="center"/>
          </w:tcPr>
          <w:p w14:paraId="6DF02582">
            <w:pPr>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eastAsia" w:ascii="Times New Roman" w:hAnsi="Times New Roman" w:eastAsia="宋体" w:cs="Times New Roman"/>
                <w:color w:val="000000" w:themeColor="text1"/>
                <w:spacing w:val="-6"/>
                <w:sz w:val="21"/>
                <w:szCs w:val="21"/>
                <w:lang w:eastAsia="zh-CN"/>
                <w14:textFill>
                  <w14:solidFill>
                    <w14:schemeClr w14:val="tx1"/>
                  </w14:solidFill>
                </w14:textFill>
              </w:rPr>
            </w:pPr>
            <w:r>
              <w:rPr>
                <w:rFonts w:hint="eastAsia" w:cs="Times New Roman"/>
                <w:color w:val="000000" w:themeColor="text1"/>
                <w:spacing w:val="-6"/>
                <w:sz w:val="21"/>
                <w:szCs w:val="21"/>
                <w:lang w:val="en-US" w:eastAsia="zh-CN"/>
                <w14:textFill>
                  <w14:solidFill>
                    <w14:schemeClr w14:val="tx1"/>
                  </w14:solidFill>
                </w14:textFill>
              </w:rPr>
              <w:t>/</w:t>
            </w:r>
          </w:p>
        </w:tc>
      </w:tr>
      <w:tr w14:paraId="23815B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1143" w:type="pct"/>
            <w:vAlign w:val="center"/>
          </w:tcPr>
          <w:p w14:paraId="2D388673">
            <w:pPr>
              <w:pStyle w:val="11"/>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砷（mg/kg）</w:t>
            </w:r>
          </w:p>
        </w:tc>
        <w:tc>
          <w:tcPr>
            <w:tcW w:w="1135" w:type="pct"/>
            <w:vAlign w:val="center"/>
          </w:tcPr>
          <w:p w14:paraId="0FF9B9D2">
            <w:pPr>
              <w:pStyle w:val="11"/>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9.11</w:t>
            </w:r>
          </w:p>
        </w:tc>
        <w:tc>
          <w:tcPr>
            <w:tcW w:w="907" w:type="pct"/>
            <w:shd w:val="clear" w:color="auto" w:fill="auto"/>
            <w:vAlign w:val="center"/>
          </w:tcPr>
          <w:p w14:paraId="246C0B1B">
            <w:pPr>
              <w:pStyle w:val="11"/>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pacing w:val="-6"/>
                <w:kern w:val="2"/>
                <w:sz w:val="21"/>
                <w:szCs w:val="21"/>
                <w:lang w:val="en-US" w:eastAsia="zh-CN" w:bidi="ar-SA"/>
                <w14:textFill>
                  <w14:solidFill>
                    <w14:schemeClr w14:val="tx1"/>
                  </w14:solidFill>
                </w14:textFill>
              </w:rPr>
            </w:pPr>
            <w:r>
              <w:rPr>
                <w:rFonts w:hint="eastAsia" w:ascii="Times New Roman" w:hAnsi="Times New Roman" w:cs="Times New Roman"/>
                <w:color w:val="000000" w:themeColor="text1"/>
                <w:spacing w:val="-6"/>
                <w:kern w:val="2"/>
                <w:sz w:val="21"/>
                <w:szCs w:val="21"/>
                <w:lang w:val="en-US" w:eastAsia="zh-CN" w:bidi="ar-SA"/>
                <w14:textFill>
                  <w14:solidFill>
                    <w14:schemeClr w14:val="tx1"/>
                  </w14:solidFill>
                </w14:textFill>
              </w:rPr>
              <w:t>25</w:t>
            </w:r>
          </w:p>
        </w:tc>
        <w:tc>
          <w:tcPr>
            <w:tcW w:w="1670" w:type="dxa"/>
            <w:vAlign w:val="center"/>
          </w:tcPr>
          <w:p w14:paraId="0FFE11C9">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outlineLvl w:val="9"/>
              <w:rPr>
                <w:rFonts w:hint="default" w:ascii="Times New Roman" w:hAnsi="Times New Roman" w:eastAsia="宋体" w:cs="Times New Roman"/>
                <w:color w:val="000000" w:themeColor="text1"/>
                <w:spacing w:val="-6"/>
                <w:sz w:val="21"/>
                <w:szCs w:val="21"/>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0.36</w:t>
            </w:r>
          </w:p>
        </w:tc>
        <w:tc>
          <w:tcPr>
            <w:tcW w:w="907" w:type="pct"/>
            <w:vAlign w:val="center"/>
          </w:tcPr>
          <w:p w14:paraId="795B4910">
            <w:pPr>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达标</w:t>
            </w:r>
          </w:p>
        </w:tc>
      </w:tr>
      <w:tr w14:paraId="3075B2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1143" w:type="pct"/>
            <w:vAlign w:val="center"/>
          </w:tcPr>
          <w:p w14:paraId="55146E45">
            <w:pPr>
              <w:pStyle w:val="11"/>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镉（mg/kg）</w:t>
            </w:r>
          </w:p>
        </w:tc>
        <w:tc>
          <w:tcPr>
            <w:tcW w:w="1135" w:type="pct"/>
            <w:vAlign w:val="center"/>
          </w:tcPr>
          <w:p w14:paraId="5C97538B">
            <w:pPr>
              <w:pStyle w:val="11"/>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0.15</w:t>
            </w:r>
          </w:p>
        </w:tc>
        <w:tc>
          <w:tcPr>
            <w:tcW w:w="907" w:type="pct"/>
            <w:shd w:val="clear" w:color="auto" w:fill="auto"/>
            <w:vAlign w:val="center"/>
          </w:tcPr>
          <w:p w14:paraId="37A59DBF">
            <w:pPr>
              <w:pStyle w:val="11"/>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pacing w:val="-6"/>
                <w:kern w:val="2"/>
                <w:sz w:val="21"/>
                <w:szCs w:val="21"/>
                <w:lang w:val="en-US" w:eastAsia="zh-CN" w:bidi="ar-SA"/>
                <w14:textFill>
                  <w14:solidFill>
                    <w14:schemeClr w14:val="tx1"/>
                  </w14:solidFill>
                </w14:textFill>
              </w:rPr>
            </w:pPr>
            <w:r>
              <w:rPr>
                <w:rFonts w:hint="eastAsia" w:ascii="Times New Roman" w:hAnsi="Times New Roman" w:cs="Times New Roman"/>
                <w:color w:val="000000" w:themeColor="text1"/>
                <w:spacing w:val="-6"/>
                <w:kern w:val="2"/>
                <w:sz w:val="21"/>
                <w:szCs w:val="21"/>
                <w:lang w:val="en-US" w:eastAsia="zh-CN" w:bidi="ar-SA"/>
                <w14:textFill>
                  <w14:solidFill>
                    <w14:schemeClr w14:val="tx1"/>
                  </w14:solidFill>
                </w14:textFill>
              </w:rPr>
              <w:t>0.6</w:t>
            </w:r>
          </w:p>
        </w:tc>
        <w:tc>
          <w:tcPr>
            <w:tcW w:w="1670" w:type="dxa"/>
            <w:vAlign w:val="center"/>
          </w:tcPr>
          <w:p w14:paraId="0A450296">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outlineLvl w:val="9"/>
              <w:rPr>
                <w:rFonts w:hint="default" w:ascii="Times New Roman" w:hAnsi="Times New Roman" w:eastAsia="宋体" w:cs="Times New Roman"/>
                <w:color w:val="000000" w:themeColor="text1"/>
                <w:spacing w:val="-6"/>
                <w:sz w:val="21"/>
                <w:szCs w:val="21"/>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0.25</w:t>
            </w:r>
          </w:p>
        </w:tc>
        <w:tc>
          <w:tcPr>
            <w:tcW w:w="907" w:type="pct"/>
            <w:vAlign w:val="center"/>
          </w:tcPr>
          <w:p w14:paraId="77EF22C4">
            <w:pPr>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达标</w:t>
            </w:r>
          </w:p>
        </w:tc>
      </w:tr>
      <w:tr w14:paraId="41F13E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1143" w:type="pct"/>
            <w:vAlign w:val="center"/>
          </w:tcPr>
          <w:p w14:paraId="21800470">
            <w:pPr>
              <w:pStyle w:val="11"/>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铜（mg/kg）</w:t>
            </w:r>
          </w:p>
        </w:tc>
        <w:tc>
          <w:tcPr>
            <w:tcW w:w="1135" w:type="pct"/>
            <w:vAlign w:val="center"/>
          </w:tcPr>
          <w:p w14:paraId="68E5893C">
            <w:pPr>
              <w:pStyle w:val="11"/>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41</w:t>
            </w:r>
          </w:p>
        </w:tc>
        <w:tc>
          <w:tcPr>
            <w:tcW w:w="907" w:type="pct"/>
            <w:shd w:val="clear" w:color="auto" w:fill="auto"/>
            <w:vAlign w:val="center"/>
          </w:tcPr>
          <w:p w14:paraId="086FDACB">
            <w:pPr>
              <w:pStyle w:val="11"/>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pacing w:val="-6"/>
                <w:kern w:val="2"/>
                <w:sz w:val="21"/>
                <w:szCs w:val="21"/>
                <w:highlight w:val="yellow"/>
                <w:lang w:val="en-US" w:eastAsia="zh-CN" w:bidi="ar-SA"/>
                <w14:textFill>
                  <w14:solidFill>
                    <w14:schemeClr w14:val="tx1"/>
                  </w14:solidFill>
                </w14:textFill>
              </w:rPr>
            </w:pPr>
            <w:r>
              <w:rPr>
                <w:rFonts w:hint="eastAsia" w:ascii="Times New Roman" w:hAnsi="Times New Roman" w:cs="Times New Roman"/>
                <w:color w:val="000000" w:themeColor="text1"/>
                <w:spacing w:val="-6"/>
                <w:kern w:val="2"/>
                <w:sz w:val="21"/>
                <w:szCs w:val="21"/>
                <w:highlight w:val="yellow"/>
                <w:lang w:val="en-US" w:eastAsia="zh-CN" w:bidi="ar-SA"/>
                <w14:textFill>
                  <w14:solidFill>
                    <w14:schemeClr w14:val="tx1"/>
                  </w14:solidFill>
                </w14:textFill>
              </w:rPr>
              <w:t>100</w:t>
            </w:r>
          </w:p>
        </w:tc>
        <w:tc>
          <w:tcPr>
            <w:tcW w:w="1670" w:type="dxa"/>
            <w:vAlign w:val="center"/>
          </w:tcPr>
          <w:p w14:paraId="1B7479B0">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outlineLvl w:val="9"/>
              <w:rPr>
                <w:rFonts w:hint="default" w:ascii="Times New Roman" w:hAnsi="Times New Roman" w:eastAsia="宋体" w:cs="Times New Roman"/>
                <w:color w:val="000000" w:themeColor="text1"/>
                <w:spacing w:val="-6"/>
                <w:sz w:val="21"/>
                <w:szCs w:val="21"/>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0.41</w:t>
            </w:r>
          </w:p>
        </w:tc>
        <w:tc>
          <w:tcPr>
            <w:tcW w:w="907" w:type="pct"/>
            <w:vAlign w:val="center"/>
          </w:tcPr>
          <w:p w14:paraId="1758056B">
            <w:pPr>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达标</w:t>
            </w:r>
          </w:p>
        </w:tc>
      </w:tr>
      <w:tr w14:paraId="2B783D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1143" w:type="pct"/>
            <w:vAlign w:val="center"/>
          </w:tcPr>
          <w:p w14:paraId="2194088D">
            <w:pPr>
              <w:pStyle w:val="11"/>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铅（mg/kg）</w:t>
            </w:r>
          </w:p>
        </w:tc>
        <w:tc>
          <w:tcPr>
            <w:tcW w:w="1135" w:type="pct"/>
            <w:vAlign w:val="center"/>
          </w:tcPr>
          <w:p w14:paraId="1B4F2C23">
            <w:pPr>
              <w:pStyle w:val="11"/>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18</w:t>
            </w:r>
          </w:p>
        </w:tc>
        <w:tc>
          <w:tcPr>
            <w:tcW w:w="907" w:type="pct"/>
            <w:vAlign w:val="center"/>
          </w:tcPr>
          <w:p w14:paraId="5C2C733C">
            <w:pPr>
              <w:pStyle w:val="11"/>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val="en-US" w:eastAsia="zh-CN"/>
                <w14:textFill>
                  <w14:solidFill>
                    <w14:schemeClr w14:val="tx1"/>
                  </w14:solidFill>
                </w14:textFill>
              </w:rPr>
            </w:pPr>
            <w:r>
              <w:rPr>
                <w:rFonts w:hint="eastAsia" w:ascii="Times New Roman" w:hAnsi="Times New Roman" w:cs="Times New Roman"/>
                <w:color w:val="000000" w:themeColor="text1"/>
                <w:spacing w:val="-6"/>
                <w:sz w:val="21"/>
                <w:szCs w:val="21"/>
                <w:lang w:val="en-US" w:eastAsia="zh-CN"/>
                <w14:textFill>
                  <w14:solidFill>
                    <w14:schemeClr w14:val="tx1"/>
                  </w14:solidFill>
                </w14:textFill>
              </w:rPr>
              <w:t>170</w:t>
            </w:r>
          </w:p>
        </w:tc>
        <w:tc>
          <w:tcPr>
            <w:tcW w:w="1670" w:type="dxa"/>
            <w:vAlign w:val="center"/>
          </w:tcPr>
          <w:p w14:paraId="5D85F798">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outlineLvl w:val="9"/>
              <w:rPr>
                <w:rFonts w:hint="default" w:ascii="Times New Roman" w:hAnsi="Times New Roman" w:eastAsia="宋体" w:cs="Times New Roman"/>
                <w:color w:val="000000" w:themeColor="text1"/>
                <w:spacing w:val="-6"/>
                <w:sz w:val="21"/>
                <w:szCs w:val="21"/>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0.11</w:t>
            </w:r>
          </w:p>
        </w:tc>
        <w:tc>
          <w:tcPr>
            <w:tcW w:w="907" w:type="pct"/>
            <w:vAlign w:val="center"/>
          </w:tcPr>
          <w:p w14:paraId="369F242B">
            <w:pPr>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达标</w:t>
            </w:r>
          </w:p>
        </w:tc>
      </w:tr>
      <w:tr w14:paraId="18D865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1143" w:type="pct"/>
            <w:vAlign w:val="center"/>
          </w:tcPr>
          <w:p w14:paraId="04E9445C">
            <w:pPr>
              <w:pStyle w:val="11"/>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汞（mg/kg）</w:t>
            </w:r>
          </w:p>
        </w:tc>
        <w:tc>
          <w:tcPr>
            <w:tcW w:w="1135" w:type="pct"/>
            <w:vAlign w:val="center"/>
          </w:tcPr>
          <w:p w14:paraId="1EE03233">
            <w:pPr>
              <w:pStyle w:val="11"/>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0.088</w:t>
            </w:r>
          </w:p>
        </w:tc>
        <w:tc>
          <w:tcPr>
            <w:tcW w:w="907" w:type="pct"/>
            <w:vAlign w:val="center"/>
          </w:tcPr>
          <w:p w14:paraId="395C7910">
            <w:pPr>
              <w:pStyle w:val="11"/>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val="en-US" w:eastAsia="zh-CN"/>
                <w14:textFill>
                  <w14:solidFill>
                    <w14:schemeClr w14:val="tx1"/>
                  </w14:solidFill>
                </w14:textFill>
              </w:rPr>
            </w:pPr>
            <w:r>
              <w:rPr>
                <w:rFonts w:hint="eastAsia" w:ascii="Times New Roman" w:hAnsi="Times New Roman" w:cs="Times New Roman"/>
                <w:color w:val="000000" w:themeColor="text1"/>
                <w:spacing w:val="-6"/>
                <w:sz w:val="21"/>
                <w:szCs w:val="21"/>
                <w:lang w:val="en-US" w:eastAsia="zh-CN"/>
                <w14:textFill>
                  <w14:solidFill>
                    <w14:schemeClr w14:val="tx1"/>
                  </w14:solidFill>
                </w14:textFill>
              </w:rPr>
              <w:t>3.4</w:t>
            </w:r>
          </w:p>
        </w:tc>
        <w:tc>
          <w:tcPr>
            <w:tcW w:w="1670" w:type="dxa"/>
            <w:vAlign w:val="center"/>
          </w:tcPr>
          <w:p w14:paraId="2D3B1BBB">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outlineLvl w:val="9"/>
              <w:rPr>
                <w:rFonts w:hint="default" w:ascii="Times New Roman" w:hAnsi="Times New Roman" w:eastAsia="宋体" w:cs="Times New Roman"/>
                <w:color w:val="000000" w:themeColor="text1"/>
                <w:spacing w:val="-6"/>
                <w:sz w:val="21"/>
                <w:szCs w:val="21"/>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0.03</w:t>
            </w:r>
          </w:p>
        </w:tc>
        <w:tc>
          <w:tcPr>
            <w:tcW w:w="907" w:type="pct"/>
            <w:vAlign w:val="center"/>
          </w:tcPr>
          <w:p w14:paraId="6A915369">
            <w:pPr>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达标</w:t>
            </w:r>
          </w:p>
        </w:tc>
      </w:tr>
      <w:tr w14:paraId="7879A8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1143" w:type="pct"/>
            <w:vAlign w:val="center"/>
          </w:tcPr>
          <w:p w14:paraId="521562C3">
            <w:pPr>
              <w:pStyle w:val="11"/>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镍（mg/kg）</w:t>
            </w:r>
          </w:p>
        </w:tc>
        <w:tc>
          <w:tcPr>
            <w:tcW w:w="1135" w:type="pct"/>
            <w:vAlign w:val="center"/>
          </w:tcPr>
          <w:p w14:paraId="79D9BE3F">
            <w:pPr>
              <w:pStyle w:val="11"/>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41</w:t>
            </w:r>
          </w:p>
        </w:tc>
        <w:tc>
          <w:tcPr>
            <w:tcW w:w="907" w:type="pct"/>
            <w:vAlign w:val="center"/>
          </w:tcPr>
          <w:p w14:paraId="2F5D0238">
            <w:pPr>
              <w:pStyle w:val="11"/>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val="en-US" w:eastAsia="zh-CN"/>
                <w14:textFill>
                  <w14:solidFill>
                    <w14:schemeClr w14:val="tx1"/>
                  </w14:solidFill>
                </w14:textFill>
              </w:rPr>
            </w:pPr>
            <w:r>
              <w:rPr>
                <w:rFonts w:hint="eastAsia" w:ascii="Times New Roman" w:hAnsi="Times New Roman" w:cs="Times New Roman"/>
                <w:color w:val="000000" w:themeColor="text1"/>
                <w:spacing w:val="-6"/>
                <w:sz w:val="21"/>
                <w:szCs w:val="21"/>
                <w:lang w:val="en-US" w:eastAsia="zh-CN"/>
                <w14:textFill>
                  <w14:solidFill>
                    <w14:schemeClr w14:val="tx1"/>
                  </w14:solidFill>
                </w14:textFill>
              </w:rPr>
              <w:t>190</w:t>
            </w:r>
          </w:p>
        </w:tc>
        <w:tc>
          <w:tcPr>
            <w:tcW w:w="1670" w:type="dxa"/>
            <w:vAlign w:val="center"/>
          </w:tcPr>
          <w:p w14:paraId="51B9BE6D">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outlineLvl w:val="9"/>
              <w:rPr>
                <w:rFonts w:hint="default" w:ascii="Times New Roman" w:hAnsi="Times New Roman" w:eastAsia="宋体" w:cs="Times New Roman"/>
                <w:color w:val="000000" w:themeColor="text1"/>
                <w:spacing w:val="-6"/>
                <w:sz w:val="21"/>
                <w:szCs w:val="21"/>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0.22</w:t>
            </w:r>
          </w:p>
        </w:tc>
        <w:tc>
          <w:tcPr>
            <w:tcW w:w="907" w:type="pct"/>
            <w:vAlign w:val="center"/>
          </w:tcPr>
          <w:p w14:paraId="3591B82F">
            <w:pPr>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达标</w:t>
            </w:r>
          </w:p>
        </w:tc>
      </w:tr>
      <w:tr w14:paraId="29C795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1143" w:type="pct"/>
            <w:vAlign w:val="center"/>
          </w:tcPr>
          <w:p w14:paraId="2935180B">
            <w:pPr>
              <w:pStyle w:val="11"/>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锌（mg/kg）</w:t>
            </w:r>
          </w:p>
        </w:tc>
        <w:tc>
          <w:tcPr>
            <w:tcW w:w="1135" w:type="pct"/>
            <w:vAlign w:val="center"/>
          </w:tcPr>
          <w:p w14:paraId="0E32B45F">
            <w:pPr>
              <w:pStyle w:val="11"/>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41</w:t>
            </w:r>
          </w:p>
        </w:tc>
        <w:tc>
          <w:tcPr>
            <w:tcW w:w="907" w:type="pct"/>
            <w:vAlign w:val="center"/>
          </w:tcPr>
          <w:p w14:paraId="43ACFE39">
            <w:pPr>
              <w:pStyle w:val="11"/>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val="en-US" w:eastAsia="zh-CN"/>
                <w14:textFill>
                  <w14:solidFill>
                    <w14:schemeClr w14:val="tx1"/>
                  </w14:solidFill>
                </w14:textFill>
              </w:rPr>
            </w:pPr>
            <w:r>
              <w:rPr>
                <w:rFonts w:hint="eastAsia" w:ascii="Times New Roman" w:hAnsi="Times New Roman" w:cs="Times New Roman"/>
                <w:color w:val="000000" w:themeColor="text1"/>
                <w:spacing w:val="-6"/>
                <w:sz w:val="21"/>
                <w:szCs w:val="21"/>
                <w:lang w:val="en-US" w:eastAsia="zh-CN"/>
                <w14:textFill>
                  <w14:solidFill>
                    <w14:schemeClr w14:val="tx1"/>
                  </w14:solidFill>
                </w14:textFill>
              </w:rPr>
              <w:t>300</w:t>
            </w:r>
          </w:p>
        </w:tc>
        <w:tc>
          <w:tcPr>
            <w:tcW w:w="1670" w:type="dxa"/>
            <w:vAlign w:val="center"/>
          </w:tcPr>
          <w:p w14:paraId="39A76764">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outlineLvl w:val="9"/>
              <w:rPr>
                <w:rFonts w:hint="default" w:ascii="Times New Roman" w:hAnsi="Times New Roman" w:eastAsia="宋体" w:cs="Times New Roman"/>
                <w:color w:val="000000" w:themeColor="text1"/>
                <w:spacing w:val="-6"/>
                <w:sz w:val="21"/>
                <w:szCs w:val="21"/>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0.14</w:t>
            </w:r>
          </w:p>
        </w:tc>
        <w:tc>
          <w:tcPr>
            <w:tcW w:w="907" w:type="pct"/>
            <w:vAlign w:val="center"/>
          </w:tcPr>
          <w:p w14:paraId="56397AC6">
            <w:pPr>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达标</w:t>
            </w:r>
          </w:p>
        </w:tc>
      </w:tr>
      <w:tr w14:paraId="3A943B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6" w:hRule="atLeast"/>
          <w:jc w:val="center"/>
        </w:trPr>
        <w:tc>
          <w:tcPr>
            <w:tcW w:w="1143" w:type="pct"/>
            <w:vAlign w:val="center"/>
          </w:tcPr>
          <w:p w14:paraId="1DF6ACA7">
            <w:pPr>
              <w:pStyle w:val="11"/>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铬（mg/kg）</w:t>
            </w:r>
          </w:p>
        </w:tc>
        <w:tc>
          <w:tcPr>
            <w:tcW w:w="1135" w:type="pct"/>
            <w:vAlign w:val="center"/>
          </w:tcPr>
          <w:p w14:paraId="2CD0A3DC">
            <w:pPr>
              <w:pStyle w:val="11"/>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eastAsia="zh-CN"/>
                <w14:textFill>
                  <w14:solidFill>
                    <w14:schemeClr w14:val="tx1"/>
                  </w14:solidFill>
                </w14:textFill>
              </w:rPr>
              <w:t>24</w:t>
            </w:r>
          </w:p>
        </w:tc>
        <w:tc>
          <w:tcPr>
            <w:tcW w:w="907" w:type="pct"/>
            <w:vAlign w:val="center"/>
          </w:tcPr>
          <w:p w14:paraId="3D531828">
            <w:pPr>
              <w:pStyle w:val="11"/>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lang w:val="en-US" w:eastAsia="zh-CN"/>
                <w14:textFill>
                  <w14:solidFill>
                    <w14:schemeClr w14:val="tx1"/>
                  </w14:solidFill>
                </w14:textFill>
              </w:rPr>
            </w:pPr>
            <w:r>
              <w:rPr>
                <w:rFonts w:hint="eastAsia" w:ascii="Times New Roman" w:hAnsi="Times New Roman" w:cs="Times New Roman"/>
                <w:color w:val="000000" w:themeColor="text1"/>
                <w:spacing w:val="-6"/>
                <w:sz w:val="21"/>
                <w:szCs w:val="21"/>
                <w:lang w:val="en-US" w:eastAsia="zh-CN"/>
                <w14:textFill>
                  <w14:solidFill>
                    <w14:schemeClr w14:val="tx1"/>
                  </w14:solidFill>
                </w14:textFill>
              </w:rPr>
              <w:t>250</w:t>
            </w:r>
          </w:p>
        </w:tc>
        <w:tc>
          <w:tcPr>
            <w:tcW w:w="1670" w:type="dxa"/>
            <w:vAlign w:val="center"/>
          </w:tcPr>
          <w:p w14:paraId="495E9A37">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outlineLvl w:val="9"/>
              <w:rPr>
                <w:rFonts w:hint="default" w:ascii="Times New Roman" w:hAnsi="Times New Roman" w:eastAsia="宋体" w:cs="Times New Roman"/>
                <w:color w:val="000000" w:themeColor="text1"/>
                <w:spacing w:val="-6"/>
                <w:sz w:val="21"/>
                <w:szCs w:val="21"/>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0.10</w:t>
            </w:r>
          </w:p>
        </w:tc>
        <w:tc>
          <w:tcPr>
            <w:tcW w:w="907" w:type="pct"/>
            <w:vAlign w:val="center"/>
          </w:tcPr>
          <w:p w14:paraId="6F06E6B9">
            <w:pPr>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color w:val="000000" w:themeColor="text1"/>
                <w:spacing w:val="-6"/>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达标</w:t>
            </w:r>
          </w:p>
        </w:tc>
      </w:tr>
    </w:tbl>
    <w:p w14:paraId="17D549A7">
      <w:pPr>
        <w:pStyle w:val="11"/>
        <w:keepNext w:val="0"/>
        <w:keepLines w:val="0"/>
        <w:pageBreakBefore w:val="0"/>
        <w:kinsoku/>
        <w:wordWrap/>
        <w:overflowPunct/>
        <w:topLinePunct w:val="0"/>
        <w:autoSpaceDE/>
        <w:autoSpaceDN/>
        <w:bidi w:val="0"/>
        <w:adjustRightInd/>
        <w:snapToGrid/>
        <w:ind w:firstLine="456"/>
        <w:outlineLvl w:val="9"/>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eastAsia="宋体" w:cs="Times New Roman"/>
          <w:color w:val="000000" w:themeColor="text1"/>
          <w:spacing w:val="-6"/>
          <w:lang w:eastAsia="zh-CN"/>
          <w14:textFill>
            <w14:solidFill>
              <w14:schemeClr w14:val="tx1"/>
            </w14:solidFill>
          </w14:textFill>
        </w:rPr>
        <w:t>从评价结果可看出，各个监测点位的土壤现状值均未超标，</w:t>
      </w:r>
      <w:r>
        <w:rPr>
          <w:rFonts w:hint="eastAsia" w:ascii="Times New Roman" w:hAnsi="Times New Roman" w:cs="Times New Roman"/>
          <w:color w:val="000000" w:themeColor="text1"/>
          <w:spacing w:val="-6"/>
          <w:lang w:val="en-US" w:eastAsia="zh-CN"/>
          <w14:textFill>
            <w14:solidFill>
              <w14:schemeClr w14:val="tx1"/>
            </w14:solidFill>
          </w14:textFill>
        </w:rPr>
        <w:t>各点土壤</w:t>
      </w:r>
      <w:r>
        <w:rPr>
          <w:rFonts w:hint="default" w:ascii="Times New Roman" w:hAnsi="Times New Roman" w:eastAsia="宋体" w:cs="Times New Roman"/>
          <w:color w:val="000000" w:themeColor="text1"/>
          <w:spacing w:val="-6"/>
          <w:lang w:eastAsia="zh-CN"/>
          <w14:textFill>
            <w14:solidFill>
              <w14:schemeClr w14:val="tx1"/>
            </w14:solidFill>
          </w14:textFill>
        </w:rPr>
        <w:t>检测因子符合《土壤环境质量农用地土壤污染风险管控标准》（GB15618-2018）表1农用地土壤污染风险筛选值其他标准。项目区域土壤质量现状良好。</w:t>
      </w:r>
    </w:p>
    <w:p w14:paraId="3BE68829">
      <w:pPr>
        <w:ind w:firstLine="0" w:firstLineChars="0"/>
        <w:rPr>
          <w:rFonts w:hint="default" w:ascii="Times New Roman" w:hAnsi="Times New Roman" w:eastAsia="宋体" w:cs="Times New Roman"/>
          <w:b/>
          <w:bCs/>
          <w:color w:val="000000" w:themeColor="text1"/>
          <w:sz w:val="30"/>
          <w:szCs w:val="30"/>
          <w14:textFill>
            <w14:solidFill>
              <w14:schemeClr w14:val="tx1"/>
            </w14:solidFill>
          </w14:textFill>
        </w:rPr>
      </w:pPr>
      <w:r>
        <w:rPr>
          <w:rFonts w:hint="default" w:ascii="Times New Roman" w:hAnsi="Times New Roman" w:eastAsia="宋体" w:cs="Times New Roman"/>
          <w:b/>
          <w:bCs/>
          <w:color w:val="000000" w:themeColor="text1"/>
          <w:sz w:val="30"/>
          <w:szCs w:val="30"/>
          <w14:textFill>
            <w14:solidFill>
              <w14:schemeClr w14:val="tx1"/>
            </w14:solidFill>
          </w14:textFill>
        </w:rPr>
        <w:br w:type="page"/>
      </w:r>
    </w:p>
    <w:p w14:paraId="63E75464">
      <w:pPr>
        <w:ind w:firstLine="0" w:firstLineChars="0"/>
        <w:outlineLvl w:val="0"/>
        <w:rPr>
          <w:rFonts w:hint="default" w:ascii="Times New Roman" w:hAnsi="Times New Roman" w:eastAsia="宋体" w:cs="Times New Roman"/>
          <w:b/>
          <w:bCs/>
          <w:color w:val="000000" w:themeColor="text1"/>
          <w:sz w:val="30"/>
          <w:szCs w:val="30"/>
          <w14:textFill>
            <w14:solidFill>
              <w14:schemeClr w14:val="tx1"/>
            </w14:solidFill>
          </w14:textFill>
        </w:rPr>
      </w:pPr>
      <w:bookmarkStart w:id="241" w:name="_Toc2553"/>
      <w:r>
        <w:rPr>
          <w:rFonts w:hint="default" w:ascii="Times New Roman" w:hAnsi="Times New Roman" w:eastAsia="宋体" w:cs="Times New Roman"/>
          <w:b/>
          <w:bCs/>
          <w:color w:val="000000" w:themeColor="text1"/>
          <w:sz w:val="30"/>
          <w:szCs w:val="30"/>
          <w14:textFill>
            <w14:solidFill>
              <w14:schemeClr w14:val="tx1"/>
            </w14:solidFill>
          </w14:textFill>
        </w:rPr>
        <w:t>5施工期环境影响分析</w:t>
      </w:r>
      <w:bookmarkEnd w:id="241"/>
    </w:p>
    <w:p w14:paraId="1DCB6DFC">
      <w:pPr>
        <w:ind w:firstLine="0" w:firstLineChars="0"/>
        <w:outlineLvl w:val="1"/>
        <w:rPr>
          <w:rFonts w:hint="default" w:ascii="Times New Roman" w:hAnsi="Times New Roman" w:eastAsia="宋体" w:cs="Times New Roman"/>
          <w:b/>
          <w:bCs/>
          <w:color w:val="000000" w:themeColor="text1"/>
          <w:sz w:val="28"/>
          <w:szCs w:val="28"/>
          <w14:textFill>
            <w14:solidFill>
              <w14:schemeClr w14:val="tx1"/>
            </w14:solidFill>
          </w14:textFill>
        </w:rPr>
      </w:pPr>
      <w:bookmarkStart w:id="242" w:name="_Toc283"/>
      <w:r>
        <w:rPr>
          <w:rFonts w:hint="default" w:ascii="Times New Roman" w:hAnsi="Times New Roman" w:eastAsia="宋体" w:cs="Times New Roman"/>
          <w:b/>
          <w:bCs/>
          <w:color w:val="000000" w:themeColor="text1"/>
          <w:sz w:val="28"/>
          <w:szCs w:val="28"/>
          <w14:textFill>
            <w14:solidFill>
              <w14:schemeClr w14:val="tx1"/>
            </w14:solidFill>
          </w14:textFill>
        </w:rPr>
        <w:t>5.1施工期环境空气影响分析</w:t>
      </w:r>
      <w:bookmarkEnd w:id="242"/>
    </w:p>
    <w:p w14:paraId="1745DDDF">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（1）施工扬尘</w:t>
      </w:r>
    </w:p>
    <w:p w14:paraId="2F0274FE">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施工扬尘产生的主要环节为施工场地清理、管沟开挖、回填等，大面积的土方开挖、翻动及堆放过程中，将造成风起扬尘。建设过程中要在地面堆积大量回填土和部分弃土，当其风干时可在起动风速下形成扬尘，在运输的过程中由于密闭措施不完善或者路面硬化处理不到位也会产生扬尘。施工场地地面干燥时，施工机械和运输车辆经过会形成扬尘，但扬尘量的大小与施工现场条件、管理水平、机械化程度及施工季节、土质及天气条件等诸多因素有关。本评价对拟建工程施工过程提出以下控制措施：</w:t>
      </w:r>
    </w:p>
    <w:p w14:paraId="015D055E">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①大风天禁止施工作业，同时散体材料装卸必须采取防风遮挡等措施；</w:t>
      </w:r>
    </w:p>
    <w:p w14:paraId="05D00D61">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②未铺装的施工便道在干燥天气及大风条件下极易起扬尘，因此要求及时洒水降尘，缩短扬尘污染的时段和范围，最大限度地减少起尘量；同时对施工便道进行定期养护、清扫，确保路况良好；</w:t>
      </w:r>
    </w:p>
    <w:p w14:paraId="5D4A4AFA">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③对施工临时堆放的土方，采取防护措施，如加盖保护网、四周设置围墙、喷</w:t>
      </w:r>
    </w:p>
    <w:p w14:paraId="0EAA134F">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淋保湿等，防止扬尘污染；</w:t>
      </w:r>
    </w:p>
    <w:p w14:paraId="05214564">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④车辆及施工器械在施工过程中应尽量避免扰动原始地面、碾压周围地区的植被，不得随意开辟便道，严禁车辆下道行驶，对施工集中区进行喷洒作业，以减少大气中浮尘及扬尘来源；</w:t>
      </w:r>
    </w:p>
    <w:p w14:paraId="5196B88E">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⑤运输车辆进入施工场地应低速或限速行驶，减少产尘量；施工场地内运输通道及时清扫、洒水，以减少汽车行驶扬尘；</w:t>
      </w:r>
    </w:p>
    <w:p w14:paraId="0B766829">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⑥施工过程中，建设单位应当在与施工单位签订的施工承包合同中明确施工单位防治扬尘污染的责任。施工单位应当按照相关规定，指定扬尘污染防治方案，并安排专人负责施工过程中的环保管理工作。</w:t>
      </w:r>
    </w:p>
    <w:p w14:paraId="58987721">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（2）设备及汽车尾气</w:t>
      </w:r>
    </w:p>
    <w:p w14:paraId="03A0BEFD">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汽车运输设备过程中大多以柴油作为燃料，燃料燃烧过程中会产生CO、SO</w:t>
      </w:r>
      <w:r>
        <w:rPr>
          <w:rFonts w:hint="default" w:ascii="Times New Roman" w:hAnsi="Times New Roman" w:eastAsia="宋体" w:cs="Times New Roman"/>
          <w:color w:val="000000" w:themeColor="text1"/>
          <w:vertAlign w:val="subscript"/>
          <w14:textFill>
            <w14:solidFill>
              <w14:schemeClr w14:val="tx1"/>
            </w14:solidFill>
          </w14:textFill>
        </w:rPr>
        <w:t>2</w:t>
      </w:r>
      <w:r>
        <w:rPr>
          <w:rFonts w:hint="default" w:ascii="Times New Roman" w:hAnsi="Times New Roman" w:eastAsia="宋体" w:cs="Times New Roman"/>
          <w:color w:val="000000" w:themeColor="text1"/>
          <w14:textFill>
            <w14:solidFill>
              <w14:schemeClr w14:val="tx1"/>
            </w14:solidFill>
          </w14:textFill>
        </w:rPr>
        <w:t>、NO</w:t>
      </w:r>
      <w:r>
        <w:rPr>
          <w:rFonts w:hint="default" w:ascii="Times New Roman" w:hAnsi="Times New Roman" w:eastAsia="宋体" w:cs="Times New Roman"/>
          <w:color w:val="000000" w:themeColor="text1"/>
          <w:vertAlign w:val="subscript"/>
          <w14:textFill>
            <w14:solidFill>
              <w14:schemeClr w14:val="tx1"/>
            </w14:solidFill>
          </w14:textFill>
        </w:rPr>
        <w:t>X</w:t>
      </w:r>
      <w:r>
        <w:rPr>
          <w:rFonts w:hint="default" w:ascii="Times New Roman" w:hAnsi="Times New Roman" w:eastAsia="宋体" w:cs="Times New Roman"/>
          <w:color w:val="000000" w:themeColor="text1"/>
          <w14:textFill>
            <w14:solidFill>
              <w14:schemeClr w14:val="tx1"/>
            </w14:solidFill>
          </w14:textFill>
        </w:rPr>
        <w:t>、碳氢化合物和烟尘，产生情况主要决定因素为燃料油种类、机械性能、作业方式和风力等，其中属机械性能、作业方式因素的影响最大，如运输车辆和部分施工机械在怠速、减速和加速时产生的污染较为严重。各类施工机械流动性较强，且燃料用量不大，在易于扩散的气象条件下，该废气对周围环境的影响不大，且随着施工期的结束，该污染物也随即消失。运输车辆排放的汽车尾气对大气环境产生影响，因项目建设过程中建筑材料运输量较少，汽车尾气排放量小，对环境影响轻微。</w:t>
      </w:r>
    </w:p>
    <w:p w14:paraId="6D8E3C08">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故施工期燃油废气及汽车尾气对周围大气环境影响较小。</w:t>
      </w:r>
    </w:p>
    <w:p w14:paraId="1835B213">
      <w:pPr>
        <w:ind w:firstLine="0" w:firstLineChars="0"/>
        <w:outlineLvl w:val="1"/>
        <w:rPr>
          <w:rFonts w:hint="default" w:ascii="Times New Roman" w:hAnsi="Times New Roman" w:eastAsia="宋体" w:cs="Times New Roman"/>
          <w:b/>
          <w:bCs/>
          <w:color w:val="000000" w:themeColor="text1"/>
          <w:sz w:val="28"/>
          <w:szCs w:val="28"/>
          <w14:textFill>
            <w14:solidFill>
              <w14:schemeClr w14:val="tx1"/>
            </w14:solidFill>
          </w14:textFill>
        </w:rPr>
      </w:pPr>
      <w:bookmarkStart w:id="243" w:name="_Toc10708"/>
      <w:r>
        <w:rPr>
          <w:rFonts w:hint="default" w:ascii="Times New Roman" w:hAnsi="Times New Roman" w:eastAsia="宋体" w:cs="Times New Roman"/>
          <w:b/>
          <w:bCs/>
          <w:color w:val="000000" w:themeColor="text1"/>
          <w:sz w:val="28"/>
          <w:szCs w:val="28"/>
          <w14:textFill>
            <w14:solidFill>
              <w14:schemeClr w14:val="tx1"/>
            </w14:solidFill>
          </w14:textFill>
        </w:rPr>
        <w:t>5.2施工期水环境影响分析</w:t>
      </w:r>
      <w:bookmarkEnd w:id="243"/>
    </w:p>
    <w:p w14:paraId="652274B9">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施工期废水主要为施工人员的生活污水、施工废水。</w:t>
      </w:r>
    </w:p>
    <w:p w14:paraId="55BFDF39">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（1）生活污水</w:t>
      </w:r>
    </w:p>
    <w:p w14:paraId="5120845B">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项目施工期为12个月，施工人员均为50人，生活用水按每人每天30L计，用水量为1.5m</w:t>
      </w:r>
      <w:r>
        <w:rPr>
          <w:rFonts w:hint="default" w:ascii="Times New Roman" w:hAnsi="Times New Roman" w:eastAsia="宋体" w:cs="Times New Roman"/>
          <w:color w:val="000000" w:themeColor="text1"/>
          <w:vertAlign w:val="superscript"/>
          <w14:textFill>
            <w14:solidFill>
              <w14:schemeClr w14:val="tx1"/>
            </w14:solidFill>
          </w14:textFill>
        </w:rPr>
        <w:t>3</w:t>
      </w:r>
      <w:r>
        <w:rPr>
          <w:rFonts w:hint="default" w:ascii="Times New Roman" w:hAnsi="Times New Roman" w:eastAsia="宋体" w:cs="Times New Roman"/>
          <w:color w:val="000000" w:themeColor="text1"/>
          <w14:textFill>
            <w14:solidFill>
              <w14:schemeClr w14:val="tx1"/>
            </w14:solidFill>
          </w14:textFill>
        </w:rPr>
        <w:t>/d，总用水540m</w:t>
      </w:r>
      <w:r>
        <w:rPr>
          <w:rFonts w:hint="default" w:ascii="Times New Roman" w:hAnsi="Times New Roman" w:eastAsia="宋体" w:cs="Times New Roman"/>
          <w:color w:val="000000" w:themeColor="text1"/>
          <w:vertAlign w:val="superscript"/>
          <w14:textFill>
            <w14:solidFill>
              <w14:schemeClr w14:val="tx1"/>
            </w14:solidFill>
          </w14:textFill>
        </w:rPr>
        <w:t>3</w:t>
      </w:r>
      <w:r>
        <w:rPr>
          <w:rFonts w:hint="default" w:ascii="Times New Roman" w:hAnsi="Times New Roman" w:eastAsia="宋体" w:cs="Times New Roman"/>
          <w:color w:val="000000" w:themeColor="text1"/>
          <w14:textFill>
            <w14:solidFill>
              <w14:schemeClr w14:val="tx1"/>
            </w14:solidFill>
          </w14:textFill>
        </w:rPr>
        <w:t>，生活污水产生系数按80%计，则污水产生量为432m</w:t>
      </w:r>
      <w:r>
        <w:rPr>
          <w:rFonts w:hint="default" w:ascii="Times New Roman" w:hAnsi="Times New Roman" w:eastAsia="宋体" w:cs="Times New Roman"/>
          <w:color w:val="000000" w:themeColor="text1"/>
          <w:vertAlign w:val="superscript"/>
          <w14:textFill>
            <w14:solidFill>
              <w14:schemeClr w14:val="tx1"/>
            </w14:solidFill>
          </w14:textFill>
        </w:rPr>
        <w:t>3</w:t>
      </w:r>
      <w:r>
        <w:rPr>
          <w:rFonts w:hint="default" w:ascii="Times New Roman" w:hAnsi="Times New Roman" w:eastAsia="宋体" w:cs="Times New Roman"/>
          <w:color w:val="000000" w:themeColor="text1"/>
          <w14:textFill>
            <w14:solidFill>
              <w14:schemeClr w14:val="tx1"/>
            </w14:solidFill>
          </w14:textFill>
        </w:rPr>
        <w:t>。经类比调查，主要污染物浓度为COD</w:t>
      </w:r>
      <w:r>
        <w:rPr>
          <w:rFonts w:hint="eastAsia" w:cs="Times New Roman"/>
          <w:color w:val="000000" w:themeColor="text1"/>
          <w:lang w:eastAsia="zh-CN"/>
          <w14:textFill>
            <w14:solidFill>
              <w14:schemeClr w14:val="tx1"/>
            </w14:solidFill>
          </w14:textFill>
        </w:rPr>
        <w:t>：</w:t>
      </w:r>
      <w:r>
        <w:rPr>
          <w:rFonts w:hint="default" w:ascii="Times New Roman" w:hAnsi="Times New Roman" w:eastAsia="宋体" w:cs="Times New Roman"/>
          <w:color w:val="000000" w:themeColor="text1"/>
          <w14:textFill>
            <w14:solidFill>
              <w14:schemeClr w14:val="tx1"/>
            </w14:solidFill>
          </w14:textFill>
        </w:rPr>
        <w:t>400mg/L、BOD</w:t>
      </w:r>
      <w:r>
        <w:rPr>
          <w:rFonts w:hint="default" w:ascii="Times New Roman" w:hAnsi="Times New Roman" w:eastAsia="宋体" w:cs="Times New Roman"/>
          <w:color w:val="000000" w:themeColor="text1"/>
          <w:vertAlign w:val="subscript"/>
          <w14:textFill>
            <w14:solidFill>
              <w14:schemeClr w14:val="tx1"/>
            </w14:solidFill>
          </w14:textFill>
        </w:rPr>
        <w:t>5</w:t>
      </w:r>
      <w:r>
        <w:rPr>
          <w:rFonts w:hint="eastAsia" w:cs="Times New Roman"/>
          <w:color w:val="000000" w:themeColor="text1"/>
          <w:vertAlign w:val="baseline"/>
          <w:lang w:eastAsia="zh-CN"/>
          <w14:textFill>
            <w14:solidFill>
              <w14:schemeClr w14:val="tx1"/>
            </w14:solidFill>
          </w14:textFill>
        </w:rPr>
        <w:t>：</w:t>
      </w:r>
      <w:r>
        <w:rPr>
          <w:rFonts w:hint="default" w:ascii="Times New Roman" w:hAnsi="Times New Roman" w:eastAsia="宋体" w:cs="Times New Roman"/>
          <w:color w:val="000000" w:themeColor="text1"/>
          <w14:textFill>
            <w14:solidFill>
              <w14:schemeClr w14:val="tx1"/>
            </w14:solidFill>
          </w14:textFill>
        </w:rPr>
        <w:t>200mg/L、NH</w:t>
      </w:r>
      <w:r>
        <w:rPr>
          <w:rFonts w:hint="default" w:ascii="Times New Roman" w:hAnsi="Times New Roman" w:eastAsia="宋体" w:cs="Times New Roman"/>
          <w:color w:val="000000" w:themeColor="text1"/>
          <w:vertAlign w:val="subscript"/>
          <w14:textFill>
            <w14:solidFill>
              <w14:schemeClr w14:val="tx1"/>
            </w14:solidFill>
          </w14:textFill>
        </w:rPr>
        <w:t>3</w:t>
      </w:r>
      <w:r>
        <w:rPr>
          <w:rFonts w:hint="default" w:ascii="Times New Roman" w:hAnsi="Times New Roman" w:eastAsia="宋体" w:cs="Times New Roman"/>
          <w:color w:val="000000" w:themeColor="text1"/>
          <w14:textFill>
            <w14:solidFill>
              <w14:schemeClr w14:val="tx1"/>
            </w14:solidFill>
          </w14:textFill>
        </w:rPr>
        <w:t>-N</w:t>
      </w:r>
      <w:r>
        <w:rPr>
          <w:rFonts w:hint="eastAsia" w:cs="Times New Roman"/>
          <w:color w:val="000000" w:themeColor="text1"/>
          <w:lang w:eastAsia="zh-CN"/>
          <w14:textFill>
            <w14:solidFill>
              <w14:schemeClr w14:val="tx1"/>
            </w14:solidFill>
          </w14:textFill>
        </w:rPr>
        <w:t>：</w:t>
      </w:r>
      <w:r>
        <w:rPr>
          <w:rFonts w:hint="default" w:ascii="Times New Roman" w:hAnsi="Times New Roman" w:eastAsia="宋体" w:cs="Times New Roman"/>
          <w:color w:val="000000" w:themeColor="text1"/>
          <w14:textFill>
            <w14:solidFill>
              <w14:schemeClr w14:val="tx1"/>
            </w14:solidFill>
          </w14:textFill>
        </w:rPr>
        <w:t>35mg/L。施工人员产生的</w:t>
      </w:r>
      <w:r>
        <w:rPr>
          <w:rFonts w:hint="default" w:ascii="Times New Roman" w:hAnsi="Times New Roman" w:eastAsia="宋体" w:cs="Times New Roman"/>
          <w:color w:val="000000" w:themeColor="text1"/>
          <w:lang w:eastAsia="zh-CN"/>
          <w14:textFill>
            <w14:solidFill>
              <w14:schemeClr w14:val="tx1"/>
            </w14:solidFill>
          </w14:textFill>
        </w:rPr>
        <w:t>生活污水均依托周边村庄，施工人员生活污水不外排。</w:t>
      </w:r>
    </w:p>
    <w:p w14:paraId="63ED7660">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（2）施工废水</w:t>
      </w:r>
    </w:p>
    <w:p w14:paraId="72DE781D">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施工机械冲洗废水排放量小，冲洗废水主要是水泥碎粒、沙土构成的悬浮物污染；泥浆废水是一种含有微细颗粒的悬浮混浊液体，外观呈土灰色，比重1.20-1.46，含泥量30-50%，pH值约6-7，经沉淀后全部回用。</w:t>
      </w:r>
    </w:p>
    <w:p w14:paraId="3B729A99">
      <w:pPr>
        <w:ind w:firstLine="0" w:firstLineChars="0"/>
        <w:outlineLvl w:val="1"/>
        <w:rPr>
          <w:rFonts w:hint="default" w:ascii="Times New Roman" w:hAnsi="Times New Roman" w:eastAsia="宋体" w:cs="Times New Roman"/>
          <w:b/>
          <w:bCs/>
          <w:color w:val="000000" w:themeColor="text1"/>
          <w:sz w:val="28"/>
          <w:szCs w:val="28"/>
          <w14:textFill>
            <w14:solidFill>
              <w14:schemeClr w14:val="tx1"/>
            </w14:solidFill>
          </w14:textFill>
        </w:rPr>
      </w:pPr>
      <w:bookmarkStart w:id="244" w:name="_Toc695"/>
      <w:r>
        <w:rPr>
          <w:rFonts w:hint="default" w:ascii="Times New Roman" w:hAnsi="Times New Roman" w:eastAsia="宋体" w:cs="Times New Roman"/>
          <w:b/>
          <w:bCs/>
          <w:color w:val="000000" w:themeColor="text1"/>
          <w:sz w:val="28"/>
          <w:szCs w:val="28"/>
          <w14:textFill>
            <w14:solidFill>
              <w14:schemeClr w14:val="tx1"/>
            </w14:solidFill>
          </w14:textFill>
        </w:rPr>
        <w:t>5.3施工期声环境影响分析</w:t>
      </w:r>
      <w:bookmarkEnd w:id="244"/>
    </w:p>
    <w:p w14:paraId="6C3D7B22">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（1）噪声来源及源强</w:t>
      </w:r>
    </w:p>
    <w:p w14:paraId="4E723C10">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本项目基础设施施工期可分为土方、基础、结构和设备安装四个施工阶段，各阶段有其独自的噪声特征。其噪声级在80-95dB（A）。施工过程中产生的噪声具有间歇性和短暂性的特点，随着实施期的结束而消失。交通噪声具有流动性的特点。</w:t>
      </w:r>
    </w:p>
    <w:p w14:paraId="0D9E8A17">
      <w:pPr>
        <w:ind w:firstLine="482"/>
        <w:jc w:val="center"/>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表5.3-1各施工阶段的噪声源统计</w:t>
      </w:r>
    </w:p>
    <w:tbl>
      <w:tblPr>
        <w:tblStyle w:val="35"/>
        <w:tblW w:w="7755"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761"/>
        <w:gridCol w:w="2530"/>
        <w:gridCol w:w="2464"/>
      </w:tblGrid>
      <w:tr w14:paraId="4AB30A0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2761" w:type="dxa"/>
            <w:vAlign w:val="center"/>
          </w:tcPr>
          <w:p w14:paraId="48C8187A">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7"/>
                <w:sz w:val="21"/>
                <w:szCs w:val="21"/>
                <w14:textFill>
                  <w14:solidFill>
                    <w14:schemeClr w14:val="tx1"/>
                  </w14:solidFill>
                </w14:textFill>
              </w:rPr>
              <w:t>施工阶段</w:t>
            </w:r>
          </w:p>
        </w:tc>
        <w:tc>
          <w:tcPr>
            <w:tcW w:w="2530" w:type="dxa"/>
            <w:vAlign w:val="center"/>
          </w:tcPr>
          <w:p w14:paraId="3108025F">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7"/>
                <w:sz w:val="21"/>
                <w:szCs w:val="21"/>
                <w14:textFill>
                  <w14:solidFill>
                    <w14:schemeClr w14:val="tx1"/>
                  </w14:solidFill>
                </w14:textFill>
              </w:rPr>
              <w:t>机械类型</w:t>
            </w:r>
          </w:p>
        </w:tc>
        <w:tc>
          <w:tcPr>
            <w:tcW w:w="2464" w:type="dxa"/>
            <w:vAlign w:val="center"/>
          </w:tcPr>
          <w:p w14:paraId="51CF3C80">
            <w:pPr>
              <w:pStyle w:val="34"/>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9"/>
                <w:sz w:val="21"/>
                <w:szCs w:val="21"/>
                <w14:textFill>
                  <w14:solidFill>
                    <w14:schemeClr w14:val="tx1"/>
                  </w14:solidFill>
                </w14:textFill>
              </w:rPr>
              <w:t>源强（</w:t>
            </w:r>
            <w:r>
              <w:rPr>
                <w:rFonts w:hint="default" w:ascii="Times New Roman" w:hAnsi="Times New Roman" w:eastAsia="宋体" w:cs="Times New Roman"/>
                <w:color w:val="000000" w:themeColor="text1"/>
                <w:sz w:val="21"/>
                <w:szCs w:val="21"/>
                <w14:textFill>
                  <w14:solidFill>
                    <w14:schemeClr w14:val="tx1"/>
                  </w14:solidFill>
                </w14:textFill>
              </w:rPr>
              <w:t>dB</w:t>
            </w:r>
            <w:r>
              <w:rPr>
                <w:rFonts w:hint="default" w:ascii="Times New Roman" w:hAnsi="Times New Roman" w:eastAsia="宋体" w:cs="Times New Roman"/>
                <w:color w:val="000000" w:themeColor="text1"/>
                <w:spacing w:val="9"/>
                <w:sz w:val="21"/>
                <w:szCs w:val="21"/>
                <w14:textFill>
                  <w14:solidFill>
                    <w14:schemeClr w14:val="tx1"/>
                  </w14:solidFill>
                </w14:textFill>
              </w:rPr>
              <w:t>（A</w:t>
            </w:r>
            <w:r>
              <w:rPr>
                <w:rFonts w:hint="default" w:ascii="Times New Roman" w:hAnsi="Times New Roman" w:eastAsia="宋体" w:cs="Times New Roman"/>
                <w:color w:val="000000" w:themeColor="text1"/>
                <w:spacing w:val="1"/>
                <w:sz w:val="21"/>
                <w:szCs w:val="21"/>
                <w14:textFill>
                  <w14:solidFill>
                    <w14:schemeClr w14:val="tx1"/>
                  </w14:solidFill>
                </w14:textFill>
              </w:rPr>
              <w:t>））</w:t>
            </w:r>
          </w:p>
        </w:tc>
      </w:tr>
      <w:tr w14:paraId="7568024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2761" w:type="dxa"/>
            <w:vMerge w:val="restart"/>
            <w:tcBorders>
              <w:bottom w:val="nil"/>
            </w:tcBorders>
            <w:vAlign w:val="center"/>
          </w:tcPr>
          <w:p w14:paraId="390BEF55">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7"/>
                <w:sz w:val="21"/>
                <w:szCs w:val="21"/>
                <w14:textFill>
                  <w14:solidFill>
                    <w14:schemeClr w14:val="tx1"/>
                  </w14:solidFill>
                </w14:textFill>
              </w:rPr>
              <w:t>土石方阶段</w:t>
            </w:r>
          </w:p>
        </w:tc>
        <w:tc>
          <w:tcPr>
            <w:tcW w:w="2530" w:type="dxa"/>
            <w:vAlign w:val="center"/>
          </w:tcPr>
          <w:p w14:paraId="4B16AE5D">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7"/>
                <w:sz w:val="21"/>
                <w:szCs w:val="21"/>
                <w14:textFill>
                  <w14:solidFill>
                    <w14:schemeClr w14:val="tx1"/>
                  </w14:solidFill>
                </w14:textFill>
              </w:rPr>
              <w:t>挖土机</w:t>
            </w:r>
          </w:p>
        </w:tc>
        <w:tc>
          <w:tcPr>
            <w:tcW w:w="2464" w:type="dxa"/>
            <w:vAlign w:val="center"/>
          </w:tcPr>
          <w:p w14:paraId="33736BB9">
            <w:pPr>
              <w:pStyle w:val="34"/>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4"/>
                <w:sz w:val="21"/>
                <w:szCs w:val="21"/>
                <w14:textFill>
                  <w14:solidFill>
                    <w14:schemeClr w14:val="tx1"/>
                  </w14:solidFill>
                </w14:textFill>
              </w:rPr>
              <w:t>84</w:t>
            </w:r>
          </w:p>
        </w:tc>
      </w:tr>
      <w:tr w14:paraId="1DEE1F8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2761" w:type="dxa"/>
            <w:vMerge w:val="continue"/>
            <w:tcBorders>
              <w:top w:val="nil"/>
              <w:bottom w:val="nil"/>
            </w:tcBorders>
            <w:vAlign w:val="center"/>
          </w:tcPr>
          <w:p w14:paraId="4FAF15C9">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2530" w:type="dxa"/>
            <w:vAlign w:val="center"/>
          </w:tcPr>
          <w:p w14:paraId="524D4CC0">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装载机</w:t>
            </w:r>
          </w:p>
        </w:tc>
        <w:tc>
          <w:tcPr>
            <w:tcW w:w="2464" w:type="dxa"/>
            <w:vAlign w:val="center"/>
          </w:tcPr>
          <w:p w14:paraId="16966A64">
            <w:pPr>
              <w:pStyle w:val="34"/>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4"/>
                <w:sz w:val="21"/>
                <w:szCs w:val="21"/>
                <w14:textFill>
                  <w14:solidFill>
                    <w14:schemeClr w14:val="tx1"/>
                  </w14:solidFill>
                </w14:textFill>
              </w:rPr>
              <w:t>90</w:t>
            </w:r>
          </w:p>
        </w:tc>
      </w:tr>
      <w:tr w14:paraId="7259D6A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2761" w:type="dxa"/>
            <w:vMerge w:val="continue"/>
            <w:tcBorders>
              <w:top w:val="nil"/>
              <w:bottom w:val="nil"/>
            </w:tcBorders>
            <w:vAlign w:val="center"/>
          </w:tcPr>
          <w:p w14:paraId="0D8C15AC">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2530" w:type="dxa"/>
            <w:vAlign w:val="center"/>
          </w:tcPr>
          <w:p w14:paraId="513FCAF2">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4"/>
                <w:sz w:val="21"/>
                <w:szCs w:val="21"/>
                <w14:textFill>
                  <w14:solidFill>
                    <w14:schemeClr w14:val="tx1"/>
                  </w14:solidFill>
                </w14:textFill>
              </w:rPr>
              <w:t>空压机</w:t>
            </w:r>
          </w:p>
        </w:tc>
        <w:tc>
          <w:tcPr>
            <w:tcW w:w="2464" w:type="dxa"/>
            <w:vAlign w:val="center"/>
          </w:tcPr>
          <w:p w14:paraId="68C495C6">
            <w:pPr>
              <w:pStyle w:val="34"/>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4"/>
                <w:sz w:val="21"/>
                <w:szCs w:val="21"/>
                <w14:textFill>
                  <w14:solidFill>
                    <w14:schemeClr w14:val="tx1"/>
                  </w14:solidFill>
                </w14:textFill>
              </w:rPr>
              <w:t>90</w:t>
            </w:r>
          </w:p>
        </w:tc>
      </w:tr>
      <w:tr w14:paraId="51802AC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2761" w:type="dxa"/>
            <w:vMerge w:val="continue"/>
            <w:tcBorders>
              <w:top w:val="nil"/>
            </w:tcBorders>
            <w:vAlign w:val="center"/>
          </w:tcPr>
          <w:p w14:paraId="00F099D9">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2530" w:type="dxa"/>
            <w:vAlign w:val="center"/>
          </w:tcPr>
          <w:p w14:paraId="3C46D943">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推土机</w:t>
            </w:r>
          </w:p>
        </w:tc>
        <w:tc>
          <w:tcPr>
            <w:tcW w:w="2464" w:type="dxa"/>
            <w:vAlign w:val="center"/>
          </w:tcPr>
          <w:p w14:paraId="5B5448D0">
            <w:pPr>
              <w:pStyle w:val="34"/>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4"/>
                <w:sz w:val="21"/>
                <w:szCs w:val="21"/>
                <w14:textFill>
                  <w14:solidFill>
                    <w14:schemeClr w14:val="tx1"/>
                  </w14:solidFill>
                </w14:textFill>
              </w:rPr>
              <w:t>80</w:t>
            </w:r>
          </w:p>
        </w:tc>
      </w:tr>
      <w:tr w14:paraId="6EB5798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2761" w:type="dxa"/>
            <w:vMerge w:val="restart"/>
            <w:tcBorders>
              <w:bottom w:val="nil"/>
            </w:tcBorders>
            <w:vAlign w:val="center"/>
          </w:tcPr>
          <w:p w14:paraId="150CA7C9">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8"/>
                <w:sz w:val="21"/>
                <w:szCs w:val="21"/>
                <w14:textFill>
                  <w14:solidFill>
                    <w14:schemeClr w14:val="tx1"/>
                  </w14:solidFill>
                </w14:textFill>
              </w:rPr>
              <w:t>基础及结构阶段</w:t>
            </w:r>
          </w:p>
        </w:tc>
        <w:tc>
          <w:tcPr>
            <w:tcW w:w="2530" w:type="dxa"/>
            <w:vAlign w:val="center"/>
          </w:tcPr>
          <w:p w14:paraId="7A5A8F6C">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7"/>
                <w:sz w:val="21"/>
                <w:szCs w:val="21"/>
                <w14:textFill>
                  <w14:solidFill>
                    <w14:schemeClr w14:val="tx1"/>
                  </w14:solidFill>
                </w14:textFill>
              </w:rPr>
              <w:t>振动器</w:t>
            </w:r>
          </w:p>
        </w:tc>
        <w:tc>
          <w:tcPr>
            <w:tcW w:w="2464" w:type="dxa"/>
            <w:vAlign w:val="center"/>
          </w:tcPr>
          <w:p w14:paraId="12498200">
            <w:pPr>
              <w:pStyle w:val="34"/>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4"/>
                <w:sz w:val="21"/>
                <w:szCs w:val="21"/>
                <w14:textFill>
                  <w14:solidFill>
                    <w14:schemeClr w14:val="tx1"/>
                  </w14:solidFill>
                </w14:textFill>
              </w:rPr>
              <w:t>90</w:t>
            </w:r>
          </w:p>
        </w:tc>
      </w:tr>
      <w:tr w14:paraId="63E57A9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2761" w:type="dxa"/>
            <w:vMerge w:val="continue"/>
            <w:tcBorders>
              <w:top w:val="nil"/>
            </w:tcBorders>
            <w:vAlign w:val="center"/>
          </w:tcPr>
          <w:p w14:paraId="47E1C9ED">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2530" w:type="dxa"/>
            <w:vAlign w:val="center"/>
          </w:tcPr>
          <w:p w14:paraId="2ECED16F">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8"/>
                <w:sz w:val="21"/>
                <w:szCs w:val="21"/>
                <w14:textFill>
                  <w14:solidFill>
                    <w14:schemeClr w14:val="tx1"/>
                  </w14:solidFill>
                </w14:textFill>
              </w:rPr>
              <w:t>电锯</w:t>
            </w:r>
          </w:p>
        </w:tc>
        <w:tc>
          <w:tcPr>
            <w:tcW w:w="2464" w:type="dxa"/>
            <w:vAlign w:val="center"/>
          </w:tcPr>
          <w:p w14:paraId="1CF7921E">
            <w:pPr>
              <w:pStyle w:val="34"/>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4"/>
                <w:sz w:val="21"/>
                <w:szCs w:val="21"/>
                <w14:textFill>
                  <w14:solidFill>
                    <w14:schemeClr w14:val="tx1"/>
                  </w14:solidFill>
                </w14:textFill>
              </w:rPr>
              <w:t>95</w:t>
            </w:r>
          </w:p>
        </w:tc>
      </w:tr>
      <w:tr w14:paraId="7B4713D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2761" w:type="dxa"/>
            <w:vMerge w:val="restart"/>
            <w:vAlign w:val="center"/>
          </w:tcPr>
          <w:p w14:paraId="108D0309">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8"/>
                <w:sz w:val="21"/>
                <w:szCs w:val="21"/>
                <w14:textFill>
                  <w14:solidFill>
                    <w14:schemeClr w14:val="tx1"/>
                  </w14:solidFill>
                </w14:textFill>
              </w:rPr>
              <w:t>装修、安装阶段</w:t>
            </w:r>
          </w:p>
        </w:tc>
        <w:tc>
          <w:tcPr>
            <w:tcW w:w="2530" w:type="dxa"/>
            <w:vAlign w:val="center"/>
          </w:tcPr>
          <w:p w14:paraId="46A7BAF3">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8"/>
                <w:sz w:val="21"/>
                <w:szCs w:val="21"/>
                <w14:textFill>
                  <w14:solidFill>
                    <w14:schemeClr w14:val="tx1"/>
                  </w14:solidFill>
                </w14:textFill>
              </w:rPr>
              <w:t>电钻</w:t>
            </w:r>
          </w:p>
        </w:tc>
        <w:tc>
          <w:tcPr>
            <w:tcW w:w="2464" w:type="dxa"/>
            <w:vAlign w:val="center"/>
          </w:tcPr>
          <w:p w14:paraId="21818AED">
            <w:pPr>
              <w:pStyle w:val="34"/>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4"/>
                <w:sz w:val="21"/>
                <w:szCs w:val="21"/>
                <w14:textFill>
                  <w14:solidFill>
                    <w14:schemeClr w14:val="tx1"/>
                  </w14:solidFill>
                </w14:textFill>
              </w:rPr>
              <w:t>92</w:t>
            </w:r>
          </w:p>
        </w:tc>
      </w:tr>
      <w:tr w14:paraId="71D5E14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2761" w:type="dxa"/>
            <w:vMerge w:val="continue"/>
            <w:vAlign w:val="center"/>
          </w:tcPr>
          <w:p w14:paraId="3273EB6B">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2530" w:type="dxa"/>
            <w:vAlign w:val="center"/>
          </w:tcPr>
          <w:p w14:paraId="0D4CD33A">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8"/>
                <w:sz w:val="21"/>
                <w:szCs w:val="21"/>
                <w14:textFill>
                  <w14:solidFill>
                    <w14:schemeClr w14:val="tx1"/>
                  </w14:solidFill>
                </w14:textFill>
              </w:rPr>
              <w:t>电锤</w:t>
            </w:r>
          </w:p>
        </w:tc>
        <w:tc>
          <w:tcPr>
            <w:tcW w:w="2464" w:type="dxa"/>
            <w:vAlign w:val="center"/>
          </w:tcPr>
          <w:p w14:paraId="760C9B74">
            <w:pPr>
              <w:pStyle w:val="34"/>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4"/>
                <w:sz w:val="21"/>
                <w:szCs w:val="21"/>
                <w14:textFill>
                  <w14:solidFill>
                    <w14:schemeClr w14:val="tx1"/>
                  </w14:solidFill>
                </w14:textFill>
              </w:rPr>
              <w:t>82</w:t>
            </w:r>
          </w:p>
        </w:tc>
      </w:tr>
      <w:tr w14:paraId="10B69EA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2761" w:type="dxa"/>
            <w:vMerge w:val="continue"/>
            <w:vAlign w:val="center"/>
          </w:tcPr>
          <w:p w14:paraId="1D5CCCBC">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2530" w:type="dxa"/>
            <w:vAlign w:val="center"/>
          </w:tcPr>
          <w:p w14:paraId="5F4ACADB">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手工钻</w:t>
            </w:r>
          </w:p>
        </w:tc>
        <w:tc>
          <w:tcPr>
            <w:tcW w:w="2464" w:type="dxa"/>
            <w:vAlign w:val="center"/>
          </w:tcPr>
          <w:p w14:paraId="536DF044">
            <w:pPr>
              <w:pStyle w:val="34"/>
              <w:spacing w:line="240" w:lineRule="auto"/>
              <w:ind w:firstLine="0" w:firstLineChars="0"/>
              <w:jc w:val="center"/>
              <w:rPr>
                <w:rFonts w:hint="default" w:ascii="Times New Roman" w:hAnsi="Times New Roman" w:eastAsia="宋体" w:cs="Times New Roman"/>
                <w:color w:val="000000" w:themeColor="text1"/>
                <w:spacing w:val="-4"/>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4"/>
                <w:sz w:val="21"/>
                <w:szCs w:val="21"/>
                <w:lang w:eastAsia="zh-CN"/>
                <w14:textFill>
                  <w14:solidFill>
                    <w14:schemeClr w14:val="tx1"/>
                  </w14:solidFill>
                </w14:textFill>
              </w:rPr>
              <w:t>95</w:t>
            </w:r>
          </w:p>
        </w:tc>
      </w:tr>
      <w:tr w14:paraId="31A7268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2761" w:type="dxa"/>
            <w:vMerge w:val="continue"/>
            <w:vAlign w:val="center"/>
          </w:tcPr>
          <w:p w14:paraId="7F679BEA">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2530" w:type="dxa"/>
            <w:vAlign w:val="center"/>
          </w:tcPr>
          <w:p w14:paraId="63B0819A">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无齿锯</w:t>
            </w:r>
          </w:p>
        </w:tc>
        <w:tc>
          <w:tcPr>
            <w:tcW w:w="2464" w:type="dxa"/>
            <w:vAlign w:val="center"/>
          </w:tcPr>
          <w:p w14:paraId="6A1EF4C3">
            <w:pPr>
              <w:pStyle w:val="34"/>
              <w:spacing w:line="240" w:lineRule="auto"/>
              <w:ind w:firstLine="0" w:firstLineChars="0"/>
              <w:jc w:val="center"/>
              <w:rPr>
                <w:rFonts w:hint="default" w:ascii="Times New Roman" w:hAnsi="Times New Roman" w:eastAsia="宋体" w:cs="Times New Roman"/>
                <w:color w:val="000000" w:themeColor="text1"/>
                <w:spacing w:val="-4"/>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4"/>
                <w:sz w:val="21"/>
                <w:szCs w:val="21"/>
                <w:lang w:eastAsia="zh-CN"/>
                <w14:textFill>
                  <w14:solidFill>
                    <w14:schemeClr w14:val="tx1"/>
                  </w14:solidFill>
                </w14:textFill>
              </w:rPr>
              <w:t>95</w:t>
            </w:r>
          </w:p>
        </w:tc>
      </w:tr>
    </w:tbl>
    <w:p w14:paraId="5D13B17E">
      <w:pPr>
        <w:spacing w:line="91" w:lineRule="auto"/>
        <w:ind w:firstLine="40"/>
        <w:rPr>
          <w:rFonts w:hint="default" w:ascii="Times New Roman" w:hAnsi="Times New Roman" w:eastAsia="宋体" w:cs="Times New Roman"/>
          <w:color w:val="000000" w:themeColor="text1"/>
          <w:sz w:val="2"/>
          <w14:textFill>
            <w14:solidFill>
              <w14:schemeClr w14:val="tx1"/>
            </w14:solidFill>
          </w14:textFill>
        </w:rPr>
      </w:pPr>
    </w:p>
    <w:p w14:paraId="69C87FA0">
      <w:pPr>
        <w:pStyle w:val="11"/>
        <w:spacing w:before="31" w:line="228" w:lineRule="auto"/>
        <w:ind w:left="2338" w:firstLine="482"/>
        <w:rPr>
          <w:rFonts w:hint="default" w:ascii="Times New Roman" w:hAnsi="Times New Roman" w:eastAsia="宋体" w:cs="Times New Roman"/>
          <w:b/>
          <w:bCs/>
          <w:color w:val="000000" w:themeColor="text1"/>
          <w:lang w:eastAsia="zh-CN"/>
          <w14:textFill>
            <w14:solidFill>
              <w14:schemeClr w14:val="tx1"/>
            </w14:solidFill>
          </w14:textFill>
        </w:rPr>
      </w:pPr>
      <w:r>
        <w:rPr>
          <w:rFonts w:hint="default" w:ascii="Times New Roman" w:hAnsi="Times New Roman" w:eastAsia="宋体" w:cs="Times New Roman"/>
          <w:b/>
          <w:bCs/>
          <w:color w:val="000000" w:themeColor="text1"/>
          <w:lang w:eastAsia="zh-CN"/>
          <w14:textFill>
            <w14:solidFill>
              <w14:schemeClr w14:val="tx1"/>
            </w14:solidFill>
          </w14:textFill>
        </w:rPr>
        <w:t>表5.3-2施工期各交通运输车辆噪声排放统计</w:t>
      </w:r>
    </w:p>
    <w:tbl>
      <w:tblPr>
        <w:tblStyle w:val="35"/>
        <w:tblW w:w="7882" w:type="dxa"/>
        <w:tblInd w:w="633"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875"/>
        <w:gridCol w:w="2769"/>
        <w:gridCol w:w="1565"/>
        <w:gridCol w:w="1673"/>
      </w:tblGrid>
      <w:tr w14:paraId="28231C6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9" w:hRule="atLeast"/>
        </w:trPr>
        <w:tc>
          <w:tcPr>
            <w:tcW w:w="1875" w:type="dxa"/>
          </w:tcPr>
          <w:p w14:paraId="73A655ED">
            <w:pPr>
              <w:spacing w:line="240" w:lineRule="auto"/>
              <w:ind w:firstLine="0" w:firstLineChars="0"/>
              <w:jc w:val="center"/>
              <w:rPr>
                <w:rFonts w:hint="default" w:ascii="Times New Roman" w:hAnsi="Times New Roman" w:eastAsia="宋体" w:cs="Times New Roman"/>
                <w:color w:val="000000" w:themeColor="text1"/>
                <w:spacing w:val="8"/>
                <w:sz w:val="21"/>
                <w:szCs w:val="21"/>
                <w14:textFill>
                  <w14:solidFill>
                    <w14:schemeClr w14:val="tx1"/>
                  </w14:solidFill>
                </w14:textFill>
              </w:rPr>
            </w:pPr>
            <w:r>
              <w:rPr>
                <w:rFonts w:hint="default" w:ascii="Times New Roman" w:hAnsi="Times New Roman" w:eastAsia="宋体" w:cs="Times New Roman"/>
                <w:color w:val="000000" w:themeColor="text1"/>
                <w:spacing w:val="8"/>
                <w:sz w:val="21"/>
                <w:szCs w:val="21"/>
                <w14:textFill>
                  <w14:solidFill>
                    <w14:schemeClr w14:val="tx1"/>
                  </w14:solidFill>
                </w14:textFill>
              </w:rPr>
              <w:t>施工阶段</w:t>
            </w:r>
          </w:p>
        </w:tc>
        <w:tc>
          <w:tcPr>
            <w:tcW w:w="2769" w:type="dxa"/>
          </w:tcPr>
          <w:p w14:paraId="444A90E3">
            <w:pPr>
              <w:spacing w:line="240" w:lineRule="auto"/>
              <w:ind w:firstLine="0" w:firstLineChars="0"/>
              <w:jc w:val="center"/>
              <w:rPr>
                <w:rFonts w:hint="default" w:ascii="Times New Roman" w:hAnsi="Times New Roman" w:eastAsia="宋体" w:cs="Times New Roman"/>
                <w:color w:val="000000" w:themeColor="text1"/>
                <w:spacing w:val="8"/>
                <w:sz w:val="21"/>
                <w:szCs w:val="21"/>
                <w14:textFill>
                  <w14:solidFill>
                    <w14:schemeClr w14:val="tx1"/>
                  </w14:solidFill>
                </w14:textFill>
              </w:rPr>
            </w:pPr>
            <w:r>
              <w:rPr>
                <w:rFonts w:hint="default" w:ascii="Times New Roman" w:hAnsi="Times New Roman" w:eastAsia="宋体" w:cs="Times New Roman"/>
                <w:color w:val="000000" w:themeColor="text1"/>
                <w:spacing w:val="8"/>
                <w:sz w:val="21"/>
                <w:szCs w:val="21"/>
                <w14:textFill>
                  <w14:solidFill>
                    <w14:schemeClr w14:val="tx1"/>
                  </w14:solidFill>
                </w14:textFill>
              </w:rPr>
              <w:t>运输内容</w:t>
            </w:r>
          </w:p>
        </w:tc>
        <w:tc>
          <w:tcPr>
            <w:tcW w:w="1565" w:type="dxa"/>
          </w:tcPr>
          <w:p w14:paraId="63296BF7">
            <w:pPr>
              <w:spacing w:line="240" w:lineRule="auto"/>
              <w:ind w:firstLine="0" w:firstLineChars="0"/>
              <w:jc w:val="center"/>
              <w:rPr>
                <w:rFonts w:hint="default" w:ascii="Times New Roman" w:hAnsi="Times New Roman" w:eastAsia="宋体" w:cs="Times New Roman"/>
                <w:color w:val="000000" w:themeColor="text1"/>
                <w:spacing w:val="8"/>
                <w:sz w:val="21"/>
                <w:szCs w:val="21"/>
                <w14:textFill>
                  <w14:solidFill>
                    <w14:schemeClr w14:val="tx1"/>
                  </w14:solidFill>
                </w14:textFill>
              </w:rPr>
            </w:pPr>
            <w:r>
              <w:rPr>
                <w:rFonts w:hint="default" w:ascii="Times New Roman" w:hAnsi="Times New Roman" w:eastAsia="宋体" w:cs="Times New Roman"/>
                <w:color w:val="000000" w:themeColor="text1"/>
                <w:spacing w:val="8"/>
                <w:sz w:val="21"/>
                <w:szCs w:val="21"/>
                <w14:textFill>
                  <w14:solidFill>
                    <w14:schemeClr w14:val="tx1"/>
                  </w14:solidFill>
                </w14:textFill>
              </w:rPr>
              <w:t>车辆类型</w:t>
            </w:r>
          </w:p>
        </w:tc>
        <w:tc>
          <w:tcPr>
            <w:tcW w:w="1673" w:type="dxa"/>
          </w:tcPr>
          <w:p w14:paraId="5D91E5C5">
            <w:pPr>
              <w:spacing w:line="240" w:lineRule="auto"/>
              <w:ind w:firstLine="0" w:firstLineChars="0"/>
              <w:jc w:val="center"/>
              <w:rPr>
                <w:rFonts w:hint="default" w:ascii="Times New Roman" w:hAnsi="Times New Roman" w:eastAsia="宋体" w:cs="Times New Roman"/>
                <w:color w:val="000000" w:themeColor="text1"/>
                <w:spacing w:val="8"/>
                <w:sz w:val="21"/>
                <w:szCs w:val="21"/>
                <w14:textFill>
                  <w14:solidFill>
                    <w14:schemeClr w14:val="tx1"/>
                  </w14:solidFill>
                </w14:textFill>
              </w:rPr>
            </w:pPr>
            <w:r>
              <w:rPr>
                <w:rFonts w:hint="default" w:ascii="Times New Roman" w:hAnsi="Times New Roman" w:eastAsia="宋体" w:cs="Times New Roman"/>
                <w:color w:val="000000" w:themeColor="text1"/>
                <w:spacing w:val="8"/>
                <w:sz w:val="21"/>
                <w:szCs w:val="21"/>
                <w14:textFill>
                  <w14:solidFill>
                    <w14:schemeClr w14:val="tx1"/>
                  </w14:solidFill>
                </w14:textFill>
              </w:rPr>
              <w:t>源强dB（A）</w:t>
            </w:r>
          </w:p>
        </w:tc>
      </w:tr>
      <w:tr w14:paraId="498ADE6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4" w:hRule="atLeast"/>
        </w:trPr>
        <w:tc>
          <w:tcPr>
            <w:tcW w:w="1875" w:type="dxa"/>
          </w:tcPr>
          <w:p w14:paraId="7125E538">
            <w:pPr>
              <w:spacing w:line="240" w:lineRule="auto"/>
              <w:ind w:firstLine="0" w:firstLineChars="0"/>
              <w:jc w:val="center"/>
              <w:rPr>
                <w:rFonts w:hint="default" w:ascii="Times New Roman" w:hAnsi="Times New Roman" w:eastAsia="宋体" w:cs="Times New Roman"/>
                <w:color w:val="000000" w:themeColor="text1"/>
                <w:spacing w:val="8"/>
                <w:sz w:val="21"/>
                <w:szCs w:val="21"/>
                <w14:textFill>
                  <w14:solidFill>
                    <w14:schemeClr w14:val="tx1"/>
                  </w14:solidFill>
                </w14:textFill>
              </w:rPr>
            </w:pPr>
            <w:r>
              <w:rPr>
                <w:rFonts w:hint="default" w:ascii="Times New Roman" w:hAnsi="Times New Roman" w:eastAsia="宋体" w:cs="Times New Roman"/>
                <w:color w:val="000000" w:themeColor="text1"/>
                <w:spacing w:val="8"/>
                <w:sz w:val="21"/>
                <w:szCs w:val="21"/>
                <w14:textFill>
                  <w14:solidFill>
                    <w14:schemeClr w14:val="tx1"/>
                  </w14:solidFill>
                </w14:textFill>
              </w:rPr>
              <w:t>基础及结构阶段</w:t>
            </w:r>
          </w:p>
        </w:tc>
        <w:tc>
          <w:tcPr>
            <w:tcW w:w="2769" w:type="dxa"/>
          </w:tcPr>
          <w:p w14:paraId="7766F34B">
            <w:pPr>
              <w:spacing w:line="240" w:lineRule="auto"/>
              <w:ind w:firstLine="0" w:firstLineChars="0"/>
              <w:jc w:val="center"/>
              <w:rPr>
                <w:rFonts w:hint="default" w:ascii="Times New Roman" w:hAnsi="Times New Roman" w:eastAsia="宋体" w:cs="Times New Roman"/>
                <w:color w:val="000000" w:themeColor="text1"/>
                <w:spacing w:val="8"/>
                <w:sz w:val="21"/>
                <w:szCs w:val="21"/>
                <w14:textFill>
                  <w14:solidFill>
                    <w14:schemeClr w14:val="tx1"/>
                  </w14:solidFill>
                </w14:textFill>
              </w:rPr>
            </w:pPr>
            <w:r>
              <w:rPr>
                <w:rFonts w:hint="default" w:ascii="Times New Roman" w:hAnsi="Times New Roman" w:eastAsia="宋体" w:cs="Times New Roman"/>
                <w:color w:val="000000" w:themeColor="text1"/>
                <w:spacing w:val="8"/>
                <w:sz w:val="21"/>
                <w:szCs w:val="21"/>
                <w14:textFill>
                  <w14:solidFill>
                    <w14:schemeClr w14:val="tx1"/>
                  </w14:solidFill>
                </w14:textFill>
              </w:rPr>
              <w:t>材料运输</w:t>
            </w:r>
          </w:p>
        </w:tc>
        <w:tc>
          <w:tcPr>
            <w:tcW w:w="1565" w:type="dxa"/>
          </w:tcPr>
          <w:p w14:paraId="21053450">
            <w:pPr>
              <w:spacing w:line="240" w:lineRule="auto"/>
              <w:ind w:firstLine="0" w:firstLineChars="0"/>
              <w:jc w:val="center"/>
              <w:rPr>
                <w:rFonts w:hint="default" w:ascii="Times New Roman" w:hAnsi="Times New Roman" w:eastAsia="宋体" w:cs="Times New Roman"/>
                <w:color w:val="000000" w:themeColor="text1"/>
                <w:spacing w:val="8"/>
                <w:sz w:val="21"/>
                <w:szCs w:val="21"/>
                <w14:textFill>
                  <w14:solidFill>
                    <w14:schemeClr w14:val="tx1"/>
                  </w14:solidFill>
                </w14:textFill>
              </w:rPr>
            </w:pPr>
            <w:r>
              <w:rPr>
                <w:rFonts w:hint="default" w:ascii="Times New Roman" w:hAnsi="Times New Roman" w:eastAsia="宋体" w:cs="Times New Roman"/>
                <w:color w:val="000000" w:themeColor="text1"/>
                <w:spacing w:val="8"/>
                <w:sz w:val="21"/>
                <w:szCs w:val="21"/>
                <w14:textFill>
                  <w14:solidFill>
                    <w14:schemeClr w14:val="tx1"/>
                  </w14:solidFill>
                </w14:textFill>
              </w:rPr>
              <w:t>载重车</w:t>
            </w:r>
          </w:p>
        </w:tc>
        <w:tc>
          <w:tcPr>
            <w:tcW w:w="1673" w:type="dxa"/>
          </w:tcPr>
          <w:p w14:paraId="5B3B23BD">
            <w:pPr>
              <w:spacing w:line="240" w:lineRule="auto"/>
              <w:ind w:firstLine="0" w:firstLineChars="0"/>
              <w:jc w:val="center"/>
              <w:rPr>
                <w:rFonts w:hint="default" w:ascii="Times New Roman" w:hAnsi="Times New Roman" w:eastAsia="宋体" w:cs="Times New Roman"/>
                <w:color w:val="000000" w:themeColor="text1"/>
                <w:spacing w:val="8"/>
                <w:sz w:val="21"/>
                <w:szCs w:val="21"/>
                <w14:textFill>
                  <w14:solidFill>
                    <w14:schemeClr w14:val="tx1"/>
                  </w14:solidFill>
                </w14:textFill>
              </w:rPr>
            </w:pPr>
            <w:r>
              <w:rPr>
                <w:rFonts w:hint="default" w:ascii="Times New Roman" w:hAnsi="Times New Roman" w:eastAsia="宋体" w:cs="Times New Roman"/>
                <w:color w:val="000000" w:themeColor="text1"/>
                <w:spacing w:val="8"/>
                <w:sz w:val="21"/>
                <w:szCs w:val="21"/>
                <w14:textFill>
                  <w14:solidFill>
                    <w14:schemeClr w14:val="tx1"/>
                  </w14:solidFill>
                </w14:textFill>
              </w:rPr>
              <w:t>80</w:t>
            </w:r>
          </w:p>
        </w:tc>
      </w:tr>
      <w:tr w14:paraId="313E0F1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40" w:hRule="atLeast"/>
        </w:trPr>
        <w:tc>
          <w:tcPr>
            <w:tcW w:w="1875" w:type="dxa"/>
          </w:tcPr>
          <w:p w14:paraId="43D17852">
            <w:pPr>
              <w:spacing w:line="240" w:lineRule="auto"/>
              <w:ind w:firstLine="0" w:firstLineChars="0"/>
              <w:jc w:val="center"/>
              <w:rPr>
                <w:rFonts w:hint="default" w:ascii="Times New Roman" w:hAnsi="Times New Roman" w:eastAsia="宋体" w:cs="Times New Roman"/>
                <w:color w:val="000000" w:themeColor="text1"/>
                <w:spacing w:val="8"/>
                <w:sz w:val="21"/>
                <w:szCs w:val="21"/>
                <w14:textFill>
                  <w14:solidFill>
                    <w14:schemeClr w14:val="tx1"/>
                  </w14:solidFill>
                </w14:textFill>
              </w:rPr>
            </w:pPr>
            <w:r>
              <w:rPr>
                <w:rFonts w:hint="default" w:ascii="Times New Roman" w:hAnsi="Times New Roman" w:eastAsia="宋体" w:cs="Times New Roman"/>
                <w:color w:val="000000" w:themeColor="text1"/>
                <w:spacing w:val="8"/>
                <w:sz w:val="21"/>
                <w:szCs w:val="21"/>
                <w14:textFill>
                  <w14:solidFill>
                    <w14:schemeClr w14:val="tx1"/>
                  </w14:solidFill>
                </w14:textFill>
              </w:rPr>
              <w:t>装修、安装阶段</w:t>
            </w:r>
          </w:p>
        </w:tc>
        <w:tc>
          <w:tcPr>
            <w:tcW w:w="2769" w:type="dxa"/>
          </w:tcPr>
          <w:p w14:paraId="359E058A">
            <w:pPr>
              <w:spacing w:line="240" w:lineRule="auto"/>
              <w:ind w:firstLine="0" w:firstLineChars="0"/>
              <w:jc w:val="center"/>
              <w:rPr>
                <w:rFonts w:hint="default" w:ascii="Times New Roman" w:hAnsi="Times New Roman" w:eastAsia="宋体" w:cs="Times New Roman"/>
                <w:color w:val="000000" w:themeColor="text1"/>
                <w:spacing w:val="8"/>
                <w:sz w:val="21"/>
                <w:szCs w:val="21"/>
                <w14:textFill>
                  <w14:solidFill>
                    <w14:schemeClr w14:val="tx1"/>
                  </w14:solidFill>
                </w14:textFill>
              </w:rPr>
            </w:pPr>
            <w:r>
              <w:rPr>
                <w:rFonts w:hint="default" w:ascii="Times New Roman" w:hAnsi="Times New Roman" w:eastAsia="宋体" w:cs="Times New Roman"/>
                <w:color w:val="000000" w:themeColor="text1"/>
                <w:spacing w:val="8"/>
                <w:sz w:val="21"/>
                <w:szCs w:val="21"/>
                <w14:textFill>
                  <w14:solidFill>
                    <w14:schemeClr w14:val="tx1"/>
                  </w14:solidFill>
                </w14:textFill>
              </w:rPr>
              <w:t>各类装修材料及必备设备</w:t>
            </w:r>
          </w:p>
        </w:tc>
        <w:tc>
          <w:tcPr>
            <w:tcW w:w="1565" w:type="dxa"/>
          </w:tcPr>
          <w:p w14:paraId="7CC665B6">
            <w:pPr>
              <w:spacing w:line="240" w:lineRule="auto"/>
              <w:ind w:firstLine="0" w:firstLineChars="0"/>
              <w:jc w:val="center"/>
              <w:rPr>
                <w:rFonts w:hint="default" w:ascii="Times New Roman" w:hAnsi="Times New Roman" w:eastAsia="宋体" w:cs="Times New Roman"/>
                <w:color w:val="000000" w:themeColor="text1"/>
                <w:spacing w:val="8"/>
                <w:sz w:val="21"/>
                <w:szCs w:val="21"/>
                <w14:textFill>
                  <w14:solidFill>
                    <w14:schemeClr w14:val="tx1"/>
                  </w14:solidFill>
                </w14:textFill>
              </w:rPr>
            </w:pPr>
            <w:r>
              <w:rPr>
                <w:rFonts w:hint="default" w:ascii="Times New Roman" w:hAnsi="Times New Roman" w:eastAsia="宋体" w:cs="Times New Roman"/>
                <w:color w:val="000000" w:themeColor="text1"/>
                <w:spacing w:val="8"/>
                <w:sz w:val="21"/>
                <w:szCs w:val="21"/>
                <w14:textFill>
                  <w14:solidFill>
                    <w14:schemeClr w14:val="tx1"/>
                  </w14:solidFill>
                </w14:textFill>
              </w:rPr>
              <w:t>轻型载重车</w:t>
            </w:r>
          </w:p>
        </w:tc>
        <w:tc>
          <w:tcPr>
            <w:tcW w:w="1673" w:type="dxa"/>
          </w:tcPr>
          <w:p w14:paraId="3A20437E">
            <w:pPr>
              <w:spacing w:line="240" w:lineRule="auto"/>
              <w:ind w:firstLine="0" w:firstLineChars="0"/>
              <w:jc w:val="center"/>
              <w:rPr>
                <w:rFonts w:hint="default" w:ascii="Times New Roman" w:hAnsi="Times New Roman" w:eastAsia="宋体" w:cs="Times New Roman"/>
                <w:color w:val="000000" w:themeColor="text1"/>
                <w:spacing w:val="8"/>
                <w:sz w:val="21"/>
                <w:szCs w:val="21"/>
                <w14:textFill>
                  <w14:solidFill>
                    <w14:schemeClr w14:val="tx1"/>
                  </w14:solidFill>
                </w14:textFill>
              </w:rPr>
            </w:pPr>
            <w:r>
              <w:rPr>
                <w:rFonts w:hint="default" w:ascii="Times New Roman" w:hAnsi="Times New Roman" w:eastAsia="宋体" w:cs="Times New Roman"/>
                <w:color w:val="000000" w:themeColor="text1"/>
                <w:spacing w:val="8"/>
                <w:sz w:val="21"/>
                <w:szCs w:val="21"/>
                <w14:textFill>
                  <w14:solidFill>
                    <w14:schemeClr w14:val="tx1"/>
                  </w14:solidFill>
                </w14:textFill>
              </w:rPr>
              <w:t>75</w:t>
            </w:r>
          </w:p>
        </w:tc>
      </w:tr>
    </w:tbl>
    <w:p w14:paraId="6F997D42">
      <w:pPr>
        <w:bidi w:val="0"/>
        <w:rPr>
          <w:rFonts w:hint="default"/>
          <w:color w:val="000000" w:themeColor="text1"/>
          <w14:textFill>
            <w14:solidFill>
              <w14:schemeClr w14:val="tx1"/>
            </w14:solidFill>
          </w14:textFill>
        </w:rPr>
      </w:pPr>
    </w:p>
    <w:p w14:paraId="00566A3B">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（2）噪声影响预测模式</w:t>
      </w:r>
    </w:p>
    <w:p w14:paraId="294FA358">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施工期机械设备噪声源可以看作是点声源，点声源噪声随距离衰减的计算公式如下：</w:t>
      </w:r>
    </w:p>
    <w:p w14:paraId="5E66F5A9">
      <w:pPr>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9"/>
        <w:rPr>
          <w:rFonts w:hint="default" w:ascii="Times New Roman" w:hAnsi="Times New Roman" w:eastAsia="宋体" w:cs="Times New Roman"/>
          <w:color w:val="000000" w:themeColor="text1"/>
          <w:sz w:val="28"/>
          <w:szCs w:val="28"/>
          <w14:textFill>
            <w14:solidFill>
              <w14:schemeClr w14:val="tx1"/>
            </w14:solidFill>
          </w14:textFill>
        </w:rPr>
      </w:pPr>
      <w:r>
        <w:rPr>
          <w:rFonts w:hint="default" w:ascii="Times New Roman" w:hAnsi="Times New Roman" w:eastAsia="宋体" w:cs="Times New Roman"/>
          <w:color w:val="000000" w:themeColor="text1"/>
          <w:sz w:val="28"/>
          <w:szCs w:val="28"/>
          <w14:textFill>
            <w14:solidFill>
              <w14:schemeClr w14:val="tx1"/>
            </w14:solidFill>
          </w14:textFill>
        </w:rPr>
        <w:t>L（r）=L（r0）-20lg（r/r0）</w:t>
      </w:r>
    </w:p>
    <w:p w14:paraId="6EA39703">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式中：L（r）/点声源在预测点产生的噪声级dB（A）；</w:t>
      </w:r>
    </w:p>
    <w:p w14:paraId="013D8F96">
      <w:pPr>
        <w:keepNext w:val="0"/>
        <w:keepLines w:val="0"/>
        <w:pageBreakBefore w:val="0"/>
        <w:widowControl w:val="0"/>
        <w:kinsoku/>
        <w:wordWrap/>
        <w:overflowPunct/>
        <w:topLinePunct w:val="0"/>
        <w:autoSpaceDE/>
        <w:autoSpaceDN/>
        <w:bidi w:val="0"/>
        <w:adjustRightInd/>
        <w:snapToGrid/>
        <w:ind w:firstLine="1200" w:firstLineChars="50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L（r0）/参考位置r0处的已知噪声级dB（A）。</w:t>
      </w:r>
    </w:p>
    <w:p w14:paraId="61348944">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w:t>
      </w:r>
      <w:r>
        <w:rPr>
          <w:rFonts w:hint="eastAsia" w:cs="Times New Roman"/>
          <w:color w:val="000000" w:themeColor="text1"/>
          <w:lang w:val="en-US" w:eastAsia="zh-CN"/>
          <w14:textFill>
            <w14:solidFill>
              <w14:schemeClr w14:val="tx1"/>
            </w14:solidFill>
          </w14:textFill>
        </w:rPr>
        <w:t>3</w:t>
      </w:r>
      <w:r>
        <w:rPr>
          <w:rFonts w:hint="default" w:ascii="Times New Roman" w:hAnsi="Times New Roman" w:eastAsia="宋体" w:cs="Times New Roman"/>
          <w:color w:val="000000" w:themeColor="text1"/>
          <w14:textFill>
            <w14:solidFill>
              <w14:schemeClr w14:val="tx1"/>
            </w14:solidFill>
          </w14:textFill>
        </w:rPr>
        <w:t>）预测结果及分析</w:t>
      </w:r>
    </w:p>
    <w:p w14:paraId="7D673D7E">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在施工现场，噪声源强主要为设备运输噪声及设备安装噪声，因而本评价采用最不利原则，噪声源强取源强最大值，仅对各施工阶段最大噪声源强的影响范围进行预测。施工各阶段噪声源强衰减情况见表5.3-3。</w:t>
      </w:r>
    </w:p>
    <w:p w14:paraId="0BC96C8A">
      <w:pPr>
        <w:ind w:firstLine="0" w:firstLineChars="0"/>
        <w:jc w:val="center"/>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表5.3-3主要施工机械经距离衰减后噪声值</w:t>
      </w:r>
    </w:p>
    <w:tbl>
      <w:tblPr>
        <w:tblStyle w:val="35"/>
        <w:tblW w:w="8504"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70"/>
        <w:gridCol w:w="974"/>
        <w:gridCol w:w="1006"/>
        <w:gridCol w:w="928"/>
        <w:gridCol w:w="826"/>
        <w:gridCol w:w="827"/>
        <w:gridCol w:w="827"/>
        <w:gridCol w:w="826"/>
        <w:gridCol w:w="828"/>
        <w:gridCol w:w="692"/>
      </w:tblGrid>
      <w:tr w14:paraId="509FF79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770" w:type="dxa"/>
            <w:tcBorders>
              <w:top w:val="single" w:color="000000" w:sz="10" w:space="0"/>
              <w:left w:val="single" w:color="000000" w:sz="10" w:space="0"/>
            </w:tcBorders>
            <w:vAlign w:val="center"/>
          </w:tcPr>
          <w:p w14:paraId="2EB9A08E">
            <w:pPr>
              <w:ind w:firstLine="0" w:firstLineChars="0"/>
              <w:jc w:val="center"/>
              <w:rPr>
                <w:rFonts w:hint="default" w:ascii="Times New Roman" w:hAnsi="Times New Roman" w:eastAsia="宋体" w:cs="Times New Roman"/>
                <w:color w:val="000000" w:themeColor="text1"/>
                <w:spacing w:val="8"/>
                <w:sz w:val="21"/>
                <w:szCs w:val="21"/>
                <w14:textFill>
                  <w14:solidFill>
                    <w14:schemeClr w14:val="tx1"/>
                  </w14:solidFill>
                </w14:textFill>
              </w:rPr>
            </w:pPr>
            <w:r>
              <w:rPr>
                <w:rFonts w:hint="default" w:ascii="Times New Roman" w:hAnsi="Times New Roman" w:eastAsia="宋体" w:cs="Times New Roman"/>
                <w:color w:val="000000" w:themeColor="text1"/>
                <w:spacing w:val="8"/>
                <w:sz w:val="21"/>
                <w:szCs w:val="21"/>
                <w14:textFill>
                  <w14:solidFill>
                    <w14:schemeClr w14:val="tx1"/>
                  </w14:solidFill>
                </w14:textFill>
              </w:rPr>
              <w:t>施工</w:t>
            </w:r>
          </w:p>
          <w:p w14:paraId="0662D4F9">
            <w:pPr>
              <w:ind w:firstLine="0" w:firstLineChars="0"/>
              <w:jc w:val="center"/>
              <w:rPr>
                <w:rFonts w:hint="default" w:ascii="Times New Roman" w:hAnsi="Times New Roman" w:eastAsia="宋体" w:cs="Times New Roman"/>
                <w:color w:val="000000" w:themeColor="text1"/>
                <w:spacing w:val="8"/>
                <w:sz w:val="21"/>
                <w:szCs w:val="21"/>
                <w14:textFill>
                  <w14:solidFill>
                    <w14:schemeClr w14:val="tx1"/>
                  </w14:solidFill>
                </w14:textFill>
              </w:rPr>
            </w:pPr>
            <w:r>
              <w:rPr>
                <w:rFonts w:hint="default" w:ascii="Times New Roman" w:hAnsi="Times New Roman" w:eastAsia="宋体" w:cs="Times New Roman"/>
                <w:color w:val="000000" w:themeColor="text1"/>
                <w:spacing w:val="8"/>
                <w:sz w:val="21"/>
                <w:szCs w:val="21"/>
                <w14:textFill>
                  <w14:solidFill>
                    <w14:schemeClr w14:val="tx1"/>
                  </w14:solidFill>
                </w14:textFill>
              </w:rPr>
              <w:t>阶段</w:t>
            </w:r>
          </w:p>
        </w:tc>
        <w:tc>
          <w:tcPr>
            <w:tcW w:w="974" w:type="dxa"/>
            <w:tcBorders>
              <w:top w:val="single" w:color="000000" w:sz="10" w:space="0"/>
            </w:tcBorders>
            <w:vAlign w:val="center"/>
          </w:tcPr>
          <w:p w14:paraId="226DB05C">
            <w:pPr>
              <w:ind w:firstLine="0" w:firstLineChars="0"/>
              <w:jc w:val="center"/>
              <w:rPr>
                <w:rFonts w:hint="default" w:ascii="Times New Roman" w:hAnsi="Times New Roman" w:eastAsia="宋体" w:cs="Times New Roman"/>
                <w:color w:val="000000" w:themeColor="text1"/>
                <w:spacing w:val="8"/>
                <w:sz w:val="21"/>
                <w:szCs w:val="21"/>
                <w14:textFill>
                  <w14:solidFill>
                    <w14:schemeClr w14:val="tx1"/>
                  </w14:solidFill>
                </w14:textFill>
              </w:rPr>
            </w:pPr>
            <w:r>
              <w:rPr>
                <w:rFonts w:hint="default" w:ascii="Times New Roman" w:hAnsi="Times New Roman" w:eastAsia="宋体" w:cs="Times New Roman"/>
                <w:color w:val="000000" w:themeColor="text1"/>
                <w:spacing w:val="8"/>
                <w:sz w:val="21"/>
                <w:szCs w:val="21"/>
                <w14:textFill>
                  <w14:solidFill>
                    <w14:schemeClr w14:val="tx1"/>
                  </w14:solidFill>
                </w14:textFill>
              </w:rPr>
              <w:t>噪声源</w:t>
            </w:r>
          </w:p>
        </w:tc>
        <w:tc>
          <w:tcPr>
            <w:tcW w:w="1006" w:type="dxa"/>
            <w:tcBorders>
              <w:top w:val="single" w:color="000000" w:sz="10" w:space="0"/>
            </w:tcBorders>
            <w:vAlign w:val="center"/>
          </w:tcPr>
          <w:p w14:paraId="7B147457">
            <w:pPr>
              <w:ind w:firstLine="0" w:firstLineChars="0"/>
              <w:jc w:val="center"/>
              <w:rPr>
                <w:rFonts w:hint="default" w:ascii="Times New Roman" w:hAnsi="Times New Roman" w:eastAsia="宋体" w:cs="Times New Roman"/>
                <w:color w:val="000000" w:themeColor="text1"/>
                <w:spacing w:val="8"/>
                <w:sz w:val="21"/>
                <w:szCs w:val="21"/>
                <w14:textFill>
                  <w14:solidFill>
                    <w14:schemeClr w14:val="tx1"/>
                  </w14:solidFill>
                </w14:textFill>
              </w:rPr>
            </w:pPr>
            <w:r>
              <w:rPr>
                <w:rFonts w:hint="default" w:ascii="Times New Roman" w:hAnsi="Times New Roman" w:eastAsia="宋体" w:cs="Times New Roman"/>
                <w:color w:val="000000" w:themeColor="text1"/>
                <w:spacing w:val="8"/>
                <w:sz w:val="21"/>
                <w:szCs w:val="21"/>
                <w14:textFill>
                  <w14:solidFill>
                    <w14:schemeClr w14:val="tx1"/>
                  </w14:solidFill>
                </w14:textFill>
              </w:rPr>
              <w:t>距离（m）</w:t>
            </w:r>
          </w:p>
        </w:tc>
        <w:tc>
          <w:tcPr>
            <w:tcW w:w="928" w:type="dxa"/>
            <w:tcBorders>
              <w:top w:val="single" w:color="000000" w:sz="10" w:space="0"/>
            </w:tcBorders>
            <w:vAlign w:val="center"/>
          </w:tcPr>
          <w:p w14:paraId="5AF2BFFF">
            <w:pPr>
              <w:ind w:firstLine="0" w:firstLineChars="0"/>
              <w:jc w:val="center"/>
              <w:rPr>
                <w:rFonts w:hint="default" w:ascii="Times New Roman" w:hAnsi="Times New Roman" w:eastAsia="宋体" w:cs="Times New Roman"/>
                <w:color w:val="000000" w:themeColor="text1"/>
                <w:spacing w:val="8"/>
                <w:sz w:val="21"/>
                <w:szCs w:val="21"/>
                <w14:textFill>
                  <w14:solidFill>
                    <w14:schemeClr w14:val="tx1"/>
                  </w14:solidFill>
                </w14:textFill>
              </w:rPr>
            </w:pPr>
            <w:r>
              <w:rPr>
                <w:rFonts w:hint="default" w:ascii="Times New Roman" w:hAnsi="Times New Roman" w:eastAsia="宋体" w:cs="Times New Roman"/>
                <w:color w:val="000000" w:themeColor="text1"/>
                <w:spacing w:val="8"/>
                <w:sz w:val="21"/>
                <w:szCs w:val="21"/>
                <w14:textFill>
                  <w14:solidFill>
                    <w14:schemeClr w14:val="tx1"/>
                  </w14:solidFill>
                </w14:textFill>
              </w:rPr>
              <w:t>5</w:t>
            </w:r>
          </w:p>
        </w:tc>
        <w:tc>
          <w:tcPr>
            <w:tcW w:w="826" w:type="dxa"/>
            <w:tcBorders>
              <w:top w:val="single" w:color="000000" w:sz="10" w:space="0"/>
            </w:tcBorders>
            <w:vAlign w:val="center"/>
          </w:tcPr>
          <w:p w14:paraId="69E3B763">
            <w:pPr>
              <w:ind w:firstLine="0" w:firstLineChars="0"/>
              <w:jc w:val="center"/>
              <w:rPr>
                <w:rFonts w:hint="default" w:ascii="Times New Roman" w:hAnsi="Times New Roman" w:eastAsia="宋体" w:cs="Times New Roman"/>
                <w:color w:val="000000" w:themeColor="text1"/>
                <w:spacing w:val="8"/>
                <w:sz w:val="21"/>
                <w:szCs w:val="21"/>
                <w14:textFill>
                  <w14:solidFill>
                    <w14:schemeClr w14:val="tx1"/>
                  </w14:solidFill>
                </w14:textFill>
              </w:rPr>
            </w:pPr>
            <w:r>
              <w:rPr>
                <w:rFonts w:hint="default" w:ascii="Times New Roman" w:hAnsi="Times New Roman" w:eastAsia="宋体" w:cs="Times New Roman"/>
                <w:color w:val="000000" w:themeColor="text1"/>
                <w:spacing w:val="8"/>
                <w:sz w:val="21"/>
                <w:szCs w:val="21"/>
                <w14:textFill>
                  <w14:solidFill>
                    <w14:schemeClr w14:val="tx1"/>
                  </w14:solidFill>
                </w14:textFill>
              </w:rPr>
              <w:t>10</w:t>
            </w:r>
          </w:p>
        </w:tc>
        <w:tc>
          <w:tcPr>
            <w:tcW w:w="827" w:type="dxa"/>
            <w:tcBorders>
              <w:top w:val="single" w:color="000000" w:sz="10" w:space="0"/>
            </w:tcBorders>
            <w:vAlign w:val="center"/>
          </w:tcPr>
          <w:p w14:paraId="53CAE371">
            <w:pPr>
              <w:ind w:firstLine="0" w:firstLineChars="0"/>
              <w:jc w:val="center"/>
              <w:rPr>
                <w:rFonts w:hint="default" w:ascii="Times New Roman" w:hAnsi="Times New Roman" w:eastAsia="宋体" w:cs="Times New Roman"/>
                <w:color w:val="000000" w:themeColor="text1"/>
                <w:spacing w:val="8"/>
                <w:sz w:val="21"/>
                <w:szCs w:val="21"/>
                <w14:textFill>
                  <w14:solidFill>
                    <w14:schemeClr w14:val="tx1"/>
                  </w14:solidFill>
                </w14:textFill>
              </w:rPr>
            </w:pPr>
            <w:r>
              <w:rPr>
                <w:rFonts w:hint="default" w:ascii="Times New Roman" w:hAnsi="Times New Roman" w:eastAsia="宋体" w:cs="Times New Roman"/>
                <w:color w:val="000000" w:themeColor="text1"/>
                <w:spacing w:val="8"/>
                <w:sz w:val="21"/>
                <w:szCs w:val="21"/>
                <w14:textFill>
                  <w14:solidFill>
                    <w14:schemeClr w14:val="tx1"/>
                  </w14:solidFill>
                </w14:textFill>
              </w:rPr>
              <w:t>20</w:t>
            </w:r>
          </w:p>
        </w:tc>
        <w:tc>
          <w:tcPr>
            <w:tcW w:w="827" w:type="dxa"/>
            <w:tcBorders>
              <w:top w:val="single" w:color="000000" w:sz="10" w:space="0"/>
            </w:tcBorders>
            <w:vAlign w:val="center"/>
          </w:tcPr>
          <w:p w14:paraId="44AD2277">
            <w:pPr>
              <w:ind w:firstLine="0" w:firstLineChars="0"/>
              <w:jc w:val="center"/>
              <w:rPr>
                <w:rFonts w:hint="default" w:ascii="Times New Roman" w:hAnsi="Times New Roman" w:eastAsia="宋体" w:cs="Times New Roman"/>
                <w:color w:val="000000" w:themeColor="text1"/>
                <w:spacing w:val="8"/>
                <w:sz w:val="21"/>
                <w:szCs w:val="21"/>
                <w14:textFill>
                  <w14:solidFill>
                    <w14:schemeClr w14:val="tx1"/>
                  </w14:solidFill>
                </w14:textFill>
              </w:rPr>
            </w:pPr>
            <w:r>
              <w:rPr>
                <w:rFonts w:hint="default" w:ascii="Times New Roman" w:hAnsi="Times New Roman" w:eastAsia="宋体" w:cs="Times New Roman"/>
                <w:color w:val="000000" w:themeColor="text1"/>
                <w:spacing w:val="8"/>
                <w:sz w:val="21"/>
                <w:szCs w:val="21"/>
                <w14:textFill>
                  <w14:solidFill>
                    <w14:schemeClr w14:val="tx1"/>
                  </w14:solidFill>
                </w14:textFill>
              </w:rPr>
              <w:t>30</w:t>
            </w:r>
          </w:p>
        </w:tc>
        <w:tc>
          <w:tcPr>
            <w:tcW w:w="826" w:type="dxa"/>
            <w:tcBorders>
              <w:top w:val="single" w:color="000000" w:sz="10" w:space="0"/>
            </w:tcBorders>
            <w:vAlign w:val="center"/>
          </w:tcPr>
          <w:p w14:paraId="0000DC79">
            <w:pPr>
              <w:ind w:firstLine="0" w:firstLineChars="0"/>
              <w:jc w:val="center"/>
              <w:rPr>
                <w:rFonts w:hint="default" w:ascii="Times New Roman" w:hAnsi="Times New Roman" w:eastAsia="宋体" w:cs="Times New Roman"/>
                <w:color w:val="000000" w:themeColor="text1"/>
                <w:spacing w:val="8"/>
                <w:sz w:val="21"/>
                <w:szCs w:val="21"/>
                <w14:textFill>
                  <w14:solidFill>
                    <w14:schemeClr w14:val="tx1"/>
                  </w14:solidFill>
                </w14:textFill>
              </w:rPr>
            </w:pPr>
            <w:r>
              <w:rPr>
                <w:rFonts w:hint="default" w:ascii="Times New Roman" w:hAnsi="Times New Roman" w:eastAsia="宋体" w:cs="Times New Roman"/>
                <w:color w:val="000000" w:themeColor="text1"/>
                <w:spacing w:val="8"/>
                <w:sz w:val="21"/>
                <w:szCs w:val="21"/>
                <w14:textFill>
                  <w14:solidFill>
                    <w14:schemeClr w14:val="tx1"/>
                  </w14:solidFill>
                </w14:textFill>
              </w:rPr>
              <w:t>50</w:t>
            </w:r>
          </w:p>
        </w:tc>
        <w:tc>
          <w:tcPr>
            <w:tcW w:w="828" w:type="dxa"/>
            <w:tcBorders>
              <w:top w:val="single" w:color="000000" w:sz="10" w:space="0"/>
            </w:tcBorders>
            <w:vAlign w:val="center"/>
          </w:tcPr>
          <w:p w14:paraId="71A29B52">
            <w:pPr>
              <w:ind w:firstLine="0" w:firstLineChars="0"/>
              <w:jc w:val="center"/>
              <w:rPr>
                <w:rFonts w:hint="default" w:ascii="Times New Roman" w:hAnsi="Times New Roman" w:eastAsia="宋体" w:cs="Times New Roman"/>
                <w:color w:val="000000" w:themeColor="text1"/>
                <w:spacing w:val="8"/>
                <w:sz w:val="21"/>
                <w:szCs w:val="21"/>
                <w14:textFill>
                  <w14:solidFill>
                    <w14:schemeClr w14:val="tx1"/>
                  </w14:solidFill>
                </w14:textFill>
              </w:rPr>
            </w:pPr>
            <w:r>
              <w:rPr>
                <w:rFonts w:hint="default" w:ascii="Times New Roman" w:hAnsi="Times New Roman" w:eastAsia="宋体" w:cs="Times New Roman"/>
                <w:color w:val="000000" w:themeColor="text1"/>
                <w:spacing w:val="8"/>
                <w:sz w:val="21"/>
                <w:szCs w:val="21"/>
                <w14:textFill>
                  <w14:solidFill>
                    <w14:schemeClr w14:val="tx1"/>
                  </w14:solidFill>
                </w14:textFill>
              </w:rPr>
              <w:t>80</w:t>
            </w:r>
          </w:p>
        </w:tc>
        <w:tc>
          <w:tcPr>
            <w:tcW w:w="692" w:type="dxa"/>
            <w:tcBorders>
              <w:top w:val="single" w:color="000000" w:sz="10" w:space="0"/>
              <w:right w:val="single" w:color="000000" w:sz="10" w:space="0"/>
            </w:tcBorders>
            <w:vAlign w:val="center"/>
          </w:tcPr>
          <w:p w14:paraId="0C0A4AA7">
            <w:pPr>
              <w:ind w:firstLine="0" w:firstLineChars="0"/>
              <w:jc w:val="center"/>
              <w:rPr>
                <w:rFonts w:hint="default" w:ascii="Times New Roman" w:hAnsi="Times New Roman" w:eastAsia="宋体" w:cs="Times New Roman"/>
                <w:color w:val="000000" w:themeColor="text1"/>
                <w:spacing w:val="8"/>
                <w:sz w:val="21"/>
                <w:szCs w:val="21"/>
                <w14:textFill>
                  <w14:solidFill>
                    <w14:schemeClr w14:val="tx1"/>
                  </w14:solidFill>
                </w14:textFill>
              </w:rPr>
            </w:pPr>
            <w:r>
              <w:rPr>
                <w:rFonts w:hint="default" w:ascii="Times New Roman" w:hAnsi="Times New Roman" w:eastAsia="宋体" w:cs="Times New Roman"/>
                <w:color w:val="000000" w:themeColor="text1"/>
                <w:spacing w:val="8"/>
                <w:sz w:val="21"/>
                <w:szCs w:val="21"/>
                <w14:textFill>
                  <w14:solidFill>
                    <w14:schemeClr w14:val="tx1"/>
                  </w14:solidFill>
                </w14:textFill>
              </w:rPr>
              <w:t>100</w:t>
            </w:r>
          </w:p>
        </w:tc>
      </w:tr>
      <w:tr w14:paraId="6D576EC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770" w:type="dxa"/>
            <w:vMerge w:val="restart"/>
            <w:tcBorders>
              <w:left w:val="single" w:color="000000" w:sz="10" w:space="0"/>
              <w:bottom w:val="nil"/>
            </w:tcBorders>
            <w:vAlign w:val="center"/>
          </w:tcPr>
          <w:p w14:paraId="268D9C45">
            <w:pPr>
              <w:ind w:firstLine="0" w:firstLineChars="0"/>
              <w:jc w:val="center"/>
              <w:rPr>
                <w:rFonts w:hint="default" w:ascii="Times New Roman" w:hAnsi="Times New Roman" w:eastAsia="宋体" w:cs="Times New Roman"/>
                <w:color w:val="000000" w:themeColor="text1"/>
                <w:spacing w:val="8"/>
                <w:sz w:val="21"/>
                <w:szCs w:val="21"/>
                <w14:textFill>
                  <w14:solidFill>
                    <w14:schemeClr w14:val="tx1"/>
                  </w14:solidFill>
                </w14:textFill>
              </w:rPr>
            </w:pPr>
            <w:r>
              <w:rPr>
                <w:rFonts w:hint="default" w:ascii="Times New Roman" w:hAnsi="Times New Roman" w:eastAsia="宋体" w:cs="Times New Roman"/>
                <w:color w:val="000000" w:themeColor="text1"/>
                <w:spacing w:val="8"/>
                <w:sz w:val="21"/>
                <w:szCs w:val="21"/>
                <w14:textFill>
                  <w14:solidFill>
                    <w14:schemeClr w14:val="tx1"/>
                  </w14:solidFill>
                </w14:textFill>
              </w:rPr>
              <w:t>基础土石方</w:t>
            </w:r>
          </w:p>
        </w:tc>
        <w:tc>
          <w:tcPr>
            <w:tcW w:w="974" w:type="dxa"/>
            <w:vAlign w:val="center"/>
          </w:tcPr>
          <w:p w14:paraId="5D1743B3">
            <w:pPr>
              <w:ind w:firstLine="0" w:firstLineChars="0"/>
              <w:jc w:val="center"/>
              <w:rPr>
                <w:rFonts w:hint="default" w:ascii="Times New Roman" w:hAnsi="Times New Roman" w:eastAsia="宋体" w:cs="Times New Roman"/>
                <w:color w:val="000000" w:themeColor="text1"/>
                <w:spacing w:val="8"/>
                <w:sz w:val="21"/>
                <w:szCs w:val="21"/>
                <w14:textFill>
                  <w14:solidFill>
                    <w14:schemeClr w14:val="tx1"/>
                  </w14:solidFill>
                </w14:textFill>
              </w:rPr>
            </w:pPr>
            <w:r>
              <w:rPr>
                <w:rFonts w:hint="default" w:ascii="Times New Roman" w:hAnsi="Times New Roman" w:eastAsia="宋体" w:cs="Times New Roman"/>
                <w:color w:val="000000" w:themeColor="text1"/>
                <w:spacing w:val="8"/>
                <w:sz w:val="21"/>
                <w:szCs w:val="21"/>
                <w14:textFill>
                  <w14:solidFill>
                    <w14:schemeClr w14:val="tx1"/>
                  </w14:solidFill>
                </w14:textFill>
              </w:rPr>
              <w:t>装载机</w:t>
            </w:r>
          </w:p>
        </w:tc>
        <w:tc>
          <w:tcPr>
            <w:tcW w:w="1006" w:type="dxa"/>
            <w:vMerge w:val="restart"/>
            <w:tcBorders>
              <w:bottom w:val="nil"/>
            </w:tcBorders>
            <w:vAlign w:val="center"/>
          </w:tcPr>
          <w:p w14:paraId="7ECAB7DF">
            <w:pPr>
              <w:ind w:firstLine="0" w:firstLineChars="0"/>
              <w:jc w:val="center"/>
              <w:rPr>
                <w:rFonts w:hint="default" w:ascii="Times New Roman" w:hAnsi="Times New Roman" w:eastAsia="宋体" w:cs="Times New Roman"/>
                <w:color w:val="000000" w:themeColor="text1"/>
                <w:spacing w:val="8"/>
                <w:sz w:val="21"/>
                <w:szCs w:val="21"/>
                <w14:textFill>
                  <w14:solidFill>
                    <w14:schemeClr w14:val="tx1"/>
                  </w14:solidFill>
                </w14:textFill>
              </w:rPr>
            </w:pPr>
            <w:r>
              <w:rPr>
                <w:rFonts w:hint="default" w:ascii="Times New Roman" w:hAnsi="Times New Roman" w:eastAsia="宋体" w:cs="Times New Roman"/>
                <w:color w:val="000000" w:themeColor="text1"/>
                <w:spacing w:val="8"/>
                <w:sz w:val="21"/>
                <w:szCs w:val="21"/>
                <w14:textFill>
                  <w14:solidFill>
                    <w14:schemeClr w14:val="tx1"/>
                  </w14:solidFill>
                </w14:textFill>
              </w:rPr>
              <w:t>噪声预测值dB（A）</w:t>
            </w:r>
          </w:p>
        </w:tc>
        <w:tc>
          <w:tcPr>
            <w:tcW w:w="928" w:type="dxa"/>
            <w:vAlign w:val="center"/>
          </w:tcPr>
          <w:p w14:paraId="26A17F9A">
            <w:pPr>
              <w:ind w:firstLine="0" w:firstLineChars="0"/>
              <w:jc w:val="center"/>
              <w:rPr>
                <w:rFonts w:hint="default" w:ascii="Times New Roman" w:hAnsi="Times New Roman" w:eastAsia="宋体" w:cs="Times New Roman"/>
                <w:color w:val="000000" w:themeColor="text1"/>
                <w:spacing w:val="8"/>
                <w:sz w:val="21"/>
                <w:szCs w:val="21"/>
                <w14:textFill>
                  <w14:solidFill>
                    <w14:schemeClr w14:val="tx1"/>
                  </w14:solidFill>
                </w14:textFill>
              </w:rPr>
            </w:pPr>
            <w:r>
              <w:rPr>
                <w:rFonts w:hint="default" w:ascii="Times New Roman" w:hAnsi="Times New Roman" w:eastAsia="宋体" w:cs="Times New Roman"/>
                <w:color w:val="000000" w:themeColor="text1"/>
                <w:spacing w:val="8"/>
                <w:sz w:val="21"/>
                <w:szCs w:val="21"/>
                <w14:textFill>
                  <w14:solidFill>
                    <w14:schemeClr w14:val="tx1"/>
                  </w14:solidFill>
                </w14:textFill>
              </w:rPr>
              <w:t>90</w:t>
            </w:r>
          </w:p>
        </w:tc>
        <w:tc>
          <w:tcPr>
            <w:tcW w:w="826" w:type="dxa"/>
            <w:vAlign w:val="center"/>
          </w:tcPr>
          <w:p w14:paraId="2DCC4D52">
            <w:pPr>
              <w:ind w:firstLine="0" w:firstLineChars="0"/>
              <w:jc w:val="center"/>
              <w:rPr>
                <w:rFonts w:hint="default" w:ascii="Times New Roman" w:hAnsi="Times New Roman" w:eastAsia="宋体" w:cs="Times New Roman"/>
                <w:color w:val="000000" w:themeColor="text1"/>
                <w:spacing w:val="8"/>
                <w:sz w:val="21"/>
                <w:szCs w:val="21"/>
                <w14:textFill>
                  <w14:solidFill>
                    <w14:schemeClr w14:val="tx1"/>
                  </w14:solidFill>
                </w14:textFill>
              </w:rPr>
            </w:pPr>
            <w:r>
              <w:rPr>
                <w:rFonts w:hint="default" w:ascii="Times New Roman" w:hAnsi="Times New Roman" w:eastAsia="宋体" w:cs="Times New Roman"/>
                <w:color w:val="000000" w:themeColor="text1"/>
                <w:spacing w:val="8"/>
                <w:sz w:val="21"/>
                <w:szCs w:val="21"/>
                <w14:textFill>
                  <w14:solidFill>
                    <w14:schemeClr w14:val="tx1"/>
                  </w14:solidFill>
                </w14:textFill>
              </w:rPr>
              <w:t>84.0</w:t>
            </w:r>
          </w:p>
        </w:tc>
        <w:tc>
          <w:tcPr>
            <w:tcW w:w="827" w:type="dxa"/>
            <w:vAlign w:val="center"/>
          </w:tcPr>
          <w:p w14:paraId="2840B0DE">
            <w:pPr>
              <w:ind w:firstLine="0" w:firstLineChars="0"/>
              <w:jc w:val="center"/>
              <w:rPr>
                <w:rFonts w:hint="default" w:ascii="Times New Roman" w:hAnsi="Times New Roman" w:eastAsia="宋体" w:cs="Times New Roman"/>
                <w:color w:val="000000" w:themeColor="text1"/>
                <w:spacing w:val="8"/>
                <w:sz w:val="21"/>
                <w:szCs w:val="21"/>
                <w14:textFill>
                  <w14:solidFill>
                    <w14:schemeClr w14:val="tx1"/>
                  </w14:solidFill>
                </w14:textFill>
              </w:rPr>
            </w:pPr>
            <w:r>
              <w:rPr>
                <w:rFonts w:hint="default" w:ascii="Times New Roman" w:hAnsi="Times New Roman" w:eastAsia="宋体" w:cs="Times New Roman"/>
                <w:color w:val="000000" w:themeColor="text1"/>
                <w:spacing w:val="8"/>
                <w:sz w:val="21"/>
                <w:szCs w:val="21"/>
                <w14:textFill>
                  <w14:solidFill>
                    <w14:schemeClr w14:val="tx1"/>
                  </w14:solidFill>
                </w14:textFill>
              </w:rPr>
              <w:t>78.0</w:t>
            </w:r>
          </w:p>
        </w:tc>
        <w:tc>
          <w:tcPr>
            <w:tcW w:w="827" w:type="dxa"/>
            <w:vAlign w:val="center"/>
          </w:tcPr>
          <w:p w14:paraId="5150F7A7">
            <w:pPr>
              <w:ind w:firstLine="0" w:firstLineChars="0"/>
              <w:jc w:val="center"/>
              <w:rPr>
                <w:rFonts w:hint="default" w:ascii="Times New Roman" w:hAnsi="Times New Roman" w:eastAsia="宋体" w:cs="Times New Roman"/>
                <w:color w:val="000000" w:themeColor="text1"/>
                <w:spacing w:val="8"/>
                <w:sz w:val="21"/>
                <w:szCs w:val="21"/>
                <w14:textFill>
                  <w14:solidFill>
                    <w14:schemeClr w14:val="tx1"/>
                  </w14:solidFill>
                </w14:textFill>
              </w:rPr>
            </w:pPr>
            <w:r>
              <w:rPr>
                <w:rFonts w:hint="default" w:ascii="Times New Roman" w:hAnsi="Times New Roman" w:eastAsia="宋体" w:cs="Times New Roman"/>
                <w:color w:val="000000" w:themeColor="text1"/>
                <w:spacing w:val="8"/>
                <w:sz w:val="21"/>
                <w:szCs w:val="21"/>
                <w14:textFill>
                  <w14:solidFill>
                    <w14:schemeClr w14:val="tx1"/>
                  </w14:solidFill>
                </w14:textFill>
              </w:rPr>
              <w:t>74.4</w:t>
            </w:r>
          </w:p>
        </w:tc>
        <w:tc>
          <w:tcPr>
            <w:tcW w:w="826" w:type="dxa"/>
            <w:vAlign w:val="center"/>
          </w:tcPr>
          <w:p w14:paraId="5D1E90D3">
            <w:pPr>
              <w:ind w:firstLine="0" w:firstLineChars="0"/>
              <w:jc w:val="center"/>
              <w:rPr>
                <w:rFonts w:hint="default" w:ascii="Times New Roman" w:hAnsi="Times New Roman" w:eastAsia="宋体" w:cs="Times New Roman"/>
                <w:color w:val="000000" w:themeColor="text1"/>
                <w:spacing w:val="8"/>
                <w:sz w:val="21"/>
                <w:szCs w:val="21"/>
                <w14:textFill>
                  <w14:solidFill>
                    <w14:schemeClr w14:val="tx1"/>
                  </w14:solidFill>
                </w14:textFill>
              </w:rPr>
            </w:pPr>
            <w:r>
              <w:rPr>
                <w:rFonts w:hint="default" w:ascii="Times New Roman" w:hAnsi="Times New Roman" w:eastAsia="宋体" w:cs="Times New Roman"/>
                <w:color w:val="000000" w:themeColor="text1"/>
                <w:spacing w:val="8"/>
                <w:sz w:val="21"/>
                <w:szCs w:val="21"/>
                <w14:textFill>
                  <w14:solidFill>
                    <w14:schemeClr w14:val="tx1"/>
                  </w14:solidFill>
                </w14:textFill>
              </w:rPr>
              <w:t>70.0</w:t>
            </w:r>
          </w:p>
        </w:tc>
        <w:tc>
          <w:tcPr>
            <w:tcW w:w="828" w:type="dxa"/>
            <w:vAlign w:val="center"/>
          </w:tcPr>
          <w:p w14:paraId="4E160D31">
            <w:pPr>
              <w:ind w:firstLine="0" w:firstLineChars="0"/>
              <w:jc w:val="center"/>
              <w:rPr>
                <w:rFonts w:hint="default" w:ascii="Times New Roman" w:hAnsi="Times New Roman" w:eastAsia="宋体" w:cs="Times New Roman"/>
                <w:color w:val="000000" w:themeColor="text1"/>
                <w:spacing w:val="8"/>
                <w:sz w:val="21"/>
                <w:szCs w:val="21"/>
                <w14:textFill>
                  <w14:solidFill>
                    <w14:schemeClr w14:val="tx1"/>
                  </w14:solidFill>
                </w14:textFill>
              </w:rPr>
            </w:pPr>
            <w:r>
              <w:rPr>
                <w:rFonts w:hint="default" w:ascii="Times New Roman" w:hAnsi="Times New Roman" w:eastAsia="宋体" w:cs="Times New Roman"/>
                <w:color w:val="000000" w:themeColor="text1"/>
                <w:spacing w:val="8"/>
                <w:sz w:val="21"/>
                <w:szCs w:val="21"/>
                <w14:textFill>
                  <w14:solidFill>
                    <w14:schemeClr w14:val="tx1"/>
                  </w14:solidFill>
                </w14:textFill>
              </w:rPr>
              <w:t>65.9</w:t>
            </w:r>
          </w:p>
        </w:tc>
        <w:tc>
          <w:tcPr>
            <w:tcW w:w="692" w:type="dxa"/>
            <w:tcBorders>
              <w:right w:val="single" w:color="000000" w:sz="10" w:space="0"/>
            </w:tcBorders>
            <w:vAlign w:val="center"/>
          </w:tcPr>
          <w:p w14:paraId="14C4C328">
            <w:pPr>
              <w:ind w:firstLine="0" w:firstLineChars="0"/>
              <w:jc w:val="center"/>
              <w:rPr>
                <w:rFonts w:hint="default" w:ascii="Times New Roman" w:hAnsi="Times New Roman" w:eastAsia="宋体" w:cs="Times New Roman"/>
                <w:color w:val="000000" w:themeColor="text1"/>
                <w:spacing w:val="8"/>
                <w:sz w:val="21"/>
                <w:szCs w:val="21"/>
                <w14:textFill>
                  <w14:solidFill>
                    <w14:schemeClr w14:val="tx1"/>
                  </w14:solidFill>
                </w14:textFill>
              </w:rPr>
            </w:pPr>
            <w:r>
              <w:rPr>
                <w:rFonts w:hint="default" w:ascii="Times New Roman" w:hAnsi="Times New Roman" w:eastAsia="宋体" w:cs="Times New Roman"/>
                <w:color w:val="000000" w:themeColor="text1"/>
                <w:spacing w:val="8"/>
                <w:sz w:val="21"/>
                <w:szCs w:val="21"/>
                <w14:textFill>
                  <w14:solidFill>
                    <w14:schemeClr w14:val="tx1"/>
                  </w14:solidFill>
                </w14:textFill>
              </w:rPr>
              <w:t>64.0</w:t>
            </w:r>
          </w:p>
        </w:tc>
      </w:tr>
      <w:tr w14:paraId="4FDDB36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770" w:type="dxa"/>
            <w:vMerge w:val="continue"/>
            <w:tcBorders>
              <w:top w:val="nil"/>
              <w:left w:val="single" w:color="000000" w:sz="10" w:space="0"/>
              <w:bottom w:val="nil"/>
            </w:tcBorders>
            <w:vAlign w:val="center"/>
          </w:tcPr>
          <w:p w14:paraId="73E5D125">
            <w:pPr>
              <w:ind w:firstLine="0" w:firstLineChars="0"/>
              <w:jc w:val="center"/>
              <w:rPr>
                <w:rFonts w:hint="default" w:ascii="Times New Roman" w:hAnsi="Times New Roman" w:eastAsia="宋体" w:cs="Times New Roman"/>
                <w:color w:val="000000" w:themeColor="text1"/>
                <w:spacing w:val="8"/>
                <w:sz w:val="21"/>
                <w:szCs w:val="21"/>
                <w14:textFill>
                  <w14:solidFill>
                    <w14:schemeClr w14:val="tx1"/>
                  </w14:solidFill>
                </w14:textFill>
              </w:rPr>
            </w:pPr>
          </w:p>
        </w:tc>
        <w:tc>
          <w:tcPr>
            <w:tcW w:w="974" w:type="dxa"/>
            <w:vAlign w:val="center"/>
          </w:tcPr>
          <w:p w14:paraId="5137EE97">
            <w:pPr>
              <w:ind w:firstLine="0" w:firstLineChars="0"/>
              <w:jc w:val="center"/>
              <w:rPr>
                <w:rFonts w:hint="default" w:ascii="Times New Roman" w:hAnsi="Times New Roman" w:eastAsia="宋体" w:cs="Times New Roman"/>
                <w:color w:val="000000" w:themeColor="text1"/>
                <w:spacing w:val="8"/>
                <w:sz w:val="21"/>
                <w:szCs w:val="21"/>
                <w14:textFill>
                  <w14:solidFill>
                    <w14:schemeClr w14:val="tx1"/>
                  </w14:solidFill>
                </w14:textFill>
              </w:rPr>
            </w:pPr>
            <w:r>
              <w:rPr>
                <w:rFonts w:hint="default" w:ascii="Times New Roman" w:hAnsi="Times New Roman" w:eastAsia="宋体" w:cs="Times New Roman"/>
                <w:color w:val="000000" w:themeColor="text1"/>
                <w:spacing w:val="8"/>
                <w:sz w:val="21"/>
                <w:szCs w:val="21"/>
                <w14:textFill>
                  <w14:solidFill>
                    <w14:schemeClr w14:val="tx1"/>
                  </w14:solidFill>
                </w14:textFill>
              </w:rPr>
              <w:t>推土机</w:t>
            </w:r>
          </w:p>
        </w:tc>
        <w:tc>
          <w:tcPr>
            <w:tcW w:w="1006" w:type="dxa"/>
            <w:vMerge w:val="continue"/>
            <w:tcBorders>
              <w:top w:val="nil"/>
              <w:bottom w:val="nil"/>
            </w:tcBorders>
            <w:vAlign w:val="center"/>
          </w:tcPr>
          <w:p w14:paraId="0BF02E41">
            <w:pPr>
              <w:ind w:firstLine="0" w:firstLineChars="0"/>
              <w:jc w:val="center"/>
              <w:rPr>
                <w:rFonts w:hint="default" w:ascii="Times New Roman" w:hAnsi="Times New Roman" w:eastAsia="宋体" w:cs="Times New Roman"/>
                <w:color w:val="000000" w:themeColor="text1"/>
                <w:spacing w:val="8"/>
                <w:sz w:val="21"/>
                <w:szCs w:val="21"/>
                <w14:textFill>
                  <w14:solidFill>
                    <w14:schemeClr w14:val="tx1"/>
                  </w14:solidFill>
                </w14:textFill>
              </w:rPr>
            </w:pPr>
          </w:p>
        </w:tc>
        <w:tc>
          <w:tcPr>
            <w:tcW w:w="928" w:type="dxa"/>
            <w:vAlign w:val="center"/>
          </w:tcPr>
          <w:p w14:paraId="4AB84CAA">
            <w:pPr>
              <w:ind w:firstLine="0" w:firstLineChars="0"/>
              <w:jc w:val="center"/>
              <w:rPr>
                <w:rFonts w:hint="default" w:ascii="Times New Roman" w:hAnsi="Times New Roman" w:eastAsia="宋体" w:cs="Times New Roman"/>
                <w:color w:val="000000" w:themeColor="text1"/>
                <w:spacing w:val="8"/>
                <w:sz w:val="21"/>
                <w:szCs w:val="21"/>
                <w14:textFill>
                  <w14:solidFill>
                    <w14:schemeClr w14:val="tx1"/>
                  </w14:solidFill>
                </w14:textFill>
              </w:rPr>
            </w:pPr>
            <w:r>
              <w:rPr>
                <w:rFonts w:hint="default" w:ascii="Times New Roman" w:hAnsi="Times New Roman" w:eastAsia="宋体" w:cs="Times New Roman"/>
                <w:color w:val="000000" w:themeColor="text1"/>
                <w:spacing w:val="8"/>
                <w:sz w:val="21"/>
                <w:szCs w:val="21"/>
                <w14:textFill>
                  <w14:solidFill>
                    <w14:schemeClr w14:val="tx1"/>
                  </w14:solidFill>
                </w14:textFill>
              </w:rPr>
              <w:t>86</w:t>
            </w:r>
          </w:p>
        </w:tc>
        <w:tc>
          <w:tcPr>
            <w:tcW w:w="826" w:type="dxa"/>
            <w:vAlign w:val="center"/>
          </w:tcPr>
          <w:p w14:paraId="71430B01">
            <w:pPr>
              <w:ind w:firstLine="0" w:firstLineChars="0"/>
              <w:jc w:val="center"/>
              <w:rPr>
                <w:rFonts w:hint="default" w:ascii="Times New Roman" w:hAnsi="Times New Roman" w:eastAsia="宋体" w:cs="Times New Roman"/>
                <w:color w:val="000000" w:themeColor="text1"/>
                <w:spacing w:val="8"/>
                <w:sz w:val="21"/>
                <w:szCs w:val="21"/>
                <w14:textFill>
                  <w14:solidFill>
                    <w14:schemeClr w14:val="tx1"/>
                  </w14:solidFill>
                </w14:textFill>
              </w:rPr>
            </w:pPr>
            <w:r>
              <w:rPr>
                <w:rFonts w:hint="default" w:ascii="Times New Roman" w:hAnsi="Times New Roman" w:eastAsia="宋体" w:cs="Times New Roman"/>
                <w:color w:val="000000" w:themeColor="text1"/>
                <w:spacing w:val="8"/>
                <w:sz w:val="21"/>
                <w:szCs w:val="21"/>
                <w14:textFill>
                  <w14:solidFill>
                    <w14:schemeClr w14:val="tx1"/>
                  </w14:solidFill>
                </w14:textFill>
              </w:rPr>
              <w:t>80.0</w:t>
            </w:r>
          </w:p>
        </w:tc>
        <w:tc>
          <w:tcPr>
            <w:tcW w:w="827" w:type="dxa"/>
            <w:vAlign w:val="center"/>
          </w:tcPr>
          <w:p w14:paraId="0854F998">
            <w:pPr>
              <w:ind w:firstLine="0" w:firstLineChars="0"/>
              <w:jc w:val="center"/>
              <w:rPr>
                <w:rFonts w:hint="default" w:ascii="Times New Roman" w:hAnsi="Times New Roman" w:eastAsia="宋体" w:cs="Times New Roman"/>
                <w:color w:val="000000" w:themeColor="text1"/>
                <w:spacing w:val="8"/>
                <w:sz w:val="21"/>
                <w:szCs w:val="21"/>
                <w14:textFill>
                  <w14:solidFill>
                    <w14:schemeClr w14:val="tx1"/>
                  </w14:solidFill>
                </w14:textFill>
              </w:rPr>
            </w:pPr>
            <w:r>
              <w:rPr>
                <w:rFonts w:hint="default" w:ascii="Times New Roman" w:hAnsi="Times New Roman" w:eastAsia="宋体" w:cs="Times New Roman"/>
                <w:color w:val="000000" w:themeColor="text1"/>
                <w:spacing w:val="8"/>
                <w:sz w:val="21"/>
                <w:szCs w:val="21"/>
                <w14:textFill>
                  <w14:solidFill>
                    <w14:schemeClr w14:val="tx1"/>
                  </w14:solidFill>
                </w14:textFill>
              </w:rPr>
              <w:t>74.0</w:t>
            </w:r>
          </w:p>
        </w:tc>
        <w:tc>
          <w:tcPr>
            <w:tcW w:w="827" w:type="dxa"/>
            <w:vAlign w:val="center"/>
          </w:tcPr>
          <w:p w14:paraId="163E9126">
            <w:pPr>
              <w:ind w:firstLine="0" w:firstLineChars="0"/>
              <w:jc w:val="center"/>
              <w:rPr>
                <w:rFonts w:hint="default" w:ascii="Times New Roman" w:hAnsi="Times New Roman" w:eastAsia="宋体" w:cs="Times New Roman"/>
                <w:color w:val="000000" w:themeColor="text1"/>
                <w:spacing w:val="8"/>
                <w:sz w:val="21"/>
                <w:szCs w:val="21"/>
                <w14:textFill>
                  <w14:solidFill>
                    <w14:schemeClr w14:val="tx1"/>
                  </w14:solidFill>
                </w14:textFill>
              </w:rPr>
            </w:pPr>
            <w:r>
              <w:rPr>
                <w:rFonts w:hint="default" w:ascii="Times New Roman" w:hAnsi="Times New Roman" w:eastAsia="宋体" w:cs="Times New Roman"/>
                <w:color w:val="000000" w:themeColor="text1"/>
                <w:spacing w:val="8"/>
                <w:sz w:val="21"/>
                <w:szCs w:val="21"/>
                <w14:textFill>
                  <w14:solidFill>
                    <w14:schemeClr w14:val="tx1"/>
                  </w14:solidFill>
                </w14:textFill>
              </w:rPr>
              <w:t>70.4</w:t>
            </w:r>
          </w:p>
        </w:tc>
        <w:tc>
          <w:tcPr>
            <w:tcW w:w="826" w:type="dxa"/>
            <w:vAlign w:val="center"/>
          </w:tcPr>
          <w:p w14:paraId="0BBDB1AF">
            <w:pPr>
              <w:ind w:firstLine="0" w:firstLineChars="0"/>
              <w:jc w:val="center"/>
              <w:rPr>
                <w:rFonts w:hint="default" w:ascii="Times New Roman" w:hAnsi="Times New Roman" w:eastAsia="宋体" w:cs="Times New Roman"/>
                <w:color w:val="000000" w:themeColor="text1"/>
                <w:spacing w:val="8"/>
                <w:sz w:val="21"/>
                <w:szCs w:val="21"/>
                <w14:textFill>
                  <w14:solidFill>
                    <w14:schemeClr w14:val="tx1"/>
                  </w14:solidFill>
                </w14:textFill>
              </w:rPr>
            </w:pPr>
            <w:r>
              <w:rPr>
                <w:rFonts w:hint="default" w:ascii="Times New Roman" w:hAnsi="Times New Roman" w:eastAsia="宋体" w:cs="Times New Roman"/>
                <w:color w:val="000000" w:themeColor="text1"/>
                <w:spacing w:val="8"/>
                <w:sz w:val="21"/>
                <w:szCs w:val="21"/>
                <w14:textFill>
                  <w14:solidFill>
                    <w14:schemeClr w14:val="tx1"/>
                  </w14:solidFill>
                </w14:textFill>
              </w:rPr>
              <w:t>66.0</w:t>
            </w:r>
          </w:p>
        </w:tc>
        <w:tc>
          <w:tcPr>
            <w:tcW w:w="828" w:type="dxa"/>
            <w:vAlign w:val="center"/>
          </w:tcPr>
          <w:p w14:paraId="7100301B">
            <w:pPr>
              <w:ind w:firstLine="0" w:firstLineChars="0"/>
              <w:jc w:val="center"/>
              <w:rPr>
                <w:rFonts w:hint="default" w:ascii="Times New Roman" w:hAnsi="Times New Roman" w:eastAsia="宋体" w:cs="Times New Roman"/>
                <w:color w:val="000000" w:themeColor="text1"/>
                <w:spacing w:val="8"/>
                <w:sz w:val="21"/>
                <w:szCs w:val="21"/>
                <w14:textFill>
                  <w14:solidFill>
                    <w14:schemeClr w14:val="tx1"/>
                  </w14:solidFill>
                </w14:textFill>
              </w:rPr>
            </w:pPr>
            <w:r>
              <w:rPr>
                <w:rFonts w:hint="default" w:ascii="Times New Roman" w:hAnsi="Times New Roman" w:eastAsia="宋体" w:cs="Times New Roman"/>
                <w:color w:val="000000" w:themeColor="text1"/>
                <w:spacing w:val="8"/>
                <w:sz w:val="21"/>
                <w:szCs w:val="21"/>
                <w14:textFill>
                  <w14:solidFill>
                    <w14:schemeClr w14:val="tx1"/>
                  </w14:solidFill>
                </w14:textFill>
              </w:rPr>
              <w:t>61.9</w:t>
            </w:r>
          </w:p>
        </w:tc>
        <w:tc>
          <w:tcPr>
            <w:tcW w:w="692" w:type="dxa"/>
            <w:tcBorders>
              <w:right w:val="single" w:color="000000" w:sz="10" w:space="0"/>
            </w:tcBorders>
            <w:vAlign w:val="center"/>
          </w:tcPr>
          <w:p w14:paraId="0476B057">
            <w:pPr>
              <w:ind w:firstLine="0" w:firstLineChars="0"/>
              <w:jc w:val="center"/>
              <w:rPr>
                <w:rFonts w:hint="default" w:ascii="Times New Roman" w:hAnsi="Times New Roman" w:eastAsia="宋体" w:cs="Times New Roman"/>
                <w:color w:val="000000" w:themeColor="text1"/>
                <w:spacing w:val="8"/>
                <w:sz w:val="21"/>
                <w:szCs w:val="21"/>
                <w14:textFill>
                  <w14:solidFill>
                    <w14:schemeClr w14:val="tx1"/>
                  </w14:solidFill>
                </w14:textFill>
              </w:rPr>
            </w:pPr>
            <w:r>
              <w:rPr>
                <w:rFonts w:hint="default" w:ascii="Times New Roman" w:hAnsi="Times New Roman" w:eastAsia="宋体" w:cs="Times New Roman"/>
                <w:color w:val="000000" w:themeColor="text1"/>
                <w:spacing w:val="8"/>
                <w:sz w:val="21"/>
                <w:szCs w:val="21"/>
                <w14:textFill>
                  <w14:solidFill>
                    <w14:schemeClr w14:val="tx1"/>
                  </w14:solidFill>
                </w14:textFill>
              </w:rPr>
              <w:t>60.0</w:t>
            </w:r>
          </w:p>
        </w:tc>
      </w:tr>
      <w:tr w14:paraId="59B3E38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770" w:type="dxa"/>
            <w:vMerge w:val="continue"/>
            <w:tcBorders>
              <w:top w:val="nil"/>
              <w:left w:val="single" w:color="000000" w:sz="10" w:space="0"/>
            </w:tcBorders>
            <w:vAlign w:val="center"/>
          </w:tcPr>
          <w:p w14:paraId="65237739">
            <w:pPr>
              <w:ind w:firstLine="0" w:firstLineChars="0"/>
              <w:jc w:val="center"/>
              <w:rPr>
                <w:rFonts w:hint="default" w:ascii="Times New Roman" w:hAnsi="Times New Roman" w:eastAsia="宋体" w:cs="Times New Roman"/>
                <w:color w:val="000000" w:themeColor="text1"/>
                <w:spacing w:val="8"/>
                <w:sz w:val="21"/>
                <w:szCs w:val="21"/>
                <w14:textFill>
                  <w14:solidFill>
                    <w14:schemeClr w14:val="tx1"/>
                  </w14:solidFill>
                </w14:textFill>
              </w:rPr>
            </w:pPr>
          </w:p>
        </w:tc>
        <w:tc>
          <w:tcPr>
            <w:tcW w:w="974" w:type="dxa"/>
            <w:vAlign w:val="center"/>
          </w:tcPr>
          <w:p w14:paraId="294ED11E">
            <w:pPr>
              <w:ind w:firstLine="0" w:firstLineChars="0"/>
              <w:jc w:val="center"/>
              <w:rPr>
                <w:rFonts w:hint="default" w:ascii="Times New Roman" w:hAnsi="Times New Roman" w:eastAsia="宋体" w:cs="Times New Roman"/>
                <w:color w:val="000000" w:themeColor="text1"/>
                <w:spacing w:val="8"/>
                <w:sz w:val="21"/>
                <w:szCs w:val="21"/>
                <w14:textFill>
                  <w14:solidFill>
                    <w14:schemeClr w14:val="tx1"/>
                  </w14:solidFill>
                </w14:textFill>
              </w:rPr>
            </w:pPr>
            <w:r>
              <w:rPr>
                <w:rFonts w:hint="default" w:ascii="Times New Roman" w:hAnsi="Times New Roman" w:eastAsia="宋体" w:cs="Times New Roman"/>
                <w:color w:val="000000" w:themeColor="text1"/>
                <w:spacing w:val="8"/>
                <w:sz w:val="21"/>
                <w:szCs w:val="21"/>
                <w14:textFill>
                  <w14:solidFill>
                    <w14:schemeClr w14:val="tx1"/>
                  </w14:solidFill>
                </w14:textFill>
              </w:rPr>
              <w:t>挖掘机</w:t>
            </w:r>
          </w:p>
        </w:tc>
        <w:tc>
          <w:tcPr>
            <w:tcW w:w="1006" w:type="dxa"/>
            <w:vMerge w:val="continue"/>
            <w:tcBorders>
              <w:top w:val="nil"/>
              <w:bottom w:val="nil"/>
            </w:tcBorders>
            <w:vAlign w:val="center"/>
          </w:tcPr>
          <w:p w14:paraId="39905DD7">
            <w:pPr>
              <w:ind w:firstLine="0" w:firstLineChars="0"/>
              <w:jc w:val="center"/>
              <w:rPr>
                <w:rFonts w:hint="default" w:ascii="Times New Roman" w:hAnsi="Times New Roman" w:eastAsia="宋体" w:cs="Times New Roman"/>
                <w:color w:val="000000" w:themeColor="text1"/>
                <w:spacing w:val="8"/>
                <w:sz w:val="21"/>
                <w:szCs w:val="21"/>
                <w14:textFill>
                  <w14:solidFill>
                    <w14:schemeClr w14:val="tx1"/>
                  </w14:solidFill>
                </w14:textFill>
              </w:rPr>
            </w:pPr>
          </w:p>
        </w:tc>
        <w:tc>
          <w:tcPr>
            <w:tcW w:w="928" w:type="dxa"/>
            <w:vAlign w:val="center"/>
          </w:tcPr>
          <w:p w14:paraId="5606C665">
            <w:pPr>
              <w:ind w:firstLine="0" w:firstLineChars="0"/>
              <w:jc w:val="center"/>
              <w:rPr>
                <w:rFonts w:hint="default" w:ascii="Times New Roman" w:hAnsi="Times New Roman" w:eastAsia="宋体" w:cs="Times New Roman"/>
                <w:color w:val="000000" w:themeColor="text1"/>
                <w:spacing w:val="8"/>
                <w:sz w:val="21"/>
                <w:szCs w:val="21"/>
                <w14:textFill>
                  <w14:solidFill>
                    <w14:schemeClr w14:val="tx1"/>
                  </w14:solidFill>
                </w14:textFill>
              </w:rPr>
            </w:pPr>
            <w:r>
              <w:rPr>
                <w:rFonts w:hint="default" w:ascii="Times New Roman" w:hAnsi="Times New Roman" w:eastAsia="宋体" w:cs="Times New Roman"/>
                <w:color w:val="000000" w:themeColor="text1"/>
                <w:spacing w:val="8"/>
                <w:sz w:val="21"/>
                <w:szCs w:val="21"/>
                <w14:textFill>
                  <w14:solidFill>
                    <w14:schemeClr w14:val="tx1"/>
                  </w14:solidFill>
                </w14:textFill>
              </w:rPr>
              <w:t>84</w:t>
            </w:r>
          </w:p>
        </w:tc>
        <w:tc>
          <w:tcPr>
            <w:tcW w:w="826" w:type="dxa"/>
            <w:vAlign w:val="center"/>
          </w:tcPr>
          <w:p w14:paraId="3AAE5374">
            <w:pPr>
              <w:ind w:firstLine="0" w:firstLineChars="0"/>
              <w:jc w:val="center"/>
              <w:rPr>
                <w:rFonts w:hint="default" w:ascii="Times New Roman" w:hAnsi="Times New Roman" w:eastAsia="宋体" w:cs="Times New Roman"/>
                <w:color w:val="000000" w:themeColor="text1"/>
                <w:spacing w:val="8"/>
                <w:sz w:val="21"/>
                <w:szCs w:val="21"/>
                <w14:textFill>
                  <w14:solidFill>
                    <w14:schemeClr w14:val="tx1"/>
                  </w14:solidFill>
                </w14:textFill>
              </w:rPr>
            </w:pPr>
            <w:r>
              <w:rPr>
                <w:rFonts w:hint="default" w:ascii="Times New Roman" w:hAnsi="Times New Roman" w:eastAsia="宋体" w:cs="Times New Roman"/>
                <w:color w:val="000000" w:themeColor="text1"/>
                <w:spacing w:val="8"/>
                <w:sz w:val="21"/>
                <w:szCs w:val="21"/>
                <w14:textFill>
                  <w14:solidFill>
                    <w14:schemeClr w14:val="tx1"/>
                  </w14:solidFill>
                </w14:textFill>
              </w:rPr>
              <w:t>78.0</w:t>
            </w:r>
          </w:p>
        </w:tc>
        <w:tc>
          <w:tcPr>
            <w:tcW w:w="827" w:type="dxa"/>
            <w:vAlign w:val="center"/>
          </w:tcPr>
          <w:p w14:paraId="140AD231">
            <w:pPr>
              <w:ind w:firstLine="0" w:firstLineChars="0"/>
              <w:jc w:val="center"/>
              <w:rPr>
                <w:rFonts w:hint="default" w:ascii="Times New Roman" w:hAnsi="Times New Roman" w:eastAsia="宋体" w:cs="Times New Roman"/>
                <w:color w:val="000000" w:themeColor="text1"/>
                <w:spacing w:val="8"/>
                <w:sz w:val="21"/>
                <w:szCs w:val="21"/>
                <w14:textFill>
                  <w14:solidFill>
                    <w14:schemeClr w14:val="tx1"/>
                  </w14:solidFill>
                </w14:textFill>
              </w:rPr>
            </w:pPr>
            <w:r>
              <w:rPr>
                <w:rFonts w:hint="default" w:ascii="Times New Roman" w:hAnsi="Times New Roman" w:eastAsia="宋体" w:cs="Times New Roman"/>
                <w:color w:val="000000" w:themeColor="text1"/>
                <w:spacing w:val="8"/>
                <w:sz w:val="21"/>
                <w:szCs w:val="21"/>
                <w14:textFill>
                  <w14:solidFill>
                    <w14:schemeClr w14:val="tx1"/>
                  </w14:solidFill>
                </w14:textFill>
              </w:rPr>
              <w:t>72.0</w:t>
            </w:r>
          </w:p>
        </w:tc>
        <w:tc>
          <w:tcPr>
            <w:tcW w:w="827" w:type="dxa"/>
            <w:vAlign w:val="center"/>
          </w:tcPr>
          <w:p w14:paraId="350E3037">
            <w:pPr>
              <w:ind w:firstLine="0" w:firstLineChars="0"/>
              <w:jc w:val="center"/>
              <w:rPr>
                <w:rFonts w:hint="default" w:ascii="Times New Roman" w:hAnsi="Times New Roman" w:eastAsia="宋体" w:cs="Times New Roman"/>
                <w:color w:val="000000" w:themeColor="text1"/>
                <w:spacing w:val="8"/>
                <w:sz w:val="21"/>
                <w:szCs w:val="21"/>
                <w14:textFill>
                  <w14:solidFill>
                    <w14:schemeClr w14:val="tx1"/>
                  </w14:solidFill>
                </w14:textFill>
              </w:rPr>
            </w:pPr>
            <w:r>
              <w:rPr>
                <w:rFonts w:hint="default" w:ascii="Times New Roman" w:hAnsi="Times New Roman" w:eastAsia="宋体" w:cs="Times New Roman"/>
                <w:color w:val="000000" w:themeColor="text1"/>
                <w:spacing w:val="8"/>
                <w:sz w:val="21"/>
                <w:szCs w:val="21"/>
                <w14:textFill>
                  <w14:solidFill>
                    <w14:schemeClr w14:val="tx1"/>
                  </w14:solidFill>
                </w14:textFill>
              </w:rPr>
              <w:t>68.4</w:t>
            </w:r>
          </w:p>
        </w:tc>
        <w:tc>
          <w:tcPr>
            <w:tcW w:w="826" w:type="dxa"/>
            <w:vAlign w:val="center"/>
          </w:tcPr>
          <w:p w14:paraId="049B757D">
            <w:pPr>
              <w:ind w:firstLine="0" w:firstLineChars="0"/>
              <w:jc w:val="center"/>
              <w:rPr>
                <w:rFonts w:hint="default" w:ascii="Times New Roman" w:hAnsi="Times New Roman" w:eastAsia="宋体" w:cs="Times New Roman"/>
                <w:color w:val="000000" w:themeColor="text1"/>
                <w:spacing w:val="8"/>
                <w:sz w:val="21"/>
                <w:szCs w:val="21"/>
                <w14:textFill>
                  <w14:solidFill>
                    <w14:schemeClr w14:val="tx1"/>
                  </w14:solidFill>
                </w14:textFill>
              </w:rPr>
            </w:pPr>
            <w:r>
              <w:rPr>
                <w:rFonts w:hint="default" w:ascii="Times New Roman" w:hAnsi="Times New Roman" w:eastAsia="宋体" w:cs="Times New Roman"/>
                <w:color w:val="000000" w:themeColor="text1"/>
                <w:spacing w:val="8"/>
                <w:sz w:val="21"/>
                <w:szCs w:val="21"/>
                <w14:textFill>
                  <w14:solidFill>
                    <w14:schemeClr w14:val="tx1"/>
                  </w14:solidFill>
                </w14:textFill>
              </w:rPr>
              <w:t>64.0</w:t>
            </w:r>
          </w:p>
        </w:tc>
        <w:tc>
          <w:tcPr>
            <w:tcW w:w="828" w:type="dxa"/>
            <w:vAlign w:val="center"/>
          </w:tcPr>
          <w:p w14:paraId="0B17472B">
            <w:pPr>
              <w:ind w:firstLine="0" w:firstLineChars="0"/>
              <w:jc w:val="center"/>
              <w:rPr>
                <w:rFonts w:hint="default" w:ascii="Times New Roman" w:hAnsi="Times New Roman" w:eastAsia="宋体" w:cs="Times New Roman"/>
                <w:color w:val="000000" w:themeColor="text1"/>
                <w:spacing w:val="8"/>
                <w:sz w:val="21"/>
                <w:szCs w:val="21"/>
                <w14:textFill>
                  <w14:solidFill>
                    <w14:schemeClr w14:val="tx1"/>
                  </w14:solidFill>
                </w14:textFill>
              </w:rPr>
            </w:pPr>
            <w:r>
              <w:rPr>
                <w:rFonts w:hint="default" w:ascii="Times New Roman" w:hAnsi="Times New Roman" w:eastAsia="宋体" w:cs="Times New Roman"/>
                <w:color w:val="000000" w:themeColor="text1"/>
                <w:spacing w:val="8"/>
                <w:sz w:val="21"/>
                <w:szCs w:val="21"/>
                <w14:textFill>
                  <w14:solidFill>
                    <w14:schemeClr w14:val="tx1"/>
                  </w14:solidFill>
                </w14:textFill>
              </w:rPr>
              <w:t>59.9</w:t>
            </w:r>
          </w:p>
        </w:tc>
        <w:tc>
          <w:tcPr>
            <w:tcW w:w="692" w:type="dxa"/>
            <w:tcBorders>
              <w:right w:val="single" w:color="000000" w:sz="10" w:space="0"/>
            </w:tcBorders>
            <w:vAlign w:val="center"/>
          </w:tcPr>
          <w:p w14:paraId="282C3121">
            <w:pPr>
              <w:ind w:firstLine="0" w:firstLineChars="0"/>
              <w:jc w:val="center"/>
              <w:rPr>
                <w:rFonts w:hint="default" w:ascii="Times New Roman" w:hAnsi="Times New Roman" w:eastAsia="宋体" w:cs="Times New Roman"/>
                <w:color w:val="000000" w:themeColor="text1"/>
                <w:spacing w:val="8"/>
                <w:sz w:val="21"/>
                <w:szCs w:val="21"/>
                <w14:textFill>
                  <w14:solidFill>
                    <w14:schemeClr w14:val="tx1"/>
                  </w14:solidFill>
                </w14:textFill>
              </w:rPr>
            </w:pPr>
            <w:r>
              <w:rPr>
                <w:rFonts w:hint="default" w:ascii="Times New Roman" w:hAnsi="Times New Roman" w:eastAsia="宋体" w:cs="Times New Roman"/>
                <w:color w:val="000000" w:themeColor="text1"/>
                <w:spacing w:val="8"/>
                <w:sz w:val="21"/>
                <w:szCs w:val="21"/>
                <w14:textFill>
                  <w14:solidFill>
                    <w14:schemeClr w14:val="tx1"/>
                  </w14:solidFill>
                </w14:textFill>
              </w:rPr>
              <w:t>58.0</w:t>
            </w:r>
          </w:p>
        </w:tc>
      </w:tr>
      <w:tr w14:paraId="11DE942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770" w:type="dxa"/>
            <w:vMerge w:val="restart"/>
            <w:tcBorders>
              <w:left w:val="single" w:color="000000" w:sz="10" w:space="0"/>
              <w:bottom w:val="nil"/>
            </w:tcBorders>
            <w:vAlign w:val="center"/>
          </w:tcPr>
          <w:p w14:paraId="651D1117">
            <w:pPr>
              <w:ind w:firstLine="0" w:firstLineChars="0"/>
              <w:jc w:val="center"/>
              <w:rPr>
                <w:rFonts w:hint="default" w:ascii="Times New Roman" w:hAnsi="Times New Roman" w:eastAsia="宋体" w:cs="Times New Roman"/>
                <w:color w:val="000000" w:themeColor="text1"/>
                <w:spacing w:val="8"/>
                <w:sz w:val="21"/>
                <w:szCs w:val="21"/>
                <w14:textFill>
                  <w14:solidFill>
                    <w14:schemeClr w14:val="tx1"/>
                  </w14:solidFill>
                </w14:textFill>
              </w:rPr>
            </w:pPr>
            <w:r>
              <w:rPr>
                <w:rFonts w:hint="default" w:ascii="Times New Roman" w:hAnsi="Times New Roman" w:eastAsia="宋体" w:cs="Times New Roman"/>
                <w:color w:val="000000" w:themeColor="text1"/>
                <w:spacing w:val="8"/>
                <w:sz w:val="21"/>
                <w:szCs w:val="21"/>
                <w14:textFill>
                  <w14:solidFill>
                    <w14:schemeClr w14:val="tx1"/>
                  </w14:solidFill>
                </w14:textFill>
              </w:rPr>
              <w:t>建筑物结构</w:t>
            </w:r>
          </w:p>
        </w:tc>
        <w:tc>
          <w:tcPr>
            <w:tcW w:w="974" w:type="dxa"/>
            <w:vAlign w:val="center"/>
          </w:tcPr>
          <w:p w14:paraId="63D535CD">
            <w:pPr>
              <w:ind w:firstLine="0" w:firstLineChars="0"/>
              <w:jc w:val="center"/>
              <w:rPr>
                <w:rFonts w:hint="default" w:ascii="Times New Roman" w:hAnsi="Times New Roman" w:eastAsia="宋体" w:cs="Times New Roman"/>
                <w:color w:val="000000" w:themeColor="text1"/>
                <w:spacing w:val="8"/>
                <w:sz w:val="21"/>
                <w:szCs w:val="21"/>
                <w14:textFill>
                  <w14:solidFill>
                    <w14:schemeClr w14:val="tx1"/>
                  </w14:solidFill>
                </w14:textFill>
              </w:rPr>
            </w:pPr>
            <w:r>
              <w:rPr>
                <w:rFonts w:hint="default" w:ascii="Times New Roman" w:hAnsi="Times New Roman" w:eastAsia="宋体" w:cs="Times New Roman"/>
                <w:color w:val="000000" w:themeColor="text1"/>
                <w:spacing w:val="8"/>
                <w:sz w:val="21"/>
                <w:szCs w:val="21"/>
                <w14:textFill>
                  <w14:solidFill>
                    <w14:schemeClr w14:val="tx1"/>
                  </w14:solidFill>
                </w14:textFill>
              </w:rPr>
              <w:t>电锯</w:t>
            </w:r>
          </w:p>
        </w:tc>
        <w:tc>
          <w:tcPr>
            <w:tcW w:w="1006" w:type="dxa"/>
            <w:vMerge w:val="continue"/>
            <w:tcBorders>
              <w:top w:val="nil"/>
              <w:bottom w:val="nil"/>
            </w:tcBorders>
            <w:vAlign w:val="center"/>
          </w:tcPr>
          <w:p w14:paraId="2693C0A3">
            <w:pPr>
              <w:ind w:firstLine="0" w:firstLineChars="0"/>
              <w:jc w:val="center"/>
              <w:rPr>
                <w:rFonts w:hint="default" w:ascii="Times New Roman" w:hAnsi="Times New Roman" w:eastAsia="宋体" w:cs="Times New Roman"/>
                <w:color w:val="000000" w:themeColor="text1"/>
                <w:spacing w:val="8"/>
                <w:sz w:val="21"/>
                <w:szCs w:val="21"/>
                <w14:textFill>
                  <w14:solidFill>
                    <w14:schemeClr w14:val="tx1"/>
                  </w14:solidFill>
                </w14:textFill>
              </w:rPr>
            </w:pPr>
          </w:p>
        </w:tc>
        <w:tc>
          <w:tcPr>
            <w:tcW w:w="928" w:type="dxa"/>
            <w:vAlign w:val="center"/>
          </w:tcPr>
          <w:p w14:paraId="1A9227A9">
            <w:pPr>
              <w:ind w:firstLine="0" w:firstLineChars="0"/>
              <w:jc w:val="center"/>
              <w:rPr>
                <w:rFonts w:hint="default" w:ascii="Times New Roman" w:hAnsi="Times New Roman" w:eastAsia="宋体" w:cs="Times New Roman"/>
                <w:color w:val="000000" w:themeColor="text1"/>
                <w:spacing w:val="8"/>
                <w:sz w:val="21"/>
                <w:szCs w:val="21"/>
                <w14:textFill>
                  <w14:solidFill>
                    <w14:schemeClr w14:val="tx1"/>
                  </w14:solidFill>
                </w14:textFill>
              </w:rPr>
            </w:pPr>
            <w:r>
              <w:rPr>
                <w:rFonts w:hint="default" w:ascii="Times New Roman" w:hAnsi="Times New Roman" w:eastAsia="宋体" w:cs="Times New Roman"/>
                <w:color w:val="000000" w:themeColor="text1"/>
                <w:spacing w:val="8"/>
                <w:sz w:val="21"/>
                <w:szCs w:val="21"/>
                <w14:textFill>
                  <w14:solidFill>
                    <w14:schemeClr w14:val="tx1"/>
                  </w14:solidFill>
                </w14:textFill>
              </w:rPr>
              <w:t>95</w:t>
            </w:r>
          </w:p>
        </w:tc>
        <w:tc>
          <w:tcPr>
            <w:tcW w:w="826" w:type="dxa"/>
            <w:vAlign w:val="center"/>
          </w:tcPr>
          <w:p w14:paraId="6ECB21B5">
            <w:pPr>
              <w:ind w:firstLine="0" w:firstLineChars="0"/>
              <w:jc w:val="center"/>
              <w:rPr>
                <w:rFonts w:hint="default" w:ascii="Times New Roman" w:hAnsi="Times New Roman" w:eastAsia="宋体" w:cs="Times New Roman"/>
                <w:color w:val="000000" w:themeColor="text1"/>
                <w:spacing w:val="8"/>
                <w:sz w:val="21"/>
                <w:szCs w:val="21"/>
                <w14:textFill>
                  <w14:solidFill>
                    <w14:schemeClr w14:val="tx1"/>
                  </w14:solidFill>
                </w14:textFill>
              </w:rPr>
            </w:pPr>
            <w:r>
              <w:rPr>
                <w:rFonts w:hint="default" w:ascii="Times New Roman" w:hAnsi="Times New Roman" w:eastAsia="宋体" w:cs="Times New Roman"/>
                <w:color w:val="000000" w:themeColor="text1"/>
                <w:spacing w:val="8"/>
                <w:sz w:val="21"/>
                <w:szCs w:val="21"/>
                <w14:textFill>
                  <w14:solidFill>
                    <w14:schemeClr w14:val="tx1"/>
                  </w14:solidFill>
                </w14:textFill>
              </w:rPr>
              <w:t>89.0</w:t>
            </w:r>
          </w:p>
        </w:tc>
        <w:tc>
          <w:tcPr>
            <w:tcW w:w="827" w:type="dxa"/>
            <w:vAlign w:val="center"/>
          </w:tcPr>
          <w:p w14:paraId="25305F44">
            <w:pPr>
              <w:ind w:firstLine="0" w:firstLineChars="0"/>
              <w:jc w:val="center"/>
              <w:rPr>
                <w:rFonts w:hint="default" w:ascii="Times New Roman" w:hAnsi="Times New Roman" w:eastAsia="宋体" w:cs="Times New Roman"/>
                <w:color w:val="000000" w:themeColor="text1"/>
                <w:spacing w:val="8"/>
                <w:sz w:val="21"/>
                <w:szCs w:val="21"/>
                <w14:textFill>
                  <w14:solidFill>
                    <w14:schemeClr w14:val="tx1"/>
                  </w14:solidFill>
                </w14:textFill>
              </w:rPr>
            </w:pPr>
            <w:r>
              <w:rPr>
                <w:rFonts w:hint="default" w:ascii="Times New Roman" w:hAnsi="Times New Roman" w:eastAsia="宋体" w:cs="Times New Roman"/>
                <w:color w:val="000000" w:themeColor="text1"/>
                <w:spacing w:val="8"/>
                <w:sz w:val="21"/>
                <w:szCs w:val="21"/>
                <w14:textFill>
                  <w14:solidFill>
                    <w14:schemeClr w14:val="tx1"/>
                  </w14:solidFill>
                </w14:textFill>
              </w:rPr>
              <w:t>83.0</w:t>
            </w:r>
          </w:p>
        </w:tc>
        <w:tc>
          <w:tcPr>
            <w:tcW w:w="827" w:type="dxa"/>
            <w:vAlign w:val="center"/>
          </w:tcPr>
          <w:p w14:paraId="1C663EF4">
            <w:pPr>
              <w:ind w:firstLine="0" w:firstLineChars="0"/>
              <w:jc w:val="center"/>
              <w:rPr>
                <w:rFonts w:hint="default" w:ascii="Times New Roman" w:hAnsi="Times New Roman" w:eastAsia="宋体" w:cs="Times New Roman"/>
                <w:color w:val="000000" w:themeColor="text1"/>
                <w:spacing w:val="8"/>
                <w:sz w:val="21"/>
                <w:szCs w:val="21"/>
                <w14:textFill>
                  <w14:solidFill>
                    <w14:schemeClr w14:val="tx1"/>
                  </w14:solidFill>
                </w14:textFill>
              </w:rPr>
            </w:pPr>
            <w:r>
              <w:rPr>
                <w:rFonts w:hint="default" w:ascii="Times New Roman" w:hAnsi="Times New Roman" w:eastAsia="宋体" w:cs="Times New Roman"/>
                <w:color w:val="000000" w:themeColor="text1"/>
                <w:spacing w:val="8"/>
                <w:sz w:val="21"/>
                <w:szCs w:val="21"/>
                <w14:textFill>
                  <w14:solidFill>
                    <w14:schemeClr w14:val="tx1"/>
                  </w14:solidFill>
                </w14:textFill>
              </w:rPr>
              <w:t>79.4</w:t>
            </w:r>
          </w:p>
        </w:tc>
        <w:tc>
          <w:tcPr>
            <w:tcW w:w="826" w:type="dxa"/>
            <w:vAlign w:val="center"/>
          </w:tcPr>
          <w:p w14:paraId="25ED0825">
            <w:pPr>
              <w:ind w:firstLine="0" w:firstLineChars="0"/>
              <w:jc w:val="center"/>
              <w:rPr>
                <w:rFonts w:hint="default" w:ascii="Times New Roman" w:hAnsi="Times New Roman" w:eastAsia="宋体" w:cs="Times New Roman"/>
                <w:color w:val="000000" w:themeColor="text1"/>
                <w:spacing w:val="8"/>
                <w:sz w:val="21"/>
                <w:szCs w:val="21"/>
                <w14:textFill>
                  <w14:solidFill>
                    <w14:schemeClr w14:val="tx1"/>
                  </w14:solidFill>
                </w14:textFill>
              </w:rPr>
            </w:pPr>
            <w:r>
              <w:rPr>
                <w:rFonts w:hint="default" w:ascii="Times New Roman" w:hAnsi="Times New Roman" w:eastAsia="宋体" w:cs="Times New Roman"/>
                <w:color w:val="000000" w:themeColor="text1"/>
                <w:spacing w:val="8"/>
                <w:sz w:val="21"/>
                <w:szCs w:val="21"/>
                <w14:textFill>
                  <w14:solidFill>
                    <w14:schemeClr w14:val="tx1"/>
                  </w14:solidFill>
                </w14:textFill>
              </w:rPr>
              <w:t>75.0</w:t>
            </w:r>
          </w:p>
        </w:tc>
        <w:tc>
          <w:tcPr>
            <w:tcW w:w="828" w:type="dxa"/>
            <w:vAlign w:val="center"/>
          </w:tcPr>
          <w:p w14:paraId="4BB8F527">
            <w:pPr>
              <w:ind w:firstLine="0" w:firstLineChars="0"/>
              <w:jc w:val="center"/>
              <w:rPr>
                <w:rFonts w:hint="default" w:ascii="Times New Roman" w:hAnsi="Times New Roman" w:eastAsia="宋体" w:cs="Times New Roman"/>
                <w:color w:val="000000" w:themeColor="text1"/>
                <w:spacing w:val="8"/>
                <w:sz w:val="21"/>
                <w:szCs w:val="21"/>
                <w14:textFill>
                  <w14:solidFill>
                    <w14:schemeClr w14:val="tx1"/>
                  </w14:solidFill>
                </w14:textFill>
              </w:rPr>
            </w:pPr>
            <w:r>
              <w:rPr>
                <w:rFonts w:hint="default" w:ascii="Times New Roman" w:hAnsi="Times New Roman" w:eastAsia="宋体" w:cs="Times New Roman"/>
                <w:color w:val="000000" w:themeColor="text1"/>
                <w:spacing w:val="8"/>
                <w:sz w:val="21"/>
                <w:szCs w:val="21"/>
                <w14:textFill>
                  <w14:solidFill>
                    <w14:schemeClr w14:val="tx1"/>
                  </w14:solidFill>
                </w14:textFill>
              </w:rPr>
              <w:t>70.9</w:t>
            </w:r>
          </w:p>
        </w:tc>
        <w:tc>
          <w:tcPr>
            <w:tcW w:w="692" w:type="dxa"/>
            <w:tcBorders>
              <w:right w:val="single" w:color="000000" w:sz="10" w:space="0"/>
            </w:tcBorders>
            <w:vAlign w:val="center"/>
          </w:tcPr>
          <w:p w14:paraId="5A535306">
            <w:pPr>
              <w:ind w:firstLine="0" w:firstLineChars="0"/>
              <w:jc w:val="center"/>
              <w:rPr>
                <w:rFonts w:hint="default" w:ascii="Times New Roman" w:hAnsi="Times New Roman" w:eastAsia="宋体" w:cs="Times New Roman"/>
                <w:color w:val="000000" w:themeColor="text1"/>
                <w:spacing w:val="8"/>
                <w:sz w:val="21"/>
                <w:szCs w:val="21"/>
                <w14:textFill>
                  <w14:solidFill>
                    <w14:schemeClr w14:val="tx1"/>
                  </w14:solidFill>
                </w14:textFill>
              </w:rPr>
            </w:pPr>
            <w:r>
              <w:rPr>
                <w:rFonts w:hint="default" w:ascii="Times New Roman" w:hAnsi="Times New Roman" w:eastAsia="宋体" w:cs="Times New Roman"/>
                <w:color w:val="000000" w:themeColor="text1"/>
                <w:spacing w:val="8"/>
                <w:sz w:val="21"/>
                <w:szCs w:val="21"/>
                <w14:textFill>
                  <w14:solidFill>
                    <w14:schemeClr w14:val="tx1"/>
                  </w14:solidFill>
                </w14:textFill>
              </w:rPr>
              <w:t>69.0</w:t>
            </w:r>
          </w:p>
        </w:tc>
      </w:tr>
      <w:tr w14:paraId="2CF6CB7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770" w:type="dxa"/>
            <w:vMerge w:val="continue"/>
            <w:tcBorders>
              <w:top w:val="nil"/>
              <w:left w:val="single" w:color="000000" w:sz="10" w:space="0"/>
              <w:bottom w:val="nil"/>
            </w:tcBorders>
            <w:vAlign w:val="center"/>
          </w:tcPr>
          <w:p w14:paraId="1935E95C">
            <w:pPr>
              <w:ind w:firstLine="0" w:firstLineChars="0"/>
              <w:jc w:val="center"/>
              <w:rPr>
                <w:rFonts w:hint="default" w:ascii="Times New Roman" w:hAnsi="Times New Roman" w:eastAsia="宋体" w:cs="Times New Roman"/>
                <w:color w:val="000000" w:themeColor="text1"/>
                <w:spacing w:val="8"/>
                <w:sz w:val="21"/>
                <w:szCs w:val="21"/>
                <w14:textFill>
                  <w14:solidFill>
                    <w14:schemeClr w14:val="tx1"/>
                  </w14:solidFill>
                </w14:textFill>
              </w:rPr>
            </w:pPr>
          </w:p>
        </w:tc>
        <w:tc>
          <w:tcPr>
            <w:tcW w:w="974" w:type="dxa"/>
            <w:vAlign w:val="center"/>
          </w:tcPr>
          <w:p w14:paraId="0184E956">
            <w:pPr>
              <w:ind w:firstLine="0" w:firstLineChars="0"/>
              <w:jc w:val="center"/>
              <w:rPr>
                <w:rFonts w:hint="default" w:ascii="Times New Roman" w:hAnsi="Times New Roman" w:eastAsia="宋体" w:cs="Times New Roman"/>
                <w:color w:val="000000" w:themeColor="text1"/>
                <w:spacing w:val="8"/>
                <w:sz w:val="21"/>
                <w:szCs w:val="21"/>
                <w14:textFill>
                  <w14:solidFill>
                    <w14:schemeClr w14:val="tx1"/>
                  </w14:solidFill>
                </w14:textFill>
              </w:rPr>
            </w:pPr>
            <w:r>
              <w:rPr>
                <w:rFonts w:hint="default" w:ascii="Times New Roman" w:hAnsi="Times New Roman" w:eastAsia="宋体" w:cs="Times New Roman"/>
                <w:color w:val="000000" w:themeColor="text1"/>
                <w:spacing w:val="8"/>
                <w:sz w:val="21"/>
                <w:szCs w:val="21"/>
                <w14:textFill>
                  <w14:solidFill>
                    <w14:schemeClr w14:val="tx1"/>
                  </w14:solidFill>
                </w14:textFill>
              </w:rPr>
              <w:t>振动器</w:t>
            </w:r>
          </w:p>
        </w:tc>
        <w:tc>
          <w:tcPr>
            <w:tcW w:w="1006" w:type="dxa"/>
            <w:vMerge w:val="continue"/>
            <w:tcBorders>
              <w:top w:val="nil"/>
              <w:bottom w:val="nil"/>
            </w:tcBorders>
            <w:vAlign w:val="center"/>
          </w:tcPr>
          <w:p w14:paraId="6BFA97E4">
            <w:pPr>
              <w:ind w:firstLine="0" w:firstLineChars="0"/>
              <w:jc w:val="center"/>
              <w:rPr>
                <w:rFonts w:hint="default" w:ascii="Times New Roman" w:hAnsi="Times New Roman" w:eastAsia="宋体" w:cs="Times New Roman"/>
                <w:color w:val="000000" w:themeColor="text1"/>
                <w:spacing w:val="8"/>
                <w:sz w:val="21"/>
                <w:szCs w:val="21"/>
                <w14:textFill>
                  <w14:solidFill>
                    <w14:schemeClr w14:val="tx1"/>
                  </w14:solidFill>
                </w14:textFill>
              </w:rPr>
            </w:pPr>
          </w:p>
        </w:tc>
        <w:tc>
          <w:tcPr>
            <w:tcW w:w="928" w:type="dxa"/>
            <w:vAlign w:val="center"/>
          </w:tcPr>
          <w:p w14:paraId="35FA86BF">
            <w:pPr>
              <w:ind w:firstLine="0" w:firstLineChars="0"/>
              <w:jc w:val="center"/>
              <w:rPr>
                <w:rFonts w:hint="default" w:ascii="Times New Roman" w:hAnsi="Times New Roman" w:eastAsia="宋体" w:cs="Times New Roman"/>
                <w:color w:val="000000" w:themeColor="text1"/>
                <w:spacing w:val="8"/>
                <w:sz w:val="21"/>
                <w:szCs w:val="21"/>
                <w14:textFill>
                  <w14:solidFill>
                    <w14:schemeClr w14:val="tx1"/>
                  </w14:solidFill>
                </w14:textFill>
              </w:rPr>
            </w:pPr>
            <w:r>
              <w:rPr>
                <w:rFonts w:hint="default" w:ascii="Times New Roman" w:hAnsi="Times New Roman" w:eastAsia="宋体" w:cs="Times New Roman"/>
                <w:color w:val="000000" w:themeColor="text1"/>
                <w:spacing w:val="8"/>
                <w:sz w:val="21"/>
                <w:szCs w:val="21"/>
                <w14:textFill>
                  <w14:solidFill>
                    <w14:schemeClr w14:val="tx1"/>
                  </w14:solidFill>
                </w14:textFill>
              </w:rPr>
              <w:t>88</w:t>
            </w:r>
          </w:p>
        </w:tc>
        <w:tc>
          <w:tcPr>
            <w:tcW w:w="826" w:type="dxa"/>
            <w:vAlign w:val="center"/>
          </w:tcPr>
          <w:p w14:paraId="0996A18A">
            <w:pPr>
              <w:ind w:firstLine="0" w:firstLineChars="0"/>
              <w:jc w:val="center"/>
              <w:rPr>
                <w:rFonts w:hint="default" w:ascii="Times New Roman" w:hAnsi="Times New Roman" w:eastAsia="宋体" w:cs="Times New Roman"/>
                <w:color w:val="000000" w:themeColor="text1"/>
                <w:spacing w:val="8"/>
                <w:sz w:val="21"/>
                <w:szCs w:val="21"/>
                <w14:textFill>
                  <w14:solidFill>
                    <w14:schemeClr w14:val="tx1"/>
                  </w14:solidFill>
                </w14:textFill>
              </w:rPr>
            </w:pPr>
            <w:r>
              <w:rPr>
                <w:rFonts w:hint="default" w:ascii="Times New Roman" w:hAnsi="Times New Roman" w:eastAsia="宋体" w:cs="Times New Roman"/>
                <w:color w:val="000000" w:themeColor="text1"/>
                <w:spacing w:val="8"/>
                <w:sz w:val="21"/>
                <w:szCs w:val="21"/>
                <w14:textFill>
                  <w14:solidFill>
                    <w14:schemeClr w14:val="tx1"/>
                  </w14:solidFill>
                </w14:textFill>
              </w:rPr>
              <w:t>82.0</w:t>
            </w:r>
          </w:p>
        </w:tc>
        <w:tc>
          <w:tcPr>
            <w:tcW w:w="827" w:type="dxa"/>
            <w:vAlign w:val="center"/>
          </w:tcPr>
          <w:p w14:paraId="4630FD0A">
            <w:pPr>
              <w:ind w:firstLine="0" w:firstLineChars="0"/>
              <w:jc w:val="center"/>
              <w:rPr>
                <w:rFonts w:hint="default" w:ascii="Times New Roman" w:hAnsi="Times New Roman" w:eastAsia="宋体" w:cs="Times New Roman"/>
                <w:color w:val="000000" w:themeColor="text1"/>
                <w:spacing w:val="8"/>
                <w:sz w:val="21"/>
                <w:szCs w:val="21"/>
                <w14:textFill>
                  <w14:solidFill>
                    <w14:schemeClr w14:val="tx1"/>
                  </w14:solidFill>
                </w14:textFill>
              </w:rPr>
            </w:pPr>
            <w:r>
              <w:rPr>
                <w:rFonts w:hint="default" w:ascii="Times New Roman" w:hAnsi="Times New Roman" w:eastAsia="宋体" w:cs="Times New Roman"/>
                <w:color w:val="000000" w:themeColor="text1"/>
                <w:spacing w:val="8"/>
                <w:sz w:val="21"/>
                <w:szCs w:val="21"/>
                <w14:textFill>
                  <w14:solidFill>
                    <w14:schemeClr w14:val="tx1"/>
                  </w14:solidFill>
                </w14:textFill>
              </w:rPr>
              <w:t>76.0</w:t>
            </w:r>
          </w:p>
        </w:tc>
        <w:tc>
          <w:tcPr>
            <w:tcW w:w="827" w:type="dxa"/>
            <w:vAlign w:val="center"/>
          </w:tcPr>
          <w:p w14:paraId="25F88902">
            <w:pPr>
              <w:ind w:firstLine="0" w:firstLineChars="0"/>
              <w:jc w:val="center"/>
              <w:rPr>
                <w:rFonts w:hint="default" w:ascii="Times New Roman" w:hAnsi="Times New Roman" w:eastAsia="宋体" w:cs="Times New Roman"/>
                <w:color w:val="000000" w:themeColor="text1"/>
                <w:spacing w:val="8"/>
                <w:sz w:val="21"/>
                <w:szCs w:val="21"/>
                <w14:textFill>
                  <w14:solidFill>
                    <w14:schemeClr w14:val="tx1"/>
                  </w14:solidFill>
                </w14:textFill>
              </w:rPr>
            </w:pPr>
            <w:r>
              <w:rPr>
                <w:rFonts w:hint="default" w:ascii="Times New Roman" w:hAnsi="Times New Roman" w:eastAsia="宋体" w:cs="Times New Roman"/>
                <w:color w:val="000000" w:themeColor="text1"/>
                <w:spacing w:val="8"/>
                <w:sz w:val="21"/>
                <w:szCs w:val="21"/>
                <w14:textFill>
                  <w14:solidFill>
                    <w14:schemeClr w14:val="tx1"/>
                  </w14:solidFill>
                </w14:textFill>
              </w:rPr>
              <w:t>72.4</w:t>
            </w:r>
          </w:p>
        </w:tc>
        <w:tc>
          <w:tcPr>
            <w:tcW w:w="826" w:type="dxa"/>
            <w:vAlign w:val="center"/>
          </w:tcPr>
          <w:p w14:paraId="6EBF5EFA">
            <w:pPr>
              <w:ind w:firstLine="0" w:firstLineChars="0"/>
              <w:jc w:val="center"/>
              <w:rPr>
                <w:rFonts w:hint="default" w:ascii="Times New Roman" w:hAnsi="Times New Roman" w:eastAsia="宋体" w:cs="Times New Roman"/>
                <w:color w:val="000000" w:themeColor="text1"/>
                <w:spacing w:val="8"/>
                <w:sz w:val="21"/>
                <w:szCs w:val="21"/>
                <w14:textFill>
                  <w14:solidFill>
                    <w14:schemeClr w14:val="tx1"/>
                  </w14:solidFill>
                </w14:textFill>
              </w:rPr>
            </w:pPr>
            <w:r>
              <w:rPr>
                <w:rFonts w:hint="default" w:ascii="Times New Roman" w:hAnsi="Times New Roman" w:eastAsia="宋体" w:cs="Times New Roman"/>
                <w:color w:val="000000" w:themeColor="text1"/>
                <w:spacing w:val="8"/>
                <w:sz w:val="21"/>
                <w:szCs w:val="21"/>
                <w14:textFill>
                  <w14:solidFill>
                    <w14:schemeClr w14:val="tx1"/>
                  </w14:solidFill>
                </w14:textFill>
              </w:rPr>
              <w:t>68.0</w:t>
            </w:r>
          </w:p>
        </w:tc>
        <w:tc>
          <w:tcPr>
            <w:tcW w:w="828" w:type="dxa"/>
            <w:vAlign w:val="center"/>
          </w:tcPr>
          <w:p w14:paraId="270C7BEA">
            <w:pPr>
              <w:ind w:firstLine="0" w:firstLineChars="0"/>
              <w:jc w:val="center"/>
              <w:rPr>
                <w:rFonts w:hint="default" w:ascii="Times New Roman" w:hAnsi="Times New Roman" w:eastAsia="宋体" w:cs="Times New Roman"/>
                <w:color w:val="000000" w:themeColor="text1"/>
                <w:spacing w:val="8"/>
                <w:sz w:val="21"/>
                <w:szCs w:val="21"/>
                <w14:textFill>
                  <w14:solidFill>
                    <w14:schemeClr w14:val="tx1"/>
                  </w14:solidFill>
                </w14:textFill>
              </w:rPr>
            </w:pPr>
            <w:r>
              <w:rPr>
                <w:rFonts w:hint="default" w:ascii="Times New Roman" w:hAnsi="Times New Roman" w:eastAsia="宋体" w:cs="Times New Roman"/>
                <w:color w:val="000000" w:themeColor="text1"/>
                <w:spacing w:val="8"/>
                <w:sz w:val="21"/>
                <w:szCs w:val="21"/>
                <w14:textFill>
                  <w14:solidFill>
                    <w14:schemeClr w14:val="tx1"/>
                  </w14:solidFill>
                </w14:textFill>
              </w:rPr>
              <w:t>63.9</w:t>
            </w:r>
          </w:p>
        </w:tc>
        <w:tc>
          <w:tcPr>
            <w:tcW w:w="692" w:type="dxa"/>
            <w:tcBorders>
              <w:right w:val="single" w:color="000000" w:sz="10" w:space="0"/>
            </w:tcBorders>
            <w:vAlign w:val="center"/>
          </w:tcPr>
          <w:p w14:paraId="4BFCE009">
            <w:pPr>
              <w:ind w:firstLine="0" w:firstLineChars="0"/>
              <w:jc w:val="center"/>
              <w:rPr>
                <w:rFonts w:hint="default" w:ascii="Times New Roman" w:hAnsi="Times New Roman" w:eastAsia="宋体" w:cs="Times New Roman"/>
                <w:color w:val="000000" w:themeColor="text1"/>
                <w:spacing w:val="8"/>
                <w:sz w:val="21"/>
                <w:szCs w:val="21"/>
                <w14:textFill>
                  <w14:solidFill>
                    <w14:schemeClr w14:val="tx1"/>
                  </w14:solidFill>
                </w14:textFill>
              </w:rPr>
            </w:pPr>
            <w:r>
              <w:rPr>
                <w:rFonts w:hint="default" w:ascii="Times New Roman" w:hAnsi="Times New Roman" w:eastAsia="宋体" w:cs="Times New Roman"/>
                <w:color w:val="000000" w:themeColor="text1"/>
                <w:spacing w:val="8"/>
                <w:sz w:val="21"/>
                <w:szCs w:val="21"/>
                <w14:textFill>
                  <w14:solidFill>
                    <w14:schemeClr w14:val="tx1"/>
                  </w14:solidFill>
                </w14:textFill>
              </w:rPr>
              <w:t>62.0</w:t>
            </w:r>
          </w:p>
        </w:tc>
      </w:tr>
      <w:tr w14:paraId="6856A1D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770" w:type="dxa"/>
            <w:vMerge w:val="continue"/>
            <w:tcBorders>
              <w:top w:val="nil"/>
              <w:left w:val="single" w:color="000000" w:sz="10" w:space="0"/>
              <w:bottom w:val="single" w:color="000000" w:sz="10" w:space="0"/>
            </w:tcBorders>
            <w:vAlign w:val="center"/>
          </w:tcPr>
          <w:p w14:paraId="0D186FA5">
            <w:pPr>
              <w:ind w:firstLine="0" w:firstLineChars="0"/>
              <w:jc w:val="center"/>
              <w:rPr>
                <w:rFonts w:hint="default" w:ascii="Times New Roman" w:hAnsi="Times New Roman" w:eastAsia="宋体" w:cs="Times New Roman"/>
                <w:color w:val="000000" w:themeColor="text1"/>
                <w:spacing w:val="8"/>
                <w:sz w:val="21"/>
                <w:szCs w:val="21"/>
                <w14:textFill>
                  <w14:solidFill>
                    <w14:schemeClr w14:val="tx1"/>
                  </w14:solidFill>
                </w14:textFill>
              </w:rPr>
            </w:pPr>
          </w:p>
        </w:tc>
        <w:tc>
          <w:tcPr>
            <w:tcW w:w="974" w:type="dxa"/>
            <w:tcBorders>
              <w:bottom w:val="single" w:color="000000" w:sz="10" w:space="0"/>
            </w:tcBorders>
            <w:vAlign w:val="center"/>
          </w:tcPr>
          <w:p w14:paraId="1C7EE752">
            <w:pPr>
              <w:ind w:firstLine="0" w:firstLineChars="0"/>
              <w:jc w:val="center"/>
              <w:rPr>
                <w:rFonts w:hint="default" w:ascii="Times New Roman" w:hAnsi="Times New Roman" w:eastAsia="宋体" w:cs="Times New Roman"/>
                <w:color w:val="000000" w:themeColor="text1"/>
                <w:spacing w:val="8"/>
                <w:sz w:val="21"/>
                <w:szCs w:val="21"/>
                <w14:textFill>
                  <w14:solidFill>
                    <w14:schemeClr w14:val="tx1"/>
                  </w14:solidFill>
                </w14:textFill>
              </w:rPr>
            </w:pPr>
            <w:r>
              <w:rPr>
                <w:rFonts w:hint="default" w:ascii="Times New Roman" w:hAnsi="Times New Roman" w:eastAsia="宋体" w:cs="Times New Roman"/>
                <w:color w:val="000000" w:themeColor="text1"/>
                <w:spacing w:val="8"/>
                <w:sz w:val="21"/>
                <w:szCs w:val="21"/>
                <w14:textFill>
                  <w14:solidFill>
                    <w14:schemeClr w14:val="tx1"/>
                  </w14:solidFill>
                </w14:textFill>
              </w:rPr>
              <w:t>升降机</w:t>
            </w:r>
          </w:p>
        </w:tc>
        <w:tc>
          <w:tcPr>
            <w:tcW w:w="1006" w:type="dxa"/>
            <w:vMerge w:val="continue"/>
            <w:tcBorders>
              <w:top w:val="nil"/>
              <w:bottom w:val="single" w:color="000000" w:sz="10" w:space="0"/>
            </w:tcBorders>
            <w:vAlign w:val="center"/>
          </w:tcPr>
          <w:p w14:paraId="35985FFF">
            <w:pPr>
              <w:ind w:firstLine="0" w:firstLineChars="0"/>
              <w:jc w:val="center"/>
              <w:rPr>
                <w:rFonts w:hint="default" w:ascii="Times New Roman" w:hAnsi="Times New Roman" w:eastAsia="宋体" w:cs="Times New Roman"/>
                <w:color w:val="000000" w:themeColor="text1"/>
                <w:spacing w:val="8"/>
                <w:sz w:val="21"/>
                <w:szCs w:val="21"/>
                <w14:textFill>
                  <w14:solidFill>
                    <w14:schemeClr w14:val="tx1"/>
                  </w14:solidFill>
                </w14:textFill>
              </w:rPr>
            </w:pPr>
          </w:p>
        </w:tc>
        <w:tc>
          <w:tcPr>
            <w:tcW w:w="928" w:type="dxa"/>
            <w:tcBorders>
              <w:bottom w:val="single" w:color="000000" w:sz="10" w:space="0"/>
            </w:tcBorders>
            <w:vAlign w:val="center"/>
          </w:tcPr>
          <w:p w14:paraId="6DD03B1E">
            <w:pPr>
              <w:ind w:firstLine="0" w:firstLineChars="0"/>
              <w:jc w:val="center"/>
              <w:rPr>
                <w:rFonts w:hint="default" w:ascii="Times New Roman" w:hAnsi="Times New Roman" w:eastAsia="宋体" w:cs="Times New Roman"/>
                <w:color w:val="000000" w:themeColor="text1"/>
                <w:spacing w:val="8"/>
                <w:sz w:val="21"/>
                <w:szCs w:val="21"/>
                <w14:textFill>
                  <w14:solidFill>
                    <w14:schemeClr w14:val="tx1"/>
                  </w14:solidFill>
                </w14:textFill>
              </w:rPr>
            </w:pPr>
            <w:r>
              <w:rPr>
                <w:rFonts w:hint="default" w:ascii="Times New Roman" w:hAnsi="Times New Roman" w:eastAsia="宋体" w:cs="Times New Roman"/>
                <w:color w:val="000000" w:themeColor="text1"/>
                <w:spacing w:val="8"/>
                <w:sz w:val="21"/>
                <w:szCs w:val="21"/>
                <w14:textFill>
                  <w14:solidFill>
                    <w14:schemeClr w14:val="tx1"/>
                  </w14:solidFill>
                </w14:textFill>
              </w:rPr>
              <w:t>80</w:t>
            </w:r>
          </w:p>
        </w:tc>
        <w:tc>
          <w:tcPr>
            <w:tcW w:w="826" w:type="dxa"/>
            <w:tcBorders>
              <w:bottom w:val="single" w:color="000000" w:sz="10" w:space="0"/>
            </w:tcBorders>
            <w:vAlign w:val="center"/>
          </w:tcPr>
          <w:p w14:paraId="4758AC43">
            <w:pPr>
              <w:ind w:firstLine="0" w:firstLineChars="0"/>
              <w:jc w:val="center"/>
              <w:rPr>
                <w:rFonts w:hint="default" w:ascii="Times New Roman" w:hAnsi="Times New Roman" w:eastAsia="宋体" w:cs="Times New Roman"/>
                <w:color w:val="000000" w:themeColor="text1"/>
                <w:spacing w:val="8"/>
                <w:sz w:val="21"/>
                <w:szCs w:val="21"/>
                <w14:textFill>
                  <w14:solidFill>
                    <w14:schemeClr w14:val="tx1"/>
                  </w14:solidFill>
                </w14:textFill>
              </w:rPr>
            </w:pPr>
            <w:r>
              <w:rPr>
                <w:rFonts w:hint="default" w:ascii="Times New Roman" w:hAnsi="Times New Roman" w:eastAsia="宋体" w:cs="Times New Roman"/>
                <w:color w:val="000000" w:themeColor="text1"/>
                <w:spacing w:val="8"/>
                <w:sz w:val="21"/>
                <w:szCs w:val="21"/>
                <w14:textFill>
                  <w14:solidFill>
                    <w14:schemeClr w14:val="tx1"/>
                  </w14:solidFill>
                </w14:textFill>
              </w:rPr>
              <w:t>74.0</w:t>
            </w:r>
          </w:p>
        </w:tc>
        <w:tc>
          <w:tcPr>
            <w:tcW w:w="827" w:type="dxa"/>
            <w:tcBorders>
              <w:bottom w:val="single" w:color="000000" w:sz="10" w:space="0"/>
            </w:tcBorders>
            <w:vAlign w:val="center"/>
          </w:tcPr>
          <w:p w14:paraId="2B61770B">
            <w:pPr>
              <w:ind w:firstLine="0" w:firstLineChars="0"/>
              <w:jc w:val="center"/>
              <w:rPr>
                <w:rFonts w:hint="default" w:ascii="Times New Roman" w:hAnsi="Times New Roman" w:eastAsia="宋体" w:cs="Times New Roman"/>
                <w:color w:val="000000" w:themeColor="text1"/>
                <w:spacing w:val="8"/>
                <w:sz w:val="21"/>
                <w:szCs w:val="21"/>
                <w14:textFill>
                  <w14:solidFill>
                    <w14:schemeClr w14:val="tx1"/>
                  </w14:solidFill>
                </w14:textFill>
              </w:rPr>
            </w:pPr>
            <w:r>
              <w:rPr>
                <w:rFonts w:hint="default" w:ascii="Times New Roman" w:hAnsi="Times New Roman" w:eastAsia="宋体" w:cs="Times New Roman"/>
                <w:color w:val="000000" w:themeColor="text1"/>
                <w:spacing w:val="8"/>
                <w:sz w:val="21"/>
                <w:szCs w:val="21"/>
                <w14:textFill>
                  <w14:solidFill>
                    <w14:schemeClr w14:val="tx1"/>
                  </w14:solidFill>
                </w14:textFill>
              </w:rPr>
              <w:t>68.0</w:t>
            </w:r>
          </w:p>
        </w:tc>
        <w:tc>
          <w:tcPr>
            <w:tcW w:w="827" w:type="dxa"/>
            <w:tcBorders>
              <w:bottom w:val="single" w:color="000000" w:sz="10" w:space="0"/>
            </w:tcBorders>
            <w:vAlign w:val="center"/>
          </w:tcPr>
          <w:p w14:paraId="0A29D3F2">
            <w:pPr>
              <w:ind w:firstLine="0" w:firstLineChars="0"/>
              <w:jc w:val="center"/>
              <w:rPr>
                <w:rFonts w:hint="default" w:ascii="Times New Roman" w:hAnsi="Times New Roman" w:eastAsia="宋体" w:cs="Times New Roman"/>
                <w:color w:val="000000" w:themeColor="text1"/>
                <w:spacing w:val="8"/>
                <w:sz w:val="21"/>
                <w:szCs w:val="21"/>
                <w14:textFill>
                  <w14:solidFill>
                    <w14:schemeClr w14:val="tx1"/>
                  </w14:solidFill>
                </w14:textFill>
              </w:rPr>
            </w:pPr>
            <w:r>
              <w:rPr>
                <w:rFonts w:hint="default" w:ascii="Times New Roman" w:hAnsi="Times New Roman" w:eastAsia="宋体" w:cs="Times New Roman"/>
                <w:color w:val="000000" w:themeColor="text1"/>
                <w:spacing w:val="8"/>
                <w:sz w:val="21"/>
                <w:szCs w:val="21"/>
                <w14:textFill>
                  <w14:solidFill>
                    <w14:schemeClr w14:val="tx1"/>
                  </w14:solidFill>
                </w14:textFill>
              </w:rPr>
              <w:t>64.4</w:t>
            </w:r>
          </w:p>
        </w:tc>
        <w:tc>
          <w:tcPr>
            <w:tcW w:w="826" w:type="dxa"/>
            <w:tcBorders>
              <w:bottom w:val="single" w:color="000000" w:sz="10" w:space="0"/>
            </w:tcBorders>
            <w:vAlign w:val="center"/>
          </w:tcPr>
          <w:p w14:paraId="021D7224">
            <w:pPr>
              <w:ind w:firstLine="0" w:firstLineChars="0"/>
              <w:jc w:val="center"/>
              <w:rPr>
                <w:rFonts w:hint="default" w:ascii="Times New Roman" w:hAnsi="Times New Roman" w:eastAsia="宋体" w:cs="Times New Roman"/>
                <w:color w:val="000000" w:themeColor="text1"/>
                <w:spacing w:val="8"/>
                <w:sz w:val="21"/>
                <w:szCs w:val="21"/>
                <w14:textFill>
                  <w14:solidFill>
                    <w14:schemeClr w14:val="tx1"/>
                  </w14:solidFill>
                </w14:textFill>
              </w:rPr>
            </w:pPr>
            <w:r>
              <w:rPr>
                <w:rFonts w:hint="default" w:ascii="Times New Roman" w:hAnsi="Times New Roman" w:eastAsia="宋体" w:cs="Times New Roman"/>
                <w:color w:val="000000" w:themeColor="text1"/>
                <w:spacing w:val="8"/>
                <w:sz w:val="21"/>
                <w:szCs w:val="21"/>
                <w14:textFill>
                  <w14:solidFill>
                    <w14:schemeClr w14:val="tx1"/>
                  </w14:solidFill>
                </w14:textFill>
              </w:rPr>
              <w:t>60.0</w:t>
            </w:r>
          </w:p>
        </w:tc>
        <w:tc>
          <w:tcPr>
            <w:tcW w:w="828" w:type="dxa"/>
            <w:tcBorders>
              <w:bottom w:val="single" w:color="000000" w:sz="10" w:space="0"/>
            </w:tcBorders>
            <w:vAlign w:val="center"/>
          </w:tcPr>
          <w:p w14:paraId="0A3E1A43">
            <w:pPr>
              <w:ind w:firstLine="0" w:firstLineChars="0"/>
              <w:jc w:val="center"/>
              <w:rPr>
                <w:rFonts w:hint="default" w:ascii="Times New Roman" w:hAnsi="Times New Roman" w:eastAsia="宋体" w:cs="Times New Roman"/>
                <w:color w:val="000000" w:themeColor="text1"/>
                <w:spacing w:val="8"/>
                <w:sz w:val="21"/>
                <w:szCs w:val="21"/>
                <w14:textFill>
                  <w14:solidFill>
                    <w14:schemeClr w14:val="tx1"/>
                  </w14:solidFill>
                </w14:textFill>
              </w:rPr>
            </w:pPr>
            <w:r>
              <w:rPr>
                <w:rFonts w:hint="default" w:ascii="Times New Roman" w:hAnsi="Times New Roman" w:eastAsia="宋体" w:cs="Times New Roman"/>
                <w:color w:val="000000" w:themeColor="text1"/>
                <w:spacing w:val="8"/>
                <w:sz w:val="21"/>
                <w:szCs w:val="21"/>
                <w14:textFill>
                  <w14:solidFill>
                    <w14:schemeClr w14:val="tx1"/>
                  </w14:solidFill>
                </w14:textFill>
              </w:rPr>
              <w:t>55.9</w:t>
            </w:r>
          </w:p>
        </w:tc>
        <w:tc>
          <w:tcPr>
            <w:tcW w:w="692" w:type="dxa"/>
            <w:tcBorders>
              <w:bottom w:val="single" w:color="000000" w:sz="10" w:space="0"/>
              <w:right w:val="single" w:color="000000" w:sz="10" w:space="0"/>
            </w:tcBorders>
            <w:vAlign w:val="center"/>
          </w:tcPr>
          <w:p w14:paraId="11308BD7">
            <w:pPr>
              <w:ind w:firstLine="0" w:firstLineChars="0"/>
              <w:jc w:val="center"/>
              <w:rPr>
                <w:rFonts w:hint="default" w:ascii="Times New Roman" w:hAnsi="Times New Roman" w:eastAsia="宋体" w:cs="Times New Roman"/>
                <w:color w:val="000000" w:themeColor="text1"/>
                <w:spacing w:val="8"/>
                <w:sz w:val="21"/>
                <w:szCs w:val="21"/>
                <w14:textFill>
                  <w14:solidFill>
                    <w14:schemeClr w14:val="tx1"/>
                  </w14:solidFill>
                </w14:textFill>
              </w:rPr>
            </w:pPr>
            <w:r>
              <w:rPr>
                <w:rFonts w:hint="default" w:ascii="Times New Roman" w:hAnsi="Times New Roman" w:eastAsia="宋体" w:cs="Times New Roman"/>
                <w:color w:val="000000" w:themeColor="text1"/>
                <w:spacing w:val="8"/>
                <w:sz w:val="21"/>
                <w:szCs w:val="21"/>
                <w14:textFill>
                  <w14:solidFill>
                    <w14:schemeClr w14:val="tx1"/>
                  </w14:solidFill>
                </w14:textFill>
              </w:rPr>
              <w:t>54.0</w:t>
            </w:r>
          </w:p>
        </w:tc>
      </w:tr>
    </w:tbl>
    <w:p w14:paraId="3FF58FC2">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由表5.3-3可知：项目施工噪声因不同的施工机械影响的范围相差很大，昼夜施工场界噪声限值标准不同，夜间施工噪声的影响范围比昼间大得多。在实际施工过程中可能出现多台施工机械同时在一起作业，则此时施工噪声的影响范围比预测值大；施工噪声将对道路沿线声环境质量产生一定的影响，这种影响昼间主要出现在距施工场地100m的范围内，夜间将出现在距施工场地290m的范围内；该项目评价范围内无敏感点，施工期噪声影响较小，同时，禁止夜间（22：00～06：00）施工，且施工噪声影响是短期的，因此在严格遵守施工期规范的前提下，合理安排施工时间以及施工机械数量，可将使影响降至最小。</w:t>
      </w:r>
    </w:p>
    <w:p w14:paraId="6F7EB316">
      <w:pPr>
        <w:ind w:firstLine="0" w:firstLineChars="0"/>
        <w:outlineLvl w:val="1"/>
        <w:rPr>
          <w:rFonts w:hint="default" w:ascii="Times New Roman" w:hAnsi="Times New Roman" w:eastAsia="宋体" w:cs="Times New Roman"/>
          <w:b/>
          <w:bCs/>
          <w:color w:val="000000" w:themeColor="text1"/>
          <w:sz w:val="28"/>
          <w:szCs w:val="28"/>
          <w14:textFill>
            <w14:solidFill>
              <w14:schemeClr w14:val="tx1"/>
            </w14:solidFill>
          </w14:textFill>
        </w:rPr>
      </w:pPr>
      <w:bookmarkStart w:id="245" w:name="_Toc18069"/>
      <w:r>
        <w:rPr>
          <w:rFonts w:hint="default" w:ascii="Times New Roman" w:hAnsi="Times New Roman" w:eastAsia="宋体" w:cs="Times New Roman"/>
          <w:b/>
          <w:bCs/>
          <w:color w:val="000000" w:themeColor="text1"/>
          <w:sz w:val="28"/>
          <w:szCs w:val="28"/>
          <w14:textFill>
            <w14:solidFill>
              <w14:schemeClr w14:val="tx1"/>
            </w14:solidFill>
          </w14:textFill>
        </w:rPr>
        <w:t>5.4施工期固体废物影响分析</w:t>
      </w:r>
      <w:bookmarkEnd w:id="245"/>
    </w:p>
    <w:p w14:paraId="73DB5B58">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施工期间固体废物主要来源于废旧边角料等建筑垃圾、施工人员生活垃圾。</w:t>
      </w:r>
    </w:p>
    <w:p w14:paraId="060239FA">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（1）生活垃圾：施工期生活垃圾以有机废物为主，项目施工期为7个月，施工人员为50人，按每人每天0.5kg计算，共产生生活垃圾5.25t，生活垃圾集中收集后交由环卫部门处理；</w:t>
      </w:r>
    </w:p>
    <w:p w14:paraId="33D727A8">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2）建筑垃圾：建筑垃圾主要来源于施工过程废弃的建筑材料，道路清理的废土石方，产生量约0.7t。虽然这些废弃物不含有毒有害成分，但施工垃圾乱堆乱放也会给景观环境带来负面影响。废材料、废管道等可作为回收材料的作为废物出售；不能回收利用的废渣全部运往建筑垃圾填埋场填埋。</w:t>
      </w:r>
    </w:p>
    <w:p w14:paraId="0E53EF5C">
      <w:pPr>
        <w:ind w:firstLine="0" w:firstLineChars="0"/>
        <w:outlineLvl w:val="1"/>
        <w:rPr>
          <w:rFonts w:hint="default" w:ascii="Times New Roman" w:hAnsi="Times New Roman" w:eastAsia="宋体" w:cs="Times New Roman"/>
          <w:b/>
          <w:bCs/>
          <w:color w:val="000000" w:themeColor="text1"/>
          <w:sz w:val="28"/>
          <w:szCs w:val="28"/>
          <w14:textFill>
            <w14:solidFill>
              <w14:schemeClr w14:val="tx1"/>
            </w14:solidFill>
          </w14:textFill>
        </w:rPr>
      </w:pPr>
      <w:bookmarkStart w:id="246" w:name="_Toc30811"/>
      <w:r>
        <w:rPr>
          <w:rFonts w:hint="default" w:ascii="Times New Roman" w:hAnsi="Times New Roman" w:eastAsia="宋体" w:cs="Times New Roman"/>
          <w:b/>
          <w:bCs/>
          <w:color w:val="000000" w:themeColor="text1"/>
          <w:sz w:val="28"/>
          <w:szCs w:val="28"/>
          <w14:textFill>
            <w14:solidFill>
              <w14:schemeClr w14:val="tx1"/>
            </w14:solidFill>
          </w14:textFill>
        </w:rPr>
        <w:t>5.5生态环境影响分析</w:t>
      </w:r>
      <w:bookmarkEnd w:id="246"/>
    </w:p>
    <w:p w14:paraId="6C0FDBA6">
      <w:pPr>
        <w:ind w:firstLine="482"/>
        <w:outlineLvl w:val="2"/>
        <w:rPr>
          <w:rFonts w:hint="default" w:ascii="Times New Roman" w:hAnsi="Times New Roman" w:eastAsia="宋体" w:cs="Times New Roman"/>
          <w:b/>
          <w:bCs/>
          <w:color w:val="000000" w:themeColor="text1"/>
          <w14:textFill>
            <w14:solidFill>
              <w14:schemeClr w14:val="tx1"/>
            </w14:solidFill>
          </w14:textFill>
        </w:rPr>
      </w:pPr>
      <w:bookmarkStart w:id="247" w:name="_Toc28698"/>
      <w:r>
        <w:rPr>
          <w:rFonts w:hint="default" w:ascii="Times New Roman" w:hAnsi="Times New Roman" w:eastAsia="宋体" w:cs="Times New Roman"/>
          <w:b/>
          <w:bCs/>
          <w:color w:val="000000" w:themeColor="text1"/>
          <w14:textFill>
            <w14:solidFill>
              <w14:schemeClr w14:val="tx1"/>
            </w14:solidFill>
          </w14:textFill>
        </w:rPr>
        <w:t>5.5.1土地利用影响分析</w:t>
      </w:r>
      <w:bookmarkEnd w:id="247"/>
    </w:p>
    <w:p w14:paraId="4C756A5D">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本项目总占地面积10.48hm</w:t>
      </w:r>
      <w:r>
        <w:rPr>
          <w:rFonts w:hint="default" w:ascii="Times New Roman" w:hAnsi="Times New Roman" w:eastAsia="宋体" w:cs="Times New Roman"/>
          <w:color w:val="000000" w:themeColor="text1"/>
          <w:vertAlign w:val="superscript"/>
          <w14:textFill>
            <w14:solidFill>
              <w14:schemeClr w14:val="tx1"/>
            </w14:solidFill>
          </w14:textFill>
        </w:rPr>
        <w:t>2</w:t>
      </w:r>
      <w:r>
        <w:rPr>
          <w:rFonts w:hint="default" w:ascii="Times New Roman" w:hAnsi="Times New Roman" w:eastAsia="宋体" w:cs="Times New Roman"/>
          <w:color w:val="000000" w:themeColor="text1"/>
          <w14:textFill>
            <w14:solidFill>
              <w14:schemeClr w14:val="tx1"/>
            </w14:solidFill>
          </w14:textFill>
        </w:rPr>
        <w:t>，</w:t>
      </w:r>
      <w:r>
        <w:rPr>
          <w:rFonts w:hint="default" w:ascii="Times New Roman" w:hAnsi="Times New Roman" w:eastAsia="宋体" w:cs="Times New Roman"/>
          <w:color w:val="000000" w:themeColor="text1"/>
          <w:lang w:val="en-US" w:eastAsia="zh-CN"/>
          <w14:textFill>
            <w14:solidFill>
              <w14:schemeClr w14:val="tx1"/>
            </w14:solidFill>
          </w14:textFill>
        </w:rPr>
        <w:t>其中</w:t>
      </w:r>
      <w:r>
        <w:rPr>
          <w:rFonts w:hint="eastAsia" w:cs="Times New Roman"/>
          <w:color w:val="000000" w:themeColor="text1"/>
          <w:lang w:val="en-US" w:eastAsia="zh-CN"/>
          <w14:textFill>
            <w14:solidFill>
              <w14:schemeClr w14:val="tx1"/>
            </w14:solidFill>
          </w14:textFill>
        </w:rPr>
        <w:t>占</w:t>
      </w:r>
      <w:r>
        <w:rPr>
          <w:rFonts w:hint="default" w:ascii="Times New Roman" w:hAnsi="Times New Roman" w:eastAsia="宋体" w:cs="Times New Roman"/>
          <w:color w:val="000000" w:themeColor="text1"/>
          <w:lang w:val="en-US" w:eastAsia="zh-CN"/>
          <w14:textFill>
            <w14:solidFill>
              <w14:schemeClr w14:val="tx1"/>
            </w14:solidFill>
          </w14:textFill>
        </w:rPr>
        <w:t>人工种植的</w:t>
      </w:r>
      <w:r>
        <w:rPr>
          <w:rFonts w:hint="default" w:ascii="Times New Roman" w:hAnsi="Times New Roman" w:eastAsia="宋体" w:cs="Times New Roman"/>
          <w:color w:val="000000" w:themeColor="text1"/>
          <w14:textFill>
            <w14:solidFill>
              <w14:schemeClr w14:val="tx1"/>
            </w14:solidFill>
          </w14:textFill>
        </w:rPr>
        <w:t>用材林地</w:t>
      </w:r>
      <w:r>
        <w:rPr>
          <w:rFonts w:hint="default" w:ascii="Times New Roman" w:hAnsi="Times New Roman" w:eastAsia="宋体" w:cs="Times New Roman"/>
          <w:color w:val="000000" w:themeColor="text1"/>
          <w:lang w:val="en-US" w:eastAsia="zh-CN"/>
          <w14:textFill>
            <w14:solidFill>
              <w14:schemeClr w14:val="tx1"/>
            </w14:solidFill>
          </w14:textFill>
        </w:rPr>
        <w:t>为1.2969</w:t>
      </w:r>
      <w:r>
        <w:rPr>
          <w:rFonts w:hint="eastAsia" w:cs="Times New Roman"/>
          <w:color w:val="000000" w:themeColor="text1"/>
          <w:lang w:val="en-US" w:eastAsia="zh-CN"/>
          <w14:textFill>
            <w14:solidFill>
              <w14:schemeClr w14:val="tx1"/>
            </w14:solidFill>
          </w14:textFill>
        </w:rPr>
        <w:t>hm</w:t>
      </w:r>
      <w:r>
        <w:rPr>
          <w:rFonts w:hint="eastAsia" w:cs="Times New Roman"/>
          <w:color w:val="000000" w:themeColor="text1"/>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14:textFill>
            <w14:solidFill>
              <w14:schemeClr w14:val="tx1"/>
            </w14:solidFill>
          </w14:textFill>
        </w:rPr>
        <w:t>，项目建设改变土地利用性质。项目占用土地，使局部土地的利用性质发生改变，同时由于地表裸露使得水蚀和风蚀加强。项目施工清除了占地范围内的植被，造成生物损失，降低区域植被覆盖度和生物多样性指数。</w:t>
      </w:r>
    </w:p>
    <w:p w14:paraId="3CC1E86E">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本项目主要建设牛舍、道路及配套工程，这些工程的建设将其改变占地范围内的土地利用类型。项目的占地对项目区的土地利用具有一定的影响，为了降低因项目建设造成的损失，建议在设计和施工中加强土地节约意识及工程管理，建构筑物布局中应尽量少占土地。</w:t>
      </w:r>
    </w:p>
    <w:p w14:paraId="787E5EB7">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本项目虽然占地面积相对较大，但工程量较小，且在施工期场区内留有大面积绿化用地，项目建设过程中的临时工程均需设置在占地范围内，不新增占地，且施工临时占地的选址尽量选择绿化用地内。项目建成后在场区进行分区域、分层次绿化后，项目区整体生态环境向有利方向转变。</w:t>
      </w:r>
    </w:p>
    <w:p w14:paraId="1E9C3C6E">
      <w:pPr>
        <w:ind w:firstLine="482"/>
        <w:outlineLvl w:val="2"/>
        <w:rPr>
          <w:rFonts w:hint="default" w:ascii="Times New Roman" w:hAnsi="Times New Roman" w:eastAsia="宋体" w:cs="Times New Roman"/>
          <w:b/>
          <w:bCs/>
          <w:color w:val="000000" w:themeColor="text1"/>
          <w14:textFill>
            <w14:solidFill>
              <w14:schemeClr w14:val="tx1"/>
            </w14:solidFill>
          </w14:textFill>
        </w:rPr>
      </w:pPr>
      <w:bookmarkStart w:id="248" w:name="_Toc4632"/>
      <w:r>
        <w:rPr>
          <w:rFonts w:hint="default" w:ascii="Times New Roman" w:hAnsi="Times New Roman" w:eastAsia="宋体" w:cs="Times New Roman"/>
          <w:b/>
          <w:bCs/>
          <w:color w:val="000000" w:themeColor="text1"/>
          <w14:textFill>
            <w14:solidFill>
              <w14:schemeClr w14:val="tx1"/>
            </w14:solidFill>
          </w14:textFill>
        </w:rPr>
        <w:t>5.5.2对动植物的影响评价</w:t>
      </w:r>
      <w:bookmarkEnd w:id="248"/>
    </w:p>
    <w:p w14:paraId="48B5057E">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本项目</w:t>
      </w:r>
      <w:r>
        <w:rPr>
          <w:rFonts w:hint="default" w:ascii="Times New Roman" w:hAnsi="Times New Roman" w:eastAsia="宋体" w:cs="Times New Roman"/>
          <w:color w:val="000000" w:themeColor="text1"/>
          <w:lang w:val="en-US" w:eastAsia="zh-CN"/>
          <w14:textFill>
            <w14:solidFill>
              <w14:schemeClr w14:val="tx1"/>
            </w14:solidFill>
          </w14:textFill>
        </w:rPr>
        <w:t>总</w:t>
      </w:r>
      <w:r>
        <w:rPr>
          <w:rFonts w:hint="default" w:ascii="Times New Roman" w:hAnsi="Times New Roman" w:eastAsia="宋体" w:cs="Times New Roman"/>
          <w:color w:val="000000" w:themeColor="text1"/>
          <w14:textFill>
            <w14:solidFill>
              <w14:schemeClr w14:val="tx1"/>
            </w14:solidFill>
          </w14:textFill>
        </w:rPr>
        <w:t>占地面积为10.48hm</w:t>
      </w:r>
      <w:r>
        <w:rPr>
          <w:rFonts w:hint="default" w:ascii="Times New Roman" w:hAnsi="Times New Roman" w:eastAsia="宋体" w:cs="Times New Roman"/>
          <w:color w:val="000000" w:themeColor="text1"/>
          <w:vertAlign w:val="superscript"/>
          <w14:textFill>
            <w14:solidFill>
              <w14:schemeClr w14:val="tx1"/>
            </w14:solidFill>
          </w14:textFill>
        </w:rPr>
        <w:t>2</w:t>
      </w:r>
      <w:r>
        <w:rPr>
          <w:rFonts w:hint="default" w:ascii="Times New Roman" w:hAnsi="Times New Roman" w:eastAsia="宋体" w:cs="Times New Roman"/>
          <w:color w:val="000000" w:themeColor="text1"/>
          <w14:textFill>
            <w14:solidFill>
              <w14:schemeClr w14:val="tx1"/>
            </w14:solidFill>
          </w14:textFill>
        </w:rPr>
        <w:t>，</w:t>
      </w:r>
      <w:r>
        <w:rPr>
          <w:rFonts w:hint="default" w:ascii="Times New Roman" w:hAnsi="Times New Roman" w:eastAsia="宋体" w:cs="Times New Roman"/>
          <w:color w:val="000000" w:themeColor="text1"/>
          <w:lang w:val="en-US" w:eastAsia="zh-CN"/>
          <w14:textFill>
            <w14:solidFill>
              <w14:schemeClr w14:val="tx1"/>
            </w14:solidFill>
          </w14:textFill>
        </w:rPr>
        <w:t>其中</w:t>
      </w:r>
      <w:r>
        <w:rPr>
          <w:rFonts w:hint="eastAsia" w:cs="Times New Roman"/>
          <w:color w:val="000000" w:themeColor="text1"/>
          <w:lang w:val="en-US" w:eastAsia="zh-CN"/>
          <w14:textFill>
            <w14:solidFill>
              <w14:schemeClr w14:val="tx1"/>
            </w14:solidFill>
          </w14:textFill>
        </w:rPr>
        <w:t>占</w:t>
      </w:r>
      <w:r>
        <w:rPr>
          <w:rFonts w:hint="default" w:ascii="Times New Roman" w:hAnsi="Times New Roman" w:eastAsia="宋体" w:cs="Times New Roman"/>
          <w:color w:val="000000" w:themeColor="text1"/>
          <w:lang w:val="en-US" w:eastAsia="zh-CN"/>
          <w14:textFill>
            <w14:solidFill>
              <w14:schemeClr w14:val="tx1"/>
            </w14:solidFill>
          </w14:textFill>
        </w:rPr>
        <w:t>人工种植的</w:t>
      </w:r>
      <w:r>
        <w:rPr>
          <w:rFonts w:hint="default" w:ascii="Times New Roman" w:hAnsi="Times New Roman" w:eastAsia="宋体" w:cs="Times New Roman"/>
          <w:color w:val="000000" w:themeColor="text1"/>
          <w14:textFill>
            <w14:solidFill>
              <w14:schemeClr w14:val="tx1"/>
            </w14:solidFill>
          </w14:textFill>
        </w:rPr>
        <w:t>用材林地</w:t>
      </w:r>
      <w:r>
        <w:rPr>
          <w:rFonts w:hint="default" w:ascii="Times New Roman" w:hAnsi="Times New Roman" w:eastAsia="宋体" w:cs="Times New Roman"/>
          <w:color w:val="000000" w:themeColor="text1"/>
          <w:lang w:val="en-US" w:eastAsia="zh-CN"/>
          <w14:textFill>
            <w14:solidFill>
              <w14:schemeClr w14:val="tx1"/>
            </w14:solidFill>
          </w14:textFill>
        </w:rPr>
        <w:t>为1.2969</w:t>
      </w:r>
      <w:r>
        <w:rPr>
          <w:rFonts w:hint="eastAsia" w:cs="Times New Roman"/>
          <w:color w:val="000000" w:themeColor="text1"/>
          <w:lang w:val="en-US" w:eastAsia="zh-CN"/>
          <w14:textFill>
            <w14:solidFill>
              <w14:schemeClr w14:val="tx1"/>
            </w14:solidFill>
          </w14:textFill>
        </w:rPr>
        <w:t>hm</w:t>
      </w:r>
      <w:r>
        <w:rPr>
          <w:rFonts w:hint="eastAsia" w:cs="Times New Roman"/>
          <w:color w:val="000000" w:themeColor="text1"/>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14:textFill>
            <w14:solidFill>
              <w14:schemeClr w14:val="tx1"/>
            </w14:solidFill>
          </w14:textFill>
        </w:rPr>
        <w:t>，占地范围内草本植物属一般常见种，生长范围较广，适应性强，不存在因局部植被破坏而导致植物种群消失或灭绝。项目经过地区没有珍稀濒危植物物种的分布，工程建成后通过场区整体绿化，建成人工生态系统，对占地造成的植被损失进行了弥补，通过对各区域绿化和植被恢复工作，项目区植被覆盖率明显增加，这将改善区域生态环境和局地小气候，减少风力，提高土壤蓄水保肥能力，有利于自然植被恢复和防止水土流失及土地沙漠化加剧，对区域生态环境产生一定的有利影响。项目排放污染物类型较少，同时均采取相应的防治措施，能够达标排放，对周边农作物影响较小。</w:t>
      </w:r>
    </w:p>
    <w:p w14:paraId="4ACBF3B1">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评价区内无珍稀濒危动物，皆为普通鸟类、啮齿类和两栖类。项目建设对动植物的影响较小。</w:t>
      </w:r>
    </w:p>
    <w:p w14:paraId="7645C288">
      <w:pPr>
        <w:ind w:firstLine="482"/>
        <w:outlineLvl w:val="2"/>
        <w:rPr>
          <w:rFonts w:hint="default" w:ascii="Times New Roman" w:hAnsi="Times New Roman" w:eastAsia="宋体" w:cs="Times New Roman"/>
          <w:b/>
          <w:bCs/>
          <w:color w:val="000000" w:themeColor="text1"/>
          <w14:textFill>
            <w14:solidFill>
              <w14:schemeClr w14:val="tx1"/>
            </w14:solidFill>
          </w14:textFill>
        </w:rPr>
      </w:pPr>
      <w:bookmarkStart w:id="249" w:name="_Toc16155"/>
      <w:r>
        <w:rPr>
          <w:rFonts w:hint="default" w:ascii="Times New Roman" w:hAnsi="Times New Roman" w:eastAsia="宋体" w:cs="Times New Roman"/>
          <w:b/>
          <w:bCs/>
          <w:color w:val="000000" w:themeColor="text1"/>
          <w14:textFill>
            <w14:solidFill>
              <w14:schemeClr w14:val="tx1"/>
            </w14:solidFill>
          </w14:textFill>
        </w:rPr>
        <w:t>5.5.3水土流失</w:t>
      </w:r>
      <w:bookmarkEnd w:id="249"/>
    </w:p>
    <w:p w14:paraId="31E08829">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本项目在施工期会对地表有一定扰动，造成局部的水土流失。评价要求施工单位在施工过程中对临时堆土、散状材料应遮盖蓬布，四周设置排水沟及沉淀池，雨季停止施工，采取以上水土保持措施后，项目施工期造成的水土流失影响不大。</w:t>
      </w:r>
    </w:p>
    <w:p w14:paraId="3D2E95F0">
      <w:pPr>
        <w:ind w:firstLine="602"/>
        <w:rPr>
          <w:rFonts w:hint="default" w:ascii="Times New Roman" w:hAnsi="Times New Roman" w:eastAsia="宋体" w:cs="Times New Roman"/>
          <w:b/>
          <w:bCs/>
          <w:color w:val="000000" w:themeColor="text1"/>
          <w:sz w:val="30"/>
          <w:szCs w:val="30"/>
          <w14:textFill>
            <w14:solidFill>
              <w14:schemeClr w14:val="tx1"/>
            </w14:solidFill>
          </w14:textFill>
        </w:rPr>
      </w:pPr>
      <w:r>
        <w:rPr>
          <w:rFonts w:hint="default" w:ascii="Times New Roman" w:hAnsi="Times New Roman" w:eastAsia="宋体" w:cs="Times New Roman"/>
          <w:b/>
          <w:bCs/>
          <w:color w:val="000000" w:themeColor="text1"/>
          <w:sz w:val="30"/>
          <w:szCs w:val="30"/>
          <w14:textFill>
            <w14:solidFill>
              <w14:schemeClr w14:val="tx1"/>
            </w14:solidFill>
          </w14:textFill>
        </w:rPr>
        <w:br w:type="page"/>
      </w:r>
    </w:p>
    <w:p w14:paraId="110CF79A">
      <w:pPr>
        <w:ind w:firstLine="0" w:firstLineChars="0"/>
        <w:outlineLvl w:val="0"/>
        <w:rPr>
          <w:rFonts w:hint="default" w:ascii="Times New Roman" w:hAnsi="Times New Roman" w:eastAsia="宋体" w:cs="Times New Roman"/>
          <w:b/>
          <w:bCs/>
          <w:color w:val="000000" w:themeColor="text1"/>
          <w:sz w:val="30"/>
          <w:szCs w:val="30"/>
          <w14:textFill>
            <w14:solidFill>
              <w14:schemeClr w14:val="tx1"/>
            </w14:solidFill>
          </w14:textFill>
        </w:rPr>
      </w:pPr>
      <w:bookmarkStart w:id="250" w:name="_Toc13069"/>
      <w:r>
        <w:rPr>
          <w:rFonts w:hint="default" w:ascii="Times New Roman" w:hAnsi="Times New Roman" w:eastAsia="宋体" w:cs="Times New Roman"/>
          <w:b/>
          <w:bCs/>
          <w:color w:val="000000" w:themeColor="text1"/>
          <w:sz w:val="30"/>
          <w:szCs w:val="30"/>
          <w14:textFill>
            <w14:solidFill>
              <w14:schemeClr w14:val="tx1"/>
            </w14:solidFill>
          </w14:textFill>
        </w:rPr>
        <w:t>6运营期环境影响预测与评价</w:t>
      </w:r>
      <w:bookmarkEnd w:id="250"/>
    </w:p>
    <w:p w14:paraId="68556045">
      <w:pPr>
        <w:ind w:firstLine="0" w:firstLineChars="0"/>
        <w:outlineLvl w:val="1"/>
        <w:rPr>
          <w:rFonts w:hint="default" w:ascii="Times New Roman" w:hAnsi="Times New Roman" w:eastAsia="宋体" w:cs="Times New Roman"/>
          <w:b/>
          <w:bCs/>
          <w:color w:val="000000" w:themeColor="text1"/>
          <w:sz w:val="28"/>
          <w:szCs w:val="28"/>
          <w14:textFill>
            <w14:solidFill>
              <w14:schemeClr w14:val="tx1"/>
            </w14:solidFill>
          </w14:textFill>
        </w:rPr>
      </w:pPr>
      <w:bookmarkStart w:id="251" w:name="_Toc2677"/>
      <w:r>
        <w:rPr>
          <w:rFonts w:hint="default" w:ascii="Times New Roman" w:hAnsi="Times New Roman" w:eastAsia="宋体" w:cs="Times New Roman"/>
          <w:b/>
          <w:bCs/>
          <w:color w:val="000000" w:themeColor="text1"/>
          <w:sz w:val="28"/>
          <w:szCs w:val="28"/>
          <w14:textFill>
            <w14:solidFill>
              <w14:schemeClr w14:val="tx1"/>
            </w14:solidFill>
          </w14:textFill>
        </w:rPr>
        <w:t>6.1环境空气影响预测与评价</w:t>
      </w:r>
      <w:bookmarkEnd w:id="251"/>
    </w:p>
    <w:p w14:paraId="7B733648">
      <w:pPr>
        <w:ind w:firstLine="480"/>
        <w:outlineLvl w:val="2"/>
        <w:rPr>
          <w:rFonts w:hint="default" w:ascii="Times New Roman" w:hAnsi="Times New Roman" w:eastAsia="宋体" w:cs="Times New Roman"/>
          <w:b/>
          <w:bCs/>
          <w:color w:val="000000" w:themeColor="text1"/>
          <w14:textFill>
            <w14:solidFill>
              <w14:schemeClr w14:val="tx1"/>
            </w14:solidFill>
          </w14:textFill>
        </w:rPr>
      </w:pPr>
      <w:bookmarkStart w:id="252" w:name="_Toc15859"/>
      <w:bookmarkStart w:id="253" w:name="_Toc20729"/>
      <w:r>
        <w:rPr>
          <w:rFonts w:hint="default" w:ascii="Times New Roman" w:hAnsi="Times New Roman" w:eastAsia="宋体" w:cs="Times New Roman"/>
          <w:b/>
          <w:bCs/>
          <w:color w:val="000000" w:themeColor="text1"/>
          <w14:textFill>
            <w14:solidFill>
              <w14:schemeClr w14:val="tx1"/>
            </w14:solidFill>
          </w14:textFill>
        </w:rPr>
        <w:t>6.</w:t>
      </w:r>
      <w:r>
        <w:rPr>
          <w:rFonts w:hint="eastAsia" w:ascii="Times New Roman" w:hAnsi="Times New Roman" w:cs="Times New Roman"/>
          <w:b/>
          <w:bCs/>
          <w:color w:val="000000" w:themeColor="text1"/>
          <w:lang w:val="en-US" w:eastAsia="zh-CN"/>
          <w14:textFill>
            <w14:solidFill>
              <w14:schemeClr w14:val="tx1"/>
            </w14:solidFill>
          </w14:textFill>
        </w:rPr>
        <w:t>1</w:t>
      </w:r>
      <w:r>
        <w:rPr>
          <w:rFonts w:hint="default" w:ascii="Times New Roman" w:hAnsi="Times New Roman" w:eastAsia="宋体" w:cs="Times New Roman"/>
          <w:b/>
          <w:bCs/>
          <w:color w:val="000000" w:themeColor="text1"/>
          <w14:textFill>
            <w14:solidFill>
              <w14:schemeClr w14:val="tx1"/>
            </w14:solidFill>
          </w14:textFill>
        </w:rPr>
        <w:t>.1大气环境影响预测与分析</w:t>
      </w:r>
      <w:bookmarkEnd w:id="252"/>
      <w:bookmarkEnd w:id="253"/>
    </w:p>
    <w:p w14:paraId="3C44D25C">
      <w:pPr>
        <w:ind w:firstLine="480"/>
        <w:rPr>
          <w:rFonts w:hint="default" w:ascii="Times New Roman" w:hAnsi="Times New Roman" w:eastAsia="宋体" w:cs="Times New Roman"/>
          <w:b/>
          <w:bCs/>
          <w:color w:val="000000" w:themeColor="text1"/>
          <w14:textFill>
            <w14:solidFill>
              <w14:schemeClr w14:val="tx1"/>
            </w14:solidFill>
          </w14:textFill>
        </w:rPr>
      </w:pPr>
      <w:bookmarkStart w:id="254" w:name="_Toc244579769"/>
      <w:r>
        <w:rPr>
          <w:rFonts w:hint="default" w:ascii="Times New Roman" w:hAnsi="Times New Roman" w:eastAsia="宋体" w:cs="Times New Roman"/>
          <w:b/>
          <w:bCs/>
          <w:color w:val="000000" w:themeColor="text1"/>
          <w14:textFill>
            <w14:solidFill>
              <w14:schemeClr w14:val="tx1"/>
            </w14:solidFill>
          </w14:textFill>
        </w:rPr>
        <w:t>6.</w:t>
      </w:r>
      <w:r>
        <w:rPr>
          <w:rFonts w:hint="eastAsia" w:ascii="Times New Roman" w:hAnsi="Times New Roman" w:cs="Times New Roman"/>
          <w:b/>
          <w:bCs/>
          <w:color w:val="000000" w:themeColor="text1"/>
          <w:lang w:val="en-US" w:eastAsia="zh-CN"/>
          <w14:textFill>
            <w14:solidFill>
              <w14:schemeClr w14:val="tx1"/>
            </w14:solidFill>
          </w14:textFill>
        </w:rPr>
        <w:t>1</w:t>
      </w:r>
      <w:r>
        <w:rPr>
          <w:rFonts w:hint="default" w:ascii="Times New Roman" w:hAnsi="Times New Roman" w:eastAsia="宋体" w:cs="Times New Roman"/>
          <w:b/>
          <w:bCs/>
          <w:color w:val="000000" w:themeColor="text1"/>
          <w14:textFill>
            <w14:solidFill>
              <w14:schemeClr w14:val="tx1"/>
            </w14:solidFill>
          </w14:textFill>
        </w:rPr>
        <w:t>.1.1污染气象特征</w:t>
      </w:r>
      <w:bookmarkEnd w:id="254"/>
    </w:p>
    <w:p w14:paraId="4265A1B4">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本次评价收集了兴安盟气象站近30年气象统计资料。科右前旗为大陆性季风气候，四季分明，光照充足，降雨多集中在7、8月份，多年平均气温4.2℃，多年平均降雨量为409.8mm，多年平均蒸发量410mm，灌溉季节日间多年平均风速3.2m/s，常年平均无霜期110d，多年平均≥10℃有效积温为2700℃，光、热、雨与作物生育期同步，非常适合粮食作物种植，当地最大冻土深度2.5m。</w:t>
      </w:r>
    </w:p>
    <w:p w14:paraId="00CDBC6C">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该地区多年每月平均温度的变化情况见表6.2-1及图6.2-1，多年平均风速月变化情况见表6.2-2及图6.2-2，科右前旗多年各季及全年风向频率见表6.2-3及图6.2-3。</w:t>
      </w:r>
    </w:p>
    <w:p w14:paraId="419A265F">
      <w:pPr>
        <w:ind w:firstLine="480"/>
        <w:jc w:val="center"/>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表6.2-1年平均温度的月变化</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62"/>
        <w:gridCol w:w="726"/>
        <w:gridCol w:w="646"/>
        <w:gridCol w:w="615"/>
        <w:gridCol w:w="615"/>
        <w:gridCol w:w="626"/>
        <w:gridCol w:w="626"/>
        <w:gridCol w:w="626"/>
        <w:gridCol w:w="626"/>
        <w:gridCol w:w="626"/>
        <w:gridCol w:w="619"/>
        <w:gridCol w:w="619"/>
        <w:gridCol w:w="655"/>
        <w:gridCol w:w="619"/>
      </w:tblGrid>
      <w:tr w14:paraId="2041A3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23" w:type="pct"/>
            <w:vAlign w:val="center"/>
          </w:tcPr>
          <w:p w14:paraId="745061AE">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月（年）</w:t>
            </w:r>
          </w:p>
        </w:tc>
        <w:tc>
          <w:tcPr>
            <w:tcW w:w="395" w:type="pct"/>
            <w:vAlign w:val="center"/>
          </w:tcPr>
          <w:p w14:paraId="11255D39">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w:t>
            </w:r>
          </w:p>
        </w:tc>
        <w:tc>
          <w:tcPr>
            <w:tcW w:w="350" w:type="pct"/>
            <w:vAlign w:val="center"/>
          </w:tcPr>
          <w:p w14:paraId="7C69A816">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w:t>
            </w:r>
          </w:p>
        </w:tc>
        <w:tc>
          <w:tcPr>
            <w:tcW w:w="334" w:type="pct"/>
            <w:vAlign w:val="center"/>
          </w:tcPr>
          <w:p w14:paraId="6F1185AE">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3</w:t>
            </w:r>
          </w:p>
        </w:tc>
        <w:tc>
          <w:tcPr>
            <w:tcW w:w="334" w:type="pct"/>
            <w:vAlign w:val="center"/>
          </w:tcPr>
          <w:p w14:paraId="52D63BE0">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4</w:t>
            </w:r>
          </w:p>
        </w:tc>
        <w:tc>
          <w:tcPr>
            <w:tcW w:w="340" w:type="pct"/>
            <w:vAlign w:val="center"/>
          </w:tcPr>
          <w:p w14:paraId="1CD908F8">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5</w:t>
            </w:r>
          </w:p>
        </w:tc>
        <w:tc>
          <w:tcPr>
            <w:tcW w:w="340" w:type="pct"/>
            <w:vAlign w:val="center"/>
          </w:tcPr>
          <w:p w14:paraId="46442225">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6</w:t>
            </w:r>
          </w:p>
        </w:tc>
        <w:tc>
          <w:tcPr>
            <w:tcW w:w="340" w:type="pct"/>
            <w:vAlign w:val="center"/>
          </w:tcPr>
          <w:p w14:paraId="7C1413E6">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7</w:t>
            </w:r>
          </w:p>
        </w:tc>
        <w:tc>
          <w:tcPr>
            <w:tcW w:w="340" w:type="pct"/>
            <w:vAlign w:val="center"/>
          </w:tcPr>
          <w:p w14:paraId="1A8139EF">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8</w:t>
            </w:r>
          </w:p>
        </w:tc>
        <w:tc>
          <w:tcPr>
            <w:tcW w:w="340" w:type="pct"/>
            <w:vAlign w:val="center"/>
          </w:tcPr>
          <w:p w14:paraId="5FC8C7CC">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9</w:t>
            </w:r>
          </w:p>
        </w:tc>
        <w:tc>
          <w:tcPr>
            <w:tcW w:w="336" w:type="pct"/>
            <w:vAlign w:val="center"/>
          </w:tcPr>
          <w:p w14:paraId="5B6C4E4F">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10</w:t>
            </w:r>
          </w:p>
        </w:tc>
        <w:tc>
          <w:tcPr>
            <w:tcW w:w="336" w:type="pct"/>
            <w:vAlign w:val="center"/>
          </w:tcPr>
          <w:p w14:paraId="4F7F76AE">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11</w:t>
            </w:r>
          </w:p>
        </w:tc>
        <w:tc>
          <w:tcPr>
            <w:tcW w:w="356" w:type="pct"/>
            <w:vAlign w:val="center"/>
          </w:tcPr>
          <w:p w14:paraId="594089B2">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12</w:t>
            </w:r>
          </w:p>
        </w:tc>
        <w:tc>
          <w:tcPr>
            <w:tcW w:w="336" w:type="pct"/>
            <w:vAlign w:val="center"/>
          </w:tcPr>
          <w:p w14:paraId="15D17376">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年</w:t>
            </w:r>
          </w:p>
        </w:tc>
      </w:tr>
      <w:tr w14:paraId="36FFC5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23" w:type="pct"/>
            <w:vAlign w:val="center"/>
          </w:tcPr>
          <w:p w14:paraId="414A4007">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平均</w:t>
            </w:r>
          </w:p>
          <w:p w14:paraId="0FCF07B7">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气温</w:t>
            </w:r>
          </w:p>
        </w:tc>
        <w:tc>
          <w:tcPr>
            <w:tcW w:w="395" w:type="pct"/>
            <w:vAlign w:val="center"/>
          </w:tcPr>
          <w:p w14:paraId="4C23F453">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-15.0</w:t>
            </w:r>
          </w:p>
        </w:tc>
        <w:tc>
          <w:tcPr>
            <w:tcW w:w="350" w:type="pct"/>
            <w:vAlign w:val="center"/>
          </w:tcPr>
          <w:p w14:paraId="29BFADCE">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-11.1</w:t>
            </w:r>
          </w:p>
        </w:tc>
        <w:tc>
          <w:tcPr>
            <w:tcW w:w="334" w:type="pct"/>
            <w:vAlign w:val="center"/>
          </w:tcPr>
          <w:p w14:paraId="3BB98F9F">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-3.0</w:t>
            </w:r>
          </w:p>
        </w:tc>
        <w:tc>
          <w:tcPr>
            <w:tcW w:w="334" w:type="pct"/>
            <w:vAlign w:val="center"/>
          </w:tcPr>
          <w:p w14:paraId="08349B24">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7.2</w:t>
            </w:r>
          </w:p>
        </w:tc>
        <w:tc>
          <w:tcPr>
            <w:tcW w:w="340" w:type="pct"/>
            <w:vAlign w:val="center"/>
          </w:tcPr>
          <w:p w14:paraId="069446F9">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15.2</w:t>
            </w:r>
          </w:p>
        </w:tc>
        <w:tc>
          <w:tcPr>
            <w:tcW w:w="340" w:type="pct"/>
            <w:vAlign w:val="center"/>
          </w:tcPr>
          <w:p w14:paraId="1FCE2963">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20.4</w:t>
            </w:r>
          </w:p>
        </w:tc>
        <w:tc>
          <w:tcPr>
            <w:tcW w:w="340" w:type="pct"/>
            <w:vAlign w:val="center"/>
          </w:tcPr>
          <w:p w14:paraId="0EE0C7A4">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22.9</w:t>
            </w:r>
          </w:p>
        </w:tc>
        <w:tc>
          <w:tcPr>
            <w:tcW w:w="340" w:type="pct"/>
            <w:vAlign w:val="center"/>
          </w:tcPr>
          <w:p w14:paraId="6DBDC0DB">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21.0</w:t>
            </w:r>
          </w:p>
        </w:tc>
        <w:tc>
          <w:tcPr>
            <w:tcW w:w="340" w:type="pct"/>
            <w:vAlign w:val="center"/>
          </w:tcPr>
          <w:p w14:paraId="41B2070A">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14.4</w:t>
            </w:r>
          </w:p>
        </w:tc>
        <w:tc>
          <w:tcPr>
            <w:tcW w:w="336" w:type="pct"/>
            <w:vAlign w:val="center"/>
          </w:tcPr>
          <w:p w14:paraId="5294919A">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5.6</w:t>
            </w:r>
          </w:p>
        </w:tc>
        <w:tc>
          <w:tcPr>
            <w:tcW w:w="336" w:type="pct"/>
            <w:vAlign w:val="center"/>
          </w:tcPr>
          <w:p w14:paraId="71476847">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-4.9</w:t>
            </w:r>
          </w:p>
        </w:tc>
        <w:tc>
          <w:tcPr>
            <w:tcW w:w="356" w:type="pct"/>
            <w:vAlign w:val="center"/>
          </w:tcPr>
          <w:p w14:paraId="2F6ACC3A">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-12.4</w:t>
            </w:r>
          </w:p>
        </w:tc>
        <w:tc>
          <w:tcPr>
            <w:tcW w:w="336" w:type="pct"/>
            <w:vAlign w:val="center"/>
          </w:tcPr>
          <w:p w14:paraId="045E7FE0">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5.0</w:t>
            </w:r>
          </w:p>
        </w:tc>
      </w:tr>
    </w:tbl>
    <w:p w14:paraId="2B8393CC">
      <w:pPr>
        <w:ind w:firstLine="0" w:firstLineChars="0"/>
        <w:rPr>
          <w:rFonts w:hint="default" w:ascii="Times New Roman" w:hAnsi="Times New Roman" w:eastAsia="宋体" w:cs="Times New Roman"/>
          <w:color w:val="000000" w:themeColor="text1"/>
          <w14:textFill>
            <w14:solidFill>
              <w14:schemeClr w14:val="tx1"/>
            </w14:solidFill>
          </w14:textFill>
        </w:rPr>
      </w:pPr>
    </w:p>
    <w:p w14:paraId="4A8863EB">
      <w:pPr>
        <w:ind w:firstLine="0" w:firstLineChars="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drawing>
          <wp:inline distT="0" distB="0" distL="114300" distR="114300">
            <wp:extent cx="5427980" cy="2971165"/>
            <wp:effectExtent l="0" t="0" r="1270" b="635"/>
            <wp:docPr id="31"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4"/>
                    <pic:cNvPicPr>
                      <a:picLocks noChangeAspect="1"/>
                    </pic:cNvPicPr>
                  </pic:nvPicPr>
                  <pic:blipFill>
                    <a:blip r:embed="rId54"/>
                    <a:stretch>
                      <a:fillRect/>
                    </a:stretch>
                  </pic:blipFill>
                  <pic:spPr>
                    <a:xfrm>
                      <a:off x="0" y="0"/>
                      <a:ext cx="5427980" cy="2971165"/>
                    </a:xfrm>
                    <a:prstGeom prst="rect">
                      <a:avLst/>
                    </a:prstGeom>
                    <a:noFill/>
                    <a:ln>
                      <a:noFill/>
                    </a:ln>
                  </pic:spPr>
                </pic:pic>
              </a:graphicData>
            </a:graphic>
          </wp:inline>
        </w:drawing>
      </w:r>
    </w:p>
    <w:p w14:paraId="71103473">
      <w:pPr>
        <w:ind w:firstLine="480"/>
        <w:jc w:val="center"/>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图6.2-1</w:t>
      </w:r>
      <w:r>
        <w:rPr>
          <w:rFonts w:hint="eastAsia" w:ascii="Times New Roman" w:hAnsi="Times New Roman" w:cs="Times New Roman"/>
          <w:b/>
          <w:bCs/>
          <w:color w:val="000000" w:themeColor="text1"/>
          <w:lang w:val="en-US" w:eastAsia="zh-CN"/>
          <w14:textFill>
            <w14:solidFill>
              <w14:schemeClr w14:val="tx1"/>
            </w14:solidFill>
          </w14:textFill>
        </w:rPr>
        <w:t>科右前旗</w:t>
      </w:r>
      <w:r>
        <w:rPr>
          <w:rFonts w:hint="default" w:ascii="Times New Roman" w:hAnsi="Times New Roman" w:eastAsia="宋体" w:cs="Times New Roman"/>
          <w:b/>
          <w:bCs/>
          <w:color w:val="000000" w:themeColor="text1"/>
          <w14:textFill>
            <w14:solidFill>
              <w14:schemeClr w14:val="tx1"/>
            </w14:solidFill>
          </w14:textFill>
        </w:rPr>
        <w:t>近30年平均温度月变化图</w:t>
      </w:r>
    </w:p>
    <w:p w14:paraId="6BEE329A">
      <w:pPr>
        <w:ind w:firstLine="480"/>
        <w:jc w:val="center"/>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表6.2-2年平均风速月变化m/s</w:t>
      </w:r>
    </w:p>
    <w:tbl>
      <w:tblPr>
        <w:tblStyle w:val="2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29"/>
        <w:gridCol w:w="588"/>
        <w:gridCol w:w="555"/>
        <w:gridCol w:w="624"/>
        <w:gridCol w:w="624"/>
        <w:gridCol w:w="624"/>
        <w:gridCol w:w="624"/>
        <w:gridCol w:w="624"/>
        <w:gridCol w:w="624"/>
        <w:gridCol w:w="624"/>
        <w:gridCol w:w="624"/>
        <w:gridCol w:w="624"/>
        <w:gridCol w:w="624"/>
        <w:gridCol w:w="613"/>
      </w:tblGrid>
      <w:tr w14:paraId="1795FE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29" w:type="dxa"/>
            <w:vAlign w:val="center"/>
          </w:tcPr>
          <w:p w14:paraId="2AC41BED">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月（年）</w:t>
            </w:r>
          </w:p>
        </w:tc>
        <w:tc>
          <w:tcPr>
            <w:tcW w:w="588" w:type="dxa"/>
            <w:vAlign w:val="center"/>
          </w:tcPr>
          <w:p w14:paraId="409C60D3">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w:t>
            </w:r>
          </w:p>
        </w:tc>
        <w:tc>
          <w:tcPr>
            <w:tcW w:w="555" w:type="dxa"/>
            <w:vAlign w:val="center"/>
          </w:tcPr>
          <w:p w14:paraId="6E04B6C1">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w:t>
            </w:r>
          </w:p>
        </w:tc>
        <w:tc>
          <w:tcPr>
            <w:tcW w:w="624" w:type="dxa"/>
            <w:vAlign w:val="center"/>
          </w:tcPr>
          <w:p w14:paraId="6162D57A">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3</w:t>
            </w:r>
          </w:p>
        </w:tc>
        <w:tc>
          <w:tcPr>
            <w:tcW w:w="624" w:type="dxa"/>
            <w:vAlign w:val="center"/>
          </w:tcPr>
          <w:p w14:paraId="4DFB4718">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4</w:t>
            </w:r>
          </w:p>
        </w:tc>
        <w:tc>
          <w:tcPr>
            <w:tcW w:w="624" w:type="dxa"/>
            <w:vAlign w:val="center"/>
          </w:tcPr>
          <w:p w14:paraId="01AA42DF">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5</w:t>
            </w:r>
          </w:p>
        </w:tc>
        <w:tc>
          <w:tcPr>
            <w:tcW w:w="624" w:type="dxa"/>
            <w:vAlign w:val="center"/>
          </w:tcPr>
          <w:p w14:paraId="028906FF">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6</w:t>
            </w:r>
          </w:p>
        </w:tc>
        <w:tc>
          <w:tcPr>
            <w:tcW w:w="624" w:type="dxa"/>
            <w:vAlign w:val="center"/>
          </w:tcPr>
          <w:p w14:paraId="41D4B86E">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7</w:t>
            </w:r>
          </w:p>
        </w:tc>
        <w:tc>
          <w:tcPr>
            <w:tcW w:w="624" w:type="dxa"/>
            <w:vAlign w:val="center"/>
          </w:tcPr>
          <w:p w14:paraId="6217E2EA">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8</w:t>
            </w:r>
          </w:p>
        </w:tc>
        <w:tc>
          <w:tcPr>
            <w:tcW w:w="624" w:type="dxa"/>
            <w:vAlign w:val="center"/>
          </w:tcPr>
          <w:p w14:paraId="48EED75C">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9</w:t>
            </w:r>
          </w:p>
        </w:tc>
        <w:tc>
          <w:tcPr>
            <w:tcW w:w="624" w:type="dxa"/>
            <w:vAlign w:val="center"/>
          </w:tcPr>
          <w:p w14:paraId="4B275D3B">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10</w:t>
            </w:r>
          </w:p>
        </w:tc>
        <w:tc>
          <w:tcPr>
            <w:tcW w:w="624" w:type="dxa"/>
            <w:vAlign w:val="center"/>
          </w:tcPr>
          <w:p w14:paraId="17F314E5">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11</w:t>
            </w:r>
          </w:p>
        </w:tc>
        <w:tc>
          <w:tcPr>
            <w:tcW w:w="624" w:type="dxa"/>
            <w:vAlign w:val="center"/>
          </w:tcPr>
          <w:p w14:paraId="39D49FFF">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12</w:t>
            </w:r>
          </w:p>
        </w:tc>
        <w:tc>
          <w:tcPr>
            <w:tcW w:w="613" w:type="dxa"/>
            <w:vAlign w:val="center"/>
          </w:tcPr>
          <w:p w14:paraId="4A72FE58">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年</w:t>
            </w:r>
          </w:p>
        </w:tc>
      </w:tr>
      <w:tr w14:paraId="713B91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29" w:type="dxa"/>
            <w:vAlign w:val="center"/>
          </w:tcPr>
          <w:p w14:paraId="0A42673D">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平均风速</w:t>
            </w:r>
          </w:p>
        </w:tc>
        <w:tc>
          <w:tcPr>
            <w:tcW w:w="588" w:type="dxa"/>
            <w:vAlign w:val="center"/>
          </w:tcPr>
          <w:p w14:paraId="57903CBA">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2.5</w:t>
            </w:r>
          </w:p>
        </w:tc>
        <w:tc>
          <w:tcPr>
            <w:tcW w:w="555" w:type="dxa"/>
            <w:vAlign w:val="center"/>
          </w:tcPr>
          <w:p w14:paraId="64E6E9F7">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2.6</w:t>
            </w:r>
          </w:p>
        </w:tc>
        <w:tc>
          <w:tcPr>
            <w:tcW w:w="624" w:type="dxa"/>
            <w:vAlign w:val="center"/>
          </w:tcPr>
          <w:p w14:paraId="74762F67">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3.4</w:t>
            </w:r>
          </w:p>
        </w:tc>
        <w:tc>
          <w:tcPr>
            <w:tcW w:w="624" w:type="dxa"/>
            <w:vAlign w:val="center"/>
          </w:tcPr>
          <w:p w14:paraId="22905459">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4.1</w:t>
            </w:r>
          </w:p>
        </w:tc>
        <w:tc>
          <w:tcPr>
            <w:tcW w:w="624" w:type="dxa"/>
            <w:vAlign w:val="center"/>
          </w:tcPr>
          <w:p w14:paraId="6ACB788A">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3.9</w:t>
            </w:r>
          </w:p>
        </w:tc>
        <w:tc>
          <w:tcPr>
            <w:tcW w:w="624" w:type="dxa"/>
            <w:vAlign w:val="center"/>
          </w:tcPr>
          <w:p w14:paraId="70AE0D63">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3.0</w:t>
            </w:r>
          </w:p>
        </w:tc>
        <w:tc>
          <w:tcPr>
            <w:tcW w:w="624" w:type="dxa"/>
            <w:vAlign w:val="center"/>
          </w:tcPr>
          <w:p w14:paraId="137117DB">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2.5</w:t>
            </w:r>
          </w:p>
        </w:tc>
        <w:tc>
          <w:tcPr>
            <w:tcW w:w="624" w:type="dxa"/>
            <w:vAlign w:val="center"/>
          </w:tcPr>
          <w:p w14:paraId="0ADC84D5">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2.2</w:t>
            </w:r>
          </w:p>
        </w:tc>
        <w:tc>
          <w:tcPr>
            <w:tcW w:w="624" w:type="dxa"/>
            <w:vAlign w:val="center"/>
          </w:tcPr>
          <w:p w14:paraId="526DD6DE">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2.6</w:t>
            </w:r>
          </w:p>
        </w:tc>
        <w:tc>
          <w:tcPr>
            <w:tcW w:w="624" w:type="dxa"/>
            <w:vAlign w:val="center"/>
          </w:tcPr>
          <w:p w14:paraId="6F5D20AA">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2.9</w:t>
            </w:r>
          </w:p>
        </w:tc>
        <w:tc>
          <w:tcPr>
            <w:tcW w:w="624" w:type="dxa"/>
            <w:vAlign w:val="center"/>
          </w:tcPr>
          <w:p w14:paraId="59F1B1CB">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2.9</w:t>
            </w:r>
          </w:p>
        </w:tc>
        <w:tc>
          <w:tcPr>
            <w:tcW w:w="624" w:type="dxa"/>
            <w:vAlign w:val="center"/>
          </w:tcPr>
          <w:p w14:paraId="702DBFD2">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2.5</w:t>
            </w:r>
          </w:p>
        </w:tc>
        <w:tc>
          <w:tcPr>
            <w:tcW w:w="613" w:type="dxa"/>
            <w:vAlign w:val="center"/>
          </w:tcPr>
          <w:p w14:paraId="1CA98F32">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3</w:t>
            </w:r>
          </w:p>
        </w:tc>
      </w:tr>
    </w:tbl>
    <w:p w14:paraId="1B314AD6">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drawing>
          <wp:inline distT="0" distB="0" distL="114300" distR="114300">
            <wp:extent cx="5018405" cy="2926715"/>
            <wp:effectExtent l="0" t="0" r="10795" b="6985"/>
            <wp:docPr id="29"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5"/>
                    <pic:cNvPicPr>
                      <a:picLocks noChangeAspect="1"/>
                    </pic:cNvPicPr>
                  </pic:nvPicPr>
                  <pic:blipFill>
                    <a:blip r:embed="rId55"/>
                    <a:stretch>
                      <a:fillRect/>
                    </a:stretch>
                  </pic:blipFill>
                  <pic:spPr>
                    <a:xfrm>
                      <a:off x="0" y="0"/>
                      <a:ext cx="5018405" cy="2926715"/>
                    </a:xfrm>
                    <a:prstGeom prst="rect">
                      <a:avLst/>
                    </a:prstGeom>
                    <a:noFill/>
                    <a:ln>
                      <a:noFill/>
                    </a:ln>
                  </pic:spPr>
                </pic:pic>
              </a:graphicData>
            </a:graphic>
          </wp:inline>
        </w:drawing>
      </w:r>
    </w:p>
    <w:p w14:paraId="5F634C87">
      <w:pPr>
        <w:ind w:firstLine="480"/>
        <w:jc w:val="center"/>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图6.2-2近30年年平均风速月变化图</w:t>
      </w:r>
    </w:p>
    <w:p w14:paraId="732B4F5A">
      <w:pPr>
        <w:ind w:firstLine="480"/>
        <w:jc w:val="center"/>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表6.2-3年均风频的季变化及年均风频</w:t>
      </w:r>
    </w:p>
    <w:tbl>
      <w:tblPr>
        <w:tblStyle w:val="29"/>
        <w:tblW w:w="93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684"/>
        <w:gridCol w:w="448"/>
        <w:gridCol w:w="516"/>
        <w:gridCol w:w="449"/>
        <w:gridCol w:w="492"/>
        <w:gridCol w:w="559"/>
        <w:gridCol w:w="454"/>
        <w:gridCol w:w="449"/>
        <w:gridCol w:w="449"/>
        <w:gridCol w:w="449"/>
        <w:gridCol w:w="516"/>
        <w:gridCol w:w="449"/>
        <w:gridCol w:w="601"/>
        <w:gridCol w:w="449"/>
        <w:gridCol w:w="639"/>
        <w:gridCol w:w="559"/>
        <w:gridCol w:w="588"/>
        <w:gridCol w:w="559"/>
      </w:tblGrid>
      <w:tr w14:paraId="160836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83" w:hRule="atLeast"/>
          <w:jc w:val="center"/>
        </w:trPr>
        <w:tc>
          <w:tcPr>
            <w:tcW w:w="684" w:type="dxa"/>
            <w:vAlign w:val="center"/>
          </w:tcPr>
          <w:p w14:paraId="718121AA">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风向风频（%）</w:t>
            </w:r>
          </w:p>
        </w:tc>
        <w:tc>
          <w:tcPr>
            <w:tcW w:w="448" w:type="dxa"/>
            <w:vAlign w:val="center"/>
          </w:tcPr>
          <w:p w14:paraId="05338603">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N</w:t>
            </w:r>
          </w:p>
        </w:tc>
        <w:tc>
          <w:tcPr>
            <w:tcW w:w="516" w:type="dxa"/>
            <w:vAlign w:val="center"/>
          </w:tcPr>
          <w:p w14:paraId="01E528F7">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NNE</w:t>
            </w:r>
          </w:p>
        </w:tc>
        <w:tc>
          <w:tcPr>
            <w:tcW w:w="449" w:type="dxa"/>
            <w:vAlign w:val="center"/>
          </w:tcPr>
          <w:p w14:paraId="46579959">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NE</w:t>
            </w:r>
          </w:p>
        </w:tc>
        <w:tc>
          <w:tcPr>
            <w:tcW w:w="492" w:type="dxa"/>
            <w:vAlign w:val="center"/>
          </w:tcPr>
          <w:p w14:paraId="713149F1">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ENE</w:t>
            </w:r>
          </w:p>
        </w:tc>
        <w:tc>
          <w:tcPr>
            <w:tcW w:w="559" w:type="dxa"/>
            <w:vAlign w:val="center"/>
          </w:tcPr>
          <w:p w14:paraId="05A79E61">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E</w:t>
            </w:r>
          </w:p>
        </w:tc>
        <w:tc>
          <w:tcPr>
            <w:tcW w:w="454" w:type="dxa"/>
            <w:vAlign w:val="center"/>
          </w:tcPr>
          <w:p w14:paraId="2A4B6178">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ESE</w:t>
            </w:r>
          </w:p>
        </w:tc>
        <w:tc>
          <w:tcPr>
            <w:tcW w:w="449" w:type="dxa"/>
            <w:vAlign w:val="center"/>
          </w:tcPr>
          <w:p w14:paraId="0242AFA0">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SE</w:t>
            </w:r>
          </w:p>
        </w:tc>
        <w:tc>
          <w:tcPr>
            <w:tcW w:w="449" w:type="dxa"/>
            <w:vAlign w:val="center"/>
          </w:tcPr>
          <w:p w14:paraId="2A4CEAC0">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SSE</w:t>
            </w:r>
          </w:p>
        </w:tc>
        <w:tc>
          <w:tcPr>
            <w:tcW w:w="449" w:type="dxa"/>
            <w:vAlign w:val="center"/>
          </w:tcPr>
          <w:p w14:paraId="496C3D7E">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S</w:t>
            </w:r>
          </w:p>
        </w:tc>
        <w:tc>
          <w:tcPr>
            <w:tcW w:w="516" w:type="dxa"/>
            <w:vAlign w:val="center"/>
          </w:tcPr>
          <w:p w14:paraId="0B7C8D80">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SSW</w:t>
            </w:r>
          </w:p>
        </w:tc>
        <w:tc>
          <w:tcPr>
            <w:tcW w:w="449" w:type="dxa"/>
            <w:vAlign w:val="center"/>
          </w:tcPr>
          <w:p w14:paraId="126B88EC">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SW</w:t>
            </w:r>
          </w:p>
        </w:tc>
        <w:tc>
          <w:tcPr>
            <w:tcW w:w="601" w:type="dxa"/>
            <w:vAlign w:val="center"/>
          </w:tcPr>
          <w:p w14:paraId="14380142">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WSW</w:t>
            </w:r>
          </w:p>
        </w:tc>
        <w:tc>
          <w:tcPr>
            <w:tcW w:w="449" w:type="dxa"/>
            <w:vAlign w:val="center"/>
          </w:tcPr>
          <w:p w14:paraId="738D43DD">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w:t>
            </w:r>
          </w:p>
        </w:tc>
        <w:tc>
          <w:tcPr>
            <w:tcW w:w="639" w:type="dxa"/>
            <w:vAlign w:val="center"/>
          </w:tcPr>
          <w:p w14:paraId="084485F2">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WNW</w:t>
            </w:r>
          </w:p>
        </w:tc>
        <w:tc>
          <w:tcPr>
            <w:tcW w:w="559" w:type="dxa"/>
            <w:vAlign w:val="center"/>
          </w:tcPr>
          <w:p w14:paraId="1CD37705">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NW</w:t>
            </w:r>
          </w:p>
        </w:tc>
        <w:tc>
          <w:tcPr>
            <w:tcW w:w="588" w:type="dxa"/>
            <w:vAlign w:val="center"/>
          </w:tcPr>
          <w:p w14:paraId="4DA75CB2">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NNW</w:t>
            </w:r>
          </w:p>
        </w:tc>
        <w:tc>
          <w:tcPr>
            <w:tcW w:w="559" w:type="dxa"/>
            <w:vAlign w:val="center"/>
          </w:tcPr>
          <w:p w14:paraId="45791601">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C</w:t>
            </w:r>
          </w:p>
        </w:tc>
      </w:tr>
      <w:tr w14:paraId="6A8B88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98" w:hRule="atLeast"/>
          <w:jc w:val="center"/>
        </w:trPr>
        <w:tc>
          <w:tcPr>
            <w:tcW w:w="684" w:type="dxa"/>
            <w:vAlign w:val="center"/>
          </w:tcPr>
          <w:p w14:paraId="3C40020C">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春季</w:t>
            </w:r>
          </w:p>
        </w:tc>
        <w:tc>
          <w:tcPr>
            <w:tcW w:w="448" w:type="dxa"/>
            <w:vAlign w:val="center"/>
          </w:tcPr>
          <w:p w14:paraId="3B0D1A70">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7</w:t>
            </w:r>
          </w:p>
        </w:tc>
        <w:tc>
          <w:tcPr>
            <w:tcW w:w="516" w:type="dxa"/>
            <w:vAlign w:val="center"/>
          </w:tcPr>
          <w:p w14:paraId="76C3BF81">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6</w:t>
            </w:r>
          </w:p>
        </w:tc>
        <w:tc>
          <w:tcPr>
            <w:tcW w:w="449" w:type="dxa"/>
            <w:vAlign w:val="center"/>
          </w:tcPr>
          <w:p w14:paraId="74466C50">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4</w:t>
            </w:r>
          </w:p>
        </w:tc>
        <w:tc>
          <w:tcPr>
            <w:tcW w:w="492" w:type="dxa"/>
            <w:vAlign w:val="center"/>
          </w:tcPr>
          <w:p w14:paraId="7D6B5340">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3</w:t>
            </w:r>
          </w:p>
        </w:tc>
        <w:tc>
          <w:tcPr>
            <w:tcW w:w="559" w:type="dxa"/>
            <w:vAlign w:val="center"/>
          </w:tcPr>
          <w:p w14:paraId="7E62DAB7">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w:t>
            </w:r>
          </w:p>
        </w:tc>
        <w:tc>
          <w:tcPr>
            <w:tcW w:w="454" w:type="dxa"/>
            <w:vAlign w:val="center"/>
          </w:tcPr>
          <w:p w14:paraId="12B2B243">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4</w:t>
            </w:r>
          </w:p>
        </w:tc>
        <w:tc>
          <w:tcPr>
            <w:tcW w:w="449" w:type="dxa"/>
            <w:vAlign w:val="center"/>
          </w:tcPr>
          <w:p w14:paraId="42F3DEEB">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4</w:t>
            </w:r>
          </w:p>
        </w:tc>
        <w:tc>
          <w:tcPr>
            <w:tcW w:w="449" w:type="dxa"/>
            <w:vAlign w:val="center"/>
          </w:tcPr>
          <w:p w14:paraId="0E7387AF">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5</w:t>
            </w:r>
          </w:p>
        </w:tc>
        <w:tc>
          <w:tcPr>
            <w:tcW w:w="449" w:type="dxa"/>
            <w:vAlign w:val="center"/>
          </w:tcPr>
          <w:p w14:paraId="4CD645FB">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6</w:t>
            </w:r>
          </w:p>
        </w:tc>
        <w:tc>
          <w:tcPr>
            <w:tcW w:w="516" w:type="dxa"/>
            <w:vAlign w:val="center"/>
          </w:tcPr>
          <w:p w14:paraId="6196AAA0">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5</w:t>
            </w:r>
          </w:p>
        </w:tc>
        <w:tc>
          <w:tcPr>
            <w:tcW w:w="449" w:type="dxa"/>
            <w:vAlign w:val="center"/>
          </w:tcPr>
          <w:p w14:paraId="2E3E1C93">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5</w:t>
            </w:r>
          </w:p>
        </w:tc>
        <w:tc>
          <w:tcPr>
            <w:tcW w:w="601" w:type="dxa"/>
            <w:vAlign w:val="center"/>
          </w:tcPr>
          <w:p w14:paraId="351E958D">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6</w:t>
            </w:r>
          </w:p>
        </w:tc>
        <w:tc>
          <w:tcPr>
            <w:tcW w:w="449" w:type="dxa"/>
            <w:vAlign w:val="center"/>
          </w:tcPr>
          <w:p w14:paraId="3C97FCF1">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11</w:t>
            </w:r>
          </w:p>
        </w:tc>
        <w:tc>
          <w:tcPr>
            <w:tcW w:w="639" w:type="dxa"/>
            <w:vAlign w:val="center"/>
          </w:tcPr>
          <w:p w14:paraId="377F3644">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12</w:t>
            </w:r>
          </w:p>
        </w:tc>
        <w:tc>
          <w:tcPr>
            <w:tcW w:w="559" w:type="dxa"/>
            <w:vAlign w:val="center"/>
          </w:tcPr>
          <w:p w14:paraId="127C9B16">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11</w:t>
            </w:r>
          </w:p>
        </w:tc>
        <w:tc>
          <w:tcPr>
            <w:tcW w:w="588" w:type="dxa"/>
            <w:vAlign w:val="center"/>
          </w:tcPr>
          <w:p w14:paraId="11C8288D">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7</w:t>
            </w:r>
          </w:p>
        </w:tc>
        <w:tc>
          <w:tcPr>
            <w:tcW w:w="559" w:type="dxa"/>
            <w:vAlign w:val="center"/>
          </w:tcPr>
          <w:p w14:paraId="4BE32FF9">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4</w:t>
            </w:r>
          </w:p>
        </w:tc>
      </w:tr>
      <w:tr w14:paraId="686E7C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83" w:hRule="atLeast"/>
          <w:jc w:val="center"/>
        </w:trPr>
        <w:tc>
          <w:tcPr>
            <w:tcW w:w="684" w:type="dxa"/>
            <w:vAlign w:val="center"/>
          </w:tcPr>
          <w:p w14:paraId="7ADDA9A2">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夏季</w:t>
            </w:r>
          </w:p>
        </w:tc>
        <w:tc>
          <w:tcPr>
            <w:tcW w:w="448" w:type="dxa"/>
            <w:vAlign w:val="center"/>
          </w:tcPr>
          <w:p w14:paraId="477205E2">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7</w:t>
            </w:r>
          </w:p>
        </w:tc>
        <w:tc>
          <w:tcPr>
            <w:tcW w:w="516" w:type="dxa"/>
            <w:vAlign w:val="center"/>
          </w:tcPr>
          <w:p w14:paraId="7D327602">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5</w:t>
            </w:r>
          </w:p>
        </w:tc>
        <w:tc>
          <w:tcPr>
            <w:tcW w:w="449" w:type="dxa"/>
            <w:vAlign w:val="center"/>
          </w:tcPr>
          <w:p w14:paraId="1F9029F2">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7</w:t>
            </w:r>
          </w:p>
        </w:tc>
        <w:tc>
          <w:tcPr>
            <w:tcW w:w="492" w:type="dxa"/>
            <w:vAlign w:val="center"/>
          </w:tcPr>
          <w:p w14:paraId="1E0B9682">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w:t>
            </w:r>
          </w:p>
        </w:tc>
        <w:tc>
          <w:tcPr>
            <w:tcW w:w="559" w:type="dxa"/>
            <w:vAlign w:val="center"/>
          </w:tcPr>
          <w:p w14:paraId="11520E7B">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3</w:t>
            </w:r>
          </w:p>
        </w:tc>
        <w:tc>
          <w:tcPr>
            <w:tcW w:w="454" w:type="dxa"/>
            <w:vAlign w:val="center"/>
          </w:tcPr>
          <w:p w14:paraId="723DE3BF">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3</w:t>
            </w:r>
          </w:p>
        </w:tc>
        <w:tc>
          <w:tcPr>
            <w:tcW w:w="449" w:type="dxa"/>
            <w:vAlign w:val="center"/>
          </w:tcPr>
          <w:p w14:paraId="53F22211">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w:t>
            </w:r>
          </w:p>
        </w:tc>
        <w:tc>
          <w:tcPr>
            <w:tcW w:w="449" w:type="dxa"/>
            <w:vAlign w:val="center"/>
          </w:tcPr>
          <w:p w14:paraId="0F760CBA">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w:t>
            </w:r>
          </w:p>
        </w:tc>
        <w:tc>
          <w:tcPr>
            <w:tcW w:w="449" w:type="dxa"/>
            <w:vAlign w:val="center"/>
          </w:tcPr>
          <w:p w14:paraId="060D7E0E">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w:t>
            </w:r>
          </w:p>
        </w:tc>
        <w:tc>
          <w:tcPr>
            <w:tcW w:w="516" w:type="dxa"/>
            <w:vAlign w:val="center"/>
          </w:tcPr>
          <w:p w14:paraId="2A74A8E1">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6</w:t>
            </w:r>
          </w:p>
        </w:tc>
        <w:tc>
          <w:tcPr>
            <w:tcW w:w="449" w:type="dxa"/>
            <w:vAlign w:val="center"/>
          </w:tcPr>
          <w:p w14:paraId="043947B4">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4</w:t>
            </w:r>
          </w:p>
        </w:tc>
        <w:tc>
          <w:tcPr>
            <w:tcW w:w="601" w:type="dxa"/>
            <w:vAlign w:val="center"/>
          </w:tcPr>
          <w:p w14:paraId="4C4877FD">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9</w:t>
            </w:r>
          </w:p>
        </w:tc>
        <w:tc>
          <w:tcPr>
            <w:tcW w:w="449" w:type="dxa"/>
            <w:vAlign w:val="center"/>
          </w:tcPr>
          <w:p w14:paraId="2FCCF6D9">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18</w:t>
            </w:r>
          </w:p>
        </w:tc>
        <w:tc>
          <w:tcPr>
            <w:tcW w:w="639" w:type="dxa"/>
            <w:vAlign w:val="center"/>
          </w:tcPr>
          <w:p w14:paraId="5D40C7F9">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8</w:t>
            </w:r>
          </w:p>
        </w:tc>
        <w:tc>
          <w:tcPr>
            <w:tcW w:w="559" w:type="dxa"/>
            <w:vAlign w:val="center"/>
          </w:tcPr>
          <w:p w14:paraId="65A04429">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9</w:t>
            </w:r>
          </w:p>
        </w:tc>
        <w:tc>
          <w:tcPr>
            <w:tcW w:w="588" w:type="dxa"/>
            <w:vAlign w:val="center"/>
          </w:tcPr>
          <w:p w14:paraId="66869DEB">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6</w:t>
            </w:r>
          </w:p>
        </w:tc>
        <w:tc>
          <w:tcPr>
            <w:tcW w:w="559" w:type="dxa"/>
            <w:vAlign w:val="center"/>
          </w:tcPr>
          <w:p w14:paraId="132A335C">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6</w:t>
            </w:r>
          </w:p>
        </w:tc>
      </w:tr>
      <w:tr w14:paraId="66D938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83" w:hRule="atLeast"/>
          <w:jc w:val="center"/>
        </w:trPr>
        <w:tc>
          <w:tcPr>
            <w:tcW w:w="684" w:type="dxa"/>
            <w:vAlign w:val="center"/>
          </w:tcPr>
          <w:p w14:paraId="0D78B763">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秋季</w:t>
            </w:r>
          </w:p>
        </w:tc>
        <w:tc>
          <w:tcPr>
            <w:tcW w:w="448" w:type="dxa"/>
            <w:vAlign w:val="center"/>
          </w:tcPr>
          <w:p w14:paraId="27823F49">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5</w:t>
            </w:r>
          </w:p>
        </w:tc>
        <w:tc>
          <w:tcPr>
            <w:tcW w:w="516" w:type="dxa"/>
            <w:vAlign w:val="center"/>
          </w:tcPr>
          <w:p w14:paraId="054241B5">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5</w:t>
            </w:r>
          </w:p>
        </w:tc>
        <w:tc>
          <w:tcPr>
            <w:tcW w:w="449" w:type="dxa"/>
            <w:vAlign w:val="center"/>
          </w:tcPr>
          <w:p w14:paraId="691F5A37">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3</w:t>
            </w:r>
          </w:p>
        </w:tc>
        <w:tc>
          <w:tcPr>
            <w:tcW w:w="492" w:type="dxa"/>
            <w:vAlign w:val="center"/>
          </w:tcPr>
          <w:p w14:paraId="0AC696F2">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w:t>
            </w:r>
          </w:p>
        </w:tc>
        <w:tc>
          <w:tcPr>
            <w:tcW w:w="559" w:type="dxa"/>
            <w:vAlign w:val="center"/>
          </w:tcPr>
          <w:p w14:paraId="6F1073A1">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w:t>
            </w:r>
          </w:p>
        </w:tc>
        <w:tc>
          <w:tcPr>
            <w:tcW w:w="454" w:type="dxa"/>
            <w:vAlign w:val="center"/>
          </w:tcPr>
          <w:p w14:paraId="51FDD858">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3</w:t>
            </w:r>
          </w:p>
        </w:tc>
        <w:tc>
          <w:tcPr>
            <w:tcW w:w="449" w:type="dxa"/>
            <w:vAlign w:val="center"/>
          </w:tcPr>
          <w:p w14:paraId="004A8FA3">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4</w:t>
            </w:r>
          </w:p>
        </w:tc>
        <w:tc>
          <w:tcPr>
            <w:tcW w:w="449" w:type="dxa"/>
            <w:vAlign w:val="center"/>
          </w:tcPr>
          <w:p w14:paraId="6D8E578A">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3</w:t>
            </w:r>
          </w:p>
        </w:tc>
        <w:tc>
          <w:tcPr>
            <w:tcW w:w="449" w:type="dxa"/>
            <w:vAlign w:val="center"/>
          </w:tcPr>
          <w:p w14:paraId="04E7DEE2">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5</w:t>
            </w:r>
          </w:p>
        </w:tc>
        <w:tc>
          <w:tcPr>
            <w:tcW w:w="516" w:type="dxa"/>
            <w:vAlign w:val="center"/>
          </w:tcPr>
          <w:p w14:paraId="7D376A5C">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5</w:t>
            </w:r>
          </w:p>
        </w:tc>
        <w:tc>
          <w:tcPr>
            <w:tcW w:w="449" w:type="dxa"/>
            <w:vAlign w:val="center"/>
          </w:tcPr>
          <w:p w14:paraId="416CB345">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6</w:t>
            </w:r>
          </w:p>
        </w:tc>
        <w:tc>
          <w:tcPr>
            <w:tcW w:w="601" w:type="dxa"/>
            <w:vAlign w:val="center"/>
          </w:tcPr>
          <w:p w14:paraId="2A199F78">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7</w:t>
            </w:r>
          </w:p>
        </w:tc>
        <w:tc>
          <w:tcPr>
            <w:tcW w:w="449" w:type="dxa"/>
            <w:vAlign w:val="center"/>
          </w:tcPr>
          <w:p w14:paraId="1343D08B">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12</w:t>
            </w:r>
          </w:p>
        </w:tc>
        <w:tc>
          <w:tcPr>
            <w:tcW w:w="639" w:type="dxa"/>
            <w:vAlign w:val="center"/>
          </w:tcPr>
          <w:p w14:paraId="3CDAC20B">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14</w:t>
            </w:r>
          </w:p>
        </w:tc>
        <w:tc>
          <w:tcPr>
            <w:tcW w:w="559" w:type="dxa"/>
            <w:vAlign w:val="center"/>
          </w:tcPr>
          <w:p w14:paraId="1EF6D198">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12</w:t>
            </w:r>
          </w:p>
        </w:tc>
        <w:tc>
          <w:tcPr>
            <w:tcW w:w="588" w:type="dxa"/>
            <w:vAlign w:val="center"/>
          </w:tcPr>
          <w:p w14:paraId="76C9E2B5">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6</w:t>
            </w:r>
          </w:p>
        </w:tc>
        <w:tc>
          <w:tcPr>
            <w:tcW w:w="559" w:type="dxa"/>
            <w:vAlign w:val="center"/>
          </w:tcPr>
          <w:p w14:paraId="6CECEC7A">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4</w:t>
            </w:r>
          </w:p>
        </w:tc>
      </w:tr>
      <w:tr w14:paraId="0E95AB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83" w:hRule="atLeast"/>
          <w:jc w:val="center"/>
        </w:trPr>
        <w:tc>
          <w:tcPr>
            <w:tcW w:w="684" w:type="dxa"/>
            <w:vAlign w:val="center"/>
          </w:tcPr>
          <w:p w14:paraId="1E509B5A">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冬季</w:t>
            </w:r>
          </w:p>
        </w:tc>
        <w:tc>
          <w:tcPr>
            <w:tcW w:w="448" w:type="dxa"/>
            <w:vAlign w:val="center"/>
          </w:tcPr>
          <w:p w14:paraId="003A514C">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5</w:t>
            </w:r>
          </w:p>
        </w:tc>
        <w:tc>
          <w:tcPr>
            <w:tcW w:w="516" w:type="dxa"/>
            <w:vAlign w:val="center"/>
          </w:tcPr>
          <w:p w14:paraId="6120B968">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4</w:t>
            </w:r>
          </w:p>
        </w:tc>
        <w:tc>
          <w:tcPr>
            <w:tcW w:w="449" w:type="dxa"/>
            <w:vAlign w:val="center"/>
          </w:tcPr>
          <w:p w14:paraId="742F981A">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w:t>
            </w:r>
          </w:p>
        </w:tc>
        <w:tc>
          <w:tcPr>
            <w:tcW w:w="492" w:type="dxa"/>
            <w:vAlign w:val="center"/>
          </w:tcPr>
          <w:p w14:paraId="1C637C0F">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w:t>
            </w:r>
          </w:p>
        </w:tc>
        <w:tc>
          <w:tcPr>
            <w:tcW w:w="559" w:type="dxa"/>
            <w:vAlign w:val="center"/>
          </w:tcPr>
          <w:p w14:paraId="335DC5F1">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w:t>
            </w:r>
          </w:p>
        </w:tc>
        <w:tc>
          <w:tcPr>
            <w:tcW w:w="454" w:type="dxa"/>
            <w:vAlign w:val="center"/>
          </w:tcPr>
          <w:p w14:paraId="1C3A8BF8">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w:t>
            </w:r>
          </w:p>
        </w:tc>
        <w:tc>
          <w:tcPr>
            <w:tcW w:w="449" w:type="dxa"/>
            <w:vAlign w:val="center"/>
          </w:tcPr>
          <w:p w14:paraId="66F1D9EC">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w:t>
            </w:r>
          </w:p>
        </w:tc>
        <w:tc>
          <w:tcPr>
            <w:tcW w:w="449" w:type="dxa"/>
            <w:vAlign w:val="center"/>
          </w:tcPr>
          <w:p w14:paraId="206B4149">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3</w:t>
            </w:r>
          </w:p>
        </w:tc>
        <w:tc>
          <w:tcPr>
            <w:tcW w:w="449" w:type="dxa"/>
            <w:vAlign w:val="center"/>
          </w:tcPr>
          <w:p w14:paraId="2BFF7D7F">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3</w:t>
            </w:r>
          </w:p>
        </w:tc>
        <w:tc>
          <w:tcPr>
            <w:tcW w:w="516" w:type="dxa"/>
            <w:vAlign w:val="center"/>
          </w:tcPr>
          <w:p w14:paraId="369C04AE">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4</w:t>
            </w:r>
          </w:p>
        </w:tc>
        <w:tc>
          <w:tcPr>
            <w:tcW w:w="449" w:type="dxa"/>
            <w:vAlign w:val="center"/>
          </w:tcPr>
          <w:p w14:paraId="2531EE78">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5</w:t>
            </w:r>
          </w:p>
        </w:tc>
        <w:tc>
          <w:tcPr>
            <w:tcW w:w="601" w:type="dxa"/>
            <w:vAlign w:val="center"/>
          </w:tcPr>
          <w:p w14:paraId="50E7347E">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6</w:t>
            </w:r>
          </w:p>
        </w:tc>
        <w:tc>
          <w:tcPr>
            <w:tcW w:w="449" w:type="dxa"/>
            <w:vAlign w:val="center"/>
          </w:tcPr>
          <w:p w14:paraId="5540D57C">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15</w:t>
            </w:r>
          </w:p>
        </w:tc>
        <w:tc>
          <w:tcPr>
            <w:tcW w:w="639" w:type="dxa"/>
            <w:vAlign w:val="center"/>
          </w:tcPr>
          <w:p w14:paraId="32EE0721">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18</w:t>
            </w:r>
          </w:p>
        </w:tc>
        <w:tc>
          <w:tcPr>
            <w:tcW w:w="559" w:type="dxa"/>
            <w:vAlign w:val="center"/>
          </w:tcPr>
          <w:p w14:paraId="17C5A90E">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16</w:t>
            </w:r>
          </w:p>
        </w:tc>
        <w:tc>
          <w:tcPr>
            <w:tcW w:w="588" w:type="dxa"/>
            <w:vAlign w:val="center"/>
          </w:tcPr>
          <w:p w14:paraId="70FDFAD9">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6</w:t>
            </w:r>
          </w:p>
        </w:tc>
        <w:tc>
          <w:tcPr>
            <w:tcW w:w="559" w:type="dxa"/>
            <w:vAlign w:val="center"/>
          </w:tcPr>
          <w:p w14:paraId="2050FA81">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6</w:t>
            </w:r>
          </w:p>
        </w:tc>
      </w:tr>
      <w:tr w14:paraId="1FF9EB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98" w:hRule="atLeast"/>
          <w:jc w:val="center"/>
        </w:trPr>
        <w:tc>
          <w:tcPr>
            <w:tcW w:w="684" w:type="dxa"/>
            <w:vAlign w:val="center"/>
          </w:tcPr>
          <w:p w14:paraId="1A97C002">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年平均</w:t>
            </w:r>
          </w:p>
        </w:tc>
        <w:tc>
          <w:tcPr>
            <w:tcW w:w="448" w:type="dxa"/>
            <w:vAlign w:val="center"/>
          </w:tcPr>
          <w:p w14:paraId="3D0B0844">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6</w:t>
            </w:r>
          </w:p>
        </w:tc>
        <w:tc>
          <w:tcPr>
            <w:tcW w:w="516" w:type="dxa"/>
            <w:vAlign w:val="center"/>
          </w:tcPr>
          <w:p w14:paraId="442BD66B">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5</w:t>
            </w:r>
          </w:p>
        </w:tc>
        <w:tc>
          <w:tcPr>
            <w:tcW w:w="449" w:type="dxa"/>
            <w:vAlign w:val="center"/>
          </w:tcPr>
          <w:p w14:paraId="5F1C8A72">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4</w:t>
            </w:r>
          </w:p>
        </w:tc>
        <w:tc>
          <w:tcPr>
            <w:tcW w:w="492" w:type="dxa"/>
            <w:vAlign w:val="center"/>
          </w:tcPr>
          <w:p w14:paraId="07983448">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w:t>
            </w:r>
          </w:p>
        </w:tc>
        <w:tc>
          <w:tcPr>
            <w:tcW w:w="559" w:type="dxa"/>
            <w:vAlign w:val="center"/>
          </w:tcPr>
          <w:p w14:paraId="5FBB7C49">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w:t>
            </w:r>
          </w:p>
        </w:tc>
        <w:tc>
          <w:tcPr>
            <w:tcW w:w="454" w:type="dxa"/>
            <w:vAlign w:val="center"/>
          </w:tcPr>
          <w:p w14:paraId="1D1F8A80">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3</w:t>
            </w:r>
          </w:p>
        </w:tc>
        <w:tc>
          <w:tcPr>
            <w:tcW w:w="449" w:type="dxa"/>
            <w:vAlign w:val="center"/>
          </w:tcPr>
          <w:p w14:paraId="07B08491">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3</w:t>
            </w:r>
          </w:p>
        </w:tc>
        <w:tc>
          <w:tcPr>
            <w:tcW w:w="449" w:type="dxa"/>
            <w:vAlign w:val="center"/>
          </w:tcPr>
          <w:p w14:paraId="37912E04">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3</w:t>
            </w:r>
          </w:p>
        </w:tc>
        <w:tc>
          <w:tcPr>
            <w:tcW w:w="449" w:type="dxa"/>
            <w:vAlign w:val="center"/>
          </w:tcPr>
          <w:p w14:paraId="7A30AD8C">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4</w:t>
            </w:r>
          </w:p>
        </w:tc>
        <w:tc>
          <w:tcPr>
            <w:tcW w:w="516" w:type="dxa"/>
            <w:vAlign w:val="center"/>
          </w:tcPr>
          <w:p w14:paraId="136E0F1F">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5</w:t>
            </w:r>
          </w:p>
        </w:tc>
        <w:tc>
          <w:tcPr>
            <w:tcW w:w="449" w:type="dxa"/>
            <w:vAlign w:val="center"/>
          </w:tcPr>
          <w:p w14:paraId="2673364E">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5</w:t>
            </w:r>
          </w:p>
        </w:tc>
        <w:tc>
          <w:tcPr>
            <w:tcW w:w="601" w:type="dxa"/>
            <w:vAlign w:val="center"/>
          </w:tcPr>
          <w:p w14:paraId="46298193">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7</w:t>
            </w:r>
          </w:p>
        </w:tc>
        <w:tc>
          <w:tcPr>
            <w:tcW w:w="449" w:type="dxa"/>
            <w:vAlign w:val="center"/>
          </w:tcPr>
          <w:p w14:paraId="5FE673D7">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14</w:t>
            </w:r>
          </w:p>
        </w:tc>
        <w:tc>
          <w:tcPr>
            <w:tcW w:w="639" w:type="dxa"/>
            <w:vAlign w:val="center"/>
          </w:tcPr>
          <w:p w14:paraId="52086395">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13</w:t>
            </w:r>
          </w:p>
        </w:tc>
        <w:tc>
          <w:tcPr>
            <w:tcW w:w="559" w:type="dxa"/>
            <w:vAlign w:val="center"/>
          </w:tcPr>
          <w:p w14:paraId="717D184D">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12</w:t>
            </w:r>
          </w:p>
        </w:tc>
        <w:tc>
          <w:tcPr>
            <w:tcW w:w="588" w:type="dxa"/>
            <w:vAlign w:val="center"/>
          </w:tcPr>
          <w:p w14:paraId="67302F1C">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6</w:t>
            </w:r>
          </w:p>
        </w:tc>
        <w:tc>
          <w:tcPr>
            <w:tcW w:w="559" w:type="dxa"/>
            <w:vAlign w:val="center"/>
          </w:tcPr>
          <w:p w14:paraId="36DAC839">
            <w:pPr>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5</w:t>
            </w:r>
          </w:p>
        </w:tc>
      </w:tr>
    </w:tbl>
    <w:p w14:paraId="4B8D109B">
      <w:pPr>
        <w:rPr>
          <w:color w:val="000000" w:themeColor="text1"/>
          <w14:textFill>
            <w14:solidFill>
              <w14:schemeClr w14:val="tx1"/>
            </w14:solidFill>
          </w14:textFill>
        </w:rPr>
      </w:pPr>
    </w:p>
    <w:tbl>
      <w:tblPr>
        <w:tblStyle w:val="29"/>
        <w:tblW w:w="8522"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261"/>
        <w:gridCol w:w="4261"/>
      </w:tblGrid>
      <w:tr w14:paraId="55683F2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2" w:hRule="exact"/>
          <w:jc w:val="center"/>
        </w:trPr>
        <w:tc>
          <w:tcPr>
            <w:tcW w:w="4261" w:type="dxa"/>
          </w:tcPr>
          <w:p w14:paraId="681B05F9">
            <w:pPr>
              <w:spacing w:line="240" w:lineRule="auto"/>
              <w:ind w:firstLine="0" w:firstLineChars="0"/>
              <w:jc w:val="center"/>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drawing>
                <wp:inline distT="0" distB="0" distL="114300" distR="114300">
                  <wp:extent cx="2857500" cy="2028825"/>
                  <wp:effectExtent l="0" t="0" r="0" b="952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56"/>
                          <a:stretch>
                            <a:fillRect/>
                          </a:stretch>
                        </pic:blipFill>
                        <pic:spPr>
                          <a:xfrm>
                            <a:off x="0" y="0"/>
                            <a:ext cx="2857500" cy="2028825"/>
                          </a:xfrm>
                          <a:prstGeom prst="rect">
                            <a:avLst/>
                          </a:prstGeom>
                          <a:noFill/>
                          <a:ln>
                            <a:noFill/>
                          </a:ln>
                        </pic:spPr>
                      </pic:pic>
                    </a:graphicData>
                  </a:graphic>
                </wp:inline>
              </w:drawing>
            </w:r>
          </w:p>
        </w:tc>
        <w:tc>
          <w:tcPr>
            <w:tcW w:w="4261" w:type="dxa"/>
          </w:tcPr>
          <w:p w14:paraId="3C5A4EE8">
            <w:pPr>
              <w:spacing w:line="240" w:lineRule="auto"/>
              <w:ind w:firstLine="0" w:firstLineChars="0"/>
              <w:jc w:val="center"/>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drawing>
                <wp:inline distT="0" distB="0" distL="114300" distR="114300">
                  <wp:extent cx="2905125" cy="2000250"/>
                  <wp:effectExtent l="0" t="0" r="9525" b="0"/>
                  <wp:docPr id="28"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7"/>
                          <pic:cNvPicPr>
                            <a:picLocks noChangeAspect="1"/>
                          </pic:cNvPicPr>
                        </pic:nvPicPr>
                        <pic:blipFill>
                          <a:blip r:embed="rId57"/>
                          <a:stretch>
                            <a:fillRect/>
                          </a:stretch>
                        </pic:blipFill>
                        <pic:spPr>
                          <a:xfrm>
                            <a:off x="0" y="0"/>
                            <a:ext cx="2905125" cy="2000250"/>
                          </a:xfrm>
                          <a:prstGeom prst="rect">
                            <a:avLst/>
                          </a:prstGeom>
                          <a:noFill/>
                          <a:ln>
                            <a:noFill/>
                          </a:ln>
                        </pic:spPr>
                      </pic:pic>
                    </a:graphicData>
                  </a:graphic>
                </wp:inline>
              </w:drawing>
            </w:r>
          </w:p>
        </w:tc>
      </w:tr>
      <w:tr w14:paraId="08F7A13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2" w:hRule="exact"/>
          <w:jc w:val="center"/>
        </w:trPr>
        <w:tc>
          <w:tcPr>
            <w:tcW w:w="4261" w:type="dxa"/>
          </w:tcPr>
          <w:p w14:paraId="68599B0C">
            <w:pPr>
              <w:spacing w:line="240" w:lineRule="auto"/>
              <w:ind w:firstLine="0" w:firstLineChars="0"/>
              <w:jc w:val="center"/>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drawing>
                <wp:inline distT="0" distB="0" distL="114300" distR="114300">
                  <wp:extent cx="2828925" cy="1963420"/>
                  <wp:effectExtent l="0" t="0" r="0" b="8255"/>
                  <wp:docPr id="3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8"/>
                          <pic:cNvPicPr>
                            <a:picLocks noChangeAspect="1"/>
                          </pic:cNvPicPr>
                        </pic:nvPicPr>
                        <pic:blipFill>
                          <a:blip r:embed="rId58"/>
                          <a:stretch>
                            <a:fillRect/>
                          </a:stretch>
                        </pic:blipFill>
                        <pic:spPr>
                          <a:xfrm>
                            <a:off x="0" y="0"/>
                            <a:ext cx="2828925" cy="1963420"/>
                          </a:xfrm>
                          <a:prstGeom prst="rect">
                            <a:avLst/>
                          </a:prstGeom>
                          <a:noFill/>
                          <a:ln>
                            <a:noFill/>
                          </a:ln>
                        </pic:spPr>
                      </pic:pic>
                    </a:graphicData>
                  </a:graphic>
                </wp:inline>
              </w:drawing>
            </w:r>
          </w:p>
        </w:tc>
        <w:tc>
          <w:tcPr>
            <w:tcW w:w="4261" w:type="dxa"/>
          </w:tcPr>
          <w:p w14:paraId="2EA04459">
            <w:pPr>
              <w:spacing w:line="240" w:lineRule="auto"/>
              <w:ind w:firstLine="0" w:firstLineChars="0"/>
              <w:jc w:val="center"/>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drawing>
                <wp:inline distT="0" distB="0" distL="114300" distR="114300">
                  <wp:extent cx="2914650" cy="1948180"/>
                  <wp:effectExtent l="0" t="0" r="0" b="4445"/>
                  <wp:docPr id="30"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9"/>
                          <pic:cNvPicPr>
                            <a:picLocks noChangeAspect="1"/>
                          </pic:cNvPicPr>
                        </pic:nvPicPr>
                        <pic:blipFill>
                          <a:blip r:embed="rId59"/>
                          <a:stretch>
                            <a:fillRect/>
                          </a:stretch>
                        </pic:blipFill>
                        <pic:spPr>
                          <a:xfrm>
                            <a:off x="0" y="0"/>
                            <a:ext cx="2914650" cy="1948180"/>
                          </a:xfrm>
                          <a:prstGeom prst="rect">
                            <a:avLst/>
                          </a:prstGeom>
                          <a:noFill/>
                          <a:ln>
                            <a:noFill/>
                          </a:ln>
                        </pic:spPr>
                      </pic:pic>
                    </a:graphicData>
                  </a:graphic>
                </wp:inline>
              </w:drawing>
            </w:r>
          </w:p>
        </w:tc>
      </w:tr>
      <w:tr w14:paraId="0775CC2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2" w:hRule="exact"/>
          <w:jc w:val="center"/>
        </w:trPr>
        <w:tc>
          <w:tcPr>
            <w:tcW w:w="8522" w:type="dxa"/>
            <w:gridSpan w:val="2"/>
          </w:tcPr>
          <w:p w14:paraId="1BCFA8BF">
            <w:pPr>
              <w:spacing w:line="240" w:lineRule="auto"/>
              <w:ind w:firstLine="0" w:firstLineChars="0"/>
              <w:jc w:val="center"/>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drawing>
                <wp:inline distT="0" distB="0" distL="114300" distR="114300">
                  <wp:extent cx="1971675" cy="1903730"/>
                  <wp:effectExtent l="0" t="0" r="0" b="1270"/>
                  <wp:docPr id="16"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30"/>
                          <pic:cNvPicPr>
                            <a:picLocks noChangeAspect="1"/>
                          </pic:cNvPicPr>
                        </pic:nvPicPr>
                        <pic:blipFill>
                          <a:blip r:embed="rId60"/>
                          <a:srcRect l="11990" r="24005" b="1744"/>
                          <a:stretch>
                            <a:fillRect/>
                          </a:stretch>
                        </pic:blipFill>
                        <pic:spPr>
                          <a:xfrm>
                            <a:off x="0" y="0"/>
                            <a:ext cx="1971675" cy="1903730"/>
                          </a:xfrm>
                          <a:prstGeom prst="rect">
                            <a:avLst/>
                          </a:prstGeom>
                          <a:noFill/>
                          <a:ln>
                            <a:noFill/>
                          </a:ln>
                        </pic:spPr>
                      </pic:pic>
                    </a:graphicData>
                  </a:graphic>
                </wp:inline>
              </w:drawing>
            </w:r>
          </w:p>
        </w:tc>
      </w:tr>
    </w:tbl>
    <w:p w14:paraId="55A65AE5">
      <w:pPr>
        <w:ind w:firstLine="480"/>
        <w:jc w:val="center"/>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图6.2-3项目所在区四季及全年风向频率玫瑰图</w:t>
      </w:r>
    </w:p>
    <w:p w14:paraId="3B45E2FB">
      <w:pPr>
        <w:ind w:firstLine="480"/>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6.2.1.2污染源预测与评价</w:t>
      </w:r>
    </w:p>
    <w:p w14:paraId="39079E76">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（1）</w:t>
      </w:r>
      <w:r>
        <w:rPr>
          <w:rFonts w:hint="default" w:ascii="Times New Roman" w:hAnsi="Times New Roman" w:eastAsia="宋体" w:cs="Times New Roman"/>
          <w:color w:val="000000" w:themeColor="text1"/>
          <w:spacing w:val="-2"/>
          <w14:textFill>
            <w14:solidFill>
              <w14:schemeClr w14:val="tx1"/>
            </w14:solidFill>
          </w14:textFill>
        </w:rPr>
        <w:t>预测影响分析</w:t>
      </w:r>
    </w:p>
    <w:p w14:paraId="150B8C01">
      <w:pPr>
        <w:ind w:firstLine="464"/>
        <w:rPr>
          <w:rFonts w:hint="default" w:ascii="Times New Roman" w:hAnsi="Times New Roman" w:eastAsia="宋体" w:cs="Times New Roman"/>
          <w:color w:val="000000" w:themeColor="text1"/>
          <w:spacing w:val="-4"/>
          <w14:textFill>
            <w14:solidFill>
              <w14:schemeClr w14:val="tx1"/>
            </w14:solidFill>
          </w14:textFill>
        </w:rPr>
      </w:pPr>
      <w:r>
        <w:rPr>
          <w:rFonts w:hint="default" w:ascii="Times New Roman" w:hAnsi="Times New Roman" w:eastAsia="宋体" w:cs="Times New Roman"/>
          <w:color w:val="000000" w:themeColor="text1"/>
          <w:spacing w:val="-4"/>
          <w14:textFill>
            <w14:solidFill>
              <w14:schemeClr w14:val="tx1"/>
            </w14:solidFill>
          </w14:textFill>
        </w:rPr>
        <w:t>①预测模式及参数</w:t>
      </w:r>
    </w:p>
    <w:p w14:paraId="0565DB8C">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《环境影响评价技术导则大气环境》（HJ2.2-2018）推荐模式清单中的估算模式（AERSCREEN）分别计算各源各污染物的短期浓度最大值及对应距离，用以分析最大影响程度和最远影响范围。</w:t>
      </w:r>
    </w:p>
    <w:p w14:paraId="468CB2F6">
      <w:pPr>
        <w:ind w:firstLine="0" w:firstLineChars="0"/>
        <w:jc w:val="center"/>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表6.2-4估算模型参数表</w:t>
      </w:r>
    </w:p>
    <w:tbl>
      <w:tblPr>
        <w:tblStyle w:val="3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2950"/>
        <w:gridCol w:w="2623"/>
        <w:gridCol w:w="3427"/>
      </w:tblGrid>
      <w:tr w14:paraId="271CA8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3096" w:type="pct"/>
            <w:gridSpan w:val="2"/>
            <w:vAlign w:val="center"/>
          </w:tcPr>
          <w:p w14:paraId="1AD7471B">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参数</w:t>
            </w:r>
          </w:p>
        </w:tc>
        <w:tc>
          <w:tcPr>
            <w:tcW w:w="1904" w:type="pct"/>
            <w:vAlign w:val="center"/>
          </w:tcPr>
          <w:p w14:paraId="39EBC56B">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取值</w:t>
            </w:r>
          </w:p>
        </w:tc>
      </w:tr>
      <w:tr w14:paraId="2D5ACC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639" w:type="pct"/>
            <w:vMerge w:val="restart"/>
            <w:vAlign w:val="center"/>
          </w:tcPr>
          <w:p w14:paraId="691D36E4">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城市/农村</w:t>
            </w:r>
          </w:p>
        </w:tc>
        <w:tc>
          <w:tcPr>
            <w:tcW w:w="1457" w:type="pct"/>
            <w:vAlign w:val="center"/>
          </w:tcPr>
          <w:p w14:paraId="56837505">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城市/农村</w:t>
            </w:r>
          </w:p>
        </w:tc>
        <w:tc>
          <w:tcPr>
            <w:tcW w:w="1904" w:type="pct"/>
            <w:vAlign w:val="center"/>
          </w:tcPr>
          <w:p w14:paraId="7561C721">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农村</w:t>
            </w:r>
          </w:p>
        </w:tc>
      </w:tr>
      <w:tr w14:paraId="527B97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639" w:type="pct"/>
            <w:vMerge w:val="continue"/>
            <w:vAlign w:val="center"/>
          </w:tcPr>
          <w:p w14:paraId="76836048">
            <w:pPr>
              <w:spacing w:line="240" w:lineRule="auto"/>
              <w:ind w:firstLine="0" w:firstLineChars="0"/>
              <w:jc w:val="center"/>
              <w:rPr>
                <w:rFonts w:hint="default" w:ascii="Times New Roman" w:hAnsi="Times New Roman" w:eastAsia="宋体" w:cs="Times New Roman"/>
                <w:color w:val="000000" w:themeColor="text1"/>
                <w:sz w:val="2"/>
                <w:szCs w:val="2"/>
                <w14:textFill>
                  <w14:solidFill>
                    <w14:schemeClr w14:val="tx1"/>
                  </w14:solidFill>
                </w14:textFill>
              </w:rPr>
            </w:pPr>
          </w:p>
        </w:tc>
        <w:tc>
          <w:tcPr>
            <w:tcW w:w="1457" w:type="pct"/>
            <w:vAlign w:val="center"/>
          </w:tcPr>
          <w:p w14:paraId="08399A6C">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人口数（城市选项时）</w:t>
            </w:r>
          </w:p>
        </w:tc>
        <w:tc>
          <w:tcPr>
            <w:tcW w:w="1904" w:type="pct"/>
            <w:vAlign w:val="center"/>
          </w:tcPr>
          <w:p w14:paraId="24CC0B6C">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w:t>
            </w:r>
          </w:p>
        </w:tc>
      </w:tr>
      <w:tr w14:paraId="7A19EC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3096" w:type="pct"/>
            <w:gridSpan w:val="2"/>
            <w:vAlign w:val="center"/>
          </w:tcPr>
          <w:p w14:paraId="0F9A6251">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最高环境温度</w:t>
            </w:r>
          </w:p>
        </w:tc>
        <w:tc>
          <w:tcPr>
            <w:tcW w:w="1904" w:type="pct"/>
            <w:vAlign w:val="center"/>
          </w:tcPr>
          <w:p w14:paraId="3C3D5194">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34.1℃</w:t>
            </w:r>
          </w:p>
        </w:tc>
      </w:tr>
      <w:tr w14:paraId="32BBD7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3096" w:type="pct"/>
            <w:gridSpan w:val="2"/>
            <w:vAlign w:val="center"/>
          </w:tcPr>
          <w:p w14:paraId="444A3DC6">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最低环境温度</w:t>
            </w:r>
          </w:p>
        </w:tc>
        <w:tc>
          <w:tcPr>
            <w:tcW w:w="1904" w:type="pct"/>
            <w:vAlign w:val="center"/>
          </w:tcPr>
          <w:p w14:paraId="292B4A2C">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-26.6℃</w:t>
            </w:r>
          </w:p>
        </w:tc>
      </w:tr>
      <w:tr w14:paraId="4FDBC0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3096" w:type="pct"/>
            <w:gridSpan w:val="2"/>
            <w:vAlign w:val="center"/>
          </w:tcPr>
          <w:p w14:paraId="287F2735">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土地利用类型</w:t>
            </w:r>
          </w:p>
        </w:tc>
        <w:tc>
          <w:tcPr>
            <w:tcW w:w="1904" w:type="pct"/>
            <w:vAlign w:val="center"/>
          </w:tcPr>
          <w:p w14:paraId="5BF98831">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农牧业用地</w:t>
            </w:r>
          </w:p>
        </w:tc>
      </w:tr>
      <w:tr w14:paraId="210B1F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3096" w:type="pct"/>
            <w:gridSpan w:val="2"/>
            <w:vAlign w:val="center"/>
          </w:tcPr>
          <w:p w14:paraId="3735E33B">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区域湿度条件</w:t>
            </w:r>
          </w:p>
        </w:tc>
        <w:tc>
          <w:tcPr>
            <w:tcW w:w="1904" w:type="pct"/>
            <w:vAlign w:val="center"/>
          </w:tcPr>
          <w:p w14:paraId="1E8F7C95">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干燥</w:t>
            </w:r>
          </w:p>
        </w:tc>
      </w:tr>
      <w:tr w14:paraId="52D3B1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639" w:type="pct"/>
            <w:vMerge w:val="restart"/>
            <w:vAlign w:val="center"/>
          </w:tcPr>
          <w:p w14:paraId="6698F4C1">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是否考虑地形</w:t>
            </w:r>
          </w:p>
        </w:tc>
        <w:tc>
          <w:tcPr>
            <w:tcW w:w="1457" w:type="pct"/>
            <w:vAlign w:val="center"/>
          </w:tcPr>
          <w:p w14:paraId="65841F2A">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考虑地形</w:t>
            </w:r>
          </w:p>
        </w:tc>
        <w:tc>
          <w:tcPr>
            <w:tcW w:w="1904" w:type="pct"/>
            <w:vAlign w:val="center"/>
          </w:tcPr>
          <w:p w14:paraId="30931C3E">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8"/>
                <w14:textFill>
                  <w14:solidFill>
                    <w14:schemeClr w14:val="tx1"/>
                  </w14:solidFill>
                </w14:textFill>
              </w:rPr>
              <w:t>√</w:t>
            </w:r>
            <w:r>
              <w:rPr>
                <w:rFonts w:hint="default" w:ascii="Times New Roman" w:hAnsi="Times New Roman" w:eastAsia="宋体" w:cs="Times New Roman"/>
                <w:color w:val="000000" w:themeColor="text1"/>
                <w:sz w:val="21"/>
                <w14:textFill>
                  <w14:solidFill>
                    <w14:schemeClr w14:val="tx1"/>
                  </w14:solidFill>
                </w14:textFill>
              </w:rPr>
              <w:t>是</w:t>
            </w:r>
            <w:r>
              <w:rPr>
                <w:rFonts w:hint="default" w:ascii="Times New Roman" w:hAnsi="Times New Roman" w:eastAsia="宋体" w:cs="Times New Roman"/>
                <w:color w:val="000000" w:themeColor="text1"/>
                <w:sz w:val="28"/>
                <w14:textFill>
                  <w14:solidFill>
                    <w14:schemeClr w14:val="tx1"/>
                  </w14:solidFill>
                </w14:textFill>
              </w:rPr>
              <w:t>□</w:t>
            </w:r>
            <w:r>
              <w:rPr>
                <w:rFonts w:hint="default" w:ascii="Times New Roman" w:hAnsi="Times New Roman" w:eastAsia="宋体" w:cs="Times New Roman"/>
                <w:color w:val="000000" w:themeColor="text1"/>
                <w:sz w:val="21"/>
                <w14:textFill>
                  <w14:solidFill>
                    <w14:schemeClr w14:val="tx1"/>
                  </w14:solidFill>
                </w14:textFill>
              </w:rPr>
              <w:t>否</w:t>
            </w:r>
          </w:p>
        </w:tc>
      </w:tr>
      <w:tr w14:paraId="10E0C2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639" w:type="pct"/>
            <w:vMerge w:val="continue"/>
            <w:vAlign w:val="center"/>
          </w:tcPr>
          <w:p w14:paraId="16890BCC">
            <w:pPr>
              <w:spacing w:line="240" w:lineRule="auto"/>
              <w:ind w:firstLine="0" w:firstLineChars="0"/>
              <w:jc w:val="center"/>
              <w:rPr>
                <w:rFonts w:hint="default" w:ascii="Times New Roman" w:hAnsi="Times New Roman" w:eastAsia="宋体" w:cs="Times New Roman"/>
                <w:color w:val="000000" w:themeColor="text1"/>
                <w:sz w:val="2"/>
                <w:szCs w:val="2"/>
                <w14:textFill>
                  <w14:solidFill>
                    <w14:schemeClr w14:val="tx1"/>
                  </w14:solidFill>
                </w14:textFill>
              </w:rPr>
            </w:pPr>
          </w:p>
        </w:tc>
        <w:tc>
          <w:tcPr>
            <w:tcW w:w="1457" w:type="pct"/>
            <w:vAlign w:val="center"/>
          </w:tcPr>
          <w:p w14:paraId="3833FBFD">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地形分辨率</w:t>
            </w:r>
          </w:p>
        </w:tc>
        <w:tc>
          <w:tcPr>
            <w:tcW w:w="1904" w:type="pct"/>
            <w:vAlign w:val="center"/>
          </w:tcPr>
          <w:p w14:paraId="2B1F4F11">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w:t>
            </w:r>
          </w:p>
        </w:tc>
      </w:tr>
      <w:tr w14:paraId="3A235C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639" w:type="pct"/>
            <w:vMerge w:val="restart"/>
            <w:vAlign w:val="center"/>
          </w:tcPr>
          <w:p w14:paraId="39DCEF5B">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是否考虑岸线熏烟</w:t>
            </w:r>
          </w:p>
        </w:tc>
        <w:tc>
          <w:tcPr>
            <w:tcW w:w="1457" w:type="pct"/>
            <w:vAlign w:val="center"/>
          </w:tcPr>
          <w:p w14:paraId="5260C788">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考虑岸线熏烟</w:t>
            </w:r>
          </w:p>
        </w:tc>
        <w:tc>
          <w:tcPr>
            <w:tcW w:w="1904" w:type="pct"/>
            <w:vAlign w:val="center"/>
          </w:tcPr>
          <w:p w14:paraId="53DD426B">
            <w:pPr>
              <w:pStyle w:val="36"/>
              <w:tabs>
                <w:tab w:val="left" w:pos="627"/>
              </w:tabs>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8"/>
                <w14:textFill>
                  <w14:solidFill>
                    <w14:schemeClr w14:val="tx1"/>
                  </w14:solidFill>
                </w14:textFill>
              </w:rPr>
              <w:t>□</w:t>
            </w:r>
            <w:r>
              <w:rPr>
                <w:rFonts w:hint="default" w:ascii="Times New Roman" w:hAnsi="Times New Roman" w:eastAsia="宋体" w:cs="Times New Roman"/>
                <w:color w:val="000000" w:themeColor="text1"/>
                <w:sz w:val="21"/>
                <w14:textFill>
                  <w14:solidFill>
                    <w14:schemeClr w14:val="tx1"/>
                  </w14:solidFill>
                </w14:textFill>
              </w:rPr>
              <w:t>是</w:t>
            </w:r>
            <w:r>
              <w:rPr>
                <w:rFonts w:hint="default" w:ascii="Times New Roman" w:hAnsi="Times New Roman" w:eastAsia="宋体" w:cs="Times New Roman"/>
                <w:color w:val="000000" w:themeColor="text1"/>
                <w:sz w:val="21"/>
                <w14:textFill>
                  <w14:solidFill>
                    <w14:schemeClr w14:val="tx1"/>
                  </w14:solidFill>
                </w14:textFill>
              </w:rPr>
              <w:tab/>
            </w:r>
            <w:r>
              <w:rPr>
                <w:rFonts w:hint="default" w:ascii="Times New Roman" w:hAnsi="Times New Roman" w:eastAsia="宋体" w:cs="Times New Roman"/>
                <w:color w:val="000000" w:themeColor="text1"/>
                <w:sz w:val="28"/>
                <w14:textFill>
                  <w14:solidFill>
                    <w14:schemeClr w14:val="tx1"/>
                  </w14:solidFill>
                </w14:textFill>
              </w:rPr>
              <w:t>√</w:t>
            </w:r>
            <w:r>
              <w:rPr>
                <w:rFonts w:hint="default" w:ascii="Times New Roman" w:hAnsi="Times New Roman" w:eastAsia="宋体" w:cs="Times New Roman"/>
                <w:color w:val="000000" w:themeColor="text1"/>
                <w:sz w:val="21"/>
                <w14:textFill>
                  <w14:solidFill>
                    <w14:schemeClr w14:val="tx1"/>
                  </w14:solidFill>
                </w14:textFill>
              </w:rPr>
              <w:t>否</w:t>
            </w:r>
          </w:p>
        </w:tc>
      </w:tr>
      <w:tr w14:paraId="6C319F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639" w:type="pct"/>
            <w:vMerge w:val="continue"/>
            <w:vAlign w:val="center"/>
          </w:tcPr>
          <w:p w14:paraId="74C43C2C">
            <w:pPr>
              <w:spacing w:line="240" w:lineRule="auto"/>
              <w:ind w:firstLine="0" w:firstLineChars="0"/>
              <w:jc w:val="center"/>
              <w:rPr>
                <w:rFonts w:hint="default" w:ascii="Times New Roman" w:hAnsi="Times New Roman" w:eastAsia="宋体" w:cs="Times New Roman"/>
                <w:color w:val="000000" w:themeColor="text1"/>
                <w:sz w:val="2"/>
                <w:szCs w:val="2"/>
                <w14:textFill>
                  <w14:solidFill>
                    <w14:schemeClr w14:val="tx1"/>
                  </w14:solidFill>
                </w14:textFill>
              </w:rPr>
            </w:pPr>
          </w:p>
        </w:tc>
        <w:tc>
          <w:tcPr>
            <w:tcW w:w="1457" w:type="pct"/>
            <w:vAlign w:val="center"/>
          </w:tcPr>
          <w:p w14:paraId="4267C5C4">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岸线距离/km</w:t>
            </w:r>
          </w:p>
        </w:tc>
        <w:tc>
          <w:tcPr>
            <w:tcW w:w="1904" w:type="pct"/>
            <w:vAlign w:val="center"/>
          </w:tcPr>
          <w:p w14:paraId="72EB16A8">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w:t>
            </w:r>
          </w:p>
        </w:tc>
      </w:tr>
      <w:tr w14:paraId="39720B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639" w:type="pct"/>
            <w:vMerge w:val="continue"/>
            <w:vAlign w:val="center"/>
          </w:tcPr>
          <w:p w14:paraId="06EA2300">
            <w:pPr>
              <w:spacing w:line="240" w:lineRule="auto"/>
              <w:ind w:firstLine="0" w:firstLineChars="0"/>
              <w:jc w:val="center"/>
              <w:rPr>
                <w:rFonts w:hint="default" w:ascii="Times New Roman" w:hAnsi="Times New Roman" w:eastAsia="宋体" w:cs="Times New Roman"/>
                <w:color w:val="000000" w:themeColor="text1"/>
                <w:sz w:val="2"/>
                <w:szCs w:val="2"/>
                <w14:textFill>
                  <w14:solidFill>
                    <w14:schemeClr w14:val="tx1"/>
                  </w14:solidFill>
                </w14:textFill>
              </w:rPr>
            </w:pPr>
          </w:p>
        </w:tc>
        <w:tc>
          <w:tcPr>
            <w:tcW w:w="1457" w:type="pct"/>
            <w:vAlign w:val="center"/>
          </w:tcPr>
          <w:p w14:paraId="67E20A3E">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岸线方向/°</w:t>
            </w:r>
          </w:p>
        </w:tc>
        <w:tc>
          <w:tcPr>
            <w:tcW w:w="1904" w:type="pct"/>
            <w:vAlign w:val="center"/>
          </w:tcPr>
          <w:p w14:paraId="5FC8922E">
            <w:pPr>
              <w:pStyle w:val="36"/>
              <w:spacing w:line="240" w:lineRule="auto"/>
              <w:ind w:firstLine="0" w:firstLineChars="0"/>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w:t>
            </w:r>
          </w:p>
        </w:tc>
      </w:tr>
    </w:tbl>
    <w:p w14:paraId="092C361A">
      <w:pPr>
        <w:ind w:firstLine="480"/>
        <w:rPr>
          <w:rFonts w:hint="default" w:ascii="Times New Roman" w:hAnsi="Times New Roman" w:eastAsia="宋体" w:cs="Times New Roman"/>
          <w:color w:val="000000" w:themeColor="text1"/>
          <w14:textFill>
            <w14:solidFill>
              <w14:schemeClr w14:val="tx1"/>
            </w14:solidFill>
          </w14:textFill>
        </w:rPr>
      </w:pPr>
    </w:p>
    <w:p w14:paraId="62ACB654">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②估算模型计算结果：</w:t>
      </w:r>
    </w:p>
    <w:p w14:paraId="03C20362">
      <w:pPr>
        <w:ind w:firstLine="480"/>
        <w:rPr>
          <w:rFonts w:hint="default" w:ascii="Times New Roman" w:hAnsi="Times New Roman" w:eastAsia="宋体" w:cs="Times New Roman"/>
          <w:color w:val="0000FF"/>
        </w:rPr>
      </w:pPr>
      <w:r>
        <w:rPr>
          <w:rFonts w:hint="default" w:ascii="Times New Roman" w:hAnsi="Times New Roman" w:eastAsia="宋体" w:cs="Times New Roman"/>
          <w:color w:val="0000FF"/>
        </w:rPr>
        <w:t>采用导则推荐的估算模式计算最大落地浓度和占标率，本项目所有污染源的正常排放的污染物的Pmax和D10%预测结果详见下表。</w:t>
      </w:r>
    </w:p>
    <w:p w14:paraId="215355F9">
      <w:pPr>
        <w:ind w:firstLine="0" w:firstLineChars="0"/>
        <w:jc w:val="center"/>
        <w:rPr>
          <w:rFonts w:hint="default" w:ascii="Times New Roman" w:hAnsi="Times New Roman" w:eastAsia="宋体" w:cs="Times New Roman"/>
          <w:b/>
          <w:bCs/>
          <w:color w:val="0000FF"/>
        </w:rPr>
      </w:pPr>
      <w:r>
        <w:rPr>
          <w:rFonts w:hint="default" w:ascii="Times New Roman" w:hAnsi="Times New Roman" w:eastAsia="宋体" w:cs="Times New Roman"/>
          <w:b/>
          <w:bCs/>
          <w:color w:val="0000FF"/>
        </w:rPr>
        <w:t>表6.2-5主要污染源估算模型计算结果表</w:t>
      </w:r>
    </w:p>
    <w:tbl>
      <w:tblPr>
        <w:tblStyle w:val="29"/>
        <w:tblW w:w="9925" w:type="dxa"/>
        <w:jc w:val="center"/>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Layout w:type="fixed"/>
        <w:tblCellMar>
          <w:top w:w="0" w:type="dxa"/>
          <w:left w:w="108" w:type="dxa"/>
          <w:bottom w:w="0" w:type="dxa"/>
          <w:right w:w="108" w:type="dxa"/>
        </w:tblCellMar>
      </w:tblPr>
      <w:tblGrid>
        <w:gridCol w:w="703"/>
        <w:gridCol w:w="955"/>
        <w:gridCol w:w="817"/>
        <w:gridCol w:w="717"/>
        <w:gridCol w:w="733"/>
        <w:gridCol w:w="825"/>
        <w:gridCol w:w="767"/>
        <w:gridCol w:w="741"/>
        <w:gridCol w:w="692"/>
        <w:gridCol w:w="1072"/>
        <w:gridCol w:w="1109"/>
        <w:gridCol w:w="794"/>
      </w:tblGrid>
      <w:tr w14:paraId="26CAE421">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23" w:hRule="atLeast"/>
          <w:jc w:val="center"/>
        </w:trPr>
        <w:tc>
          <w:tcPr>
            <w:tcW w:w="703" w:type="dxa"/>
            <w:vMerge w:val="restart"/>
            <w:vAlign w:val="center"/>
          </w:tcPr>
          <w:p w14:paraId="229C614A">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default" w:ascii="Times New Roman" w:hAnsi="Times New Roman" w:cs="Times New Roman" w:eastAsiaTheme="minorEastAsia"/>
                <w:b/>
                <w:bCs/>
                <w:color w:val="0000FF"/>
                <w:sz w:val="21"/>
                <w:szCs w:val="21"/>
              </w:rPr>
            </w:pPr>
            <w:r>
              <w:rPr>
                <w:rFonts w:hint="default" w:ascii="Times New Roman" w:hAnsi="Times New Roman" w:cs="Times New Roman" w:eastAsiaTheme="minorEastAsia"/>
                <w:b/>
                <w:bCs/>
                <w:color w:val="0000FF"/>
                <w:sz w:val="21"/>
                <w:szCs w:val="21"/>
              </w:rPr>
              <w:t>污染源名称</w:t>
            </w:r>
          </w:p>
        </w:tc>
        <w:tc>
          <w:tcPr>
            <w:tcW w:w="1772" w:type="dxa"/>
            <w:gridSpan w:val="2"/>
            <w:vAlign w:val="center"/>
          </w:tcPr>
          <w:p w14:paraId="0911C3CF">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eastAsia" w:ascii="Times New Roman" w:hAnsi="Times New Roman" w:cs="Times New Roman" w:eastAsiaTheme="minorEastAsia"/>
                <w:b/>
                <w:bCs/>
                <w:color w:val="0000FF"/>
                <w:sz w:val="21"/>
                <w:szCs w:val="21"/>
                <w:lang w:eastAsia="zh-CN"/>
              </w:rPr>
            </w:pPr>
            <w:r>
              <w:rPr>
                <w:rFonts w:hint="default" w:ascii="Times New Roman" w:hAnsi="Times New Roman" w:cs="Times New Roman" w:eastAsiaTheme="minorEastAsia"/>
                <w:b/>
                <w:bCs/>
                <w:color w:val="0000FF"/>
                <w:sz w:val="21"/>
                <w:szCs w:val="21"/>
              </w:rPr>
              <w:t>坐标</w:t>
            </w:r>
            <w:r>
              <w:rPr>
                <w:rFonts w:hint="eastAsia" w:cs="Times New Roman" w:eastAsiaTheme="minorEastAsia"/>
                <w:b/>
                <w:bCs/>
                <w:color w:val="0000FF"/>
                <w:sz w:val="21"/>
                <w:szCs w:val="21"/>
                <w:lang w:eastAsia="zh-CN"/>
              </w:rPr>
              <w:t>（</w:t>
            </w:r>
            <w:r>
              <w:rPr>
                <w:rFonts w:hint="default" w:ascii="Times New Roman" w:hAnsi="Times New Roman" w:cs="Times New Roman" w:eastAsiaTheme="minorEastAsia"/>
                <w:b/>
                <w:bCs/>
                <w:color w:val="0000FF"/>
                <w:sz w:val="21"/>
                <w:szCs w:val="21"/>
              </w:rPr>
              <w:t>°</w:t>
            </w:r>
            <w:r>
              <w:rPr>
                <w:rFonts w:hint="eastAsia" w:cs="Times New Roman" w:eastAsiaTheme="minorEastAsia"/>
                <w:b/>
                <w:bCs/>
                <w:color w:val="0000FF"/>
                <w:sz w:val="21"/>
                <w:szCs w:val="21"/>
                <w:lang w:eastAsia="zh-CN"/>
              </w:rPr>
              <w:t>）</w:t>
            </w:r>
          </w:p>
        </w:tc>
        <w:tc>
          <w:tcPr>
            <w:tcW w:w="717" w:type="dxa"/>
            <w:vMerge w:val="restart"/>
            <w:vAlign w:val="center"/>
          </w:tcPr>
          <w:p w14:paraId="373BB208">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eastAsia" w:ascii="Times New Roman" w:hAnsi="Times New Roman" w:cs="Times New Roman" w:eastAsiaTheme="minorEastAsia"/>
                <w:b/>
                <w:bCs/>
                <w:color w:val="0000FF"/>
                <w:sz w:val="21"/>
                <w:szCs w:val="21"/>
                <w:lang w:eastAsia="zh-CN"/>
              </w:rPr>
            </w:pPr>
            <w:r>
              <w:rPr>
                <w:rFonts w:hint="default" w:ascii="Times New Roman" w:hAnsi="Times New Roman" w:cs="Times New Roman" w:eastAsiaTheme="minorEastAsia"/>
                <w:b/>
                <w:bCs/>
                <w:color w:val="0000FF"/>
                <w:sz w:val="21"/>
                <w:szCs w:val="21"/>
              </w:rPr>
              <w:t>海拔高度</w:t>
            </w:r>
            <w:r>
              <w:rPr>
                <w:rFonts w:hint="eastAsia" w:cs="Times New Roman" w:eastAsiaTheme="minorEastAsia"/>
                <w:b/>
                <w:bCs/>
                <w:color w:val="0000FF"/>
                <w:sz w:val="21"/>
                <w:szCs w:val="21"/>
                <w:lang w:eastAsia="zh-CN"/>
              </w:rPr>
              <w:t>（</w:t>
            </w:r>
            <w:r>
              <w:rPr>
                <w:rFonts w:hint="default" w:ascii="Times New Roman" w:hAnsi="Times New Roman" w:cs="Times New Roman" w:eastAsiaTheme="minorEastAsia"/>
                <w:b/>
                <w:bCs/>
                <w:color w:val="0000FF"/>
                <w:sz w:val="21"/>
                <w:szCs w:val="21"/>
              </w:rPr>
              <w:t>m</w:t>
            </w:r>
            <w:r>
              <w:rPr>
                <w:rFonts w:hint="eastAsia" w:cs="Times New Roman" w:eastAsiaTheme="minorEastAsia"/>
                <w:b/>
                <w:bCs/>
                <w:color w:val="0000FF"/>
                <w:sz w:val="21"/>
                <w:szCs w:val="21"/>
                <w:lang w:eastAsia="zh-CN"/>
              </w:rPr>
              <w:t>）</w:t>
            </w:r>
          </w:p>
        </w:tc>
        <w:tc>
          <w:tcPr>
            <w:tcW w:w="2325" w:type="dxa"/>
            <w:gridSpan w:val="3"/>
            <w:vAlign w:val="center"/>
          </w:tcPr>
          <w:p w14:paraId="791386EE">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default" w:ascii="Times New Roman" w:hAnsi="Times New Roman" w:cs="Times New Roman" w:eastAsiaTheme="minorEastAsia"/>
                <w:b/>
                <w:bCs/>
                <w:color w:val="0000FF"/>
                <w:sz w:val="21"/>
                <w:szCs w:val="21"/>
              </w:rPr>
            </w:pPr>
            <w:r>
              <w:rPr>
                <w:rFonts w:hint="default" w:ascii="Times New Roman" w:hAnsi="Times New Roman" w:cs="Times New Roman" w:eastAsiaTheme="minorEastAsia"/>
                <w:b/>
                <w:bCs/>
                <w:color w:val="0000FF"/>
                <w:sz w:val="21"/>
                <w:szCs w:val="21"/>
              </w:rPr>
              <w:t>矩形面源</w:t>
            </w:r>
          </w:p>
        </w:tc>
        <w:tc>
          <w:tcPr>
            <w:tcW w:w="741" w:type="dxa"/>
            <w:vMerge w:val="restart"/>
            <w:vAlign w:val="center"/>
          </w:tcPr>
          <w:p w14:paraId="6BF6AF0F">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eastAsiaTheme="minorEastAsia"/>
                <w:b/>
                <w:bCs/>
                <w:color w:val="0000FF"/>
                <w:sz w:val="21"/>
                <w:szCs w:val="21"/>
              </w:rPr>
            </w:pPr>
            <w:r>
              <w:rPr>
                <w:rFonts w:hint="default" w:ascii="Times New Roman" w:hAnsi="Times New Roman" w:eastAsia="宋体" w:cs="Times New Roman"/>
                <w:b/>
                <w:bCs/>
                <w:color w:val="0000FF"/>
                <w:sz w:val="21"/>
                <w:szCs w:val="21"/>
              </w:rPr>
              <w:t>年排放小时数</w:t>
            </w:r>
          </w:p>
        </w:tc>
        <w:tc>
          <w:tcPr>
            <w:tcW w:w="692" w:type="dxa"/>
            <w:vMerge w:val="restart"/>
            <w:vAlign w:val="center"/>
          </w:tcPr>
          <w:p w14:paraId="0D982D9B">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eastAsiaTheme="minorEastAsia"/>
                <w:b/>
                <w:bCs/>
                <w:color w:val="0000FF"/>
                <w:sz w:val="21"/>
                <w:szCs w:val="21"/>
              </w:rPr>
            </w:pPr>
            <w:r>
              <w:rPr>
                <w:rFonts w:hint="default" w:ascii="Times New Roman" w:hAnsi="Times New Roman" w:eastAsia="宋体" w:cs="Times New Roman"/>
                <w:b/>
                <w:bCs/>
                <w:color w:val="0000FF"/>
                <w:sz w:val="21"/>
                <w:szCs w:val="21"/>
              </w:rPr>
              <w:t>排放工况</w:t>
            </w:r>
          </w:p>
        </w:tc>
        <w:tc>
          <w:tcPr>
            <w:tcW w:w="2975" w:type="dxa"/>
            <w:gridSpan w:val="3"/>
            <w:vAlign w:val="center"/>
          </w:tcPr>
          <w:p w14:paraId="74F2C7A8">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eastAsia" w:ascii="Times New Roman" w:hAnsi="Times New Roman" w:cs="Times New Roman" w:eastAsiaTheme="minorEastAsia"/>
                <w:b/>
                <w:bCs/>
                <w:color w:val="0000FF"/>
                <w:sz w:val="21"/>
                <w:szCs w:val="21"/>
                <w:lang w:eastAsia="zh-CN"/>
              </w:rPr>
            </w:pPr>
            <w:r>
              <w:rPr>
                <w:rFonts w:hint="default" w:ascii="Times New Roman" w:hAnsi="Times New Roman" w:cs="Times New Roman" w:eastAsiaTheme="minorEastAsia"/>
                <w:b/>
                <w:bCs/>
                <w:color w:val="0000FF"/>
                <w:sz w:val="21"/>
                <w:szCs w:val="21"/>
              </w:rPr>
              <w:t>污染物排放速率</w:t>
            </w:r>
            <w:r>
              <w:rPr>
                <w:rFonts w:hint="eastAsia" w:cs="Times New Roman" w:eastAsiaTheme="minorEastAsia"/>
                <w:b/>
                <w:bCs/>
                <w:color w:val="0000FF"/>
                <w:sz w:val="21"/>
                <w:szCs w:val="21"/>
                <w:lang w:eastAsia="zh-CN"/>
              </w:rPr>
              <w:t>（</w:t>
            </w:r>
            <w:r>
              <w:rPr>
                <w:rFonts w:hint="default" w:ascii="Times New Roman" w:hAnsi="Times New Roman" w:cs="Times New Roman" w:eastAsiaTheme="minorEastAsia"/>
                <w:b/>
                <w:bCs/>
                <w:color w:val="0000FF"/>
                <w:sz w:val="21"/>
                <w:szCs w:val="21"/>
              </w:rPr>
              <w:t>kg/h</w:t>
            </w:r>
            <w:r>
              <w:rPr>
                <w:rFonts w:hint="eastAsia" w:cs="Times New Roman" w:eastAsiaTheme="minorEastAsia"/>
                <w:b/>
                <w:bCs/>
                <w:color w:val="0000FF"/>
                <w:sz w:val="21"/>
                <w:szCs w:val="21"/>
                <w:lang w:eastAsia="zh-CN"/>
              </w:rPr>
              <w:t>）</w:t>
            </w:r>
          </w:p>
        </w:tc>
      </w:tr>
      <w:tr w14:paraId="23D42DF7">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23" w:hRule="atLeast"/>
          <w:jc w:val="center"/>
        </w:trPr>
        <w:tc>
          <w:tcPr>
            <w:tcW w:w="703" w:type="dxa"/>
            <w:vMerge w:val="continue"/>
            <w:vAlign w:val="center"/>
          </w:tcPr>
          <w:p w14:paraId="6B1653AB">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default" w:ascii="Times New Roman" w:hAnsi="Times New Roman" w:cs="Times New Roman" w:eastAsiaTheme="minorEastAsia"/>
                <w:b/>
                <w:bCs/>
                <w:color w:val="0000FF"/>
                <w:sz w:val="21"/>
                <w:szCs w:val="21"/>
              </w:rPr>
            </w:pPr>
          </w:p>
        </w:tc>
        <w:tc>
          <w:tcPr>
            <w:tcW w:w="955" w:type="dxa"/>
            <w:vAlign w:val="center"/>
          </w:tcPr>
          <w:p w14:paraId="7ABEF5FD">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default" w:ascii="Times New Roman" w:hAnsi="Times New Roman" w:cs="Times New Roman" w:eastAsiaTheme="minorEastAsia"/>
                <w:b/>
                <w:bCs/>
                <w:color w:val="0000FF"/>
                <w:sz w:val="21"/>
                <w:szCs w:val="21"/>
              </w:rPr>
            </w:pPr>
            <w:r>
              <w:rPr>
                <w:rFonts w:hint="default" w:ascii="Times New Roman" w:hAnsi="Times New Roman" w:cs="Times New Roman" w:eastAsiaTheme="minorEastAsia"/>
                <w:b/>
                <w:bCs/>
                <w:color w:val="0000FF"/>
                <w:sz w:val="21"/>
                <w:szCs w:val="21"/>
              </w:rPr>
              <w:t>经度</w:t>
            </w:r>
          </w:p>
        </w:tc>
        <w:tc>
          <w:tcPr>
            <w:tcW w:w="817" w:type="dxa"/>
            <w:vAlign w:val="center"/>
          </w:tcPr>
          <w:p w14:paraId="7383220A">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default" w:ascii="Times New Roman" w:hAnsi="Times New Roman" w:cs="Times New Roman" w:eastAsiaTheme="minorEastAsia"/>
                <w:b/>
                <w:bCs/>
                <w:color w:val="0000FF"/>
                <w:sz w:val="21"/>
                <w:szCs w:val="21"/>
              </w:rPr>
            </w:pPr>
            <w:r>
              <w:rPr>
                <w:rFonts w:hint="default" w:ascii="Times New Roman" w:hAnsi="Times New Roman" w:cs="Times New Roman" w:eastAsiaTheme="minorEastAsia"/>
                <w:b/>
                <w:bCs/>
                <w:color w:val="0000FF"/>
                <w:sz w:val="21"/>
                <w:szCs w:val="21"/>
              </w:rPr>
              <w:t>纬度</w:t>
            </w:r>
          </w:p>
        </w:tc>
        <w:tc>
          <w:tcPr>
            <w:tcW w:w="717" w:type="dxa"/>
            <w:vMerge w:val="continue"/>
            <w:vAlign w:val="center"/>
          </w:tcPr>
          <w:p w14:paraId="12F95CD8">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default" w:ascii="Times New Roman" w:hAnsi="Times New Roman" w:cs="Times New Roman" w:eastAsiaTheme="minorEastAsia"/>
                <w:b/>
                <w:bCs/>
                <w:color w:val="0000FF"/>
                <w:sz w:val="21"/>
                <w:szCs w:val="21"/>
              </w:rPr>
            </w:pPr>
          </w:p>
        </w:tc>
        <w:tc>
          <w:tcPr>
            <w:tcW w:w="733" w:type="dxa"/>
            <w:vAlign w:val="center"/>
          </w:tcPr>
          <w:p w14:paraId="42502CC0">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eastAsia" w:ascii="Times New Roman" w:hAnsi="Times New Roman" w:cs="Times New Roman" w:eastAsiaTheme="minorEastAsia"/>
                <w:b/>
                <w:bCs/>
                <w:color w:val="0000FF"/>
                <w:sz w:val="21"/>
                <w:szCs w:val="21"/>
                <w:lang w:eastAsia="zh-CN"/>
              </w:rPr>
            </w:pPr>
            <w:r>
              <w:rPr>
                <w:rFonts w:hint="default" w:ascii="Times New Roman" w:hAnsi="Times New Roman" w:cs="Times New Roman" w:eastAsiaTheme="minorEastAsia"/>
                <w:b/>
                <w:bCs/>
                <w:color w:val="0000FF"/>
                <w:sz w:val="21"/>
                <w:szCs w:val="21"/>
              </w:rPr>
              <w:t>长度</w:t>
            </w:r>
            <w:r>
              <w:rPr>
                <w:rFonts w:hint="eastAsia" w:cs="Times New Roman" w:eastAsiaTheme="minorEastAsia"/>
                <w:b/>
                <w:bCs/>
                <w:color w:val="0000FF"/>
                <w:sz w:val="21"/>
                <w:szCs w:val="21"/>
                <w:lang w:eastAsia="zh-CN"/>
              </w:rPr>
              <w:t>（</w:t>
            </w:r>
            <w:r>
              <w:rPr>
                <w:rFonts w:hint="default" w:ascii="Times New Roman" w:hAnsi="Times New Roman" w:cs="Times New Roman" w:eastAsiaTheme="minorEastAsia"/>
                <w:b/>
                <w:bCs/>
                <w:color w:val="0000FF"/>
                <w:sz w:val="21"/>
                <w:szCs w:val="21"/>
              </w:rPr>
              <w:t>m</w:t>
            </w:r>
            <w:r>
              <w:rPr>
                <w:rFonts w:hint="eastAsia" w:cs="Times New Roman" w:eastAsiaTheme="minorEastAsia"/>
                <w:b/>
                <w:bCs/>
                <w:color w:val="0000FF"/>
                <w:sz w:val="21"/>
                <w:szCs w:val="21"/>
                <w:lang w:eastAsia="zh-CN"/>
              </w:rPr>
              <w:t>）</w:t>
            </w:r>
          </w:p>
        </w:tc>
        <w:tc>
          <w:tcPr>
            <w:tcW w:w="825" w:type="dxa"/>
            <w:vAlign w:val="center"/>
          </w:tcPr>
          <w:p w14:paraId="6C63329B">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eastAsia" w:ascii="Times New Roman" w:hAnsi="Times New Roman" w:cs="Times New Roman" w:eastAsiaTheme="minorEastAsia"/>
                <w:b/>
                <w:bCs/>
                <w:color w:val="0000FF"/>
                <w:sz w:val="21"/>
                <w:szCs w:val="21"/>
                <w:lang w:eastAsia="zh-CN"/>
              </w:rPr>
            </w:pPr>
            <w:r>
              <w:rPr>
                <w:rFonts w:hint="default" w:ascii="Times New Roman" w:hAnsi="Times New Roman" w:cs="Times New Roman" w:eastAsiaTheme="minorEastAsia"/>
                <w:b/>
                <w:bCs/>
                <w:color w:val="0000FF"/>
                <w:sz w:val="21"/>
                <w:szCs w:val="21"/>
              </w:rPr>
              <w:t>宽度</w:t>
            </w:r>
            <w:r>
              <w:rPr>
                <w:rFonts w:hint="eastAsia" w:cs="Times New Roman" w:eastAsiaTheme="minorEastAsia"/>
                <w:b/>
                <w:bCs/>
                <w:color w:val="0000FF"/>
                <w:sz w:val="21"/>
                <w:szCs w:val="21"/>
                <w:lang w:eastAsia="zh-CN"/>
              </w:rPr>
              <w:t>（</w:t>
            </w:r>
            <w:r>
              <w:rPr>
                <w:rFonts w:hint="default" w:ascii="Times New Roman" w:hAnsi="Times New Roman" w:cs="Times New Roman" w:eastAsiaTheme="minorEastAsia"/>
                <w:b/>
                <w:bCs/>
                <w:color w:val="0000FF"/>
                <w:sz w:val="21"/>
                <w:szCs w:val="21"/>
              </w:rPr>
              <w:t>m</w:t>
            </w:r>
            <w:r>
              <w:rPr>
                <w:rFonts w:hint="eastAsia" w:cs="Times New Roman" w:eastAsiaTheme="minorEastAsia"/>
                <w:b/>
                <w:bCs/>
                <w:color w:val="0000FF"/>
                <w:sz w:val="21"/>
                <w:szCs w:val="21"/>
                <w:lang w:eastAsia="zh-CN"/>
              </w:rPr>
              <w:t>）</w:t>
            </w:r>
          </w:p>
        </w:tc>
        <w:tc>
          <w:tcPr>
            <w:tcW w:w="767" w:type="dxa"/>
            <w:vAlign w:val="center"/>
          </w:tcPr>
          <w:p w14:paraId="5E45FD53">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eastAsia" w:ascii="Times New Roman" w:hAnsi="Times New Roman" w:cs="Times New Roman" w:eastAsiaTheme="minorEastAsia"/>
                <w:b/>
                <w:bCs/>
                <w:color w:val="0000FF"/>
                <w:sz w:val="21"/>
                <w:szCs w:val="21"/>
                <w:lang w:eastAsia="zh-CN"/>
              </w:rPr>
            </w:pPr>
            <w:r>
              <w:rPr>
                <w:rFonts w:hint="default" w:ascii="Times New Roman" w:hAnsi="Times New Roman" w:cs="Times New Roman" w:eastAsiaTheme="minorEastAsia"/>
                <w:b/>
                <w:bCs/>
                <w:color w:val="0000FF"/>
                <w:sz w:val="21"/>
                <w:szCs w:val="21"/>
              </w:rPr>
              <w:t>有效高度</w:t>
            </w:r>
            <w:r>
              <w:rPr>
                <w:rFonts w:hint="eastAsia" w:cs="Times New Roman" w:eastAsiaTheme="minorEastAsia"/>
                <w:b/>
                <w:bCs/>
                <w:color w:val="0000FF"/>
                <w:sz w:val="21"/>
                <w:szCs w:val="21"/>
                <w:lang w:eastAsia="zh-CN"/>
              </w:rPr>
              <w:t>（</w:t>
            </w:r>
            <w:r>
              <w:rPr>
                <w:rFonts w:hint="default" w:ascii="Times New Roman" w:hAnsi="Times New Roman" w:cs="Times New Roman" w:eastAsiaTheme="minorEastAsia"/>
                <w:b/>
                <w:bCs/>
                <w:color w:val="0000FF"/>
                <w:sz w:val="21"/>
                <w:szCs w:val="21"/>
              </w:rPr>
              <w:t>m</w:t>
            </w:r>
            <w:r>
              <w:rPr>
                <w:rFonts w:hint="eastAsia" w:cs="Times New Roman" w:eastAsiaTheme="minorEastAsia"/>
                <w:b/>
                <w:bCs/>
                <w:color w:val="0000FF"/>
                <w:sz w:val="21"/>
                <w:szCs w:val="21"/>
                <w:lang w:eastAsia="zh-CN"/>
              </w:rPr>
              <w:t>）</w:t>
            </w:r>
          </w:p>
        </w:tc>
        <w:tc>
          <w:tcPr>
            <w:tcW w:w="741" w:type="dxa"/>
            <w:vMerge w:val="continue"/>
            <w:vAlign w:val="center"/>
          </w:tcPr>
          <w:p w14:paraId="645F2AF6">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eastAsiaTheme="minorEastAsia"/>
                <w:b/>
                <w:bCs/>
                <w:color w:val="0000FF"/>
                <w:sz w:val="21"/>
                <w:szCs w:val="21"/>
              </w:rPr>
            </w:pPr>
          </w:p>
        </w:tc>
        <w:tc>
          <w:tcPr>
            <w:tcW w:w="692" w:type="dxa"/>
            <w:vMerge w:val="continue"/>
            <w:vAlign w:val="center"/>
          </w:tcPr>
          <w:p w14:paraId="416C2DB4">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eastAsiaTheme="minorEastAsia"/>
                <w:b/>
                <w:bCs/>
                <w:color w:val="0000FF"/>
                <w:sz w:val="21"/>
                <w:szCs w:val="21"/>
              </w:rPr>
            </w:pPr>
          </w:p>
        </w:tc>
        <w:tc>
          <w:tcPr>
            <w:tcW w:w="1072" w:type="dxa"/>
            <w:vAlign w:val="center"/>
          </w:tcPr>
          <w:p w14:paraId="10E4D664">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default" w:ascii="Times New Roman" w:hAnsi="Times New Roman" w:cs="Times New Roman" w:eastAsiaTheme="minorEastAsia"/>
                <w:b/>
                <w:bCs/>
                <w:color w:val="0000FF"/>
                <w:sz w:val="21"/>
                <w:szCs w:val="21"/>
              </w:rPr>
            </w:pPr>
            <w:r>
              <w:rPr>
                <w:rFonts w:hint="default" w:ascii="Times New Roman" w:hAnsi="Times New Roman" w:cs="Times New Roman" w:eastAsiaTheme="minorEastAsia"/>
                <w:b/>
                <w:bCs/>
                <w:color w:val="0000FF"/>
                <w:sz w:val="21"/>
                <w:szCs w:val="21"/>
              </w:rPr>
              <w:t>H</w:t>
            </w:r>
            <w:r>
              <w:rPr>
                <w:rFonts w:hint="default" w:ascii="Times New Roman" w:hAnsi="Times New Roman" w:cs="Times New Roman" w:eastAsiaTheme="minorEastAsia"/>
                <w:b/>
                <w:bCs/>
                <w:color w:val="0000FF"/>
                <w:sz w:val="21"/>
                <w:szCs w:val="21"/>
                <w:vertAlign w:val="subscript"/>
              </w:rPr>
              <w:t>2</w:t>
            </w:r>
            <w:r>
              <w:rPr>
                <w:rFonts w:hint="default" w:ascii="Times New Roman" w:hAnsi="Times New Roman" w:cs="Times New Roman" w:eastAsiaTheme="minorEastAsia"/>
                <w:b/>
                <w:bCs/>
                <w:color w:val="0000FF"/>
                <w:sz w:val="21"/>
                <w:szCs w:val="21"/>
              </w:rPr>
              <w:t>S</w:t>
            </w:r>
          </w:p>
        </w:tc>
        <w:tc>
          <w:tcPr>
            <w:tcW w:w="1109" w:type="dxa"/>
            <w:vAlign w:val="center"/>
          </w:tcPr>
          <w:p w14:paraId="0047AD73">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default" w:ascii="Times New Roman" w:hAnsi="Times New Roman" w:cs="Times New Roman" w:eastAsiaTheme="minorEastAsia"/>
                <w:b/>
                <w:bCs/>
                <w:color w:val="0000FF"/>
                <w:sz w:val="21"/>
                <w:szCs w:val="21"/>
              </w:rPr>
            </w:pPr>
            <w:r>
              <w:rPr>
                <w:rFonts w:hint="default" w:ascii="Times New Roman" w:hAnsi="Times New Roman" w:cs="Times New Roman" w:eastAsiaTheme="minorEastAsia"/>
                <w:b/>
                <w:bCs/>
                <w:color w:val="0000FF"/>
                <w:sz w:val="21"/>
                <w:szCs w:val="21"/>
              </w:rPr>
              <w:t>NH</w:t>
            </w:r>
            <w:r>
              <w:rPr>
                <w:rFonts w:hint="default" w:ascii="Times New Roman" w:hAnsi="Times New Roman" w:cs="Times New Roman" w:eastAsiaTheme="minorEastAsia"/>
                <w:b/>
                <w:bCs/>
                <w:color w:val="0000FF"/>
                <w:sz w:val="21"/>
                <w:szCs w:val="21"/>
                <w:vertAlign w:val="subscript"/>
              </w:rPr>
              <w:t>3</w:t>
            </w:r>
          </w:p>
        </w:tc>
        <w:tc>
          <w:tcPr>
            <w:tcW w:w="794" w:type="dxa"/>
            <w:vAlign w:val="center"/>
          </w:tcPr>
          <w:p w14:paraId="1370E547">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default" w:ascii="Times New Roman" w:hAnsi="Times New Roman" w:cs="Times New Roman" w:eastAsiaTheme="minorEastAsia"/>
                <w:b/>
                <w:bCs/>
                <w:color w:val="0000FF"/>
                <w:sz w:val="21"/>
                <w:szCs w:val="21"/>
              </w:rPr>
            </w:pPr>
            <w:r>
              <w:rPr>
                <w:rFonts w:hint="default" w:ascii="Times New Roman" w:hAnsi="Times New Roman" w:cs="Times New Roman" w:eastAsiaTheme="minorEastAsia"/>
                <w:b/>
                <w:bCs/>
                <w:color w:val="0000FF"/>
                <w:sz w:val="21"/>
                <w:szCs w:val="21"/>
              </w:rPr>
              <w:t>TSP</w:t>
            </w:r>
          </w:p>
        </w:tc>
      </w:tr>
      <w:tr w14:paraId="04C14628">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23" w:hRule="atLeast"/>
          <w:jc w:val="center"/>
        </w:trPr>
        <w:tc>
          <w:tcPr>
            <w:tcW w:w="703" w:type="dxa"/>
            <w:vAlign w:val="center"/>
          </w:tcPr>
          <w:p w14:paraId="0AD6BA38">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default" w:ascii="Times New Roman" w:hAnsi="Times New Roman" w:cs="Times New Roman" w:eastAsiaTheme="minorEastAsia"/>
                <w:color w:val="0000FF"/>
                <w:sz w:val="21"/>
                <w:szCs w:val="21"/>
              </w:rPr>
            </w:pPr>
            <w:r>
              <w:rPr>
                <w:rFonts w:hint="default" w:ascii="Times New Roman" w:hAnsi="Times New Roman" w:cs="Times New Roman" w:eastAsiaTheme="minorEastAsia"/>
                <w:b w:val="0"/>
                <w:color w:val="0000FF"/>
                <w:sz w:val="21"/>
                <w:szCs w:val="21"/>
              </w:rPr>
              <w:t>氧化塘</w:t>
            </w:r>
          </w:p>
        </w:tc>
        <w:tc>
          <w:tcPr>
            <w:tcW w:w="955" w:type="dxa"/>
            <w:vAlign w:val="center"/>
          </w:tcPr>
          <w:p w14:paraId="3F215EE7">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default" w:ascii="Times New Roman" w:hAnsi="Times New Roman" w:cs="Times New Roman" w:eastAsiaTheme="minorEastAsia"/>
                <w:color w:val="0000FF"/>
                <w:sz w:val="21"/>
                <w:szCs w:val="21"/>
              </w:rPr>
            </w:pPr>
            <w:r>
              <w:rPr>
                <w:rFonts w:hint="default" w:ascii="Times New Roman" w:hAnsi="Times New Roman" w:cs="Times New Roman" w:eastAsiaTheme="minorEastAsia"/>
                <w:b w:val="0"/>
                <w:color w:val="0000FF"/>
                <w:sz w:val="21"/>
                <w:szCs w:val="21"/>
              </w:rPr>
              <w:t>122.276099</w:t>
            </w:r>
          </w:p>
        </w:tc>
        <w:tc>
          <w:tcPr>
            <w:tcW w:w="817" w:type="dxa"/>
            <w:vAlign w:val="center"/>
          </w:tcPr>
          <w:p w14:paraId="30EB2AA1">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default" w:ascii="Times New Roman" w:hAnsi="Times New Roman" w:cs="Times New Roman" w:eastAsiaTheme="minorEastAsia"/>
                <w:color w:val="0000FF"/>
                <w:sz w:val="21"/>
                <w:szCs w:val="21"/>
              </w:rPr>
            </w:pPr>
            <w:r>
              <w:rPr>
                <w:rFonts w:hint="default" w:ascii="Times New Roman" w:hAnsi="Times New Roman" w:cs="Times New Roman" w:eastAsiaTheme="minorEastAsia"/>
                <w:b w:val="0"/>
                <w:color w:val="0000FF"/>
                <w:sz w:val="21"/>
                <w:szCs w:val="21"/>
              </w:rPr>
              <w:t>46.186041</w:t>
            </w:r>
          </w:p>
        </w:tc>
        <w:tc>
          <w:tcPr>
            <w:tcW w:w="717" w:type="dxa"/>
            <w:vAlign w:val="center"/>
          </w:tcPr>
          <w:p w14:paraId="4B0DF866">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default" w:ascii="Times New Roman" w:hAnsi="Times New Roman" w:cs="Times New Roman" w:eastAsiaTheme="minorEastAsia"/>
                <w:color w:val="0000FF"/>
                <w:sz w:val="21"/>
                <w:szCs w:val="21"/>
              </w:rPr>
            </w:pPr>
            <w:r>
              <w:rPr>
                <w:rFonts w:hint="default" w:ascii="Times New Roman" w:hAnsi="Times New Roman" w:cs="Times New Roman" w:eastAsiaTheme="minorEastAsia"/>
                <w:b w:val="0"/>
                <w:color w:val="0000FF"/>
                <w:sz w:val="21"/>
                <w:szCs w:val="21"/>
              </w:rPr>
              <w:t>350</w:t>
            </w:r>
          </w:p>
        </w:tc>
        <w:tc>
          <w:tcPr>
            <w:tcW w:w="733" w:type="dxa"/>
            <w:vAlign w:val="center"/>
          </w:tcPr>
          <w:p w14:paraId="1ED3120C">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default" w:ascii="Times New Roman" w:hAnsi="Times New Roman" w:cs="Times New Roman" w:eastAsiaTheme="minorEastAsia"/>
                <w:color w:val="0000FF"/>
                <w:sz w:val="21"/>
                <w:szCs w:val="21"/>
              </w:rPr>
            </w:pPr>
            <w:r>
              <w:rPr>
                <w:rFonts w:hint="default" w:ascii="Times New Roman" w:hAnsi="Times New Roman" w:cs="Times New Roman" w:eastAsiaTheme="minorEastAsia"/>
                <w:b w:val="0"/>
                <w:color w:val="0000FF"/>
                <w:sz w:val="21"/>
                <w:szCs w:val="21"/>
              </w:rPr>
              <w:t>120</w:t>
            </w:r>
          </w:p>
        </w:tc>
        <w:tc>
          <w:tcPr>
            <w:tcW w:w="825" w:type="dxa"/>
            <w:vAlign w:val="center"/>
          </w:tcPr>
          <w:p w14:paraId="001D6737">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default" w:ascii="Times New Roman" w:hAnsi="Times New Roman" w:cs="Times New Roman" w:eastAsiaTheme="minorEastAsia"/>
                <w:color w:val="0000FF"/>
                <w:sz w:val="21"/>
                <w:szCs w:val="21"/>
              </w:rPr>
            </w:pPr>
            <w:r>
              <w:rPr>
                <w:rFonts w:hint="default" w:ascii="Times New Roman" w:hAnsi="Times New Roman" w:cs="Times New Roman" w:eastAsiaTheme="minorEastAsia"/>
                <w:b w:val="0"/>
                <w:color w:val="0000FF"/>
                <w:sz w:val="21"/>
                <w:szCs w:val="21"/>
              </w:rPr>
              <w:t>90</w:t>
            </w:r>
          </w:p>
        </w:tc>
        <w:tc>
          <w:tcPr>
            <w:tcW w:w="767" w:type="dxa"/>
            <w:vAlign w:val="center"/>
          </w:tcPr>
          <w:p w14:paraId="1B7A6C5D">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default" w:ascii="Times New Roman" w:hAnsi="Times New Roman" w:cs="Times New Roman" w:eastAsiaTheme="minorEastAsia"/>
                <w:color w:val="0000FF"/>
                <w:sz w:val="21"/>
                <w:szCs w:val="21"/>
              </w:rPr>
            </w:pPr>
            <w:r>
              <w:rPr>
                <w:rFonts w:hint="default" w:ascii="Times New Roman" w:hAnsi="Times New Roman" w:cs="Times New Roman" w:eastAsiaTheme="minorEastAsia"/>
                <w:b w:val="0"/>
                <w:color w:val="0000FF"/>
                <w:sz w:val="21"/>
                <w:szCs w:val="21"/>
              </w:rPr>
              <w:t>2.5</w:t>
            </w:r>
          </w:p>
        </w:tc>
        <w:tc>
          <w:tcPr>
            <w:tcW w:w="741" w:type="dxa"/>
            <w:vMerge w:val="restart"/>
            <w:vAlign w:val="center"/>
          </w:tcPr>
          <w:p w14:paraId="72788DDE">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cs="Times New Roman" w:eastAsiaTheme="minorEastAsia"/>
                <w:color w:val="0000FF"/>
                <w:sz w:val="21"/>
                <w:szCs w:val="21"/>
                <w:lang w:val="en-US" w:eastAsia="zh-CN"/>
              </w:rPr>
            </w:pPr>
            <w:r>
              <w:rPr>
                <w:rFonts w:hint="default" w:ascii="Times New Roman" w:hAnsi="Times New Roman" w:eastAsia="宋体" w:cs="Times New Roman"/>
                <w:color w:val="0000FF"/>
                <w:sz w:val="21"/>
                <w:szCs w:val="21"/>
              </w:rPr>
              <w:t>8760</w:t>
            </w:r>
          </w:p>
        </w:tc>
        <w:tc>
          <w:tcPr>
            <w:tcW w:w="692" w:type="dxa"/>
            <w:vMerge w:val="restart"/>
            <w:vAlign w:val="center"/>
          </w:tcPr>
          <w:p w14:paraId="15132BDE">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cs="Times New Roman" w:eastAsiaTheme="minorEastAsia"/>
                <w:color w:val="0000FF"/>
                <w:sz w:val="21"/>
                <w:szCs w:val="21"/>
                <w:lang w:val="en-US" w:eastAsia="zh-CN"/>
              </w:rPr>
            </w:pPr>
            <w:r>
              <w:rPr>
                <w:rFonts w:hint="default" w:ascii="Times New Roman" w:hAnsi="Times New Roman" w:eastAsia="宋体" w:cs="Times New Roman"/>
                <w:color w:val="0000FF"/>
                <w:sz w:val="21"/>
                <w:szCs w:val="21"/>
              </w:rPr>
              <w:t>正常排放</w:t>
            </w:r>
          </w:p>
        </w:tc>
        <w:tc>
          <w:tcPr>
            <w:tcW w:w="1072" w:type="dxa"/>
            <w:vAlign w:val="center"/>
          </w:tcPr>
          <w:p w14:paraId="0BA39EC2">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default" w:ascii="Times New Roman" w:hAnsi="Times New Roman" w:cs="Times New Roman" w:eastAsiaTheme="minorEastAsia"/>
                <w:color w:val="0000FF"/>
                <w:sz w:val="21"/>
                <w:szCs w:val="21"/>
                <w:lang w:val="en-US" w:eastAsia="zh-CN"/>
              </w:rPr>
            </w:pPr>
            <w:r>
              <w:rPr>
                <w:rFonts w:hint="eastAsia" w:ascii="Times New Roman" w:hAnsi="Times New Roman" w:cs="Times New Roman" w:eastAsiaTheme="minorEastAsia"/>
                <w:color w:val="0000FF"/>
                <w:sz w:val="21"/>
                <w:szCs w:val="21"/>
                <w:lang w:val="en-US" w:eastAsia="zh-CN"/>
              </w:rPr>
              <w:t>1.25*10</w:t>
            </w:r>
            <w:r>
              <w:rPr>
                <w:rFonts w:hint="eastAsia" w:ascii="Times New Roman" w:hAnsi="Times New Roman" w:cs="Times New Roman" w:eastAsiaTheme="minorEastAsia"/>
                <w:color w:val="0000FF"/>
                <w:sz w:val="21"/>
                <w:szCs w:val="21"/>
                <w:vertAlign w:val="superscript"/>
                <w:lang w:val="en-US" w:eastAsia="zh-CN"/>
              </w:rPr>
              <w:t>-11</w:t>
            </w:r>
          </w:p>
        </w:tc>
        <w:tc>
          <w:tcPr>
            <w:tcW w:w="1109" w:type="dxa"/>
            <w:vAlign w:val="center"/>
          </w:tcPr>
          <w:p w14:paraId="7AC0906F">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default" w:ascii="Times New Roman" w:hAnsi="Times New Roman" w:cs="Times New Roman" w:eastAsiaTheme="minorEastAsia"/>
                <w:color w:val="0000FF"/>
                <w:sz w:val="21"/>
                <w:szCs w:val="21"/>
                <w:lang w:val="en-US" w:eastAsia="zh-CN"/>
              </w:rPr>
            </w:pPr>
            <w:r>
              <w:rPr>
                <w:rFonts w:hint="eastAsia" w:ascii="Times New Roman" w:hAnsi="Times New Roman" w:cs="Times New Roman" w:eastAsiaTheme="minorEastAsia"/>
                <w:color w:val="0000FF"/>
                <w:sz w:val="21"/>
                <w:szCs w:val="21"/>
                <w:lang w:val="en-US" w:eastAsia="zh-CN"/>
              </w:rPr>
              <w:t>5*10</w:t>
            </w:r>
            <w:r>
              <w:rPr>
                <w:rFonts w:hint="eastAsia" w:ascii="Times New Roman" w:hAnsi="Times New Roman" w:cs="Times New Roman" w:eastAsiaTheme="minorEastAsia"/>
                <w:color w:val="0000FF"/>
                <w:sz w:val="21"/>
                <w:szCs w:val="21"/>
                <w:vertAlign w:val="superscript"/>
                <w:lang w:val="en-US" w:eastAsia="zh-CN"/>
              </w:rPr>
              <w:t>-11</w:t>
            </w:r>
          </w:p>
        </w:tc>
        <w:tc>
          <w:tcPr>
            <w:tcW w:w="794" w:type="dxa"/>
            <w:vAlign w:val="center"/>
          </w:tcPr>
          <w:p w14:paraId="772578B9">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eastAsia" w:ascii="Times New Roman" w:hAnsi="Times New Roman" w:cs="Times New Roman" w:eastAsiaTheme="minorEastAsia"/>
                <w:color w:val="0000FF"/>
                <w:sz w:val="21"/>
                <w:szCs w:val="21"/>
                <w:lang w:eastAsia="zh-CN"/>
              </w:rPr>
            </w:pPr>
            <w:r>
              <w:rPr>
                <w:rFonts w:hint="eastAsia" w:ascii="Times New Roman" w:hAnsi="Times New Roman" w:cs="Times New Roman" w:eastAsiaTheme="minorEastAsia"/>
                <w:b w:val="0"/>
                <w:color w:val="0000FF"/>
                <w:sz w:val="21"/>
                <w:szCs w:val="21"/>
                <w:lang w:val="en-US" w:eastAsia="zh-CN"/>
              </w:rPr>
              <w:t>/</w:t>
            </w:r>
          </w:p>
        </w:tc>
      </w:tr>
      <w:tr w14:paraId="19CB2971">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23" w:hRule="atLeast"/>
          <w:jc w:val="center"/>
        </w:trPr>
        <w:tc>
          <w:tcPr>
            <w:tcW w:w="703" w:type="dxa"/>
            <w:vAlign w:val="center"/>
          </w:tcPr>
          <w:p w14:paraId="124FA701">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default" w:ascii="Times New Roman" w:hAnsi="Times New Roman" w:cs="Times New Roman" w:eastAsiaTheme="minorEastAsia"/>
                <w:color w:val="0000FF"/>
                <w:sz w:val="21"/>
                <w:szCs w:val="21"/>
              </w:rPr>
            </w:pPr>
            <w:r>
              <w:rPr>
                <w:rFonts w:hint="default" w:ascii="Times New Roman" w:hAnsi="Times New Roman" w:cs="Times New Roman" w:eastAsiaTheme="minorEastAsia"/>
                <w:b w:val="0"/>
                <w:color w:val="0000FF"/>
                <w:sz w:val="21"/>
                <w:szCs w:val="21"/>
              </w:rPr>
              <w:t>固液分离车间</w:t>
            </w:r>
          </w:p>
        </w:tc>
        <w:tc>
          <w:tcPr>
            <w:tcW w:w="955" w:type="dxa"/>
            <w:vAlign w:val="center"/>
          </w:tcPr>
          <w:p w14:paraId="5BE29865">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default" w:ascii="Times New Roman" w:hAnsi="Times New Roman" w:cs="Times New Roman" w:eastAsiaTheme="minorEastAsia"/>
                <w:color w:val="0000FF"/>
                <w:sz w:val="21"/>
                <w:szCs w:val="21"/>
              </w:rPr>
            </w:pPr>
            <w:r>
              <w:rPr>
                <w:rFonts w:hint="default" w:ascii="Times New Roman" w:hAnsi="Times New Roman" w:cs="Times New Roman" w:eastAsiaTheme="minorEastAsia"/>
                <w:b w:val="0"/>
                <w:color w:val="0000FF"/>
                <w:sz w:val="21"/>
                <w:szCs w:val="21"/>
              </w:rPr>
              <w:t>122.274189</w:t>
            </w:r>
          </w:p>
        </w:tc>
        <w:tc>
          <w:tcPr>
            <w:tcW w:w="817" w:type="dxa"/>
            <w:vAlign w:val="center"/>
          </w:tcPr>
          <w:p w14:paraId="732F13DD">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default" w:ascii="Times New Roman" w:hAnsi="Times New Roman" w:cs="Times New Roman" w:eastAsiaTheme="minorEastAsia"/>
                <w:color w:val="0000FF"/>
                <w:sz w:val="21"/>
                <w:szCs w:val="21"/>
              </w:rPr>
            </w:pPr>
            <w:r>
              <w:rPr>
                <w:rFonts w:hint="default" w:ascii="Times New Roman" w:hAnsi="Times New Roman" w:cs="Times New Roman" w:eastAsiaTheme="minorEastAsia"/>
                <w:b w:val="0"/>
                <w:color w:val="0000FF"/>
                <w:sz w:val="21"/>
                <w:szCs w:val="21"/>
              </w:rPr>
              <w:t>46.185076</w:t>
            </w:r>
          </w:p>
        </w:tc>
        <w:tc>
          <w:tcPr>
            <w:tcW w:w="717" w:type="dxa"/>
            <w:vAlign w:val="center"/>
          </w:tcPr>
          <w:p w14:paraId="03C6E543">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default" w:ascii="Times New Roman" w:hAnsi="Times New Roman" w:cs="Times New Roman" w:eastAsiaTheme="minorEastAsia"/>
                <w:color w:val="0000FF"/>
                <w:sz w:val="21"/>
                <w:szCs w:val="21"/>
              </w:rPr>
            </w:pPr>
            <w:r>
              <w:rPr>
                <w:rFonts w:hint="default" w:ascii="Times New Roman" w:hAnsi="Times New Roman" w:cs="Times New Roman" w:eastAsiaTheme="minorEastAsia"/>
                <w:b w:val="0"/>
                <w:color w:val="0000FF"/>
                <w:sz w:val="21"/>
                <w:szCs w:val="21"/>
              </w:rPr>
              <w:t>353</w:t>
            </w:r>
          </w:p>
        </w:tc>
        <w:tc>
          <w:tcPr>
            <w:tcW w:w="733" w:type="dxa"/>
            <w:vAlign w:val="center"/>
          </w:tcPr>
          <w:p w14:paraId="72A8596D">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default" w:ascii="Times New Roman" w:hAnsi="Times New Roman" w:cs="Times New Roman" w:eastAsiaTheme="minorEastAsia"/>
                <w:color w:val="0000FF"/>
                <w:sz w:val="21"/>
                <w:szCs w:val="21"/>
              </w:rPr>
            </w:pPr>
            <w:r>
              <w:rPr>
                <w:rFonts w:hint="default" w:ascii="Times New Roman" w:hAnsi="Times New Roman" w:cs="Times New Roman" w:eastAsiaTheme="minorEastAsia"/>
                <w:b w:val="0"/>
                <w:color w:val="0000FF"/>
                <w:sz w:val="21"/>
                <w:szCs w:val="21"/>
              </w:rPr>
              <w:t>25</w:t>
            </w:r>
          </w:p>
        </w:tc>
        <w:tc>
          <w:tcPr>
            <w:tcW w:w="825" w:type="dxa"/>
            <w:vAlign w:val="center"/>
          </w:tcPr>
          <w:p w14:paraId="555935A7">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default" w:ascii="Times New Roman" w:hAnsi="Times New Roman" w:cs="Times New Roman" w:eastAsiaTheme="minorEastAsia"/>
                <w:color w:val="0000FF"/>
                <w:sz w:val="21"/>
                <w:szCs w:val="21"/>
              </w:rPr>
            </w:pPr>
            <w:r>
              <w:rPr>
                <w:rFonts w:hint="default" w:ascii="Times New Roman" w:hAnsi="Times New Roman" w:cs="Times New Roman" w:eastAsiaTheme="minorEastAsia"/>
                <w:b w:val="0"/>
                <w:color w:val="0000FF"/>
                <w:sz w:val="21"/>
                <w:szCs w:val="21"/>
              </w:rPr>
              <w:t>25</w:t>
            </w:r>
          </w:p>
        </w:tc>
        <w:tc>
          <w:tcPr>
            <w:tcW w:w="767" w:type="dxa"/>
            <w:vAlign w:val="center"/>
          </w:tcPr>
          <w:p w14:paraId="041479B9">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default" w:ascii="Times New Roman" w:hAnsi="Times New Roman" w:cs="Times New Roman" w:eastAsiaTheme="minorEastAsia"/>
                <w:color w:val="0000FF"/>
                <w:sz w:val="21"/>
                <w:szCs w:val="21"/>
              </w:rPr>
            </w:pPr>
            <w:r>
              <w:rPr>
                <w:rFonts w:hint="default" w:ascii="Times New Roman" w:hAnsi="Times New Roman" w:cs="Times New Roman" w:eastAsiaTheme="minorEastAsia"/>
                <w:b w:val="0"/>
                <w:color w:val="0000FF"/>
                <w:sz w:val="21"/>
                <w:szCs w:val="21"/>
              </w:rPr>
              <w:t>5</w:t>
            </w:r>
          </w:p>
        </w:tc>
        <w:tc>
          <w:tcPr>
            <w:tcW w:w="741" w:type="dxa"/>
            <w:vMerge w:val="continue"/>
            <w:vAlign w:val="center"/>
          </w:tcPr>
          <w:p w14:paraId="0E80A006">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eastAsia" w:ascii="Times New Roman" w:hAnsi="Times New Roman" w:cs="Times New Roman" w:eastAsiaTheme="minorEastAsia"/>
                <w:color w:val="0000FF"/>
                <w:sz w:val="21"/>
                <w:szCs w:val="21"/>
                <w:lang w:val="en-US" w:eastAsia="zh-CN"/>
              </w:rPr>
            </w:pPr>
          </w:p>
        </w:tc>
        <w:tc>
          <w:tcPr>
            <w:tcW w:w="692" w:type="dxa"/>
            <w:vMerge w:val="continue"/>
            <w:vAlign w:val="center"/>
          </w:tcPr>
          <w:p w14:paraId="35284732">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eastAsia" w:ascii="Times New Roman" w:hAnsi="Times New Roman" w:cs="Times New Roman" w:eastAsiaTheme="minorEastAsia"/>
                <w:color w:val="0000FF"/>
                <w:sz w:val="21"/>
                <w:szCs w:val="21"/>
                <w:lang w:val="en-US" w:eastAsia="zh-CN"/>
              </w:rPr>
            </w:pPr>
          </w:p>
        </w:tc>
        <w:tc>
          <w:tcPr>
            <w:tcW w:w="1072" w:type="dxa"/>
            <w:vAlign w:val="center"/>
          </w:tcPr>
          <w:p w14:paraId="015E7C7F">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default" w:ascii="Times New Roman" w:hAnsi="Times New Roman" w:cs="Times New Roman" w:eastAsiaTheme="minorEastAsia"/>
                <w:color w:val="0000FF"/>
                <w:sz w:val="21"/>
                <w:szCs w:val="21"/>
                <w:lang w:val="en-US" w:eastAsia="zh-CN"/>
              </w:rPr>
            </w:pPr>
            <w:r>
              <w:rPr>
                <w:rFonts w:hint="eastAsia" w:ascii="Times New Roman" w:hAnsi="Times New Roman" w:cs="Times New Roman" w:eastAsiaTheme="minorEastAsia"/>
                <w:color w:val="0000FF"/>
                <w:sz w:val="21"/>
                <w:szCs w:val="21"/>
                <w:lang w:val="en-US" w:eastAsia="zh-CN"/>
              </w:rPr>
              <w:t>2.04*10</w:t>
            </w:r>
            <w:r>
              <w:rPr>
                <w:rFonts w:hint="eastAsia" w:ascii="Times New Roman" w:hAnsi="Times New Roman" w:cs="Times New Roman" w:eastAsiaTheme="minorEastAsia"/>
                <w:color w:val="0000FF"/>
                <w:sz w:val="21"/>
                <w:szCs w:val="21"/>
                <w:vertAlign w:val="superscript"/>
                <w:lang w:val="en-US" w:eastAsia="zh-CN"/>
              </w:rPr>
              <w:t>-6</w:t>
            </w:r>
          </w:p>
        </w:tc>
        <w:tc>
          <w:tcPr>
            <w:tcW w:w="1109" w:type="dxa"/>
            <w:vAlign w:val="center"/>
          </w:tcPr>
          <w:p w14:paraId="7A9683F4">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default" w:ascii="Times New Roman" w:hAnsi="Times New Roman" w:cs="Times New Roman" w:eastAsiaTheme="minorEastAsia"/>
                <w:color w:val="0000FF"/>
                <w:sz w:val="21"/>
                <w:szCs w:val="21"/>
                <w:lang w:val="en-US" w:eastAsia="zh-CN"/>
              </w:rPr>
            </w:pPr>
            <w:r>
              <w:rPr>
                <w:rFonts w:hint="eastAsia" w:ascii="Times New Roman" w:hAnsi="Times New Roman" w:cs="Times New Roman" w:eastAsiaTheme="minorEastAsia"/>
                <w:color w:val="0000FF"/>
                <w:sz w:val="21"/>
                <w:szCs w:val="21"/>
                <w:lang w:val="en-US" w:eastAsia="zh-CN"/>
              </w:rPr>
              <w:t>7.2*10</w:t>
            </w:r>
            <w:r>
              <w:rPr>
                <w:rFonts w:hint="eastAsia" w:ascii="Times New Roman" w:hAnsi="Times New Roman" w:cs="Times New Roman" w:eastAsiaTheme="minorEastAsia"/>
                <w:color w:val="0000FF"/>
                <w:sz w:val="21"/>
                <w:szCs w:val="21"/>
                <w:vertAlign w:val="superscript"/>
                <w:lang w:val="en-US" w:eastAsia="zh-CN"/>
              </w:rPr>
              <w:t>-7</w:t>
            </w:r>
          </w:p>
        </w:tc>
        <w:tc>
          <w:tcPr>
            <w:tcW w:w="794" w:type="dxa"/>
            <w:vAlign w:val="center"/>
          </w:tcPr>
          <w:p w14:paraId="4E871BB7">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eastAsia" w:ascii="Times New Roman" w:hAnsi="Times New Roman" w:cs="Times New Roman" w:eastAsiaTheme="minorEastAsia"/>
                <w:color w:val="0000FF"/>
                <w:sz w:val="21"/>
                <w:szCs w:val="21"/>
                <w:lang w:eastAsia="zh-CN"/>
              </w:rPr>
            </w:pPr>
            <w:r>
              <w:rPr>
                <w:rFonts w:hint="eastAsia" w:ascii="Times New Roman" w:hAnsi="Times New Roman" w:cs="Times New Roman" w:eastAsiaTheme="minorEastAsia"/>
                <w:b w:val="0"/>
                <w:color w:val="0000FF"/>
                <w:sz w:val="21"/>
                <w:szCs w:val="21"/>
                <w:lang w:val="en-US" w:eastAsia="zh-CN"/>
              </w:rPr>
              <w:t>/</w:t>
            </w:r>
          </w:p>
        </w:tc>
      </w:tr>
      <w:tr w14:paraId="6147A940">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23" w:hRule="atLeast"/>
          <w:jc w:val="center"/>
        </w:trPr>
        <w:tc>
          <w:tcPr>
            <w:tcW w:w="703" w:type="dxa"/>
            <w:vAlign w:val="center"/>
          </w:tcPr>
          <w:p w14:paraId="4E20756C">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default" w:ascii="Times New Roman" w:hAnsi="Times New Roman" w:cs="Times New Roman" w:eastAsiaTheme="minorEastAsia"/>
                <w:color w:val="0000FF"/>
                <w:sz w:val="21"/>
                <w:szCs w:val="21"/>
              </w:rPr>
            </w:pPr>
            <w:r>
              <w:rPr>
                <w:rFonts w:hint="default" w:ascii="Times New Roman" w:hAnsi="Times New Roman" w:cs="Times New Roman" w:eastAsiaTheme="minorEastAsia"/>
                <w:b w:val="0"/>
                <w:color w:val="0000FF"/>
                <w:sz w:val="21"/>
                <w:szCs w:val="21"/>
              </w:rPr>
              <w:t>牛舍</w:t>
            </w:r>
          </w:p>
        </w:tc>
        <w:tc>
          <w:tcPr>
            <w:tcW w:w="955" w:type="dxa"/>
            <w:vAlign w:val="center"/>
          </w:tcPr>
          <w:p w14:paraId="1A987B1A">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default" w:ascii="Times New Roman" w:hAnsi="Times New Roman" w:cs="Times New Roman" w:eastAsiaTheme="minorEastAsia"/>
                <w:color w:val="0000FF"/>
                <w:sz w:val="21"/>
                <w:szCs w:val="21"/>
              </w:rPr>
            </w:pPr>
            <w:r>
              <w:rPr>
                <w:rFonts w:hint="default" w:ascii="Times New Roman" w:hAnsi="Times New Roman" w:cs="Times New Roman" w:eastAsiaTheme="minorEastAsia"/>
                <w:b w:val="0"/>
                <w:color w:val="0000FF"/>
                <w:sz w:val="21"/>
                <w:szCs w:val="21"/>
              </w:rPr>
              <w:t>122.273116</w:t>
            </w:r>
          </w:p>
        </w:tc>
        <w:tc>
          <w:tcPr>
            <w:tcW w:w="817" w:type="dxa"/>
            <w:vAlign w:val="center"/>
          </w:tcPr>
          <w:p w14:paraId="3BC2069E">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default" w:ascii="Times New Roman" w:hAnsi="Times New Roman" w:cs="Times New Roman" w:eastAsiaTheme="minorEastAsia"/>
                <w:color w:val="0000FF"/>
                <w:sz w:val="21"/>
                <w:szCs w:val="21"/>
              </w:rPr>
            </w:pPr>
            <w:r>
              <w:rPr>
                <w:rFonts w:hint="default" w:ascii="Times New Roman" w:hAnsi="Times New Roman" w:cs="Times New Roman" w:eastAsiaTheme="minorEastAsia"/>
                <w:b w:val="0"/>
                <w:color w:val="0000FF"/>
                <w:sz w:val="21"/>
                <w:szCs w:val="21"/>
              </w:rPr>
              <w:t>46.187586</w:t>
            </w:r>
          </w:p>
        </w:tc>
        <w:tc>
          <w:tcPr>
            <w:tcW w:w="717" w:type="dxa"/>
            <w:vAlign w:val="center"/>
          </w:tcPr>
          <w:p w14:paraId="4B64257F">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default" w:ascii="Times New Roman" w:hAnsi="Times New Roman" w:cs="Times New Roman" w:eastAsiaTheme="minorEastAsia"/>
                <w:color w:val="0000FF"/>
                <w:sz w:val="21"/>
                <w:szCs w:val="21"/>
              </w:rPr>
            </w:pPr>
            <w:r>
              <w:rPr>
                <w:rFonts w:hint="default" w:ascii="Times New Roman" w:hAnsi="Times New Roman" w:cs="Times New Roman" w:eastAsiaTheme="minorEastAsia"/>
                <w:b w:val="0"/>
                <w:color w:val="0000FF"/>
                <w:sz w:val="21"/>
                <w:szCs w:val="21"/>
              </w:rPr>
              <w:t>359</w:t>
            </w:r>
          </w:p>
        </w:tc>
        <w:tc>
          <w:tcPr>
            <w:tcW w:w="733" w:type="dxa"/>
            <w:vAlign w:val="center"/>
          </w:tcPr>
          <w:p w14:paraId="140260F5">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default" w:ascii="Times New Roman" w:hAnsi="Times New Roman" w:cs="Times New Roman" w:eastAsiaTheme="minorEastAsia"/>
                <w:color w:val="0000FF"/>
                <w:sz w:val="21"/>
                <w:szCs w:val="21"/>
              </w:rPr>
            </w:pPr>
            <w:r>
              <w:rPr>
                <w:rFonts w:hint="default" w:ascii="Times New Roman" w:hAnsi="Times New Roman" w:cs="Times New Roman" w:eastAsiaTheme="minorEastAsia"/>
                <w:b w:val="0"/>
                <w:color w:val="0000FF"/>
                <w:sz w:val="21"/>
                <w:szCs w:val="21"/>
              </w:rPr>
              <w:t>324</w:t>
            </w:r>
          </w:p>
        </w:tc>
        <w:tc>
          <w:tcPr>
            <w:tcW w:w="825" w:type="dxa"/>
            <w:vAlign w:val="center"/>
          </w:tcPr>
          <w:p w14:paraId="6C87DBE9">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default" w:ascii="Times New Roman" w:hAnsi="Times New Roman" w:cs="Times New Roman" w:eastAsiaTheme="minorEastAsia"/>
                <w:color w:val="0000FF"/>
                <w:sz w:val="21"/>
                <w:szCs w:val="21"/>
              </w:rPr>
            </w:pPr>
            <w:r>
              <w:rPr>
                <w:rFonts w:hint="default" w:ascii="Times New Roman" w:hAnsi="Times New Roman" w:cs="Times New Roman" w:eastAsiaTheme="minorEastAsia"/>
                <w:b w:val="0"/>
                <w:color w:val="0000FF"/>
                <w:sz w:val="21"/>
                <w:szCs w:val="21"/>
              </w:rPr>
              <w:t>80</w:t>
            </w:r>
          </w:p>
        </w:tc>
        <w:tc>
          <w:tcPr>
            <w:tcW w:w="767" w:type="dxa"/>
            <w:vAlign w:val="center"/>
          </w:tcPr>
          <w:p w14:paraId="0FAC8595">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default" w:ascii="Times New Roman" w:hAnsi="Times New Roman" w:cs="Times New Roman" w:eastAsiaTheme="minorEastAsia"/>
                <w:color w:val="0000FF"/>
                <w:sz w:val="21"/>
                <w:szCs w:val="21"/>
              </w:rPr>
            </w:pPr>
            <w:r>
              <w:rPr>
                <w:rFonts w:hint="default" w:ascii="Times New Roman" w:hAnsi="Times New Roman" w:cs="Times New Roman" w:eastAsiaTheme="minorEastAsia"/>
                <w:b w:val="0"/>
                <w:color w:val="0000FF"/>
                <w:sz w:val="21"/>
                <w:szCs w:val="21"/>
              </w:rPr>
              <w:t>5</w:t>
            </w:r>
          </w:p>
        </w:tc>
        <w:tc>
          <w:tcPr>
            <w:tcW w:w="741" w:type="dxa"/>
            <w:vMerge w:val="continue"/>
            <w:vAlign w:val="center"/>
          </w:tcPr>
          <w:p w14:paraId="7421F524">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eastAsia" w:ascii="Times New Roman" w:hAnsi="Times New Roman" w:cs="Times New Roman" w:eastAsiaTheme="minorEastAsia"/>
                <w:color w:val="0000FF"/>
                <w:sz w:val="21"/>
                <w:szCs w:val="21"/>
                <w:lang w:val="en-US" w:eastAsia="zh-CN"/>
              </w:rPr>
            </w:pPr>
          </w:p>
        </w:tc>
        <w:tc>
          <w:tcPr>
            <w:tcW w:w="692" w:type="dxa"/>
            <w:vMerge w:val="continue"/>
            <w:vAlign w:val="center"/>
          </w:tcPr>
          <w:p w14:paraId="42DA0699">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eastAsia" w:ascii="Times New Roman" w:hAnsi="Times New Roman" w:cs="Times New Roman" w:eastAsiaTheme="minorEastAsia"/>
                <w:color w:val="0000FF"/>
                <w:sz w:val="21"/>
                <w:szCs w:val="21"/>
                <w:lang w:val="en-US" w:eastAsia="zh-CN"/>
              </w:rPr>
            </w:pPr>
          </w:p>
        </w:tc>
        <w:tc>
          <w:tcPr>
            <w:tcW w:w="1072" w:type="dxa"/>
            <w:vAlign w:val="center"/>
          </w:tcPr>
          <w:p w14:paraId="11B8253E">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default" w:ascii="Times New Roman" w:hAnsi="Times New Roman" w:cs="Times New Roman" w:eastAsiaTheme="minorEastAsia"/>
                <w:color w:val="0000FF"/>
                <w:sz w:val="21"/>
                <w:szCs w:val="21"/>
                <w:lang w:val="en-US" w:eastAsia="zh-CN"/>
              </w:rPr>
            </w:pPr>
            <w:r>
              <w:rPr>
                <w:rFonts w:hint="eastAsia" w:ascii="Times New Roman" w:hAnsi="Times New Roman" w:cs="Times New Roman" w:eastAsiaTheme="minorEastAsia"/>
                <w:color w:val="0000FF"/>
                <w:sz w:val="21"/>
                <w:szCs w:val="21"/>
                <w:lang w:val="en-US" w:eastAsia="zh-CN"/>
              </w:rPr>
              <w:t>0.000006</w:t>
            </w:r>
          </w:p>
        </w:tc>
        <w:tc>
          <w:tcPr>
            <w:tcW w:w="1109" w:type="dxa"/>
            <w:vAlign w:val="center"/>
          </w:tcPr>
          <w:p w14:paraId="79F35711">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default" w:ascii="Times New Roman" w:hAnsi="Times New Roman" w:cs="Times New Roman" w:eastAsiaTheme="minorEastAsia"/>
                <w:color w:val="0000FF"/>
                <w:sz w:val="21"/>
                <w:szCs w:val="21"/>
                <w:lang w:val="en-US" w:eastAsia="zh-CN"/>
              </w:rPr>
            </w:pPr>
            <w:r>
              <w:rPr>
                <w:rFonts w:hint="eastAsia" w:ascii="Times New Roman" w:hAnsi="Times New Roman" w:cs="Times New Roman" w:eastAsiaTheme="minorEastAsia"/>
                <w:color w:val="0000FF"/>
                <w:sz w:val="21"/>
                <w:szCs w:val="21"/>
                <w:lang w:val="en-US" w:eastAsia="zh-CN"/>
              </w:rPr>
              <w:t>0.0000008</w:t>
            </w:r>
          </w:p>
        </w:tc>
        <w:tc>
          <w:tcPr>
            <w:tcW w:w="794" w:type="dxa"/>
            <w:vAlign w:val="center"/>
          </w:tcPr>
          <w:p w14:paraId="699DD511">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eastAsia" w:ascii="Times New Roman" w:hAnsi="Times New Roman" w:cs="Times New Roman" w:eastAsiaTheme="minorEastAsia"/>
                <w:color w:val="0000FF"/>
                <w:sz w:val="21"/>
                <w:szCs w:val="21"/>
                <w:lang w:eastAsia="zh-CN"/>
              </w:rPr>
            </w:pPr>
            <w:r>
              <w:rPr>
                <w:rFonts w:hint="eastAsia" w:ascii="Times New Roman" w:hAnsi="Times New Roman" w:cs="Times New Roman" w:eastAsiaTheme="minorEastAsia"/>
                <w:b w:val="0"/>
                <w:color w:val="0000FF"/>
                <w:sz w:val="21"/>
                <w:szCs w:val="21"/>
                <w:lang w:val="en-US" w:eastAsia="zh-CN"/>
              </w:rPr>
              <w:t>/</w:t>
            </w:r>
          </w:p>
        </w:tc>
      </w:tr>
      <w:tr w14:paraId="703AE12C">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23" w:hRule="atLeast"/>
          <w:jc w:val="center"/>
        </w:trPr>
        <w:tc>
          <w:tcPr>
            <w:tcW w:w="703" w:type="dxa"/>
            <w:vAlign w:val="center"/>
          </w:tcPr>
          <w:p w14:paraId="4AFD03E1">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default" w:ascii="Times New Roman" w:hAnsi="Times New Roman" w:cs="Times New Roman" w:eastAsiaTheme="minorEastAsia"/>
                <w:color w:val="0000FF"/>
                <w:sz w:val="21"/>
                <w:szCs w:val="21"/>
              </w:rPr>
            </w:pPr>
            <w:r>
              <w:rPr>
                <w:rFonts w:hint="default" w:ascii="Times New Roman" w:hAnsi="Times New Roman" w:cs="Times New Roman" w:eastAsiaTheme="minorEastAsia"/>
                <w:b w:val="0"/>
                <w:color w:val="0000FF"/>
                <w:sz w:val="21"/>
                <w:szCs w:val="21"/>
              </w:rPr>
              <w:t>饲料库</w:t>
            </w:r>
          </w:p>
        </w:tc>
        <w:tc>
          <w:tcPr>
            <w:tcW w:w="955" w:type="dxa"/>
            <w:vAlign w:val="center"/>
          </w:tcPr>
          <w:p w14:paraId="106082BC">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default" w:ascii="Times New Roman" w:hAnsi="Times New Roman" w:cs="Times New Roman" w:eastAsiaTheme="minorEastAsia"/>
                <w:color w:val="0000FF"/>
                <w:sz w:val="21"/>
                <w:szCs w:val="21"/>
              </w:rPr>
            </w:pPr>
            <w:r>
              <w:rPr>
                <w:rFonts w:hint="default" w:ascii="Times New Roman" w:hAnsi="Times New Roman" w:cs="Times New Roman" w:eastAsiaTheme="minorEastAsia"/>
                <w:b w:val="0"/>
                <w:color w:val="0000FF"/>
                <w:sz w:val="21"/>
                <w:szCs w:val="21"/>
              </w:rPr>
              <w:t>122.274103</w:t>
            </w:r>
          </w:p>
        </w:tc>
        <w:tc>
          <w:tcPr>
            <w:tcW w:w="817" w:type="dxa"/>
            <w:vAlign w:val="center"/>
          </w:tcPr>
          <w:p w14:paraId="669768C9">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default" w:ascii="Times New Roman" w:hAnsi="Times New Roman" w:cs="Times New Roman" w:eastAsiaTheme="minorEastAsia"/>
                <w:color w:val="0000FF"/>
                <w:sz w:val="21"/>
                <w:szCs w:val="21"/>
              </w:rPr>
            </w:pPr>
            <w:r>
              <w:rPr>
                <w:rFonts w:hint="default" w:ascii="Times New Roman" w:hAnsi="Times New Roman" w:cs="Times New Roman" w:eastAsiaTheme="minorEastAsia"/>
                <w:b w:val="0"/>
                <w:color w:val="0000FF"/>
                <w:sz w:val="21"/>
                <w:szCs w:val="21"/>
              </w:rPr>
              <w:t>46.186041</w:t>
            </w:r>
          </w:p>
        </w:tc>
        <w:tc>
          <w:tcPr>
            <w:tcW w:w="717" w:type="dxa"/>
            <w:vAlign w:val="center"/>
          </w:tcPr>
          <w:p w14:paraId="01C654A9">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default" w:ascii="Times New Roman" w:hAnsi="Times New Roman" w:cs="Times New Roman" w:eastAsiaTheme="minorEastAsia"/>
                <w:color w:val="0000FF"/>
                <w:sz w:val="21"/>
                <w:szCs w:val="21"/>
              </w:rPr>
            </w:pPr>
            <w:r>
              <w:rPr>
                <w:rFonts w:hint="default" w:ascii="Times New Roman" w:hAnsi="Times New Roman" w:cs="Times New Roman" w:eastAsiaTheme="minorEastAsia"/>
                <w:b w:val="0"/>
                <w:color w:val="0000FF"/>
                <w:sz w:val="21"/>
                <w:szCs w:val="21"/>
              </w:rPr>
              <w:t>357</w:t>
            </w:r>
          </w:p>
        </w:tc>
        <w:tc>
          <w:tcPr>
            <w:tcW w:w="733" w:type="dxa"/>
            <w:vAlign w:val="center"/>
          </w:tcPr>
          <w:p w14:paraId="73BCD14E">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default" w:ascii="Times New Roman" w:hAnsi="Times New Roman" w:cs="Times New Roman" w:eastAsiaTheme="minorEastAsia"/>
                <w:color w:val="0000FF"/>
                <w:sz w:val="21"/>
                <w:szCs w:val="21"/>
              </w:rPr>
            </w:pPr>
            <w:r>
              <w:rPr>
                <w:rFonts w:hint="default" w:ascii="Times New Roman" w:hAnsi="Times New Roman" w:cs="Times New Roman" w:eastAsiaTheme="minorEastAsia"/>
                <w:b w:val="0"/>
                <w:color w:val="0000FF"/>
                <w:sz w:val="21"/>
                <w:szCs w:val="21"/>
              </w:rPr>
              <w:t>50</w:t>
            </w:r>
          </w:p>
        </w:tc>
        <w:tc>
          <w:tcPr>
            <w:tcW w:w="825" w:type="dxa"/>
            <w:vAlign w:val="center"/>
          </w:tcPr>
          <w:p w14:paraId="232CCA27">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default" w:ascii="Times New Roman" w:hAnsi="Times New Roman" w:cs="Times New Roman" w:eastAsiaTheme="minorEastAsia"/>
                <w:color w:val="0000FF"/>
                <w:sz w:val="21"/>
                <w:szCs w:val="21"/>
              </w:rPr>
            </w:pPr>
            <w:r>
              <w:rPr>
                <w:rFonts w:hint="default" w:ascii="Times New Roman" w:hAnsi="Times New Roman" w:cs="Times New Roman" w:eastAsiaTheme="minorEastAsia"/>
                <w:b w:val="0"/>
                <w:color w:val="0000FF"/>
                <w:sz w:val="21"/>
                <w:szCs w:val="21"/>
              </w:rPr>
              <w:t>15</w:t>
            </w:r>
          </w:p>
        </w:tc>
        <w:tc>
          <w:tcPr>
            <w:tcW w:w="767" w:type="dxa"/>
            <w:vAlign w:val="center"/>
          </w:tcPr>
          <w:p w14:paraId="68F18030">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default" w:ascii="Times New Roman" w:hAnsi="Times New Roman" w:cs="Times New Roman" w:eastAsiaTheme="minorEastAsia"/>
                <w:color w:val="0000FF"/>
                <w:sz w:val="21"/>
                <w:szCs w:val="21"/>
              </w:rPr>
            </w:pPr>
            <w:r>
              <w:rPr>
                <w:rFonts w:hint="default" w:ascii="Times New Roman" w:hAnsi="Times New Roman" w:cs="Times New Roman" w:eastAsiaTheme="minorEastAsia"/>
                <w:b w:val="0"/>
                <w:color w:val="0000FF"/>
                <w:sz w:val="21"/>
                <w:szCs w:val="21"/>
              </w:rPr>
              <w:t>5</w:t>
            </w:r>
          </w:p>
        </w:tc>
        <w:tc>
          <w:tcPr>
            <w:tcW w:w="741" w:type="dxa"/>
            <w:vMerge w:val="continue"/>
            <w:vAlign w:val="center"/>
          </w:tcPr>
          <w:p w14:paraId="1C002D18">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eastAsia" w:ascii="Times New Roman" w:hAnsi="Times New Roman" w:cs="Times New Roman" w:eastAsiaTheme="minorEastAsia"/>
                <w:b w:val="0"/>
                <w:color w:val="0000FF"/>
                <w:sz w:val="21"/>
                <w:szCs w:val="21"/>
                <w:lang w:val="en-US" w:eastAsia="zh-CN"/>
              </w:rPr>
            </w:pPr>
          </w:p>
        </w:tc>
        <w:tc>
          <w:tcPr>
            <w:tcW w:w="692" w:type="dxa"/>
            <w:vMerge w:val="continue"/>
            <w:vAlign w:val="center"/>
          </w:tcPr>
          <w:p w14:paraId="46F25594">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eastAsia" w:ascii="Times New Roman" w:hAnsi="Times New Roman" w:cs="Times New Roman" w:eastAsiaTheme="minorEastAsia"/>
                <w:b w:val="0"/>
                <w:color w:val="0000FF"/>
                <w:sz w:val="21"/>
                <w:szCs w:val="21"/>
                <w:lang w:val="en-US" w:eastAsia="zh-CN"/>
              </w:rPr>
            </w:pPr>
          </w:p>
        </w:tc>
        <w:tc>
          <w:tcPr>
            <w:tcW w:w="1072" w:type="dxa"/>
            <w:vAlign w:val="center"/>
          </w:tcPr>
          <w:p w14:paraId="67753132">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eastAsia" w:ascii="Times New Roman" w:hAnsi="Times New Roman" w:cs="Times New Roman" w:eastAsiaTheme="minorEastAsia"/>
                <w:color w:val="0000FF"/>
                <w:sz w:val="21"/>
                <w:szCs w:val="21"/>
                <w:lang w:eastAsia="zh-CN"/>
              </w:rPr>
            </w:pPr>
            <w:r>
              <w:rPr>
                <w:rFonts w:hint="eastAsia" w:ascii="Times New Roman" w:hAnsi="Times New Roman" w:cs="Times New Roman" w:eastAsiaTheme="minorEastAsia"/>
                <w:b w:val="0"/>
                <w:color w:val="0000FF"/>
                <w:sz w:val="21"/>
                <w:szCs w:val="21"/>
                <w:lang w:val="en-US" w:eastAsia="zh-CN"/>
              </w:rPr>
              <w:t>/</w:t>
            </w:r>
          </w:p>
        </w:tc>
        <w:tc>
          <w:tcPr>
            <w:tcW w:w="1109" w:type="dxa"/>
            <w:vAlign w:val="center"/>
          </w:tcPr>
          <w:p w14:paraId="79A35657">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eastAsia" w:ascii="Times New Roman" w:hAnsi="Times New Roman" w:cs="Times New Roman" w:eastAsiaTheme="minorEastAsia"/>
                <w:color w:val="0000FF"/>
                <w:sz w:val="21"/>
                <w:szCs w:val="21"/>
                <w:lang w:eastAsia="zh-CN"/>
              </w:rPr>
            </w:pPr>
            <w:r>
              <w:rPr>
                <w:rFonts w:hint="eastAsia" w:ascii="Times New Roman" w:hAnsi="Times New Roman" w:cs="Times New Roman" w:eastAsiaTheme="minorEastAsia"/>
                <w:b w:val="0"/>
                <w:color w:val="0000FF"/>
                <w:sz w:val="21"/>
                <w:szCs w:val="21"/>
                <w:lang w:val="en-US" w:eastAsia="zh-CN"/>
              </w:rPr>
              <w:t>/</w:t>
            </w:r>
          </w:p>
        </w:tc>
        <w:tc>
          <w:tcPr>
            <w:tcW w:w="794" w:type="dxa"/>
            <w:vAlign w:val="center"/>
          </w:tcPr>
          <w:p w14:paraId="7F061331">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default" w:ascii="Times New Roman" w:hAnsi="Times New Roman" w:cs="Times New Roman" w:eastAsiaTheme="minorEastAsia"/>
                <w:color w:val="0000FF"/>
                <w:sz w:val="21"/>
                <w:szCs w:val="21"/>
              </w:rPr>
            </w:pPr>
            <w:r>
              <w:rPr>
                <w:rFonts w:hint="default" w:ascii="Times New Roman" w:hAnsi="Times New Roman" w:cs="Times New Roman" w:eastAsiaTheme="minorEastAsia"/>
                <w:b w:val="0"/>
                <w:color w:val="0000FF"/>
                <w:sz w:val="21"/>
                <w:szCs w:val="21"/>
              </w:rPr>
              <w:t>0.0016</w:t>
            </w:r>
          </w:p>
        </w:tc>
      </w:tr>
    </w:tbl>
    <w:p w14:paraId="725A577B">
      <w:pPr>
        <w:pStyle w:val="11"/>
        <w:ind w:firstLine="480"/>
        <w:rPr>
          <w:rFonts w:hint="default" w:ascii="Times New Roman" w:hAnsi="Times New Roman" w:eastAsia="宋体" w:cs="Times New Roman"/>
          <w:color w:val="0000FF"/>
        </w:rPr>
      </w:pPr>
      <w:r>
        <w:rPr>
          <w:rFonts w:hint="default" w:ascii="Times New Roman" w:hAnsi="Times New Roman" w:eastAsia="宋体" w:cs="Times New Roman"/>
          <w:color w:val="0000FF"/>
        </w:rPr>
        <w:t>采用估算模式AERSCREEN计算结果见表2</w:t>
      </w:r>
      <w:r>
        <w:rPr>
          <w:rFonts w:hint="default" w:ascii="Times New Roman" w:hAnsi="Times New Roman" w:eastAsia="宋体" w:cs="Times New Roman"/>
          <w:color w:val="0000FF"/>
          <w:lang w:eastAsia="zh-CN"/>
        </w:rPr>
        <w:t>.6</w:t>
      </w:r>
      <w:r>
        <w:rPr>
          <w:rFonts w:hint="default" w:ascii="Times New Roman" w:hAnsi="Times New Roman" w:eastAsia="宋体" w:cs="Times New Roman"/>
          <w:color w:val="0000FF"/>
        </w:rPr>
        <w:t>-</w:t>
      </w:r>
      <w:r>
        <w:rPr>
          <w:rFonts w:hint="default" w:ascii="Times New Roman" w:hAnsi="Times New Roman" w:eastAsia="宋体" w:cs="Times New Roman"/>
          <w:color w:val="0000FF"/>
          <w:lang w:eastAsia="zh-CN"/>
        </w:rPr>
        <w:t>5</w:t>
      </w:r>
      <w:r>
        <w:rPr>
          <w:rFonts w:hint="default" w:ascii="Times New Roman" w:hAnsi="Times New Roman" w:eastAsia="宋体" w:cs="Times New Roman"/>
          <w:color w:val="0000FF"/>
        </w:rPr>
        <w:t>。</w:t>
      </w:r>
    </w:p>
    <w:p w14:paraId="345B1C86">
      <w:pPr>
        <w:tabs>
          <w:tab w:val="left" w:pos="2771"/>
          <w:tab w:val="left" w:pos="6612"/>
        </w:tabs>
        <w:adjustRightInd w:val="0"/>
        <w:snapToGrid w:val="0"/>
        <w:ind w:firstLine="482"/>
        <w:jc w:val="center"/>
        <w:rPr>
          <w:rFonts w:hint="default" w:ascii="Times New Roman" w:hAnsi="Times New Roman" w:eastAsia="宋体" w:cs="Times New Roman"/>
          <w:b/>
          <w:color w:val="0000FF"/>
        </w:rPr>
        <w:sectPr>
          <w:footerReference r:id="rId16" w:type="default"/>
          <w:pgSz w:w="11906" w:h="16839"/>
          <w:pgMar w:top="1431" w:right="1458" w:bottom="1259" w:left="1458" w:header="964" w:footer="794" w:gutter="0"/>
          <w:pgNumType w:fmt="decimal"/>
          <w:cols w:equalWidth="0" w:num="1">
            <w:col w:w="8990"/>
          </w:cols>
        </w:sectPr>
      </w:pPr>
    </w:p>
    <w:p w14:paraId="3AB01A2C">
      <w:pPr>
        <w:tabs>
          <w:tab w:val="left" w:pos="2771"/>
          <w:tab w:val="left" w:pos="6612"/>
        </w:tabs>
        <w:adjustRightInd w:val="0"/>
        <w:snapToGrid w:val="0"/>
        <w:ind w:firstLine="482"/>
        <w:jc w:val="center"/>
        <w:rPr>
          <w:rFonts w:hint="default" w:ascii="Times New Roman" w:hAnsi="Times New Roman" w:eastAsia="宋体" w:cs="Times New Roman"/>
          <w:b/>
          <w:color w:val="0000FF"/>
        </w:rPr>
      </w:pPr>
      <w:r>
        <w:rPr>
          <w:rFonts w:hint="default" w:ascii="Times New Roman" w:hAnsi="Times New Roman" w:eastAsia="宋体" w:cs="Times New Roman"/>
          <w:b/>
          <w:color w:val="0000FF"/>
        </w:rPr>
        <w:t>表2.6-5废气主要排放源估算模式计算结果一览表</w:t>
      </w:r>
    </w:p>
    <w:tbl>
      <w:tblPr>
        <w:tblStyle w:val="29"/>
        <w:tblW w:w="13606" w:type="dxa"/>
        <w:jc w:val="center"/>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Layout w:type="autofit"/>
        <w:tblCellMar>
          <w:top w:w="0" w:type="dxa"/>
          <w:left w:w="108" w:type="dxa"/>
          <w:bottom w:w="0" w:type="dxa"/>
          <w:right w:w="108" w:type="dxa"/>
        </w:tblCellMar>
      </w:tblPr>
      <w:tblGrid>
        <w:gridCol w:w="848"/>
        <w:gridCol w:w="1016"/>
        <w:gridCol w:w="806"/>
        <w:gridCol w:w="1016"/>
        <w:gridCol w:w="806"/>
        <w:gridCol w:w="1016"/>
        <w:gridCol w:w="806"/>
        <w:gridCol w:w="1016"/>
        <w:gridCol w:w="806"/>
        <w:gridCol w:w="1016"/>
        <w:gridCol w:w="806"/>
        <w:gridCol w:w="1016"/>
        <w:gridCol w:w="807"/>
        <w:gridCol w:w="1017"/>
        <w:gridCol w:w="808"/>
      </w:tblGrid>
      <w:tr w14:paraId="0EF65A05">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23" w:hRule="atLeast"/>
          <w:jc w:val="center"/>
        </w:trPr>
        <w:tc>
          <w:tcPr>
            <w:tcW w:w="930" w:type="dxa"/>
            <w:vMerge w:val="restart"/>
            <w:vAlign w:val="center"/>
          </w:tcPr>
          <w:p w14:paraId="6DB52C4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下风向距离</w:t>
            </w:r>
          </w:p>
        </w:tc>
        <w:tc>
          <w:tcPr>
            <w:tcW w:w="3720" w:type="dxa"/>
            <w:gridSpan w:val="4"/>
            <w:vAlign w:val="center"/>
          </w:tcPr>
          <w:p w14:paraId="29952E9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牛舍</w:t>
            </w:r>
          </w:p>
        </w:tc>
        <w:tc>
          <w:tcPr>
            <w:tcW w:w="3720" w:type="dxa"/>
            <w:gridSpan w:val="4"/>
            <w:vAlign w:val="center"/>
          </w:tcPr>
          <w:p w14:paraId="19F60D4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color w:val="0000FF"/>
                <w:sz w:val="18"/>
                <w:szCs w:val="18"/>
              </w:rPr>
            </w:pPr>
            <w:r>
              <w:rPr>
                <w:rFonts w:hint="default" w:ascii="Times New Roman" w:hAnsi="Times New Roman" w:eastAsia="宋体" w:cs="Times New Roman"/>
                <w:b w:val="0"/>
                <w:color w:val="0000FF"/>
                <w:sz w:val="18"/>
                <w:szCs w:val="18"/>
              </w:rPr>
              <w:t>固液分离车间</w:t>
            </w:r>
          </w:p>
        </w:tc>
        <w:tc>
          <w:tcPr>
            <w:tcW w:w="3720" w:type="dxa"/>
            <w:gridSpan w:val="4"/>
            <w:vAlign w:val="center"/>
          </w:tcPr>
          <w:p w14:paraId="4D80A37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color w:val="0000FF"/>
                <w:sz w:val="18"/>
                <w:szCs w:val="18"/>
                <w:lang w:val="en-US" w:eastAsia="zh-CN"/>
              </w:rPr>
            </w:pPr>
            <w:r>
              <w:rPr>
                <w:rFonts w:hint="default" w:ascii="Times New Roman" w:hAnsi="Times New Roman" w:eastAsia="宋体" w:cs="Times New Roman"/>
                <w:b w:val="0"/>
                <w:color w:val="0000FF"/>
                <w:sz w:val="18"/>
                <w:szCs w:val="18"/>
                <w:lang w:val="en-US" w:eastAsia="zh-CN"/>
              </w:rPr>
              <w:t>氧化塘</w:t>
            </w:r>
          </w:p>
        </w:tc>
        <w:tc>
          <w:tcPr>
            <w:tcW w:w="1862" w:type="dxa"/>
            <w:gridSpan w:val="2"/>
            <w:vAlign w:val="center"/>
          </w:tcPr>
          <w:p w14:paraId="212A831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color w:val="0000FF"/>
                <w:sz w:val="18"/>
                <w:szCs w:val="18"/>
                <w:lang w:val="en-US" w:eastAsia="zh-CN"/>
              </w:rPr>
            </w:pPr>
            <w:r>
              <w:rPr>
                <w:rFonts w:hint="default" w:ascii="Times New Roman" w:hAnsi="Times New Roman" w:eastAsia="宋体" w:cs="Times New Roman"/>
                <w:b w:val="0"/>
                <w:color w:val="0000FF"/>
                <w:sz w:val="18"/>
                <w:szCs w:val="18"/>
                <w:lang w:val="en-US" w:eastAsia="zh-CN"/>
              </w:rPr>
              <w:t>饲料库</w:t>
            </w:r>
          </w:p>
        </w:tc>
      </w:tr>
      <w:tr w14:paraId="5F7DE6A6">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23" w:hRule="atLeast"/>
          <w:jc w:val="center"/>
        </w:trPr>
        <w:tc>
          <w:tcPr>
            <w:tcW w:w="930" w:type="dxa"/>
            <w:vMerge w:val="continue"/>
            <w:vAlign w:val="center"/>
          </w:tcPr>
          <w:p w14:paraId="2AE8A89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p>
        </w:tc>
        <w:tc>
          <w:tcPr>
            <w:tcW w:w="1032" w:type="dxa"/>
            <w:vAlign w:val="center"/>
          </w:tcPr>
          <w:p w14:paraId="6CE4CC7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FF"/>
                <w:sz w:val="18"/>
                <w:szCs w:val="18"/>
                <w:lang w:eastAsia="zh-CN"/>
              </w:rPr>
            </w:pPr>
            <w:r>
              <w:rPr>
                <w:rFonts w:hint="default" w:ascii="Times New Roman" w:hAnsi="Times New Roman" w:eastAsia="宋体" w:cs="Times New Roman"/>
                <w:b w:val="0"/>
                <w:color w:val="0000FF"/>
                <w:sz w:val="18"/>
                <w:szCs w:val="18"/>
              </w:rPr>
              <w:t>NH</w:t>
            </w:r>
            <w:r>
              <w:rPr>
                <w:rFonts w:hint="default" w:ascii="Times New Roman" w:hAnsi="Times New Roman" w:eastAsia="宋体" w:cs="Times New Roman"/>
                <w:b w:val="0"/>
                <w:color w:val="0000FF"/>
                <w:sz w:val="18"/>
                <w:szCs w:val="18"/>
                <w:vertAlign w:val="subscript"/>
              </w:rPr>
              <w:t>3</w:t>
            </w:r>
            <w:r>
              <w:rPr>
                <w:rFonts w:hint="default" w:ascii="Times New Roman" w:hAnsi="Times New Roman" w:eastAsia="宋体" w:cs="Times New Roman"/>
                <w:b w:val="0"/>
                <w:color w:val="0000FF"/>
                <w:sz w:val="18"/>
                <w:szCs w:val="18"/>
              </w:rPr>
              <w:t>浓度</w:t>
            </w:r>
            <w:r>
              <w:rPr>
                <w:rFonts w:hint="eastAsia" w:ascii="Times New Roman" w:hAnsi="Times New Roman" w:eastAsia="宋体" w:cs="Times New Roman"/>
                <w:b w:val="0"/>
                <w:color w:val="0000FF"/>
                <w:sz w:val="18"/>
                <w:szCs w:val="18"/>
                <w:lang w:eastAsia="zh-CN"/>
              </w:rPr>
              <w:t>（</w:t>
            </w:r>
            <w:r>
              <w:rPr>
                <w:rFonts w:hint="default" w:ascii="Times New Roman" w:hAnsi="Times New Roman" w:eastAsia="宋体" w:cs="Times New Roman"/>
                <w:b w:val="0"/>
                <w:color w:val="0000FF"/>
                <w:sz w:val="18"/>
                <w:szCs w:val="18"/>
              </w:rPr>
              <w:t>μg/m³</w:t>
            </w:r>
            <w:r>
              <w:rPr>
                <w:rFonts w:hint="eastAsia" w:ascii="Times New Roman" w:hAnsi="Times New Roman" w:eastAsia="宋体" w:cs="Times New Roman"/>
                <w:b w:val="0"/>
                <w:color w:val="0000FF"/>
                <w:sz w:val="18"/>
                <w:szCs w:val="18"/>
                <w:lang w:eastAsia="zh-CN"/>
              </w:rPr>
              <w:t>）</w:t>
            </w:r>
          </w:p>
        </w:tc>
        <w:tc>
          <w:tcPr>
            <w:tcW w:w="828" w:type="dxa"/>
            <w:vAlign w:val="center"/>
          </w:tcPr>
          <w:p w14:paraId="38C7655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FF"/>
                <w:sz w:val="18"/>
                <w:szCs w:val="18"/>
                <w:lang w:eastAsia="zh-CN"/>
              </w:rPr>
            </w:pPr>
            <w:r>
              <w:rPr>
                <w:rFonts w:hint="default" w:ascii="Times New Roman" w:hAnsi="Times New Roman" w:eastAsia="宋体" w:cs="Times New Roman"/>
                <w:b w:val="0"/>
                <w:color w:val="0000FF"/>
                <w:sz w:val="18"/>
                <w:szCs w:val="18"/>
              </w:rPr>
              <w:t>NH</w:t>
            </w:r>
            <w:r>
              <w:rPr>
                <w:rFonts w:hint="default" w:ascii="Times New Roman" w:hAnsi="Times New Roman" w:eastAsia="宋体" w:cs="Times New Roman"/>
                <w:b w:val="0"/>
                <w:color w:val="0000FF"/>
                <w:sz w:val="18"/>
                <w:szCs w:val="18"/>
                <w:vertAlign w:val="subscript"/>
              </w:rPr>
              <w:t>3</w:t>
            </w:r>
            <w:r>
              <w:rPr>
                <w:rFonts w:hint="default" w:ascii="Times New Roman" w:hAnsi="Times New Roman" w:eastAsia="宋体" w:cs="Times New Roman"/>
                <w:b w:val="0"/>
                <w:color w:val="0000FF"/>
                <w:sz w:val="18"/>
                <w:szCs w:val="18"/>
              </w:rPr>
              <w:t>占标率</w:t>
            </w:r>
            <w:r>
              <w:rPr>
                <w:rFonts w:hint="eastAsia" w:ascii="Times New Roman" w:hAnsi="Times New Roman" w:eastAsia="宋体" w:cs="Times New Roman"/>
                <w:b w:val="0"/>
                <w:color w:val="0000FF"/>
                <w:sz w:val="18"/>
                <w:szCs w:val="18"/>
                <w:lang w:eastAsia="zh-CN"/>
              </w:rPr>
              <w:t>（</w:t>
            </w:r>
            <w:r>
              <w:rPr>
                <w:rFonts w:hint="default" w:ascii="Times New Roman" w:hAnsi="Times New Roman" w:eastAsia="宋体" w:cs="Times New Roman"/>
                <w:b w:val="0"/>
                <w:color w:val="0000FF"/>
                <w:sz w:val="18"/>
                <w:szCs w:val="18"/>
              </w:rPr>
              <w:t>%</w:t>
            </w:r>
            <w:r>
              <w:rPr>
                <w:rFonts w:hint="eastAsia" w:ascii="Times New Roman" w:hAnsi="Times New Roman" w:eastAsia="宋体" w:cs="Times New Roman"/>
                <w:b w:val="0"/>
                <w:color w:val="0000FF"/>
                <w:sz w:val="18"/>
                <w:szCs w:val="18"/>
                <w:lang w:eastAsia="zh-CN"/>
              </w:rPr>
              <w:t>）</w:t>
            </w:r>
          </w:p>
        </w:tc>
        <w:tc>
          <w:tcPr>
            <w:tcW w:w="1032" w:type="dxa"/>
            <w:vAlign w:val="center"/>
          </w:tcPr>
          <w:p w14:paraId="27DB150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FF"/>
                <w:sz w:val="18"/>
                <w:szCs w:val="18"/>
                <w:lang w:eastAsia="zh-CN"/>
              </w:rPr>
            </w:pPr>
            <w:r>
              <w:rPr>
                <w:rFonts w:hint="default" w:ascii="Times New Roman" w:hAnsi="Times New Roman" w:eastAsia="宋体" w:cs="Times New Roman"/>
                <w:b w:val="0"/>
                <w:color w:val="0000FF"/>
                <w:sz w:val="18"/>
                <w:szCs w:val="18"/>
              </w:rPr>
              <w:t>H</w:t>
            </w:r>
            <w:r>
              <w:rPr>
                <w:rFonts w:hint="default" w:ascii="Times New Roman" w:hAnsi="Times New Roman" w:eastAsia="宋体" w:cs="Times New Roman"/>
                <w:b w:val="0"/>
                <w:color w:val="0000FF"/>
                <w:sz w:val="18"/>
                <w:szCs w:val="18"/>
                <w:vertAlign w:val="subscript"/>
              </w:rPr>
              <w:t>2</w:t>
            </w:r>
            <w:r>
              <w:rPr>
                <w:rFonts w:hint="default" w:ascii="Times New Roman" w:hAnsi="Times New Roman" w:eastAsia="宋体" w:cs="Times New Roman"/>
                <w:b w:val="0"/>
                <w:color w:val="0000FF"/>
                <w:sz w:val="18"/>
                <w:szCs w:val="18"/>
              </w:rPr>
              <w:t>S浓度</w:t>
            </w:r>
            <w:r>
              <w:rPr>
                <w:rFonts w:hint="eastAsia" w:ascii="Times New Roman" w:hAnsi="Times New Roman" w:eastAsia="宋体" w:cs="Times New Roman"/>
                <w:b w:val="0"/>
                <w:color w:val="0000FF"/>
                <w:sz w:val="18"/>
                <w:szCs w:val="18"/>
                <w:lang w:eastAsia="zh-CN"/>
              </w:rPr>
              <w:t>（</w:t>
            </w:r>
            <w:r>
              <w:rPr>
                <w:rFonts w:hint="default" w:ascii="Times New Roman" w:hAnsi="Times New Roman" w:eastAsia="宋体" w:cs="Times New Roman"/>
                <w:b w:val="0"/>
                <w:color w:val="0000FF"/>
                <w:sz w:val="18"/>
                <w:szCs w:val="18"/>
              </w:rPr>
              <w:t>μg/m³</w:t>
            </w:r>
            <w:r>
              <w:rPr>
                <w:rFonts w:hint="eastAsia" w:ascii="Times New Roman" w:hAnsi="Times New Roman" w:eastAsia="宋体" w:cs="Times New Roman"/>
                <w:b w:val="0"/>
                <w:color w:val="0000FF"/>
                <w:sz w:val="18"/>
                <w:szCs w:val="18"/>
                <w:lang w:eastAsia="zh-CN"/>
              </w:rPr>
              <w:t>）</w:t>
            </w:r>
          </w:p>
        </w:tc>
        <w:tc>
          <w:tcPr>
            <w:tcW w:w="828" w:type="dxa"/>
            <w:vAlign w:val="center"/>
          </w:tcPr>
          <w:p w14:paraId="6D10DF9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FF"/>
                <w:sz w:val="18"/>
                <w:szCs w:val="18"/>
                <w:lang w:eastAsia="zh-CN"/>
              </w:rPr>
            </w:pPr>
            <w:r>
              <w:rPr>
                <w:rFonts w:hint="default" w:ascii="Times New Roman" w:hAnsi="Times New Roman" w:eastAsia="宋体" w:cs="Times New Roman"/>
                <w:b w:val="0"/>
                <w:color w:val="0000FF"/>
                <w:sz w:val="18"/>
                <w:szCs w:val="18"/>
              </w:rPr>
              <w:t>H</w:t>
            </w:r>
            <w:r>
              <w:rPr>
                <w:rFonts w:hint="default" w:ascii="Times New Roman" w:hAnsi="Times New Roman" w:eastAsia="宋体" w:cs="Times New Roman"/>
                <w:b w:val="0"/>
                <w:color w:val="0000FF"/>
                <w:sz w:val="18"/>
                <w:szCs w:val="18"/>
                <w:vertAlign w:val="subscript"/>
              </w:rPr>
              <w:t>2</w:t>
            </w:r>
            <w:r>
              <w:rPr>
                <w:rFonts w:hint="default" w:ascii="Times New Roman" w:hAnsi="Times New Roman" w:eastAsia="宋体" w:cs="Times New Roman"/>
                <w:b w:val="0"/>
                <w:color w:val="0000FF"/>
                <w:sz w:val="18"/>
                <w:szCs w:val="18"/>
              </w:rPr>
              <w:t>S占标率</w:t>
            </w:r>
            <w:r>
              <w:rPr>
                <w:rFonts w:hint="eastAsia" w:ascii="Times New Roman" w:hAnsi="Times New Roman" w:eastAsia="宋体" w:cs="Times New Roman"/>
                <w:b w:val="0"/>
                <w:color w:val="0000FF"/>
                <w:sz w:val="18"/>
                <w:szCs w:val="18"/>
                <w:lang w:eastAsia="zh-CN"/>
              </w:rPr>
              <w:t>（</w:t>
            </w:r>
            <w:r>
              <w:rPr>
                <w:rFonts w:hint="default" w:ascii="Times New Roman" w:hAnsi="Times New Roman" w:eastAsia="宋体" w:cs="Times New Roman"/>
                <w:b w:val="0"/>
                <w:color w:val="0000FF"/>
                <w:sz w:val="18"/>
                <w:szCs w:val="18"/>
              </w:rPr>
              <w:t>%</w:t>
            </w:r>
            <w:r>
              <w:rPr>
                <w:rFonts w:hint="eastAsia" w:ascii="Times New Roman" w:hAnsi="Times New Roman" w:eastAsia="宋体" w:cs="Times New Roman"/>
                <w:b w:val="0"/>
                <w:color w:val="0000FF"/>
                <w:sz w:val="18"/>
                <w:szCs w:val="18"/>
                <w:lang w:eastAsia="zh-CN"/>
              </w:rPr>
              <w:t>）</w:t>
            </w:r>
          </w:p>
        </w:tc>
        <w:tc>
          <w:tcPr>
            <w:tcW w:w="1032" w:type="dxa"/>
            <w:shd w:val="clear" w:color="auto" w:fill="auto"/>
            <w:vAlign w:val="center"/>
          </w:tcPr>
          <w:p w14:paraId="5B5EF15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NH</w:t>
            </w:r>
            <w:r>
              <w:rPr>
                <w:rFonts w:hint="default" w:ascii="Times New Roman" w:hAnsi="Times New Roman" w:eastAsia="宋体" w:cs="Times New Roman"/>
                <w:b w:val="0"/>
                <w:color w:val="0000FF"/>
                <w:sz w:val="18"/>
                <w:szCs w:val="18"/>
                <w:vertAlign w:val="subscript"/>
              </w:rPr>
              <w:t>3</w:t>
            </w:r>
            <w:r>
              <w:rPr>
                <w:rFonts w:hint="default" w:ascii="Times New Roman" w:hAnsi="Times New Roman" w:eastAsia="宋体" w:cs="Times New Roman"/>
                <w:b w:val="0"/>
                <w:color w:val="0000FF"/>
                <w:sz w:val="18"/>
                <w:szCs w:val="18"/>
              </w:rPr>
              <w:t>浓度</w:t>
            </w:r>
            <w:r>
              <w:rPr>
                <w:rFonts w:hint="eastAsia" w:cs="Times New Roman"/>
                <w:b w:val="0"/>
                <w:color w:val="0000FF"/>
                <w:sz w:val="18"/>
                <w:szCs w:val="18"/>
                <w:lang w:eastAsia="zh-CN"/>
              </w:rPr>
              <w:t>（</w:t>
            </w:r>
            <w:r>
              <w:rPr>
                <w:rFonts w:hint="default" w:ascii="Times New Roman" w:hAnsi="Times New Roman" w:eastAsia="宋体" w:cs="Times New Roman"/>
                <w:b w:val="0"/>
                <w:color w:val="0000FF"/>
                <w:sz w:val="18"/>
                <w:szCs w:val="18"/>
              </w:rPr>
              <w:t>μg/m³</w:t>
            </w:r>
            <w:r>
              <w:rPr>
                <w:rFonts w:hint="eastAsia" w:cs="Times New Roman"/>
                <w:b w:val="0"/>
                <w:color w:val="0000FF"/>
                <w:sz w:val="18"/>
                <w:szCs w:val="18"/>
                <w:lang w:eastAsia="zh-CN"/>
              </w:rPr>
              <w:t>）</w:t>
            </w:r>
          </w:p>
        </w:tc>
        <w:tc>
          <w:tcPr>
            <w:tcW w:w="828" w:type="dxa"/>
            <w:shd w:val="clear" w:color="auto" w:fill="auto"/>
            <w:vAlign w:val="center"/>
          </w:tcPr>
          <w:p w14:paraId="2D1E538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NH</w:t>
            </w:r>
            <w:r>
              <w:rPr>
                <w:rFonts w:hint="default" w:ascii="Times New Roman" w:hAnsi="Times New Roman" w:eastAsia="宋体" w:cs="Times New Roman"/>
                <w:b w:val="0"/>
                <w:color w:val="0000FF"/>
                <w:sz w:val="18"/>
                <w:szCs w:val="18"/>
                <w:vertAlign w:val="subscript"/>
              </w:rPr>
              <w:t>3</w:t>
            </w:r>
            <w:r>
              <w:rPr>
                <w:rFonts w:hint="default" w:ascii="Times New Roman" w:hAnsi="Times New Roman" w:eastAsia="宋体" w:cs="Times New Roman"/>
                <w:b w:val="0"/>
                <w:color w:val="0000FF"/>
                <w:sz w:val="18"/>
                <w:szCs w:val="18"/>
              </w:rPr>
              <w:t>占标率</w:t>
            </w:r>
            <w:r>
              <w:rPr>
                <w:rFonts w:hint="eastAsia" w:cs="Times New Roman"/>
                <w:b w:val="0"/>
                <w:color w:val="0000FF"/>
                <w:sz w:val="18"/>
                <w:szCs w:val="18"/>
                <w:lang w:eastAsia="zh-CN"/>
              </w:rPr>
              <w:t>（</w:t>
            </w:r>
            <w:r>
              <w:rPr>
                <w:rFonts w:hint="default" w:ascii="Times New Roman" w:hAnsi="Times New Roman" w:eastAsia="宋体" w:cs="Times New Roman"/>
                <w:b w:val="0"/>
                <w:color w:val="0000FF"/>
                <w:sz w:val="18"/>
                <w:szCs w:val="18"/>
              </w:rPr>
              <w:t>%</w:t>
            </w:r>
            <w:r>
              <w:rPr>
                <w:rFonts w:hint="eastAsia" w:cs="Times New Roman"/>
                <w:b w:val="0"/>
                <w:color w:val="0000FF"/>
                <w:sz w:val="18"/>
                <w:szCs w:val="18"/>
                <w:lang w:eastAsia="zh-CN"/>
              </w:rPr>
              <w:t>）</w:t>
            </w:r>
          </w:p>
        </w:tc>
        <w:tc>
          <w:tcPr>
            <w:tcW w:w="1032" w:type="dxa"/>
            <w:shd w:val="clear" w:color="auto" w:fill="auto"/>
            <w:vAlign w:val="center"/>
          </w:tcPr>
          <w:p w14:paraId="588A43D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H</w:t>
            </w:r>
            <w:r>
              <w:rPr>
                <w:rFonts w:hint="default" w:ascii="Times New Roman" w:hAnsi="Times New Roman" w:eastAsia="宋体" w:cs="Times New Roman"/>
                <w:b w:val="0"/>
                <w:color w:val="0000FF"/>
                <w:sz w:val="18"/>
                <w:szCs w:val="18"/>
                <w:vertAlign w:val="subscript"/>
              </w:rPr>
              <w:t>2</w:t>
            </w:r>
            <w:r>
              <w:rPr>
                <w:rFonts w:hint="default" w:ascii="Times New Roman" w:hAnsi="Times New Roman" w:eastAsia="宋体" w:cs="Times New Roman"/>
                <w:b w:val="0"/>
                <w:color w:val="0000FF"/>
                <w:sz w:val="18"/>
                <w:szCs w:val="18"/>
              </w:rPr>
              <w:t>S浓度</w:t>
            </w:r>
            <w:r>
              <w:rPr>
                <w:rFonts w:hint="eastAsia" w:cs="Times New Roman"/>
                <w:b w:val="0"/>
                <w:color w:val="0000FF"/>
                <w:sz w:val="18"/>
                <w:szCs w:val="18"/>
                <w:lang w:eastAsia="zh-CN"/>
              </w:rPr>
              <w:t>（</w:t>
            </w:r>
            <w:r>
              <w:rPr>
                <w:rFonts w:hint="default" w:ascii="Times New Roman" w:hAnsi="Times New Roman" w:eastAsia="宋体" w:cs="Times New Roman"/>
                <w:b w:val="0"/>
                <w:color w:val="0000FF"/>
                <w:sz w:val="18"/>
                <w:szCs w:val="18"/>
              </w:rPr>
              <w:t>μg/m³</w:t>
            </w:r>
            <w:r>
              <w:rPr>
                <w:rFonts w:hint="eastAsia" w:cs="Times New Roman"/>
                <w:b w:val="0"/>
                <w:color w:val="0000FF"/>
                <w:sz w:val="18"/>
                <w:szCs w:val="18"/>
                <w:lang w:eastAsia="zh-CN"/>
              </w:rPr>
              <w:t>）</w:t>
            </w:r>
          </w:p>
        </w:tc>
        <w:tc>
          <w:tcPr>
            <w:tcW w:w="828" w:type="dxa"/>
            <w:shd w:val="clear" w:color="auto" w:fill="auto"/>
            <w:vAlign w:val="center"/>
          </w:tcPr>
          <w:p w14:paraId="6DDEEA8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H</w:t>
            </w:r>
            <w:r>
              <w:rPr>
                <w:rFonts w:hint="default" w:ascii="Times New Roman" w:hAnsi="Times New Roman" w:eastAsia="宋体" w:cs="Times New Roman"/>
                <w:b w:val="0"/>
                <w:color w:val="0000FF"/>
                <w:sz w:val="18"/>
                <w:szCs w:val="18"/>
                <w:vertAlign w:val="subscript"/>
              </w:rPr>
              <w:t>2</w:t>
            </w:r>
            <w:r>
              <w:rPr>
                <w:rFonts w:hint="default" w:ascii="Times New Roman" w:hAnsi="Times New Roman" w:eastAsia="宋体" w:cs="Times New Roman"/>
                <w:b w:val="0"/>
                <w:color w:val="0000FF"/>
                <w:sz w:val="18"/>
                <w:szCs w:val="18"/>
              </w:rPr>
              <w:t>S占标率</w:t>
            </w:r>
            <w:r>
              <w:rPr>
                <w:rFonts w:hint="eastAsia" w:cs="Times New Roman"/>
                <w:b w:val="0"/>
                <w:color w:val="0000FF"/>
                <w:sz w:val="18"/>
                <w:szCs w:val="18"/>
                <w:lang w:eastAsia="zh-CN"/>
              </w:rPr>
              <w:t>（</w:t>
            </w:r>
            <w:r>
              <w:rPr>
                <w:rFonts w:hint="default" w:ascii="Times New Roman" w:hAnsi="Times New Roman" w:eastAsia="宋体" w:cs="Times New Roman"/>
                <w:b w:val="0"/>
                <w:color w:val="0000FF"/>
                <w:sz w:val="18"/>
                <w:szCs w:val="18"/>
              </w:rPr>
              <w:t>%</w:t>
            </w:r>
            <w:r>
              <w:rPr>
                <w:rFonts w:hint="eastAsia" w:cs="Times New Roman"/>
                <w:b w:val="0"/>
                <w:color w:val="0000FF"/>
                <w:sz w:val="18"/>
                <w:szCs w:val="18"/>
                <w:lang w:eastAsia="zh-CN"/>
              </w:rPr>
              <w:t>）</w:t>
            </w:r>
          </w:p>
        </w:tc>
        <w:tc>
          <w:tcPr>
            <w:tcW w:w="1032" w:type="dxa"/>
            <w:shd w:val="clear" w:color="auto" w:fill="auto"/>
            <w:vAlign w:val="center"/>
          </w:tcPr>
          <w:p w14:paraId="1DBBDCB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NH</w:t>
            </w:r>
            <w:r>
              <w:rPr>
                <w:rFonts w:hint="default" w:ascii="Times New Roman" w:hAnsi="Times New Roman" w:eastAsia="宋体" w:cs="Times New Roman"/>
                <w:b w:val="0"/>
                <w:color w:val="0000FF"/>
                <w:sz w:val="18"/>
                <w:szCs w:val="18"/>
                <w:vertAlign w:val="subscript"/>
              </w:rPr>
              <w:t>3</w:t>
            </w:r>
            <w:r>
              <w:rPr>
                <w:rFonts w:hint="default" w:ascii="Times New Roman" w:hAnsi="Times New Roman" w:eastAsia="宋体" w:cs="Times New Roman"/>
                <w:b w:val="0"/>
                <w:color w:val="0000FF"/>
                <w:sz w:val="18"/>
                <w:szCs w:val="18"/>
              </w:rPr>
              <w:t>浓度</w:t>
            </w:r>
            <w:r>
              <w:rPr>
                <w:rFonts w:hint="eastAsia" w:cs="Times New Roman"/>
                <w:b w:val="0"/>
                <w:color w:val="0000FF"/>
                <w:sz w:val="18"/>
                <w:szCs w:val="18"/>
                <w:lang w:eastAsia="zh-CN"/>
              </w:rPr>
              <w:t>（</w:t>
            </w:r>
            <w:r>
              <w:rPr>
                <w:rFonts w:hint="default" w:ascii="Times New Roman" w:hAnsi="Times New Roman" w:eastAsia="宋体" w:cs="Times New Roman"/>
                <w:b w:val="0"/>
                <w:color w:val="0000FF"/>
                <w:sz w:val="18"/>
                <w:szCs w:val="18"/>
              </w:rPr>
              <w:t>μg/m³</w:t>
            </w:r>
            <w:r>
              <w:rPr>
                <w:rFonts w:hint="eastAsia" w:cs="Times New Roman"/>
                <w:b w:val="0"/>
                <w:color w:val="0000FF"/>
                <w:sz w:val="18"/>
                <w:szCs w:val="18"/>
                <w:lang w:eastAsia="zh-CN"/>
              </w:rPr>
              <w:t>）</w:t>
            </w:r>
          </w:p>
        </w:tc>
        <w:tc>
          <w:tcPr>
            <w:tcW w:w="828" w:type="dxa"/>
            <w:shd w:val="clear" w:color="auto" w:fill="auto"/>
            <w:vAlign w:val="center"/>
          </w:tcPr>
          <w:p w14:paraId="7A4B793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NH</w:t>
            </w:r>
            <w:r>
              <w:rPr>
                <w:rFonts w:hint="default" w:ascii="Times New Roman" w:hAnsi="Times New Roman" w:eastAsia="宋体" w:cs="Times New Roman"/>
                <w:b w:val="0"/>
                <w:color w:val="0000FF"/>
                <w:sz w:val="18"/>
                <w:szCs w:val="18"/>
                <w:vertAlign w:val="subscript"/>
              </w:rPr>
              <w:t>3</w:t>
            </w:r>
            <w:r>
              <w:rPr>
                <w:rFonts w:hint="default" w:ascii="Times New Roman" w:hAnsi="Times New Roman" w:eastAsia="宋体" w:cs="Times New Roman"/>
                <w:b w:val="0"/>
                <w:color w:val="0000FF"/>
                <w:sz w:val="18"/>
                <w:szCs w:val="18"/>
              </w:rPr>
              <w:t>占标率</w:t>
            </w:r>
            <w:r>
              <w:rPr>
                <w:rFonts w:hint="eastAsia" w:cs="Times New Roman"/>
                <w:b w:val="0"/>
                <w:color w:val="0000FF"/>
                <w:sz w:val="18"/>
                <w:szCs w:val="18"/>
                <w:lang w:eastAsia="zh-CN"/>
              </w:rPr>
              <w:t>（</w:t>
            </w:r>
            <w:r>
              <w:rPr>
                <w:rFonts w:hint="default" w:ascii="Times New Roman" w:hAnsi="Times New Roman" w:eastAsia="宋体" w:cs="Times New Roman"/>
                <w:b w:val="0"/>
                <w:color w:val="0000FF"/>
                <w:sz w:val="18"/>
                <w:szCs w:val="18"/>
              </w:rPr>
              <w:t>%</w:t>
            </w:r>
            <w:r>
              <w:rPr>
                <w:rFonts w:hint="eastAsia" w:cs="Times New Roman"/>
                <w:b w:val="0"/>
                <w:color w:val="0000FF"/>
                <w:sz w:val="18"/>
                <w:szCs w:val="18"/>
                <w:lang w:eastAsia="zh-CN"/>
              </w:rPr>
              <w:t>）</w:t>
            </w:r>
          </w:p>
        </w:tc>
        <w:tc>
          <w:tcPr>
            <w:tcW w:w="1032" w:type="dxa"/>
            <w:shd w:val="clear" w:color="auto" w:fill="auto"/>
            <w:vAlign w:val="center"/>
          </w:tcPr>
          <w:p w14:paraId="01C3942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H</w:t>
            </w:r>
            <w:r>
              <w:rPr>
                <w:rFonts w:hint="default" w:ascii="Times New Roman" w:hAnsi="Times New Roman" w:eastAsia="宋体" w:cs="Times New Roman"/>
                <w:b w:val="0"/>
                <w:color w:val="0000FF"/>
                <w:sz w:val="18"/>
                <w:szCs w:val="18"/>
                <w:vertAlign w:val="subscript"/>
              </w:rPr>
              <w:t>2</w:t>
            </w:r>
            <w:r>
              <w:rPr>
                <w:rFonts w:hint="default" w:ascii="Times New Roman" w:hAnsi="Times New Roman" w:eastAsia="宋体" w:cs="Times New Roman"/>
                <w:b w:val="0"/>
                <w:color w:val="0000FF"/>
                <w:sz w:val="18"/>
                <w:szCs w:val="18"/>
              </w:rPr>
              <w:t>S浓度</w:t>
            </w:r>
            <w:r>
              <w:rPr>
                <w:rFonts w:hint="eastAsia" w:cs="Times New Roman"/>
                <w:b w:val="0"/>
                <w:color w:val="0000FF"/>
                <w:sz w:val="18"/>
                <w:szCs w:val="18"/>
                <w:lang w:eastAsia="zh-CN"/>
              </w:rPr>
              <w:t>（</w:t>
            </w:r>
            <w:r>
              <w:rPr>
                <w:rFonts w:hint="default" w:ascii="Times New Roman" w:hAnsi="Times New Roman" w:eastAsia="宋体" w:cs="Times New Roman"/>
                <w:b w:val="0"/>
                <w:color w:val="0000FF"/>
                <w:sz w:val="18"/>
                <w:szCs w:val="18"/>
              </w:rPr>
              <w:t>μg/m³</w:t>
            </w:r>
            <w:r>
              <w:rPr>
                <w:rFonts w:hint="eastAsia" w:cs="Times New Roman"/>
                <w:b w:val="0"/>
                <w:color w:val="0000FF"/>
                <w:sz w:val="18"/>
                <w:szCs w:val="18"/>
                <w:lang w:eastAsia="zh-CN"/>
              </w:rPr>
              <w:t>）</w:t>
            </w:r>
          </w:p>
        </w:tc>
        <w:tc>
          <w:tcPr>
            <w:tcW w:w="828" w:type="dxa"/>
            <w:shd w:val="clear" w:color="auto" w:fill="auto"/>
            <w:vAlign w:val="center"/>
          </w:tcPr>
          <w:p w14:paraId="1AD366E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H</w:t>
            </w:r>
            <w:r>
              <w:rPr>
                <w:rFonts w:hint="default" w:ascii="Times New Roman" w:hAnsi="Times New Roman" w:eastAsia="宋体" w:cs="Times New Roman"/>
                <w:b w:val="0"/>
                <w:color w:val="0000FF"/>
                <w:sz w:val="18"/>
                <w:szCs w:val="18"/>
                <w:vertAlign w:val="subscript"/>
              </w:rPr>
              <w:t>2</w:t>
            </w:r>
            <w:r>
              <w:rPr>
                <w:rFonts w:hint="default" w:ascii="Times New Roman" w:hAnsi="Times New Roman" w:eastAsia="宋体" w:cs="Times New Roman"/>
                <w:b w:val="0"/>
                <w:color w:val="0000FF"/>
                <w:sz w:val="18"/>
                <w:szCs w:val="18"/>
              </w:rPr>
              <w:t>S占标率</w:t>
            </w:r>
            <w:r>
              <w:rPr>
                <w:rFonts w:hint="eastAsia" w:cs="Times New Roman"/>
                <w:b w:val="0"/>
                <w:color w:val="0000FF"/>
                <w:sz w:val="18"/>
                <w:szCs w:val="18"/>
                <w:lang w:eastAsia="zh-CN"/>
              </w:rPr>
              <w:t>（</w:t>
            </w:r>
            <w:r>
              <w:rPr>
                <w:rFonts w:hint="default" w:ascii="Times New Roman" w:hAnsi="Times New Roman" w:eastAsia="宋体" w:cs="Times New Roman"/>
                <w:b w:val="0"/>
                <w:color w:val="0000FF"/>
                <w:sz w:val="18"/>
                <w:szCs w:val="18"/>
              </w:rPr>
              <w:t>%</w:t>
            </w:r>
            <w:r>
              <w:rPr>
                <w:rFonts w:hint="eastAsia" w:cs="Times New Roman"/>
                <w:b w:val="0"/>
                <w:color w:val="0000FF"/>
                <w:sz w:val="18"/>
                <w:szCs w:val="18"/>
                <w:lang w:eastAsia="zh-CN"/>
              </w:rPr>
              <w:t>）</w:t>
            </w:r>
          </w:p>
        </w:tc>
        <w:tc>
          <w:tcPr>
            <w:tcW w:w="1033" w:type="dxa"/>
            <w:shd w:val="clear" w:color="auto" w:fill="auto"/>
            <w:vAlign w:val="center"/>
          </w:tcPr>
          <w:p w14:paraId="66144D8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TSP浓度</w:t>
            </w:r>
            <w:r>
              <w:rPr>
                <w:rFonts w:hint="eastAsia" w:ascii="Times New Roman" w:hAnsi="Times New Roman" w:eastAsia="宋体" w:cs="Times New Roman"/>
                <w:b w:val="0"/>
                <w:color w:val="0000FF"/>
                <w:sz w:val="18"/>
                <w:szCs w:val="18"/>
                <w:lang w:eastAsia="zh-CN"/>
              </w:rPr>
              <w:t>（</w:t>
            </w:r>
            <w:r>
              <w:rPr>
                <w:rFonts w:hint="default" w:ascii="Times New Roman" w:hAnsi="Times New Roman" w:eastAsia="宋体" w:cs="Times New Roman"/>
                <w:b w:val="0"/>
                <w:color w:val="0000FF"/>
                <w:sz w:val="18"/>
                <w:szCs w:val="18"/>
              </w:rPr>
              <w:t>μg/m³</w:t>
            </w:r>
            <w:r>
              <w:rPr>
                <w:rFonts w:hint="eastAsia" w:ascii="Times New Roman" w:hAnsi="Times New Roman" w:eastAsia="宋体" w:cs="Times New Roman"/>
                <w:b w:val="0"/>
                <w:color w:val="0000FF"/>
                <w:sz w:val="18"/>
                <w:szCs w:val="18"/>
                <w:lang w:eastAsia="zh-CN"/>
              </w:rPr>
              <w:t>）</w:t>
            </w:r>
          </w:p>
        </w:tc>
        <w:tc>
          <w:tcPr>
            <w:tcW w:w="829" w:type="dxa"/>
            <w:shd w:val="clear" w:color="auto" w:fill="auto"/>
            <w:vAlign w:val="center"/>
          </w:tcPr>
          <w:p w14:paraId="0D4D914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TSP占标率</w:t>
            </w:r>
            <w:r>
              <w:rPr>
                <w:rFonts w:hint="eastAsia" w:ascii="Times New Roman" w:hAnsi="Times New Roman" w:eastAsia="宋体" w:cs="Times New Roman"/>
                <w:b w:val="0"/>
                <w:color w:val="0000FF"/>
                <w:sz w:val="18"/>
                <w:szCs w:val="18"/>
                <w:lang w:eastAsia="zh-CN"/>
              </w:rPr>
              <w:t>（</w:t>
            </w:r>
            <w:r>
              <w:rPr>
                <w:rFonts w:hint="default" w:ascii="Times New Roman" w:hAnsi="Times New Roman" w:eastAsia="宋体" w:cs="Times New Roman"/>
                <w:b w:val="0"/>
                <w:color w:val="0000FF"/>
                <w:sz w:val="18"/>
                <w:szCs w:val="18"/>
              </w:rPr>
              <w:t>%</w:t>
            </w:r>
            <w:r>
              <w:rPr>
                <w:rFonts w:hint="eastAsia" w:ascii="Times New Roman" w:hAnsi="Times New Roman" w:eastAsia="宋体" w:cs="Times New Roman"/>
                <w:b w:val="0"/>
                <w:color w:val="0000FF"/>
                <w:sz w:val="18"/>
                <w:szCs w:val="18"/>
                <w:lang w:eastAsia="zh-CN"/>
              </w:rPr>
              <w:t>）</w:t>
            </w:r>
          </w:p>
        </w:tc>
      </w:tr>
      <w:tr w14:paraId="13483A01">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23" w:hRule="atLeast"/>
          <w:jc w:val="center"/>
        </w:trPr>
        <w:tc>
          <w:tcPr>
            <w:tcW w:w="930" w:type="dxa"/>
            <w:vAlign w:val="center"/>
          </w:tcPr>
          <w:p w14:paraId="19EDDBC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50.0</w:t>
            </w:r>
          </w:p>
        </w:tc>
        <w:tc>
          <w:tcPr>
            <w:tcW w:w="1032" w:type="dxa"/>
            <w:vAlign w:val="center"/>
          </w:tcPr>
          <w:p w14:paraId="2D24E39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0.0032</w:t>
            </w:r>
          </w:p>
        </w:tc>
        <w:tc>
          <w:tcPr>
            <w:tcW w:w="828" w:type="dxa"/>
            <w:vAlign w:val="center"/>
          </w:tcPr>
          <w:p w14:paraId="66145D5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0.0016</w:t>
            </w:r>
          </w:p>
        </w:tc>
        <w:tc>
          <w:tcPr>
            <w:tcW w:w="1032" w:type="dxa"/>
            <w:vAlign w:val="center"/>
          </w:tcPr>
          <w:p w14:paraId="36EB35F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0.0004</w:t>
            </w:r>
          </w:p>
        </w:tc>
        <w:tc>
          <w:tcPr>
            <w:tcW w:w="828" w:type="dxa"/>
            <w:vAlign w:val="center"/>
          </w:tcPr>
          <w:p w14:paraId="671CA4A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0.0042</w:t>
            </w:r>
          </w:p>
        </w:tc>
        <w:tc>
          <w:tcPr>
            <w:tcW w:w="1032" w:type="dxa"/>
            <w:shd w:val="clear" w:color="auto" w:fill="auto"/>
            <w:vAlign w:val="center"/>
          </w:tcPr>
          <w:p w14:paraId="07E2110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0.0004</w:t>
            </w:r>
          </w:p>
        </w:tc>
        <w:tc>
          <w:tcPr>
            <w:tcW w:w="828" w:type="dxa"/>
            <w:shd w:val="clear" w:color="auto" w:fill="auto"/>
            <w:vAlign w:val="center"/>
          </w:tcPr>
          <w:p w14:paraId="3215645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0.0002</w:t>
            </w:r>
          </w:p>
        </w:tc>
        <w:tc>
          <w:tcPr>
            <w:tcW w:w="1032" w:type="dxa"/>
            <w:shd w:val="clear" w:color="auto" w:fill="auto"/>
            <w:vAlign w:val="center"/>
          </w:tcPr>
          <w:p w14:paraId="241020B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0.0001</w:t>
            </w:r>
          </w:p>
        </w:tc>
        <w:tc>
          <w:tcPr>
            <w:tcW w:w="828" w:type="dxa"/>
            <w:shd w:val="clear" w:color="auto" w:fill="auto"/>
            <w:vAlign w:val="center"/>
          </w:tcPr>
          <w:p w14:paraId="144A569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0.0014</w:t>
            </w:r>
          </w:p>
        </w:tc>
        <w:tc>
          <w:tcPr>
            <w:tcW w:w="1032" w:type="dxa"/>
            <w:shd w:val="clear" w:color="auto" w:fill="auto"/>
            <w:vAlign w:val="center"/>
          </w:tcPr>
          <w:p w14:paraId="7903837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0.0020</w:t>
            </w:r>
          </w:p>
        </w:tc>
        <w:tc>
          <w:tcPr>
            <w:tcW w:w="828" w:type="dxa"/>
            <w:shd w:val="clear" w:color="auto" w:fill="auto"/>
            <w:vAlign w:val="center"/>
          </w:tcPr>
          <w:p w14:paraId="51F77E5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0.0010</w:t>
            </w:r>
          </w:p>
        </w:tc>
        <w:tc>
          <w:tcPr>
            <w:tcW w:w="1032" w:type="dxa"/>
            <w:shd w:val="clear" w:color="auto" w:fill="auto"/>
            <w:vAlign w:val="center"/>
          </w:tcPr>
          <w:p w14:paraId="0E764CB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0.0083</w:t>
            </w:r>
          </w:p>
        </w:tc>
        <w:tc>
          <w:tcPr>
            <w:tcW w:w="828" w:type="dxa"/>
            <w:shd w:val="clear" w:color="auto" w:fill="auto"/>
            <w:vAlign w:val="center"/>
          </w:tcPr>
          <w:p w14:paraId="4A34FAD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0.0830</w:t>
            </w:r>
          </w:p>
        </w:tc>
        <w:tc>
          <w:tcPr>
            <w:tcW w:w="1033" w:type="dxa"/>
            <w:shd w:val="clear" w:color="auto" w:fill="auto"/>
            <w:vAlign w:val="center"/>
          </w:tcPr>
          <w:p w14:paraId="14277EB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3.6207</w:t>
            </w:r>
          </w:p>
        </w:tc>
        <w:tc>
          <w:tcPr>
            <w:tcW w:w="829" w:type="dxa"/>
            <w:shd w:val="clear" w:color="auto" w:fill="auto"/>
            <w:vAlign w:val="center"/>
          </w:tcPr>
          <w:p w14:paraId="1AAEF10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0.4023</w:t>
            </w:r>
          </w:p>
        </w:tc>
      </w:tr>
      <w:tr w14:paraId="61EC6390">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23" w:hRule="atLeast"/>
          <w:jc w:val="center"/>
        </w:trPr>
        <w:tc>
          <w:tcPr>
            <w:tcW w:w="930" w:type="dxa"/>
            <w:vAlign w:val="center"/>
          </w:tcPr>
          <w:p w14:paraId="5509B4B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100.0</w:t>
            </w:r>
          </w:p>
        </w:tc>
        <w:tc>
          <w:tcPr>
            <w:tcW w:w="1032" w:type="dxa"/>
            <w:vAlign w:val="center"/>
          </w:tcPr>
          <w:p w14:paraId="60BA771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0.0040</w:t>
            </w:r>
          </w:p>
        </w:tc>
        <w:tc>
          <w:tcPr>
            <w:tcW w:w="828" w:type="dxa"/>
            <w:vAlign w:val="center"/>
          </w:tcPr>
          <w:p w14:paraId="2F5D6E7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0.0020</w:t>
            </w:r>
          </w:p>
        </w:tc>
        <w:tc>
          <w:tcPr>
            <w:tcW w:w="1032" w:type="dxa"/>
            <w:vAlign w:val="center"/>
          </w:tcPr>
          <w:p w14:paraId="12243BF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0.0005</w:t>
            </w:r>
          </w:p>
        </w:tc>
        <w:tc>
          <w:tcPr>
            <w:tcW w:w="828" w:type="dxa"/>
            <w:vAlign w:val="center"/>
          </w:tcPr>
          <w:p w14:paraId="4468101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0.0053</w:t>
            </w:r>
          </w:p>
        </w:tc>
        <w:tc>
          <w:tcPr>
            <w:tcW w:w="1032" w:type="dxa"/>
            <w:shd w:val="clear" w:color="auto" w:fill="auto"/>
            <w:vAlign w:val="center"/>
          </w:tcPr>
          <w:p w14:paraId="4C3535B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0.0003</w:t>
            </w:r>
          </w:p>
        </w:tc>
        <w:tc>
          <w:tcPr>
            <w:tcW w:w="828" w:type="dxa"/>
            <w:shd w:val="clear" w:color="auto" w:fill="auto"/>
            <w:vAlign w:val="center"/>
          </w:tcPr>
          <w:p w14:paraId="5973971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0.0001</w:t>
            </w:r>
          </w:p>
        </w:tc>
        <w:tc>
          <w:tcPr>
            <w:tcW w:w="1032" w:type="dxa"/>
            <w:shd w:val="clear" w:color="auto" w:fill="auto"/>
            <w:vAlign w:val="center"/>
          </w:tcPr>
          <w:p w14:paraId="36FD66E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0.0001</w:t>
            </w:r>
          </w:p>
        </w:tc>
        <w:tc>
          <w:tcPr>
            <w:tcW w:w="828" w:type="dxa"/>
            <w:shd w:val="clear" w:color="auto" w:fill="auto"/>
            <w:vAlign w:val="center"/>
          </w:tcPr>
          <w:p w14:paraId="1973BED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0.0010</w:t>
            </w:r>
          </w:p>
        </w:tc>
        <w:tc>
          <w:tcPr>
            <w:tcW w:w="1032" w:type="dxa"/>
            <w:shd w:val="clear" w:color="auto" w:fill="auto"/>
            <w:vAlign w:val="center"/>
          </w:tcPr>
          <w:p w14:paraId="45460D4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0.0026</w:t>
            </w:r>
          </w:p>
        </w:tc>
        <w:tc>
          <w:tcPr>
            <w:tcW w:w="828" w:type="dxa"/>
            <w:shd w:val="clear" w:color="auto" w:fill="auto"/>
            <w:vAlign w:val="center"/>
          </w:tcPr>
          <w:p w14:paraId="47982EF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0.0013</w:t>
            </w:r>
          </w:p>
        </w:tc>
        <w:tc>
          <w:tcPr>
            <w:tcW w:w="1032" w:type="dxa"/>
            <w:shd w:val="clear" w:color="auto" w:fill="auto"/>
            <w:vAlign w:val="center"/>
          </w:tcPr>
          <w:p w14:paraId="4530E6C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0.0107</w:t>
            </w:r>
          </w:p>
        </w:tc>
        <w:tc>
          <w:tcPr>
            <w:tcW w:w="828" w:type="dxa"/>
            <w:shd w:val="clear" w:color="auto" w:fill="auto"/>
            <w:vAlign w:val="center"/>
          </w:tcPr>
          <w:p w14:paraId="4AD550A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0.1066</w:t>
            </w:r>
          </w:p>
        </w:tc>
        <w:tc>
          <w:tcPr>
            <w:tcW w:w="1033" w:type="dxa"/>
            <w:shd w:val="clear" w:color="auto" w:fill="auto"/>
            <w:vAlign w:val="center"/>
          </w:tcPr>
          <w:p w14:paraId="6CF740B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2.4011</w:t>
            </w:r>
          </w:p>
        </w:tc>
        <w:tc>
          <w:tcPr>
            <w:tcW w:w="829" w:type="dxa"/>
            <w:shd w:val="clear" w:color="auto" w:fill="auto"/>
            <w:vAlign w:val="center"/>
          </w:tcPr>
          <w:p w14:paraId="4FA232D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0.2668</w:t>
            </w:r>
          </w:p>
        </w:tc>
      </w:tr>
      <w:tr w14:paraId="17EE9BD9">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23" w:hRule="atLeast"/>
          <w:jc w:val="center"/>
        </w:trPr>
        <w:tc>
          <w:tcPr>
            <w:tcW w:w="930" w:type="dxa"/>
            <w:vAlign w:val="center"/>
          </w:tcPr>
          <w:p w14:paraId="1C05AC4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200.0</w:t>
            </w:r>
          </w:p>
        </w:tc>
        <w:tc>
          <w:tcPr>
            <w:tcW w:w="1032" w:type="dxa"/>
            <w:vAlign w:val="center"/>
          </w:tcPr>
          <w:p w14:paraId="0FEA207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0.0050</w:t>
            </w:r>
          </w:p>
        </w:tc>
        <w:tc>
          <w:tcPr>
            <w:tcW w:w="828" w:type="dxa"/>
            <w:vAlign w:val="center"/>
          </w:tcPr>
          <w:p w14:paraId="7751434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0.0025</w:t>
            </w:r>
          </w:p>
        </w:tc>
        <w:tc>
          <w:tcPr>
            <w:tcW w:w="1032" w:type="dxa"/>
            <w:vAlign w:val="center"/>
          </w:tcPr>
          <w:p w14:paraId="217CF6E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0.0007</w:t>
            </w:r>
          </w:p>
        </w:tc>
        <w:tc>
          <w:tcPr>
            <w:tcW w:w="828" w:type="dxa"/>
            <w:vAlign w:val="center"/>
          </w:tcPr>
          <w:p w14:paraId="4217F07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0.0067</w:t>
            </w:r>
          </w:p>
        </w:tc>
        <w:tc>
          <w:tcPr>
            <w:tcW w:w="1032" w:type="dxa"/>
            <w:shd w:val="clear" w:color="auto" w:fill="auto"/>
            <w:vAlign w:val="center"/>
          </w:tcPr>
          <w:p w14:paraId="2417468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0.0002</w:t>
            </w:r>
          </w:p>
        </w:tc>
        <w:tc>
          <w:tcPr>
            <w:tcW w:w="828" w:type="dxa"/>
            <w:shd w:val="clear" w:color="auto" w:fill="auto"/>
            <w:vAlign w:val="center"/>
          </w:tcPr>
          <w:p w14:paraId="18EE327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0.0001</w:t>
            </w:r>
          </w:p>
        </w:tc>
        <w:tc>
          <w:tcPr>
            <w:tcW w:w="1032" w:type="dxa"/>
            <w:shd w:val="clear" w:color="auto" w:fill="auto"/>
            <w:vAlign w:val="center"/>
          </w:tcPr>
          <w:p w14:paraId="0334FBB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0.0001</w:t>
            </w:r>
          </w:p>
        </w:tc>
        <w:tc>
          <w:tcPr>
            <w:tcW w:w="828" w:type="dxa"/>
            <w:shd w:val="clear" w:color="auto" w:fill="auto"/>
            <w:vAlign w:val="center"/>
          </w:tcPr>
          <w:p w14:paraId="021E6EC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0.0008</w:t>
            </w:r>
          </w:p>
        </w:tc>
        <w:tc>
          <w:tcPr>
            <w:tcW w:w="1032" w:type="dxa"/>
            <w:shd w:val="clear" w:color="auto" w:fill="auto"/>
            <w:vAlign w:val="center"/>
          </w:tcPr>
          <w:p w14:paraId="7014924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0.0025</w:t>
            </w:r>
          </w:p>
        </w:tc>
        <w:tc>
          <w:tcPr>
            <w:tcW w:w="828" w:type="dxa"/>
            <w:shd w:val="clear" w:color="auto" w:fill="auto"/>
            <w:vAlign w:val="center"/>
          </w:tcPr>
          <w:p w14:paraId="4D702E9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0.0012</w:t>
            </w:r>
          </w:p>
        </w:tc>
        <w:tc>
          <w:tcPr>
            <w:tcW w:w="1032" w:type="dxa"/>
            <w:shd w:val="clear" w:color="auto" w:fill="auto"/>
            <w:vAlign w:val="center"/>
          </w:tcPr>
          <w:p w14:paraId="4AC3E16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0.0103</w:t>
            </w:r>
          </w:p>
        </w:tc>
        <w:tc>
          <w:tcPr>
            <w:tcW w:w="828" w:type="dxa"/>
            <w:shd w:val="clear" w:color="auto" w:fill="auto"/>
            <w:vAlign w:val="center"/>
          </w:tcPr>
          <w:p w14:paraId="0F8A382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0.1032</w:t>
            </w:r>
          </w:p>
        </w:tc>
        <w:tc>
          <w:tcPr>
            <w:tcW w:w="1033" w:type="dxa"/>
            <w:shd w:val="clear" w:color="auto" w:fill="auto"/>
            <w:vAlign w:val="center"/>
          </w:tcPr>
          <w:p w14:paraId="7AF864E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1.9373</w:t>
            </w:r>
          </w:p>
        </w:tc>
        <w:tc>
          <w:tcPr>
            <w:tcW w:w="829" w:type="dxa"/>
            <w:shd w:val="clear" w:color="auto" w:fill="auto"/>
            <w:vAlign w:val="center"/>
          </w:tcPr>
          <w:p w14:paraId="3C2479B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0.2153</w:t>
            </w:r>
          </w:p>
        </w:tc>
      </w:tr>
      <w:tr w14:paraId="496807D8">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23" w:hRule="atLeast"/>
          <w:jc w:val="center"/>
        </w:trPr>
        <w:tc>
          <w:tcPr>
            <w:tcW w:w="930" w:type="dxa"/>
            <w:vAlign w:val="center"/>
          </w:tcPr>
          <w:p w14:paraId="5AEAFA3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300.0</w:t>
            </w:r>
          </w:p>
        </w:tc>
        <w:tc>
          <w:tcPr>
            <w:tcW w:w="1032" w:type="dxa"/>
            <w:vAlign w:val="center"/>
          </w:tcPr>
          <w:p w14:paraId="04C82F2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0.0049</w:t>
            </w:r>
          </w:p>
        </w:tc>
        <w:tc>
          <w:tcPr>
            <w:tcW w:w="828" w:type="dxa"/>
            <w:vAlign w:val="center"/>
          </w:tcPr>
          <w:p w14:paraId="2B4A95F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0.0024</w:t>
            </w:r>
          </w:p>
        </w:tc>
        <w:tc>
          <w:tcPr>
            <w:tcW w:w="1032" w:type="dxa"/>
            <w:vAlign w:val="center"/>
          </w:tcPr>
          <w:p w14:paraId="4A605BA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0.0006</w:t>
            </w:r>
          </w:p>
        </w:tc>
        <w:tc>
          <w:tcPr>
            <w:tcW w:w="828" w:type="dxa"/>
            <w:vAlign w:val="center"/>
          </w:tcPr>
          <w:p w14:paraId="53DFCA4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0.0065</w:t>
            </w:r>
          </w:p>
        </w:tc>
        <w:tc>
          <w:tcPr>
            <w:tcW w:w="1032" w:type="dxa"/>
            <w:shd w:val="clear" w:color="auto" w:fill="auto"/>
            <w:vAlign w:val="center"/>
          </w:tcPr>
          <w:p w14:paraId="181AE14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0.0002</w:t>
            </w:r>
          </w:p>
        </w:tc>
        <w:tc>
          <w:tcPr>
            <w:tcW w:w="828" w:type="dxa"/>
            <w:shd w:val="clear" w:color="auto" w:fill="auto"/>
            <w:vAlign w:val="center"/>
          </w:tcPr>
          <w:p w14:paraId="2F038E5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0.0001</w:t>
            </w:r>
          </w:p>
        </w:tc>
        <w:tc>
          <w:tcPr>
            <w:tcW w:w="1032" w:type="dxa"/>
            <w:shd w:val="clear" w:color="auto" w:fill="auto"/>
            <w:vAlign w:val="center"/>
          </w:tcPr>
          <w:p w14:paraId="1188D90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0.0001</w:t>
            </w:r>
          </w:p>
        </w:tc>
        <w:tc>
          <w:tcPr>
            <w:tcW w:w="828" w:type="dxa"/>
            <w:shd w:val="clear" w:color="auto" w:fill="auto"/>
            <w:vAlign w:val="center"/>
          </w:tcPr>
          <w:p w14:paraId="42C5276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0.0007</w:t>
            </w:r>
          </w:p>
        </w:tc>
        <w:tc>
          <w:tcPr>
            <w:tcW w:w="1032" w:type="dxa"/>
            <w:shd w:val="clear" w:color="auto" w:fill="auto"/>
            <w:vAlign w:val="center"/>
          </w:tcPr>
          <w:p w14:paraId="76DE7E3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0.0022</w:t>
            </w:r>
          </w:p>
        </w:tc>
        <w:tc>
          <w:tcPr>
            <w:tcW w:w="828" w:type="dxa"/>
            <w:shd w:val="clear" w:color="auto" w:fill="auto"/>
            <w:vAlign w:val="center"/>
          </w:tcPr>
          <w:p w14:paraId="443C0AC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0.0011</w:t>
            </w:r>
          </w:p>
        </w:tc>
        <w:tc>
          <w:tcPr>
            <w:tcW w:w="1032" w:type="dxa"/>
            <w:shd w:val="clear" w:color="auto" w:fill="auto"/>
            <w:vAlign w:val="center"/>
          </w:tcPr>
          <w:p w14:paraId="75E4C26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0.0093</w:t>
            </w:r>
          </w:p>
        </w:tc>
        <w:tc>
          <w:tcPr>
            <w:tcW w:w="828" w:type="dxa"/>
            <w:shd w:val="clear" w:color="auto" w:fill="auto"/>
            <w:vAlign w:val="center"/>
          </w:tcPr>
          <w:p w14:paraId="63AD3BC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0.0933</w:t>
            </w:r>
          </w:p>
        </w:tc>
        <w:tc>
          <w:tcPr>
            <w:tcW w:w="1033" w:type="dxa"/>
            <w:shd w:val="clear" w:color="auto" w:fill="auto"/>
            <w:vAlign w:val="center"/>
          </w:tcPr>
          <w:p w14:paraId="1329706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1.6516</w:t>
            </w:r>
          </w:p>
        </w:tc>
        <w:tc>
          <w:tcPr>
            <w:tcW w:w="829" w:type="dxa"/>
            <w:shd w:val="clear" w:color="auto" w:fill="auto"/>
            <w:vAlign w:val="center"/>
          </w:tcPr>
          <w:p w14:paraId="7B79D70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0.1835</w:t>
            </w:r>
          </w:p>
        </w:tc>
      </w:tr>
      <w:tr w14:paraId="25D3B1E7">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23" w:hRule="atLeast"/>
          <w:jc w:val="center"/>
        </w:trPr>
        <w:tc>
          <w:tcPr>
            <w:tcW w:w="930" w:type="dxa"/>
            <w:vAlign w:val="center"/>
          </w:tcPr>
          <w:p w14:paraId="2E70BC2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400.0</w:t>
            </w:r>
          </w:p>
        </w:tc>
        <w:tc>
          <w:tcPr>
            <w:tcW w:w="1032" w:type="dxa"/>
            <w:vAlign w:val="center"/>
          </w:tcPr>
          <w:p w14:paraId="0A877C2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0.0046</w:t>
            </w:r>
          </w:p>
        </w:tc>
        <w:tc>
          <w:tcPr>
            <w:tcW w:w="828" w:type="dxa"/>
            <w:vAlign w:val="center"/>
          </w:tcPr>
          <w:p w14:paraId="294F45C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0.0023</w:t>
            </w:r>
          </w:p>
        </w:tc>
        <w:tc>
          <w:tcPr>
            <w:tcW w:w="1032" w:type="dxa"/>
            <w:vAlign w:val="center"/>
          </w:tcPr>
          <w:p w14:paraId="2582C80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0.0006</w:t>
            </w:r>
          </w:p>
        </w:tc>
        <w:tc>
          <w:tcPr>
            <w:tcW w:w="828" w:type="dxa"/>
            <w:vAlign w:val="center"/>
          </w:tcPr>
          <w:p w14:paraId="2EFBC4A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0.0062</w:t>
            </w:r>
          </w:p>
        </w:tc>
        <w:tc>
          <w:tcPr>
            <w:tcW w:w="1032" w:type="dxa"/>
            <w:shd w:val="clear" w:color="auto" w:fill="auto"/>
            <w:vAlign w:val="center"/>
          </w:tcPr>
          <w:p w14:paraId="1BA9369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0.0002</w:t>
            </w:r>
          </w:p>
        </w:tc>
        <w:tc>
          <w:tcPr>
            <w:tcW w:w="828" w:type="dxa"/>
            <w:shd w:val="clear" w:color="auto" w:fill="auto"/>
            <w:vAlign w:val="center"/>
          </w:tcPr>
          <w:p w14:paraId="17144DC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0.0001</w:t>
            </w:r>
          </w:p>
        </w:tc>
        <w:tc>
          <w:tcPr>
            <w:tcW w:w="1032" w:type="dxa"/>
            <w:shd w:val="clear" w:color="auto" w:fill="auto"/>
            <w:vAlign w:val="center"/>
          </w:tcPr>
          <w:p w14:paraId="27B8B66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0.0001</w:t>
            </w:r>
          </w:p>
        </w:tc>
        <w:tc>
          <w:tcPr>
            <w:tcW w:w="828" w:type="dxa"/>
            <w:shd w:val="clear" w:color="auto" w:fill="auto"/>
            <w:vAlign w:val="center"/>
          </w:tcPr>
          <w:p w14:paraId="45D5511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0.0006</w:t>
            </w:r>
          </w:p>
        </w:tc>
        <w:tc>
          <w:tcPr>
            <w:tcW w:w="1032" w:type="dxa"/>
            <w:shd w:val="clear" w:color="auto" w:fill="auto"/>
            <w:vAlign w:val="center"/>
          </w:tcPr>
          <w:p w14:paraId="76DFD2B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0.0020</w:t>
            </w:r>
          </w:p>
        </w:tc>
        <w:tc>
          <w:tcPr>
            <w:tcW w:w="828" w:type="dxa"/>
            <w:shd w:val="clear" w:color="auto" w:fill="auto"/>
            <w:vAlign w:val="center"/>
          </w:tcPr>
          <w:p w14:paraId="21DCAEF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0.0010</w:t>
            </w:r>
          </w:p>
        </w:tc>
        <w:tc>
          <w:tcPr>
            <w:tcW w:w="1032" w:type="dxa"/>
            <w:shd w:val="clear" w:color="auto" w:fill="auto"/>
            <w:vAlign w:val="center"/>
          </w:tcPr>
          <w:p w14:paraId="44F2703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0.0082</w:t>
            </w:r>
          </w:p>
        </w:tc>
        <w:tc>
          <w:tcPr>
            <w:tcW w:w="828" w:type="dxa"/>
            <w:shd w:val="clear" w:color="auto" w:fill="auto"/>
            <w:vAlign w:val="center"/>
          </w:tcPr>
          <w:p w14:paraId="07ED74C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0.0823</w:t>
            </w:r>
          </w:p>
        </w:tc>
        <w:tc>
          <w:tcPr>
            <w:tcW w:w="1033" w:type="dxa"/>
            <w:shd w:val="clear" w:color="auto" w:fill="auto"/>
            <w:vAlign w:val="center"/>
          </w:tcPr>
          <w:p w14:paraId="6B40F1F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1.4387</w:t>
            </w:r>
          </w:p>
        </w:tc>
        <w:tc>
          <w:tcPr>
            <w:tcW w:w="829" w:type="dxa"/>
            <w:shd w:val="clear" w:color="auto" w:fill="auto"/>
            <w:vAlign w:val="center"/>
          </w:tcPr>
          <w:p w14:paraId="1FF6575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0.1599</w:t>
            </w:r>
          </w:p>
        </w:tc>
      </w:tr>
      <w:tr w14:paraId="11F4AA10">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23" w:hRule="atLeast"/>
          <w:jc w:val="center"/>
        </w:trPr>
        <w:tc>
          <w:tcPr>
            <w:tcW w:w="930" w:type="dxa"/>
            <w:vAlign w:val="center"/>
          </w:tcPr>
          <w:p w14:paraId="1DF6F72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500.0</w:t>
            </w:r>
          </w:p>
        </w:tc>
        <w:tc>
          <w:tcPr>
            <w:tcW w:w="1032" w:type="dxa"/>
            <w:vAlign w:val="center"/>
          </w:tcPr>
          <w:p w14:paraId="1AE00D0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0.0043</w:t>
            </w:r>
          </w:p>
        </w:tc>
        <w:tc>
          <w:tcPr>
            <w:tcW w:w="828" w:type="dxa"/>
            <w:vAlign w:val="center"/>
          </w:tcPr>
          <w:p w14:paraId="0839BD7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0.0021</w:t>
            </w:r>
          </w:p>
        </w:tc>
        <w:tc>
          <w:tcPr>
            <w:tcW w:w="1032" w:type="dxa"/>
            <w:vAlign w:val="center"/>
          </w:tcPr>
          <w:p w14:paraId="603C26C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0.0006</w:t>
            </w:r>
          </w:p>
        </w:tc>
        <w:tc>
          <w:tcPr>
            <w:tcW w:w="828" w:type="dxa"/>
            <w:vAlign w:val="center"/>
          </w:tcPr>
          <w:p w14:paraId="056F781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0.0057</w:t>
            </w:r>
          </w:p>
        </w:tc>
        <w:tc>
          <w:tcPr>
            <w:tcW w:w="1032" w:type="dxa"/>
            <w:shd w:val="clear" w:color="auto" w:fill="auto"/>
            <w:vAlign w:val="center"/>
          </w:tcPr>
          <w:p w14:paraId="3B1D7C2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0.0002</w:t>
            </w:r>
          </w:p>
        </w:tc>
        <w:tc>
          <w:tcPr>
            <w:tcW w:w="828" w:type="dxa"/>
            <w:shd w:val="clear" w:color="auto" w:fill="auto"/>
            <w:vAlign w:val="center"/>
          </w:tcPr>
          <w:p w14:paraId="1AD8627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0.0001</w:t>
            </w:r>
          </w:p>
        </w:tc>
        <w:tc>
          <w:tcPr>
            <w:tcW w:w="1032" w:type="dxa"/>
            <w:shd w:val="clear" w:color="auto" w:fill="auto"/>
            <w:vAlign w:val="center"/>
          </w:tcPr>
          <w:p w14:paraId="0E263ED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0.0001</w:t>
            </w:r>
          </w:p>
        </w:tc>
        <w:tc>
          <w:tcPr>
            <w:tcW w:w="828" w:type="dxa"/>
            <w:shd w:val="clear" w:color="auto" w:fill="auto"/>
            <w:vAlign w:val="center"/>
          </w:tcPr>
          <w:p w14:paraId="7864077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0.0006</w:t>
            </w:r>
          </w:p>
        </w:tc>
        <w:tc>
          <w:tcPr>
            <w:tcW w:w="1032" w:type="dxa"/>
            <w:shd w:val="clear" w:color="auto" w:fill="auto"/>
            <w:vAlign w:val="center"/>
          </w:tcPr>
          <w:p w14:paraId="588D4AD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0.0018</w:t>
            </w:r>
          </w:p>
        </w:tc>
        <w:tc>
          <w:tcPr>
            <w:tcW w:w="828" w:type="dxa"/>
            <w:shd w:val="clear" w:color="auto" w:fill="auto"/>
            <w:vAlign w:val="center"/>
          </w:tcPr>
          <w:p w14:paraId="571E87F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0.0009</w:t>
            </w:r>
          </w:p>
        </w:tc>
        <w:tc>
          <w:tcPr>
            <w:tcW w:w="1032" w:type="dxa"/>
            <w:shd w:val="clear" w:color="auto" w:fill="auto"/>
            <w:vAlign w:val="center"/>
          </w:tcPr>
          <w:p w14:paraId="11F9C18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0.0073</w:t>
            </w:r>
          </w:p>
        </w:tc>
        <w:tc>
          <w:tcPr>
            <w:tcW w:w="828" w:type="dxa"/>
            <w:shd w:val="clear" w:color="auto" w:fill="auto"/>
            <w:vAlign w:val="center"/>
          </w:tcPr>
          <w:p w14:paraId="16B115B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0.0733</w:t>
            </w:r>
          </w:p>
        </w:tc>
        <w:tc>
          <w:tcPr>
            <w:tcW w:w="1033" w:type="dxa"/>
            <w:shd w:val="clear" w:color="auto" w:fill="auto"/>
            <w:vAlign w:val="center"/>
          </w:tcPr>
          <w:p w14:paraId="01D9A9B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1.2746</w:t>
            </w:r>
          </w:p>
        </w:tc>
        <w:tc>
          <w:tcPr>
            <w:tcW w:w="829" w:type="dxa"/>
            <w:shd w:val="clear" w:color="auto" w:fill="auto"/>
            <w:vAlign w:val="center"/>
          </w:tcPr>
          <w:p w14:paraId="0DB7A47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0.1416</w:t>
            </w:r>
          </w:p>
        </w:tc>
      </w:tr>
      <w:tr w14:paraId="168140E2">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23" w:hRule="atLeast"/>
          <w:jc w:val="center"/>
        </w:trPr>
        <w:tc>
          <w:tcPr>
            <w:tcW w:w="930" w:type="dxa"/>
            <w:vAlign w:val="center"/>
          </w:tcPr>
          <w:p w14:paraId="53276C9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600.0</w:t>
            </w:r>
          </w:p>
        </w:tc>
        <w:tc>
          <w:tcPr>
            <w:tcW w:w="1032" w:type="dxa"/>
            <w:vAlign w:val="center"/>
          </w:tcPr>
          <w:p w14:paraId="358FBF7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0.0039</w:t>
            </w:r>
          </w:p>
        </w:tc>
        <w:tc>
          <w:tcPr>
            <w:tcW w:w="828" w:type="dxa"/>
            <w:vAlign w:val="center"/>
          </w:tcPr>
          <w:p w14:paraId="065E5AD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0.0019</w:t>
            </w:r>
          </w:p>
        </w:tc>
        <w:tc>
          <w:tcPr>
            <w:tcW w:w="1032" w:type="dxa"/>
            <w:vAlign w:val="center"/>
          </w:tcPr>
          <w:p w14:paraId="61AAE3D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0.0005</w:t>
            </w:r>
          </w:p>
        </w:tc>
        <w:tc>
          <w:tcPr>
            <w:tcW w:w="828" w:type="dxa"/>
            <w:vAlign w:val="center"/>
          </w:tcPr>
          <w:p w14:paraId="75BC5DB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0.0052</w:t>
            </w:r>
          </w:p>
        </w:tc>
        <w:tc>
          <w:tcPr>
            <w:tcW w:w="1032" w:type="dxa"/>
            <w:shd w:val="clear" w:color="auto" w:fill="auto"/>
            <w:vAlign w:val="center"/>
          </w:tcPr>
          <w:p w14:paraId="1B9F532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0.0001</w:t>
            </w:r>
          </w:p>
        </w:tc>
        <w:tc>
          <w:tcPr>
            <w:tcW w:w="828" w:type="dxa"/>
            <w:shd w:val="clear" w:color="auto" w:fill="auto"/>
            <w:vAlign w:val="center"/>
          </w:tcPr>
          <w:p w14:paraId="283C5DC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0.0001</w:t>
            </w:r>
          </w:p>
        </w:tc>
        <w:tc>
          <w:tcPr>
            <w:tcW w:w="1032" w:type="dxa"/>
            <w:shd w:val="clear" w:color="auto" w:fill="auto"/>
            <w:vAlign w:val="center"/>
          </w:tcPr>
          <w:p w14:paraId="32F480C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0.0001</w:t>
            </w:r>
          </w:p>
        </w:tc>
        <w:tc>
          <w:tcPr>
            <w:tcW w:w="828" w:type="dxa"/>
            <w:shd w:val="clear" w:color="auto" w:fill="auto"/>
            <w:vAlign w:val="center"/>
          </w:tcPr>
          <w:p w14:paraId="2FB04E0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0.0005</w:t>
            </w:r>
          </w:p>
        </w:tc>
        <w:tc>
          <w:tcPr>
            <w:tcW w:w="1032" w:type="dxa"/>
            <w:shd w:val="clear" w:color="auto" w:fill="auto"/>
            <w:vAlign w:val="center"/>
          </w:tcPr>
          <w:p w14:paraId="2D20D03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0.0016</w:t>
            </w:r>
          </w:p>
        </w:tc>
        <w:tc>
          <w:tcPr>
            <w:tcW w:w="828" w:type="dxa"/>
            <w:shd w:val="clear" w:color="auto" w:fill="auto"/>
            <w:vAlign w:val="center"/>
          </w:tcPr>
          <w:p w14:paraId="48A545E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0.0008</w:t>
            </w:r>
          </w:p>
        </w:tc>
        <w:tc>
          <w:tcPr>
            <w:tcW w:w="1032" w:type="dxa"/>
            <w:shd w:val="clear" w:color="auto" w:fill="auto"/>
            <w:vAlign w:val="center"/>
          </w:tcPr>
          <w:p w14:paraId="5357329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0.0065</w:t>
            </w:r>
          </w:p>
        </w:tc>
        <w:tc>
          <w:tcPr>
            <w:tcW w:w="828" w:type="dxa"/>
            <w:shd w:val="clear" w:color="auto" w:fill="auto"/>
            <w:vAlign w:val="center"/>
          </w:tcPr>
          <w:p w14:paraId="461F0DD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0.0652</w:t>
            </w:r>
          </w:p>
        </w:tc>
        <w:tc>
          <w:tcPr>
            <w:tcW w:w="1033" w:type="dxa"/>
            <w:shd w:val="clear" w:color="auto" w:fill="auto"/>
            <w:vAlign w:val="center"/>
          </w:tcPr>
          <w:p w14:paraId="2C05127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1.1361</w:t>
            </w:r>
          </w:p>
        </w:tc>
        <w:tc>
          <w:tcPr>
            <w:tcW w:w="829" w:type="dxa"/>
            <w:shd w:val="clear" w:color="auto" w:fill="auto"/>
            <w:vAlign w:val="center"/>
          </w:tcPr>
          <w:p w14:paraId="2094573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0.1262</w:t>
            </w:r>
          </w:p>
        </w:tc>
      </w:tr>
      <w:tr w14:paraId="4E888530">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23" w:hRule="atLeast"/>
          <w:jc w:val="center"/>
        </w:trPr>
        <w:tc>
          <w:tcPr>
            <w:tcW w:w="930" w:type="dxa"/>
            <w:vAlign w:val="center"/>
          </w:tcPr>
          <w:p w14:paraId="3F13C22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700.0</w:t>
            </w:r>
          </w:p>
        </w:tc>
        <w:tc>
          <w:tcPr>
            <w:tcW w:w="1032" w:type="dxa"/>
            <w:vAlign w:val="center"/>
          </w:tcPr>
          <w:p w14:paraId="002C7C0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0.0036</w:t>
            </w:r>
          </w:p>
        </w:tc>
        <w:tc>
          <w:tcPr>
            <w:tcW w:w="828" w:type="dxa"/>
            <w:vAlign w:val="center"/>
          </w:tcPr>
          <w:p w14:paraId="58F08D6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0.0018</w:t>
            </w:r>
          </w:p>
        </w:tc>
        <w:tc>
          <w:tcPr>
            <w:tcW w:w="1032" w:type="dxa"/>
            <w:vAlign w:val="center"/>
          </w:tcPr>
          <w:p w14:paraId="4EEBA4D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0.0005</w:t>
            </w:r>
          </w:p>
        </w:tc>
        <w:tc>
          <w:tcPr>
            <w:tcW w:w="828" w:type="dxa"/>
            <w:vAlign w:val="center"/>
          </w:tcPr>
          <w:p w14:paraId="19DB2E7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0.0048</w:t>
            </w:r>
          </w:p>
        </w:tc>
        <w:tc>
          <w:tcPr>
            <w:tcW w:w="1032" w:type="dxa"/>
            <w:shd w:val="clear" w:color="auto" w:fill="auto"/>
            <w:vAlign w:val="center"/>
          </w:tcPr>
          <w:p w14:paraId="69481CD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0.0001</w:t>
            </w:r>
          </w:p>
        </w:tc>
        <w:tc>
          <w:tcPr>
            <w:tcW w:w="828" w:type="dxa"/>
            <w:shd w:val="clear" w:color="auto" w:fill="auto"/>
            <w:vAlign w:val="center"/>
          </w:tcPr>
          <w:p w14:paraId="61450EE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0.0001</w:t>
            </w:r>
          </w:p>
        </w:tc>
        <w:tc>
          <w:tcPr>
            <w:tcW w:w="1032" w:type="dxa"/>
            <w:shd w:val="clear" w:color="auto" w:fill="auto"/>
            <w:vAlign w:val="center"/>
          </w:tcPr>
          <w:p w14:paraId="355F0AD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0.0000</w:t>
            </w:r>
          </w:p>
        </w:tc>
        <w:tc>
          <w:tcPr>
            <w:tcW w:w="828" w:type="dxa"/>
            <w:shd w:val="clear" w:color="auto" w:fill="auto"/>
            <w:vAlign w:val="center"/>
          </w:tcPr>
          <w:p w14:paraId="690B0ED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0.0005</w:t>
            </w:r>
          </w:p>
        </w:tc>
        <w:tc>
          <w:tcPr>
            <w:tcW w:w="1032" w:type="dxa"/>
            <w:shd w:val="clear" w:color="auto" w:fill="auto"/>
            <w:vAlign w:val="center"/>
          </w:tcPr>
          <w:p w14:paraId="2E833FE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0.0014</w:t>
            </w:r>
          </w:p>
        </w:tc>
        <w:tc>
          <w:tcPr>
            <w:tcW w:w="828" w:type="dxa"/>
            <w:shd w:val="clear" w:color="auto" w:fill="auto"/>
            <w:vAlign w:val="center"/>
          </w:tcPr>
          <w:p w14:paraId="30855C8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0.0007</w:t>
            </w:r>
          </w:p>
        </w:tc>
        <w:tc>
          <w:tcPr>
            <w:tcW w:w="1032" w:type="dxa"/>
            <w:shd w:val="clear" w:color="auto" w:fill="auto"/>
            <w:vAlign w:val="center"/>
          </w:tcPr>
          <w:p w14:paraId="747CEE2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0.0060</w:t>
            </w:r>
          </w:p>
        </w:tc>
        <w:tc>
          <w:tcPr>
            <w:tcW w:w="828" w:type="dxa"/>
            <w:shd w:val="clear" w:color="auto" w:fill="auto"/>
            <w:vAlign w:val="center"/>
          </w:tcPr>
          <w:p w14:paraId="1B43A57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0.0600</w:t>
            </w:r>
          </w:p>
        </w:tc>
        <w:tc>
          <w:tcPr>
            <w:tcW w:w="1033" w:type="dxa"/>
            <w:shd w:val="clear" w:color="auto" w:fill="auto"/>
            <w:vAlign w:val="center"/>
          </w:tcPr>
          <w:p w14:paraId="26830B7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1.0224</w:t>
            </w:r>
          </w:p>
        </w:tc>
        <w:tc>
          <w:tcPr>
            <w:tcW w:w="829" w:type="dxa"/>
            <w:shd w:val="clear" w:color="auto" w:fill="auto"/>
            <w:vAlign w:val="center"/>
          </w:tcPr>
          <w:p w14:paraId="3A25FE2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0.1136</w:t>
            </w:r>
          </w:p>
        </w:tc>
      </w:tr>
      <w:tr w14:paraId="5F5A29B3">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23" w:hRule="atLeast"/>
          <w:jc w:val="center"/>
        </w:trPr>
        <w:tc>
          <w:tcPr>
            <w:tcW w:w="930" w:type="dxa"/>
            <w:vAlign w:val="center"/>
          </w:tcPr>
          <w:p w14:paraId="3D8FD28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800.0</w:t>
            </w:r>
          </w:p>
        </w:tc>
        <w:tc>
          <w:tcPr>
            <w:tcW w:w="1032" w:type="dxa"/>
            <w:vAlign w:val="center"/>
          </w:tcPr>
          <w:p w14:paraId="6D42007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0.0033</w:t>
            </w:r>
          </w:p>
        </w:tc>
        <w:tc>
          <w:tcPr>
            <w:tcW w:w="828" w:type="dxa"/>
            <w:vAlign w:val="center"/>
          </w:tcPr>
          <w:p w14:paraId="10A2F0F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0.0016</w:t>
            </w:r>
          </w:p>
        </w:tc>
        <w:tc>
          <w:tcPr>
            <w:tcW w:w="1032" w:type="dxa"/>
            <w:vAlign w:val="center"/>
          </w:tcPr>
          <w:p w14:paraId="6BCE693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0.0004</w:t>
            </w:r>
          </w:p>
        </w:tc>
        <w:tc>
          <w:tcPr>
            <w:tcW w:w="828" w:type="dxa"/>
            <w:vAlign w:val="center"/>
          </w:tcPr>
          <w:p w14:paraId="500537F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0.0044</w:t>
            </w:r>
          </w:p>
        </w:tc>
        <w:tc>
          <w:tcPr>
            <w:tcW w:w="1032" w:type="dxa"/>
            <w:shd w:val="clear" w:color="auto" w:fill="auto"/>
            <w:vAlign w:val="center"/>
          </w:tcPr>
          <w:p w14:paraId="1261468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0.0001</w:t>
            </w:r>
          </w:p>
        </w:tc>
        <w:tc>
          <w:tcPr>
            <w:tcW w:w="828" w:type="dxa"/>
            <w:shd w:val="clear" w:color="auto" w:fill="auto"/>
            <w:vAlign w:val="center"/>
          </w:tcPr>
          <w:p w14:paraId="52A08A9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0.0001</w:t>
            </w:r>
          </w:p>
        </w:tc>
        <w:tc>
          <w:tcPr>
            <w:tcW w:w="1032" w:type="dxa"/>
            <w:shd w:val="clear" w:color="auto" w:fill="auto"/>
            <w:vAlign w:val="center"/>
          </w:tcPr>
          <w:p w14:paraId="64EE08D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0.0000</w:t>
            </w:r>
          </w:p>
        </w:tc>
        <w:tc>
          <w:tcPr>
            <w:tcW w:w="828" w:type="dxa"/>
            <w:shd w:val="clear" w:color="auto" w:fill="auto"/>
            <w:vAlign w:val="center"/>
          </w:tcPr>
          <w:p w14:paraId="5011C20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0.0004</w:t>
            </w:r>
          </w:p>
        </w:tc>
        <w:tc>
          <w:tcPr>
            <w:tcW w:w="1032" w:type="dxa"/>
            <w:shd w:val="clear" w:color="auto" w:fill="auto"/>
            <w:vAlign w:val="center"/>
          </w:tcPr>
          <w:p w14:paraId="79DB2AA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0.0013</w:t>
            </w:r>
          </w:p>
        </w:tc>
        <w:tc>
          <w:tcPr>
            <w:tcW w:w="828" w:type="dxa"/>
            <w:shd w:val="clear" w:color="auto" w:fill="auto"/>
            <w:vAlign w:val="center"/>
          </w:tcPr>
          <w:p w14:paraId="6BCF2FE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0.0007</w:t>
            </w:r>
          </w:p>
        </w:tc>
        <w:tc>
          <w:tcPr>
            <w:tcW w:w="1032" w:type="dxa"/>
            <w:shd w:val="clear" w:color="auto" w:fill="auto"/>
            <w:vAlign w:val="center"/>
          </w:tcPr>
          <w:p w14:paraId="49B748A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0.0056</w:t>
            </w:r>
          </w:p>
        </w:tc>
        <w:tc>
          <w:tcPr>
            <w:tcW w:w="828" w:type="dxa"/>
            <w:shd w:val="clear" w:color="auto" w:fill="auto"/>
            <w:vAlign w:val="center"/>
          </w:tcPr>
          <w:p w14:paraId="4A1F1F3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0.0556</w:t>
            </w:r>
          </w:p>
        </w:tc>
        <w:tc>
          <w:tcPr>
            <w:tcW w:w="1033" w:type="dxa"/>
            <w:shd w:val="clear" w:color="auto" w:fill="auto"/>
            <w:vAlign w:val="center"/>
          </w:tcPr>
          <w:p w14:paraId="6F97071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0.9277</w:t>
            </w:r>
          </w:p>
        </w:tc>
        <w:tc>
          <w:tcPr>
            <w:tcW w:w="829" w:type="dxa"/>
            <w:shd w:val="clear" w:color="auto" w:fill="auto"/>
            <w:vAlign w:val="center"/>
          </w:tcPr>
          <w:p w14:paraId="0AF947B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0.1031</w:t>
            </w:r>
          </w:p>
        </w:tc>
      </w:tr>
      <w:tr w14:paraId="1B213347">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23" w:hRule="atLeast"/>
          <w:jc w:val="center"/>
        </w:trPr>
        <w:tc>
          <w:tcPr>
            <w:tcW w:w="930" w:type="dxa"/>
            <w:vAlign w:val="center"/>
          </w:tcPr>
          <w:p w14:paraId="0ED5BE5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900.0</w:t>
            </w:r>
          </w:p>
        </w:tc>
        <w:tc>
          <w:tcPr>
            <w:tcW w:w="1032" w:type="dxa"/>
            <w:vAlign w:val="center"/>
          </w:tcPr>
          <w:p w14:paraId="01C9061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0.0030</w:t>
            </w:r>
          </w:p>
        </w:tc>
        <w:tc>
          <w:tcPr>
            <w:tcW w:w="828" w:type="dxa"/>
            <w:vAlign w:val="center"/>
          </w:tcPr>
          <w:p w14:paraId="262BC89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0.0015</w:t>
            </w:r>
          </w:p>
        </w:tc>
        <w:tc>
          <w:tcPr>
            <w:tcW w:w="1032" w:type="dxa"/>
            <w:vAlign w:val="center"/>
          </w:tcPr>
          <w:p w14:paraId="35E4DB3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0.0004</w:t>
            </w:r>
          </w:p>
        </w:tc>
        <w:tc>
          <w:tcPr>
            <w:tcW w:w="828" w:type="dxa"/>
            <w:vAlign w:val="center"/>
          </w:tcPr>
          <w:p w14:paraId="6A2D65B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0.0040</w:t>
            </w:r>
          </w:p>
        </w:tc>
        <w:tc>
          <w:tcPr>
            <w:tcW w:w="1032" w:type="dxa"/>
            <w:shd w:val="clear" w:color="auto" w:fill="auto"/>
            <w:vAlign w:val="center"/>
          </w:tcPr>
          <w:p w14:paraId="4571D64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0.0001</w:t>
            </w:r>
          </w:p>
        </w:tc>
        <w:tc>
          <w:tcPr>
            <w:tcW w:w="828" w:type="dxa"/>
            <w:shd w:val="clear" w:color="auto" w:fill="auto"/>
            <w:vAlign w:val="center"/>
          </w:tcPr>
          <w:p w14:paraId="4E4DB9E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0.0001</w:t>
            </w:r>
          </w:p>
        </w:tc>
        <w:tc>
          <w:tcPr>
            <w:tcW w:w="1032" w:type="dxa"/>
            <w:shd w:val="clear" w:color="auto" w:fill="auto"/>
            <w:vAlign w:val="center"/>
          </w:tcPr>
          <w:p w14:paraId="03FAC4E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0.0000</w:t>
            </w:r>
          </w:p>
        </w:tc>
        <w:tc>
          <w:tcPr>
            <w:tcW w:w="828" w:type="dxa"/>
            <w:shd w:val="clear" w:color="auto" w:fill="auto"/>
            <w:vAlign w:val="center"/>
          </w:tcPr>
          <w:p w14:paraId="3599C92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0.0004</w:t>
            </w:r>
          </w:p>
        </w:tc>
        <w:tc>
          <w:tcPr>
            <w:tcW w:w="1032" w:type="dxa"/>
            <w:shd w:val="clear" w:color="auto" w:fill="auto"/>
            <w:vAlign w:val="center"/>
          </w:tcPr>
          <w:p w14:paraId="002F7A5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0.0012</w:t>
            </w:r>
          </w:p>
        </w:tc>
        <w:tc>
          <w:tcPr>
            <w:tcW w:w="828" w:type="dxa"/>
            <w:shd w:val="clear" w:color="auto" w:fill="auto"/>
            <w:vAlign w:val="center"/>
          </w:tcPr>
          <w:p w14:paraId="6630486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0.0006</w:t>
            </w:r>
          </w:p>
        </w:tc>
        <w:tc>
          <w:tcPr>
            <w:tcW w:w="1032" w:type="dxa"/>
            <w:shd w:val="clear" w:color="auto" w:fill="auto"/>
            <w:vAlign w:val="center"/>
          </w:tcPr>
          <w:p w14:paraId="2B38320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0.0052</w:t>
            </w:r>
          </w:p>
        </w:tc>
        <w:tc>
          <w:tcPr>
            <w:tcW w:w="828" w:type="dxa"/>
            <w:shd w:val="clear" w:color="auto" w:fill="auto"/>
            <w:vAlign w:val="center"/>
          </w:tcPr>
          <w:p w14:paraId="7B81465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0.0516</w:t>
            </w:r>
          </w:p>
        </w:tc>
        <w:tc>
          <w:tcPr>
            <w:tcW w:w="1033" w:type="dxa"/>
            <w:shd w:val="clear" w:color="auto" w:fill="auto"/>
            <w:vAlign w:val="center"/>
          </w:tcPr>
          <w:p w14:paraId="41D1FEE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0.8476</w:t>
            </w:r>
          </w:p>
        </w:tc>
        <w:tc>
          <w:tcPr>
            <w:tcW w:w="829" w:type="dxa"/>
            <w:shd w:val="clear" w:color="auto" w:fill="auto"/>
            <w:vAlign w:val="center"/>
          </w:tcPr>
          <w:p w14:paraId="091437D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0.0942</w:t>
            </w:r>
          </w:p>
        </w:tc>
      </w:tr>
      <w:tr w14:paraId="7D40A32B">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23" w:hRule="atLeast"/>
          <w:jc w:val="center"/>
        </w:trPr>
        <w:tc>
          <w:tcPr>
            <w:tcW w:w="930" w:type="dxa"/>
            <w:vAlign w:val="center"/>
          </w:tcPr>
          <w:p w14:paraId="72A9E27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1000.0</w:t>
            </w:r>
          </w:p>
        </w:tc>
        <w:tc>
          <w:tcPr>
            <w:tcW w:w="1032" w:type="dxa"/>
            <w:vAlign w:val="center"/>
          </w:tcPr>
          <w:p w14:paraId="0035C0E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0.0028</w:t>
            </w:r>
          </w:p>
        </w:tc>
        <w:tc>
          <w:tcPr>
            <w:tcW w:w="828" w:type="dxa"/>
            <w:vAlign w:val="center"/>
          </w:tcPr>
          <w:p w14:paraId="596B8D9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0.0014</w:t>
            </w:r>
          </w:p>
        </w:tc>
        <w:tc>
          <w:tcPr>
            <w:tcW w:w="1032" w:type="dxa"/>
            <w:vAlign w:val="center"/>
          </w:tcPr>
          <w:p w14:paraId="0F5A90D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0.0004</w:t>
            </w:r>
          </w:p>
        </w:tc>
        <w:tc>
          <w:tcPr>
            <w:tcW w:w="828" w:type="dxa"/>
            <w:vAlign w:val="center"/>
          </w:tcPr>
          <w:p w14:paraId="148E315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0.0037</w:t>
            </w:r>
          </w:p>
        </w:tc>
        <w:tc>
          <w:tcPr>
            <w:tcW w:w="1032" w:type="dxa"/>
            <w:shd w:val="clear" w:color="auto" w:fill="auto"/>
            <w:vAlign w:val="center"/>
          </w:tcPr>
          <w:p w14:paraId="08F43CC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0.0001</w:t>
            </w:r>
          </w:p>
        </w:tc>
        <w:tc>
          <w:tcPr>
            <w:tcW w:w="828" w:type="dxa"/>
            <w:shd w:val="clear" w:color="auto" w:fill="auto"/>
            <w:vAlign w:val="center"/>
          </w:tcPr>
          <w:p w14:paraId="36755F5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0.0000</w:t>
            </w:r>
          </w:p>
        </w:tc>
        <w:tc>
          <w:tcPr>
            <w:tcW w:w="1032" w:type="dxa"/>
            <w:shd w:val="clear" w:color="auto" w:fill="auto"/>
            <w:vAlign w:val="center"/>
          </w:tcPr>
          <w:p w14:paraId="50A94FE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0.0000</w:t>
            </w:r>
          </w:p>
        </w:tc>
        <w:tc>
          <w:tcPr>
            <w:tcW w:w="828" w:type="dxa"/>
            <w:shd w:val="clear" w:color="auto" w:fill="auto"/>
            <w:vAlign w:val="center"/>
          </w:tcPr>
          <w:p w14:paraId="501946F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0.0004</w:t>
            </w:r>
          </w:p>
        </w:tc>
        <w:tc>
          <w:tcPr>
            <w:tcW w:w="1032" w:type="dxa"/>
            <w:shd w:val="clear" w:color="auto" w:fill="auto"/>
            <w:vAlign w:val="center"/>
          </w:tcPr>
          <w:p w14:paraId="620FE11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0.0012</w:t>
            </w:r>
          </w:p>
        </w:tc>
        <w:tc>
          <w:tcPr>
            <w:tcW w:w="828" w:type="dxa"/>
            <w:shd w:val="clear" w:color="auto" w:fill="auto"/>
            <w:vAlign w:val="center"/>
          </w:tcPr>
          <w:p w14:paraId="47C91A8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0.0006</w:t>
            </w:r>
          </w:p>
        </w:tc>
        <w:tc>
          <w:tcPr>
            <w:tcW w:w="1032" w:type="dxa"/>
            <w:shd w:val="clear" w:color="auto" w:fill="auto"/>
            <w:vAlign w:val="center"/>
          </w:tcPr>
          <w:p w14:paraId="50E7528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0.0048</w:t>
            </w:r>
          </w:p>
        </w:tc>
        <w:tc>
          <w:tcPr>
            <w:tcW w:w="828" w:type="dxa"/>
            <w:shd w:val="clear" w:color="auto" w:fill="auto"/>
            <w:vAlign w:val="center"/>
          </w:tcPr>
          <w:p w14:paraId="0BC2DFC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0.0481</w:t>
            </w:r>
          </w:p>
        </w:tc>
        <w:tc>
          <w:tcPr>
            <w:tcW w:w="1033" w:type="dxa"/>
            <w:shd w:val="clear" w:color="auto" w:fill="auto"/>
            <w:vAlign w:val="center"/>
          </w:tcPr>
          <w:p w14:paraId="2906CFA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0.7831</w:t>
            </w:r>
          </w:p>
        </w:tc>
        <w:tc>
          <w:tcPr>
            <w:tcW w:w="829" w:type="dxa"/>
            <w:shd w:val="clear" w:color="auto" w:fill="auto"/>
            <w:vAlign w:val="center"/>
          </w:tcPr>
          <w:p w14:paraId="62369AC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0.0870</w:t>
            </w:r>
          </w:p>
        </w:tc>
      </w:tr>
      <w:tr w14:paraId="25C6741A">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23" w:hRule="atLeast"/>
          <w:jc w:val="center"/>
        </w:trPr>
        <w:tc>
          <w:tcPr>
            <w:tcW w:w="930" w:type="dxa"/>
            <w:vAlign w:val="center"/>
          </w:tcPr>
          <w:p w14:paraId="74E0225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1200.0</w:t>
            </w:r>
          </w:p>
        </w:tc>
        <w:tc>
          <w:tcPr>
            <w:tcW w:w="1032" w:type="dxa"/>
            <w:vAlign w:val="center"/>
          </w:tcPr>
          <w:p w14:paraId="417F7CA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0.0025</w:t>
            </w:r>
          </w:p>
        </w:tc>
        <w:tc>
          <w:tcPr>
            <w:tcW w:w="828" w:type="dxa"/>
            <w:vAlign w:val="center"/>
          </w:tcPr>
          <w:p w14:paraId="7068891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0.0012</w:t>
            </w:r>
          </w:p>
        </w:tc>
        <w:tc>
          <w:tcPr>
            <w:tcW w:w="1032" w:type="dxa"/>
            <w:vAlign w:val="center"/>
          </w:tcPr>
          <w:p w14:paraId="102AFBD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0.0003</w:t>
            </w:r>
          </w:p>
        </w:tc>
        <w:tc>
          <w:tcPr>
            <w:tcW w:w="828" w:type="dxa"/>
            <w:vAlign w:val="center"/>
          </w:tcPr>
          <w:p w14:paraId="6808DF2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0.0033</w:t>
            </w:r>
          </w:p>
        </w:tc>
        <w:tc>
          <w:tcPr>
            <w:tcW w:w="1032" w:type="dxa"/>
            <w:shd w:val="clear" w:color="auto" w:fill="auto"/>
            <w:vAlign w:val="center"/>
          </w:tcPr>
          <w:p w14:paraId="1F02B76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0.0001</w:t>
            </w:r>
          </w:p>
        </w:tc>
        <w:tc>
          <w:tcPr>
            <w:tcW w:w="828" w:type="dxa"/>
            <w:shd w:val="clear" w:color="auto" w:fill="auto"/>
            <w:vAlign w:val="center"/>
          </w:tcPr>
          <w:p w14:paraId="2410AFE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0.0000</w:t>
            </w:r>
          </w:p>
        </w:tc>
        <w:tc>
          <w:tcPr>
            <w:tcW w:w="1032" w:type="dxa"/>
            <w:shd w:val="clear" w:color="auto" w:fill="auto"/>
            <w:vAlign w:val="center"/>
          </w:tcPr>
          <w:p w14:paraId="500DA75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0.0000</w:t>
            </w:r>
          </w:p>
        </w:tc>
        <w:tc>
          <w:tcPr>
            <w:tcW w:w="828" w:type="dxa"/>
            <w:shd w:val="clear" w:color="auto" w:fill="auto"/>
            <w:vAlign w:val="center"/>
          </w:tcPr>
          <w:p w14:paraId="441F2DA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0.0003</w:t>
            </w:r>
          </w:p>
        </w:tc>
        <w:tc>
          <w:tcPr>
            <w:tcW w:w="1032" w:type="dxa"/>
            <w:shd w:val="clear" w:color="auto" w:fill="auto"/>
            <w:vAlign w:val="center"/>
          </w:tcPr>
          <w:p w14:paraId="1635616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0.0010</w:t>
            </w:r>
          </w:p>
        </w:tc>
        <w:tc>
          <w:tcPr>
            <w:tcW w:w="828" w:type="dxa"/>
            <w:shd w:val="clear" w:color="auto" w:fill="auto"/>
            <w:vAlign w:val="center"/>
          </w:tcPr>
          <w:p w14:paraId="2928A3E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0.0005</w:t>
            </w:r>
          </w:p>
        </w:tc>
        <w:tc>
          <w:tcPr>
            <w:tcW w:w="1032" w:type="dxa"/>
            <w:shd w:val="clear" w:color="auto" w:fill="auto"/>
            <w:vAlign w:val="center"/>
          </w:tcPr>
          <w:p w14:paraId="649CED4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0.0042</w:t>
            </w:r>
          </w:p>
        </w:tc>
        <w:tc>
          <w:tcPr>
            <w:tcW w:w="828" w:type="dxa"/>
            <w:shd w:val="clear" w:color="auto" w:fill="auto"/>
            <w:vAlign w:val="center"/>
          </w:tcPr>
          <w:p w14:paraId="686EC8C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0.0421</w:t>
            </w:r>
          </w:p>
        </w:tc>
        <w:tc>
          <w:tcPr>
            <w:tcW w:w="1033" w:type="dxa"/>
            <w:shd w:val="clear" w:color="auto" w:fill="auto"/>
            <w:vAlign w:val="center"/>
          </w:tcPr>
          <w:p w14:paraId="5AC9239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0.6816</w:t>
            </w:r>
          </w:p>
        </w:tc>
        <w:tc>
          <w:tcPr>
            <w:tcW w:w="829" w:type="dxa"/>
            <w:shd w:val="clear" w:color="auto" w:fill="auto"/>
            <w:vAlign w:val="center"/>
          </w:tcPr>
          <w:p w14:paraId="1103CF7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0.0757</w:t>
            </w:r>
          </w:p>
        </w:tc>
      </w:tr>
      <w:tr w14:paraId="04B2F360">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23" w:hRule="atLeast"/>
          <w:jc w:val="center"/>
        </w:trPr>
        <w:tc>
          <w:tcPr>
            <w:tcW w:w="930" w:type="dxa"/>
            <w:vAlign w:val="center"/>
          </w:tcPr>
          <w:p w14:paraId="631F7C0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1400.0</w:t>
            </w:r>
          </w:p>
        </w:tc>
        <w:tc>
          <w:tcPr>
            <w:tcW w:w="1032" w:type="dxa"/>
            <w:vAlign w:val="center"/>
          </w:tcPr>
          <w:p w14:paraId="7C3AA32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0.0022</w:t>
            </w:r>
          </w:p>
        </w:tc>
        <w:tc>
          <w:tcPr>
            <w:tcW w:w="828" w:type="dxa"/>
            <w:vAlign w:val="center"/>
          </w:tcPr>
          <w:p w14:paraId="35FA093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0.0011</w:t>
            </w:r>
          </w:p>
        </w:tc>
        <w:tc>
          <w:tcPr>
            <w:tcW w:w="1032" w:type="dxa"/>
            <w:vAlign w:val="center"/>
          </w:tcPr>
          <w:p w14:paraId="122C2C8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0.0003</w:t>
            </w:r>
          </w:p>
        </w:tc>
        <w:tc>
          <w:tcPr>
            <w:tcW w:w="828" w:type="dxa"/>
            <w:vAlign w:val="center"/>
          </w:tcPr>
          <w:p w14:paraId="4A26575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0.0029</w:t>
            </w:r>
          </w:p>
        </w:tc>
        <w:tc>
          <w:tcPr>
            <w:tcW w:w="1032" w:type="dxa"/>
            <w:shd w:val="clear" w:color="auto" w:fill="auto"/>
            <w:vAlign w:val="center"/>
          </w:tcPr>
          <w:p w14:paraId="3CC88BF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0.0001</w:t>
            </w:r>
          </w:p>
        </w:tc>
        <w:tc>
          <w:tcPr>
            <w:tcW w:w="828" w:type="dxa"/>
            <w:shd w:val="clear" w:color="auto" w:fill="auto"/>
            <w:vAlign w:val="center"/>
          </w:tcPr>
          <w:p w14:paraId="335F33C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0.0000</w:t>
            </w:r>
          </w:p>
        </w:tc>
        <w:tc>
          <w:tcPr>
            <w:tcW w:w="1032" w:type="dxa"/>
            <w:shd w:val="clear" w:color="auto" w:fill="auto"/>
            <w:vAlign w:val="center"/>
          </w:tcPr>
          <w:p w14:paraId="6B02D95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0.0000</w:t>
            </w:r>
          </w:p>
        </w:tc>
        <w:tc>
          <w:tcPr>
            <w:tcW w:w="828" w:type="dxa"/>
            <w:shd w:val="clear" w:color="auto" w:fill="auto"/>
            <w:vAlign w:val="center"/>
          </w:tcPr>
          <w:p w14:paraId="51D2C53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0.0003</w:t>
            </w:r>
          </w:p>
        </w:tc>
        <w:tc>
          <w:tcPr>
            <w:tcW w:w="1032" w:type="dxa"/>
            <w:shd w:val="clear" w:color="auto" w:fill="auto"/>
            <w:vAlign w:val="center"/>
          </w:tcPr>
          <w:p w14:paraId="1B66F2D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0.0009</w:t>
            </w:r>
          </w:p>
        </w:tc>
        <w:tc>
          <w:tcPr>
            <w:tcW w:w="828" w:type="dxa"/>
            <w:shd w:val="clear" w:color="auto" w:fill="auto"/>
            <w:vAlign w:val="center"/>
          </w:tcPr>
          <w:p w14:paraId="4AF3FCF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0.0004</w:t>
            </w:r>
          </w:p>
        </w:tc>
        <w:tc>
          <w:tcPr>
            <w:tcW w:w="1032" w:type="dxa"/>
            <w:shd w:val="clear" w:color="auto" w:fill="auto"/>
            <w:vAlign w:val="center"/>
          </w:tcPr>
          <w:p w14:paraId="6424405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0.0037</w:t>
            </w:r>
          </w:p>
        </w:tc>
        <w:tc>
          <w:tcPr>
            <w:tcW w:w="828" w:type="dxa"/>
            <w:shd w:val="clear" w:color="auto" w:fill="auto"/>
            <w:vAlign w:val="center"/>
          </w:tcPr>
          <w:p w14:paraId="43A7AB7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0.0372</w:t>
            </w:r>
          </w:p>
        </w:tc>
        <w:tc>
          <w:tcPr>
            <w:tcW w:w="1033" w:type="dxa"/>
            <w:shd w:val="clear" w:color="auto" w:fill="auto"/>
            <w:vAlign w:val="center"/>
          </w:tcPr>
          <w:p w14:paraId="4E26B03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0.6040</w:t>
            </w:r>
          </w:p>
        </w:tc>
        <w:tc>
          <w:tcPr>
            <w:tcW w:w="829" w:type="dxa"/>
            <w:shd w:val="clear" w:color="auto" w:fill="auto"/>
            <w:vAlign w:val="center"/>
          </w:tcPr>
          <w:p w14:paraId="470A506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0.0671</w:t>
            </w:r>
          </w:p>
        </w:tc>
      </w:tr>
      <w:tr w14:paraId="5A92C65D">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23" w:hRule="atLeast"/>
          <w:jc w:val="center"/>
        </w:trPr>
        <w:tc>
          <w:tcPr>
            <w:tcW w:w="930" w:type="dxa"/>
            <w:vAlign w:val="center"/>
          </w:tcPr>
          <w:p w14:paraId="13B8082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1600.0</w:t>
            </w:r>
          </w:p>
        </w:tc>
        <w:tc>
          <w:tcPr>
            <w:tcW w:w="1032" w:type="dxa"/>
            <w:vAlign w:val="center"/>
          </w:tcPr>
          <w:p w14:paraId="40F74FA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0.0020</w:t>
            </w:r>
          </w:p>
        </w:tc>
        <w:tc>
          <w:tcPr>
            <w:tcW w:w="828" w:type="dxa"/>
            <w:vAlign w:val="center"/>
          </w:tcPr>
          <w:p w14:paraId="0B382BA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0.0010</w:t>
            </w:r>
          </w:p>
        </w:tc>
        <w:tc>
          <w:tcPr>
            <w:tcW w:w="1032" w:type="dxa"/>
            <w:vAlign w:val="center"/>
          </w:tcPr>
          <w:p w14:paraId="015EA69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0.0003</w:t>
            </w:r>
          </w:p>
        </w:tc>
        <w:tc>
          <w:tcPr>
            <w:tcW w:w="828" w:type="dxa"/>
            <w:vAlign w:val="center"/>
          </w:tcPr>
          <w:p w14:paraId="48C80A5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0.0026</w:t>
            </w:r>
          </w:p>
        </w:tc>
        <w:tc>
          <w:tcPr>
            <w:tcW w:w="1032" w:type="dxa"/>
            <w:shd w:val="clear" w:color="auto" w:fill="auto"/>
            <w:vAlign w:val="center"/>
          </w:tcPr>
          <w:p w14:paraId="44A4258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0.0001</w:t>
            </w:r>
          </w:p>
        </w:tc>
        <w:tc>
          <w:tcPr>
            <w:tcW w:w="828" w:type="dxa"/>
            <w:shd w:val="clear" w:color="auto" w:fill="auto"/>
            <w:vAlign w:val="center"/>
          </w:tcPr>
          <w:p w14:paraId="154B5EC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0.0000</w:t>
            </w:r>
          </w:p>
        </w:tc>
        <w:tc>
          <w:tcPr>
            <w:tcW w:w="1032" w:type="dxa"/>
            <w:shd w:val="clear" w:color="auto" w:fill="auto"/>
            <w:vAlign w:val="center"/>
          </w:tcPr>
          <w:p w14:paraId="447C4CB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0.0000</w:t>
            </w:r>
          </w:p>
        </w:tc>
        <w:tc>
          <w:tcPr>
            <w:tcW w:w="828" w:type="dxa"/>
            <w:shd w:val="clear" w:color="auto" w:fill="auto"/>
            <w:vAlign w:val="center"/>
          </w:tcPr>
          <w:p w14:paraId="3610CE4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0.0002</w:t>
            </w:r>
          </w:p>
        </w:tc>
        <w:tc>
          <w:tcPr>
            <w:tcW w:w="1032" w:type="dxa"/>
            <w:shd w:val="clear" w:color="auto" w:fill="auto"/>
            <w:vAlign w:val="center"/>
          </w:tcPr>
          <w:p w14:paraId="60BCEB4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0.0008</w:t>
            </w:r>
          </w:p>
        </w:tc>
        <w:tc>
          <w:tcPr>
            <w:tcW w:w="828" w:type="dxa"/>
            <w:shd w:val="clear" w:color="auto" w:fill="auto"/>
            <w:vAlign w:val="center"/>
          </w:tcPr>
          <w:p w14:paraId="64C5B49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0.0004</w:t>
            </w:r>
          </w:p>
        </w:tc>
        <w:tc>
          <w:tcPr>
            <w:tcW w:w="1032" w:type="dxa"/>
            <w:shd w:val="clear" w:color="auto" w:fill="auto"/>
            <w:vAlign w:val="center"/>
          </w:tcPr>
          <w:p w14:paraId="525F967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0.0033</w:t>
            </w:r>
          </w:p>
        </w:tc>
        <w:tc>
          <w:tcPr>
            <w:tcW w:w="828" w:type="dxa"/>
            <w:shd w:val="clear" w:color="auto" w:fill="auto"/>
            <w:vAlign w:val="center"/>
          </w:tcPr>
          <w:p w14:paraId="41587F1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0.0332</w:t>
            </w:r>
          </w:p>
        </w:tc>
        <w:tc>
          <w:tcPr>
            <w:tcW w:w="1033" w:type="dxa"/>
            <w:shd w:val="clear" w:color="auto" w:fill="auto"/>
            <w:vAlign w:val="center"/>
          </w:tcPr>
          <w:p w14:paraId="177F7DA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0.5410</w:t>
            </w:r>
          </w:p>
        </w:tc>
        <w:tc>
          <w:tcPr>
            <w:tcW w:w="829" w:type="dxa"/>
            <w:shd w:val="clear" w:color="auto" w:fill="auto"/>
            <w:vAlign w:val="center"/>
          </w:tcPr>
          <w:p w14:paraId="235F26D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0.0601</w:t>
            </w:r>
          </w:p>
        </w:tc>
      </w:tr>
      <w:tr w14:paraId="2C83F6F3">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23" w:hRule="atLeast"/>
          <w:jc w:val="center"/>
        </w:trPr>
        <w:tc>
          <w:tcPr>
            <w:tcW w:w="930" w:type="dxa"/>
            <w:vAlign w:val="center"/>
          </w:tcPr>
          <w:p w14:paraId="7439D40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1800.0</w:t>
            </w:r>
          </w:p>
        </w:tc>
        <w:tc>
          <w:tcPr>
            <w:tcW w:w="1032" w:type="dxa"/>
            <w:vAlign w:val="center"/>
          </w:tcPr>
          <w:p w14:paraId="5F33848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0.0018</w:t>
            </w:r>
          </w:p>
        </w:tc>
        <w:tc>
          <w:tcPr>
            <w:tcW w:w="828" w:type="dxa"/>
            <w:vAlign w:val="center"/>
          </w:tcPr>
          <w:p w14:paraId="373CF0F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0.0009</w:t>
            </w:r>
          </w:p>
        </w:tc>
        <w:tc>
          <w:tcPr>
            <w:tcW w:w="1032" w:type="dxa"/>
            <w:vAlign w:val="center"/>
          </w:tcPr>
          <w:p w14:paraId="54A9380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0.0002</w:t>
            </w:r>
          </w:p>
        </w:tc>
        <w:tc>
          <w:tcPr>
            <w:tcW w:w="828" w:type="dxa"/>
            <w:vAlign w:val="center"/>
          </w:tcPr>
          <w:p w14:paraId="3B1D3AF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0.0024</w:t>
            </w:r>
          </w:p>
        </w:tc>
        <w:tc>
          <w:tcPr>
            <w:tcW w:w="1032" w:type="dxa"/>
            <w:shd w:val="clear" w:color="auto" w:fill="auto"/>
            <w:vAlign w:val="center"/>
          </w:tcPr>
          <w:p w14:paraId="580BF34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0.0001</w:t>
            </w:r>
          </w:p>
        </w:tc>
        <w:tc>
          <w:tcPr>
            <w:tcW w:w="828" w:type="dxa"/>
            <w:shd w:val="clear" w:color="auto" w:fill="auto"/>
            <w:vAlign w:val="center"/>
          </w:tcPr>
          <w:p w14:paraId="147CC68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0.0000</w:t>
            </w:r>
          </w:p>
        </w:tc>
        <w:tc>
          <w:tcPr>
            <w:tcW w:w="1032" w:type="dxa"/>
            <w:shd w:val="clear" w:color="auto" w:fill="auto"/>
            <w:vAlign w:val="center"/>
          </w:tcPr>
          <w:p w14:paraId="2A2784F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0.0000</w:t>
            </w:r>
          </w:p>
        </w:tc>
        <w:tc>
          <w:tcPr>
            <w:tcW w:w="828" w:type="dxa"/>
            <w:shd w:val="clear" w:color="auto" w:fill="auto"/>
            <w:vAlign w:val="center"/>
          </w:tcPr>
          <w:p w14:paraId="2FAB939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0.0002</w:t>
            </w:r>
          </w:p>
        </w:tc>
        <w:tc>
          <w:tcPr>
            <w:tcW w:w="1032" w:type="dxa"/>
            <w:shd w:val="clear" w:color="auto" w:fill="auto"/>
            <w:vAlign w:val="center"/>
          </w:tcPr>
          <w:p w14:paraId="441E55F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0.0007</w:t>
            </w:r>
          </w:p>
        </w:tc>
        <w:tc>
          <w:tcPr>
            <w:tcW w:w="828" w:type="dxa"/>
            <w:shd w:val="clear" w:color="auto" w:fill="auto"/>
            <w:vAlign w:val="center"/>
          </w:tcPr>
          <w:p w14:paraId="12BFC76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0.0004</w:t>
            </w:r>
          </w:p>
        </w:tc>
        <w:tc>
          <w:tcPr>
            <w:tcW w:w="1032" w:type="dxa"/>
            <w:shd w:val="clear" w:color="auto" w:fill="auto"/>
            <w:vAlign w:val="center"/>
          </w:tcPr>
          <w:p w14:paraId="0522644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0.0030</w:t>
            </w:r>
          </w:p>
        </w:tc>
        <w:tc>
          <w:tcPr>
            <w:tcW w:w="828" w:type="dxa"/>
            <w:shd w:val="clear" w:color="auto" w:fill="auto"/>
            <w:vAlign w:val="center"/>
          </w:tcPr>
          <w:p w14:paraId="7B81214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0.0298</w:t>
            </w:r>
          </w:p>
        </w:tc>
        <w:tc>
          <w:tcPr>
            <w:tcW w:w="1033" w:type="dxa"/>
            <w:shd w:val="clear" w:color="auto" w:fill="auto"/>
            <w:vAlign w:val="center"/>
          </w:tcPr>
          <w:p w14:paraId="64221BE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0.4898</w:t>
            </w:r>
          </w:p>
        </w:tc>
        <w:tc>
          <w:tcPr>
            <w:tcW w:w="829" w:type="dxa"/>
            <w:shd w:val="clear" w:color="auto" w:fill="auto"/>
            <w:vAlign w:val="center"/>
          </w:tcPr>
          <w:p w14:paraId="46A111D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0.0544</w:t>
            </w:r>
          </w:p>
        </w:tc>
      </w:tr>
      <w:tr w14:paraId="40ED6AA7">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23" w:hRule="atLeast"/>
          <w:jc w:val="center"/>
        </w:trPr>
        <w:tc>
          <w:tcPr>
            <w:tcW w:w="930" w:type="dxa"/>
            <w:vAlign w:val="center"/>
          </w:tcPr>
          <w:p w14:paraId="604A6AE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2000.0</w:t>
            </w:r>
          </w:p>
        </w:tc>
        <w:tc>
          <w:tcPr>
            <w:tcW w:w="1032" w:type="dxa"/>
            <w:vAlign w:val="center"/>
          </w:tcPr>
          <w:p w14:paraId="1BDBC8B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0.0017</w:t>
            </w:r>
          </w:p>
        </w:tc>
        <w:tc>
          <w:tcPr>
            <w:tcW w:w="828" w:type="dxa"/>
            <w:vAlign w:val="center"/>
          </w:tcPr>
          <w:p w14:paraId="49F7BDE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0.0008</w:t>
            </w:r>
          </w:p>
        </w:tc>
        <w:tc>
          <w:tcPr>
            <w:tcW w:w="1032" w:type="dxa"/>
            <w:vAlign w:val="center"/>
          </w:tcPr>
          <w:p w14:paraId="5DA77FF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0.0002</w:t>
            </w:r>
          </w:p>
        </w:tc>
        <w:tc>
          <w:tcPr>
            <w:tcW w:w="828" w:type="dxa"/>
            <w:vAlign w:val="center"/>
          </w:tcPr>
          <w:p w14:paraId="2A77056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0.0022</w:t>
            </w:r>
          </w:p>
        </w:tc>
        <w:tc>
          <w:tcPr>
            <w:tcW w:w="1032" w:type="dxa"/>
            <w:shd w:val="clear" w:color="auto" w:fill="auto"/>
            <w:vAlign w:val="center"/>
          </w:tcPr>
          <w:p w14:paraId="28743ED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0.0001</w:t>
            </w:r>
          </w:p>
        </w:tc>
        <w:tc>
          <w:tcPr>
            <w:tcW w:w="828" w:type="dxa"/>
            <w:shd w:val="clear" w:color="auto" w:fill="auto"/>
            <w:vAlign w:val="center"/>
          </w:tcPr>
          <w:p w14:paraId="60F946B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0.0000</w:t>
            </w:r>
          </w:p>
        </w:tc>
        <w:tc>
          <w:tcPr>
            <w:tcW w:w="1032" w:type="dxa"/>
            <w:shd w:val="clear" w:color="auto" w:fill="auto"/>
            <w:vAlign w:val="center"/>
          </w:tcPr>
          <w:p w14:paraId="404473C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0.0000</w:t>
            </w:r>
          </w:p>
        </w:tc>
        <w:tc>
          <w:tcPr>
            <w:tcW w:w="828" w:type="dxa"/>
            <w:shd w:val="clear" w:color="auto" w:fill="auto"/>
            <w:vAlign w:val="center"/>
          </w:tcPr>
          <w:p w14:paraId="19544BE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0.0002</w:t>
            </w:r>
          </w:p>
        </w:tc>
        <w:tc>
          <w:tcPr>
            <w:tcW w:w="1032" w:type="dxa"/>
            <w:shd w:val="clear" w:color="auto" w:fill="auto"/>
            <w:vAlign w:val="center"/>
          </w:tcPr>
          <w:p w14:paraId="3DACF4E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0.0006</w:t>
            </w:r>
          </w:p>
        </w:tc>
        <w:tc>
          <w:tcPr>
            <w:tcW w:w="828" w:type="dxa"/>
            <w:shd w:val="clear" w:color="auto" w:fill="auto"/>
            <w:vAlign w:val="center"/>
          </w:tcPr>
          <w:p w14:paraId="6BC3EEB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0.0003</w:t>
            </w:r>
          </w:p>
        </w:tc>
        <w:tc>
          <w:tcPr>
            <w:tcW w:w="1032" w:type="dxa"/>
            <w:shd w:val="clear" w:color="auto" w:fill="auto"/>
            <w:vAlign w:val="center"/>
          </w:tcPr>
          <w:p w14:paraId="4EF95AD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0.0027</w:t>
            </w:r>
          </w:p>
        </w:tc>
        <w:tc>
          <w:tcPr>
            <w:tcW w:w="828" w:type="dxa"/>
            <w:shd w:val="clear" w:color="auto" w:fill="auto"/>
            <w:vAlign w:val="center"/>
          </w:tcPr>
          <w:p w14:paraId="2EE8E5C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0.0270</w:t>
            </w:r>
          </w:p>
        </w:tc>
        <w:tc>
          <w:tcPr>
            <w:tcW w:w="1033" w:type="dxa"/>
            <w:shd w:val="clear" w:color="auto" w:fill="auto"/>
            <w:vAlign w:val="center"/>
          </w:tcPr>
          <w:p w14:paraId="163F4FD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0.4560</w:t>
            </w:r>
          </w:p>
        </w:tc>
        <w:tc>
          <w:tcPr>
            <w:tcW w:w="829" w:type="dxa"/>
            <w:shd w:val="clear" w:color="auto" w:fill="auto"/>
            <w:vAlign w:val="center"/>
          </w:tcPr>
          <w:p w14:paraId="69842EA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0.0507</w:t>
            </w:r>
          </w:p>
        </w:tc>
      </w:tr>
      <w:tr w14:paraId="792A3220">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23" w:hRule="atLeast"/>
          <w:jc w:val="center"/>
        </w:trPr>
        <w:tc>
          <w:tcPr>
            <w:tcW w:w="930" w:type="dxa"/>
            <w:vAlign w:val="center"/>
          </w:tcPr>
          <w:p w14:paraId="7FE20FD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2500.0</w:t>
            </w:r>
          </w:p>
        </w:tc>
        <w:tc>
          <w:tcPr>
            <w:tcW w:w="1032" w:type="dxa"/>
            <w:vAlign w:val="center"/>
          </w:tcPr>
          <w:p w14:paraId="4E26DB2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0.0014</w:t>
            </w:r>
          </w:p>
        </w:tc>
        <w:tc>
          <w:tcPr>
            <w:tcW w:w="828" w:type="dxa"/>
            <w:vAlign w:val="center"/>
          </w:tcPr>
          <w:p w14:paraId="30C0ACD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0.0007</w:t>
            </w:r>
          </w:p>
        </w:tc>
        <w:tc>
          <w:tcPr>
            <w:tcW w:w="1032" w:type="dxa"/>
            <w:vAlign w:val="center"/>
          </w:tcPr>
          <w:p w14:paraId="7903FBB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0.0002</w:t>
            </w:r>
          </w:p>
        </w:tc>
        <w:tc>
          <w:tcPr>
            <w:tcW w:w="828" w:type="dxa"/>
            <w:vAlign w:val="center"/>
          </w:tcPr>
          <w:p w14:paraId="619F220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0.0019</w:t>
            </w:r>
          </w:p>
        </w:tc>
        <w:tc>
          <w:tcPr>
            <w:tcW w:w="1032" w:type="dxa"/>
            <w:shd w:val="clear" w:color="auto" w:fill="auto"/>
            <w:vAlign w:val="center"/>
          </w:tcPr>
          <w:p w14:paraId="4248E27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0.0000</w:t>
            </w:r>
          </w:p>
        </w:tc>
        <w:tc>
          <w:tcPr>
            <w:tcW w:w="828" w:type="dxa"/>
            <w:shd w:val="clear" w:color="auto" w:fill="auto"/>
            <w:vAlign w:val="center"/>
          </w:tcPr>
          <w:p w14:paraId="001DE8E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0.0000</w:t>
            </w:r>
          </w:p>
        </w:tc>
        <w:tc>
          <w:tcPr>
            <w:tcW w:w="1032" w:type="dxa"/>
            <w:shd w:val="clear" w:color="auto" w:fill="auto"/>
            <w:vAlign w:val="center"/>
          </w:tcPr>
          <w:p w14:paraId="20C90EC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0.0000</w:t>
            </w:r>
          </w:p>
        </w:tc>
        <w:tc>
          <w:tcPr>
            <w:tcW w:w="828" w:type="dxa"/>
            <w:shd w:val="clear" w:color="auto" w:fill="auto"/>
            <w:vAlign w:val="center"/>
          </w:tcPr>
          <w:p w14:paraId="256E33D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0.0002</w:t>
            </w:r>
          </w:p>
        </w:tc>
        <w:tc>
          <w:tcPr>
            <w:tcW w:w="1032" w:type="dxa"/>
            <w:shd w:val="clear" w:color="auto" w:fill="auto"/>
            <w:vAlign w:val="center"/>
          </w:tcPr>
          <w:p w14:paraId="3F5A69D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0.0005</w:t>
            </w:r>
          </w:p>
        </w:tc>
        <w:tc>
          <w:tcPr>
            <w:tcW w:w="828" w:type="dxa"/>
            <w:shd w:val="clear" w:color="auto" w:fill="auto"/>
            <w:vAlign w:val="center"/>
          </w:tcPr>
          <w:p w14:paraId="3ED4E29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0.0003</w:t>
            </w:r>
          </w:p>
        </w:tc>
        <w:tc>
          <w:tcPr>
            <w:tcW w:w="1032" w:type="dxa"/>
            <w:shd w:val="clear" w:color="auto" w:fill="auto"/>
            <w:vAlign w:val="center"/>
          </w:tcPr>
          <w:p w14:paraId="62BBA6C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0.0022</w:t>
            </w:r>
          </w:p>
        </w:tc>
        <w:tc>
          <w:tcPr>
            <w:tcW w:w="828" w:type="dxa"/>
            <w:shd w:val="clear" w:color="auto" w:fill="auto"/>
            <w:vAlign w:val="center"/>
          </w:tcPr>
          <w:p w14:paraId="74DECAE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0.0225</w:t>
            </w:r>
          </w:p>
        </w:tc>
        <w:tc>
          <w:tcPr>
            <w:tcW w:w="1033" w:type="dxa"/>
            <w:shd w:val="clear" w:color="auto" w:fill="auto"/>
            <w:vAlign w:val="center"/>
          </w:tcPr>
          <w:p w14:paraId="118A2C6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0.3875</w:t>
            </w:r>
          </w:p>
        </w:tc>
        <w:tc>
          <w:tcPr>
            <w:tcW w:w="829" w:type="dxa"/>
            <w:shd w:val="clear" w:color="auto" w:fill="auto"/>
            <w:vAlign w:val="center"/>
          </w:tcPr>
          <w:p w14:paraId="1754FE3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0.0431</w:t>
            </w:r>
          </w:p>
        </w:tc>
      </w:tr>
      <w:tr w14:paraId="45BB1B90">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23" w:hRule="atLeast"/>
          <w:jc w:val="center"/>
        </w:trPr>
        <w:tc>
          <w:tcPr>
            <w:tcW w:w="930" w:type="dxa"/>
            <w:vAlign w:val="center"/>
          </w:tcPr>
          <w:p w14:paraId="540F587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3000.0</w:t>
            </w:r>
          </w:p>
        </w:tc>
        <w:tc>
          <w:tcPr>
            <w:tcW w:w="1032" w:type="dxa"/>
            <w:vAlign w:val="center"/>
          </w:tcPr>
          <w:p w14:paraId="237AEA1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0.0013</w:t>
            </w:r>
          </w:p>
        </w:tc>
        <w:tc>
          <w:tcPr>
            <w:tcW w:w="828" w:type="dxa"/>
            <w:vAlign w:val="center"/>
          </w:tcPr>
          <w:p w14:paraId="071D869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0.0006</w:t>
            </w:r>
          </w:p>
        </w:tc>
        <w:tc>
          <w:tcPr>
            <w:tcW w:w="1032" w:type="dxa"/>
            <w:vAlign w:val="center"/>
          </w:tcPr>
          <w:p w14:paraId="6D87F9D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0.0002</w:t>
            </w:r>
          </w:p>
        </w:tc>
        <w:tc>
          <w:tcPr>
            <w:tcW w:w="828" w:type="dxa"/>
            <w:vAlign w:val="center"/>
          </w:tcPr>
          <w:p w14:paraId="660C1DA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0.0017</w:t>
            </w:r>
          </w:p>
        </w:tc>
        <w:tc>
          <w:tcPr>
            <w:tcW w:w="1032" w:type="dxa"/>
            <w:shd w:val="clear" w:color="auto" w:fill="auto"/>
            <w:vAlign w:val="center"/>
          </w:tcPr>
          <w:p w14:paraId="621FBCF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0.0000</w:t>
            </w:r>
          </w:p>
        </w:tc>
        <w:tc>
          <w:tcPr>
            <w:tcW w:w="828" w:type="dxa"/>
            <w:shd w:val="clear" w:color="auto" w:fill="auto"/>
            <w:vAlign w:val="center"/>
          </w:tcPr>
          <w:p w14:paraId="2733602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0.0000</w:t>
            </w:r>
          </w:p>
        </w:tc>
        <w:tc>
          <w:tcPr>
            <w:tcW w:w="1032" w:type="dxa"/>
            <w:shd w:val="clear" w:color="auto" w:fill="auto"/>
            <w:vAlign w:val="center"/>
          </w:tcPr>
          <w:p w14:paraId="15CD650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0.0000</w:t>
            </w:r>
          </w:p>
        </w:tc>
        <w:tc>
          <w:tcPr>
            <w:tcW w:w="828" w:type="dxa"/>
            <w:shd w:val="clear" w:color="auto" w:fill="auto"/>
            <w:vAlign w:val="center"/>
          </w:tcPr>
          <w:p w14:paraId="6A99119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0.0002</w:t>
            </w:r>
          </w:p>
        </w:tc>
        <w:tc>
          <w:tcPr>
            <w:tcW w:w="1032" w:type="dxa"/>
            <w:shd w:val="clear" w:color="auto" w:fill="auto"/>
            <w:vAlign w:val="center"/>
          </w:tcPr>
          <w:p w14:paraId="2812A89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0.0004</w:t>
            </w:r>
          </w:p>
        </w:tc>
        <w:tc>
          <w:tcPr>
            <w:tcW w:w="828" w:type="dxa"/>
            <w:shd w:val="clear" w:color="auto" w:fill="auto"/>
            <w:vAlign w:val="center"/>
          </w:tcPr>
          <w:p w14:paraId="2965531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0.0002</w:t>
            </w:r>
          </w:p>
        </w:tc>
        <w:tc>
          <w:tcPr>
            <w:tcW w:w="1032" w:type="dxa"/>
            <w:shd w:val="clear" w:color="auto" w:fill="auto"/>
            <w:vAlign w:val="center"/>
          </w:tcPr>
          <w:p w14:paraId="6CC06F7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0.0018</w:t>
            </w:r>
          </w:p>
        </w:tc>
        <w:tc>
          <w:tcPr>
            <w:tcW w:w="828" w:type="dxa"/>
            <w:shd w:val="clear" w:color="auto" w:fill="auto"/>
            <w:vAlign w:val="center"/>
          </w:tcPr>
          <w:p w14:paraId="018135D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0.0185</w:t>
            </w:r>
          </w:p>
        </w:tc>
        <w:tc>
          <w:tcPr>
            <w:tcW w:w="1033" w:type="dxa"/>
            <w:shd w:val="clear" w:color="auto" w:fill="auto"/>
            <w:vAlign w:val="center"/>
          </w:tcPr>
          <w:p w14:paraId="38E83B6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0.3365</w:t>
            </w:r>
          </w:p>
        </w:tc>
        <w:tc>
          <w:tcPr>
            <w:tcW w:w="829" w:type="dxa"/>
            <w:shd w:val="clear" w:color="auto" w:fill="auto"/>
            <w:vAlign w:val="center"/>
          </w:tcPr>
          <w:p w14:paraId="3A502F0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0.0374</w:t>
            </w:r>
          </w:p>
        </w:tc>
      </w:tr>
      <w:tr w14:paraId="094E9200">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23" w:hRule="atLeast"/>
          <w:jc w:val="center"/>
        </w:trPr>
        <w:tc>
          <w:tcPr>
            <w:tcW w:w="930" w:type="dxa"/>
            <w:vAlign w:val="center"/>
          </w:tcPr>
          <w:p w14:paraId="22A12F9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3500.0</w:t>
            </w:r>
          </w:p>
        </w:tc>
        <w:tc>
          <w:tcPr>
            <w:tcW w:w="1032" w:type="dxa"/>
            <w:vAlign w:val="center"/>
          </w:tcPr>
          <w:p w14:paraId="186C57A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0.0011</w:t>
            </w:r>
          </w:p>
        </w:tc>
        <w:tc>
          <w:tcPr>
            <w:tcW w:w="828" w:type="dxa"/>
            <w:vAlign w:val="center"/>
          </w:tcPr>
          <w:p w14:paraId="7800A0C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0.0006</w:t>
            </w:r>
          </w:p>
        </w:tc>
        <w:tc>
          <w:tcPr>
            <w:tcW w:w="1032" w:type="dxa"/>
            <w:vAlign w:val="center"/>
          </w:tcPr>
          <w:p w14:paraId="103F306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0.0001</w:t>
            </w:r>
          </w:p>
        </w:tc>
        <w:tc>
          <w:tcPr>
            <w:tcW w:w="828" w:type="dxa"/>
            <w:vAlign w:val="center"/>
          </w:tcPr>
          <w:p w14:paraId="4C68F29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0.0015</w:t>
            </w:r>
          </w:p>
        </w:tc>
        <w:tc>
          <w:tcPr>
            <w:tcW w:w="1032" w:type="dxa"/>
            <w:shd w:val="clear" w:color="auto" w:fill="auto"/>
            <w:vAlign w:val="center"/>
          </w:tcPr>
          <w:p w14:paraId="76C6BC2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0.0000</w:t>
            </w:r>
          </w:p>
        </w:tc>
        <w:tc>
          <w:tcPr>
            <w:tcW w:w="828" w:type="dxa"/>
            <w:shd w:val="clear" w:color="auto" w:fill="auto"/>
            <w:vAlign w:val="center"/>
          </w:tcPr>
          <w:p w14:paraId="41EFFD0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0.0000</w:t>
            </w:r>
          </w:p>
        </w:tc>
        <w:tc>
          <w:tcPr>
            <w:tcW w:w="1032" w:type="dxa"/>
            <w:shd w:val="clear" w:color="auto" w:fill="auto"/>
            <w:vAlign w:val="center"/>
          </w:tcPr>
          <w:p w14:paraId="4CA0C5A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0.0000</w:t>
            </w:r>
          </w:p>
        </w:tc>
        <w:tc>
          <w:tcPr>
            <w:tcW w:w="828" w:type="dxa"/>
            <w:shd w:val="clear" w:color="auto" w:fill="auto"/>
            <w:vAlign w:val="center"/>
          </w:tcPr>
          <w:p w14:paraId="2E56AAE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0.0001</w:t>
            </w:r>
          </w:p>
        </w:tc>
        <w:tc>
          <w:tcPr>
            <w:tcW w:w="1032" w:type="dxa"/>
            <w:shd w:val="clear" w:color="auto" w:fill="auto"/>
            <w:vAlign w:val="center"/>
          </w:tcPr>
          <w:p w14:paraId="7309BA1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0.0004</w:t>
            </w:r>
          </w:p>
        </w:tc>
        <w:tc>
          <w:tcPr>
            <w:tcW w:w="828" w:type="dxa"/>
            <w:shd w:val="clear" w:color="auto" w:fill="auto"/>
            <w:vAlign w:val="center"/>
          </w:tcPr>
          <w:p w14:paraId="596C396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0.0002</w:t>
            </w:r>
          </w:p>
        </w:tc>
        <w:tc>
          <w:tcPr>
            <w:tcW w:w="1032" w:type="dxa"/>
            <w:shd w:val="clear" w:color="auto" w:fill="auto"/>
            <w:vAlign w:val="center"/>
          </w:tcPr>
          <w:p w14:paraId="6D5C066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0.0016</w:t>
            </w:r>
          </w:p>
        </w:tc>
        <w:tc>
          <w:tcPr>
            <w:tcW w:w="828" w:type="dxa"/>
            <w:shd w:val="clear" w:color="auto" w:fill="auto"/>
            <w:vAlign w:val="center"/>
          </w:tcPr>
          <w:p w14:paraId="3D8FC7D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0.0156</w:t>
            </w:r>
          </w:p>
        </w:tc>
        <w:tc>
          <w:tcPr>
            <w:tcW w:w="1033" w:type="dxa"/>
            <w:shd w:val="clear" w:color="auto" w:fill="auto"/>
            <w:vAlign w:val="center"/>
          </w:tcPr>
          <w:p w14:paraId="7AC61B8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0.2973</w:t>
            </w:r>
          </w:p>
        </w:tc>
        <w:tc>
          <w:tcPr>
            <w:tcW w:w="829" w:type="dxa"/>
            <w:shd w:val="clear" w:color="auto" w:fill="auto"/>
            <w:vAlign w:val="center"/>
          </w:tcPr>
          <w:p w14:paraId="1ACD133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0.0330</w:t>
            </w:r>
          </w:p>
        </w:tc>
      </w:tr>
      <w:tr w14:paraId="27F31A17">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23" w:hRule="atLeast"/>
          <w:jc w:val="center"/>
        </w:trPr>
        <w:tc>
          <w:tcPr>
            <w:tcW w:w="930" w:type="dxa"/>
            <w:vAlign w:val="center"/>
          </w:tcPr>
          <w:p w14:paraId="01A780D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4000.0</w:t>
            </w:r>
          </w:p>
        </w:tc>
        <w:tc>
          <w:tcPr>
            <w:tcW w:w="1032" w:type="dxa"/>
            <w:vAlign w:val="center"/>
          </w:tcPr>
          <w:p w14:paraId="24FA9A9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0.0010</w:t>
            </w:r>
          </w:p>
        </w:tc>
        <w:tc>
          <w:tcPr>
            <w:tcW w:w="828" w:type="dxa"/>
            <w:vAlign w:val="center"/>
          </w:tcPr>
          <w:p w14:paraId="4C3B102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0.0005</w:t>
            </w:r>
          </w:p>
        </w:tc>
        <w:tc>
          <w:tcPr>
            <w:tcW w:w="1032" w:type="dxa"/>
            <w:vAlign w:val="center"/>
          </w:tcPr>
          <w:p w14:paraId="1CE5BCC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0.0001</w:t>
            </w:r>
          </w:p>
        </w:tc>
        <w:tc>
          <w:tcPr>
            <w:tcW w:w="828" w:type="dxa"/>
            <w:vAlign w:val="center"/>
          </w:tcPr>
          <w:p w14:paraId="6C0F23F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0.0013</w:t>
            </w:r>
          </w:p>
        </w:tc>
        <w:tc>
          <w:tcPr>
            <w:tcW w:w="1032" w:type="dxa"/>
            <w:shd w:val="clear" w:color="auto" w:fill="auto"/>
            <w:vAlign w:val="center"/>
          </w:tcPr>
          <w:p w14:paraId="347EC82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0.0000</w:t>
            </w:r>
          </w:p>
        </w:tc>
        <w:tc>
          <w:tcPr>
            <w:tcW w:w="828" w:type="dxa"/>
            <w:shd w:val="clear" w:color="auto" w:fill="auto"/>
            <w:vAlign w:val="center"/>
          </w:tcPr>
          <w:p w14:paraId="596B062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0.0000</w:t>
            </w:r>
          </w:p>
        </w:tc>
        <w:tc>
          <w:tcPr>
            <w:tcW w:w="1032" w:type="dxa"/>
            <w:shd w:val="clear" w:color="auto" w:fill="auto"/>
            <w:vAlign w:val="center"/>
          </w:tcPr>
          <w:p w14:paraId="2F30BA9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0.0000</w:t>
            </w:r>
          </w:p>
        </w:tc>
        <w:tc>
          <w:tcPr>
            <w:tcW w:w="828" w:type="dxa"/>
            <w:shd w:val="clear" w:color="auto" w:fill="auto"/>
            <w:vAlign w:val="center"/>
          </w:tcPr>
          <w:p w14:paraId="1D85337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0.0001</w:t>
            </w:r>
          </w:p>
        </w:tc>
        <w:tc>
          <w:tcPr>
            <w:tcW w:w="1032" w:type="dxa"/>
            <w:shd w:val="clear" w:color="auto" w:fill="auto"/>
            <w:vAlign w:val="center"/>
          </w:tcPr>
          <w:p w14:paraId="6E02B0E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0.0003</w:t>
            </w:r>
          </w:p>
        </w:tc>
        <w:tc>
          <w:tcPr>
            <w:tcW w:w="828" w:type="dxa"/>
            <w:shd w:val="clear" w:color="auto" w:fill="auto"/>
            <w:vAlign w:val="center"/>
          </w:tcPr>
          <w:p w14:paraId="7B24921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0.0002</w:t>
            </w:r>
          </w:p>
        </w:tc>
        <w:tc>
          <w:tcPr>
            <w:tcW w:w="1032" w:type="dxa"/>
            <w:shd w:val="clear" w:color="auto" w:fill="auto"/>
            <w:vAlign w:val="center"/>
          </w:tcPr>
          <w:p w14:paraId="0AD17EA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0.0013</w:t>
            </w:r>
          </w:p>
        </w:tc>
        <w:tc>
          <w:tcPr>
            <w:tcW w:w="828" w:type="dxa"/>
            <w:shd w:val="clear" w:color="auto" w:fill="auto"/>
            <w:vAlign w:val="center"/>
          </w:tcPr>
          <w:p w14:paraId="178C7BA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0.0135</w:t>
            </w:r>
          </w:p>
        </w:tc>
        <w:tc>
          <w:tcPr>
            <w:tcW w:w="1033" w:type="dxa"/>
            <w:shd w:val="clear" w:color="auto" w:fill="auto"/>
            <w:vAlign w:val="center"/>
          </w:tcPr>
          <w:p w14:paraId="718FC55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0.2656</w:t>
            </w:r>
          </w:p>
        </w:tc>
        <w:tc>
          <w:tcPr>
            <w:tcW w:w="829" w:type="dxa"/>
            <w:shd w:val="clear" w:color="auto" w:fill="auto"/>
            <w:vAlign w:val="center"/>
          </w:tcPr>
          <w:p w14:paraId="2D38B27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0.0295</w:t>
            </w:r>
          </w:p>
        </w:tc>
      </w:tr>
      <w:tr w14:paraId="68DCE22A">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23" w:hRule="atLeast"/>
          <w:jc w:val="center"/>
        </w:trPr>
        <w:tc>
          <w:tcPr>
            <w:tcW w:w="930" w:type="dxa"/>
            <w:vAlign w:val="center"/>
          </w:tcPr>
          <w:p w14:paraId="0704116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4500.0</w:t>
            </w:r>
          </w:p>
        </w:tc>
        <w:tc>
          <w:tcPr>
            <w:tcW w:w="1032" w:type="dxa"/>
            <w:vAlign w:val="center"/>
          </w:tcPr>
          <w:p w14:paraId="38065CC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0.0009</w:t>
            </w:r>
          </w:p>
        </w:tc>
        <w:tc>
          <w:tcPr>
            <w:tcW w:w="828" w:type="dxa"/>
            <w:vAlign w:val="center"/>
          </w:tcPr>
          <w:p w14:paraId="2D4AACA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0.0004</w:t>
            </w:r>
          </w:p>
        </w:tc>
        <w:tc>
          <w:tcPr>
            <w:tcW w:w="1032" w:type="dxa"/>
            <w:vAlign w:val="center"/>
          </w:tcPr>
          <w:p w14:paraId="6C972CD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0.0001</w:t>
            </w:r>
          </w:p>
        </w:tc>
        <w:tc>
          <w:tcPr>
            <w:tcW w:w="828" w:type="dxa"/>
            <w:vAlign w:val="center"/>
          </w:tcPr>
          <w:p w14:paraId="657C75D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0.0012</w:t>
            </w:r>
          </w:p>
        </w:tc>
        <w:tc>
          <w:tcPr>
            <w:tcW w:w="1032" w:type="dxa"/>
            <w:shd w:val="clear" w:color="auto" w:fill="auto"/>
            <w:vAlign w:val="center"/>
          </w:tcPr>
          <w:p w14:paraId="57CA656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0.0000</w:t>
            </w:r>
          </w:p>
        </w:tc>
        <w:tc>
          <w:tcPr>
            <w:tcW w:w="828" w:type="dxa"/>
            <w:shd w:val="clear" w:color="auto" w:fill="auto"/>
            <w:vAlign w:val="center"/>
          </w:tcPr>
          <w:p w14:paraId="29C98AA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0.0000</w:t>
            </w:r>
          </w:p>
        </w:tc>
        <w:tc>
          <w:tcPr>
            <w:tcW w:w="1032" w:type="dxa"/>
            <w:shd w:val="clear" w:color="auto" w:fill="auto"/>
            <w:vAlign w:val="center"/>
          </w:tcPr>
          <w:p w14:paraId="51E5F8B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0.0000</w:t>
            </w:r>
          </w:p>
        </w:tc>
        <w:tc>
          <w:tcPr>
            <w:tcW w:w="828" w:type="dxa"/>
            <w:shd w:val="clear" w:color="auto" w:fill="auto"/>
            <w:vAlign w:val="center"/>
          </w:tcPr>
          <w:p w14:paraId="671D6CC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0.0001</w:t>
            </w:r>
          </w:p>
        </w:tc>
        <w:tc>
          <w:tcPr>
            <w:tcW w:w="1032" w:type="dxa"/>
            <w:shd w:val="clear" w:color="auto" w:fill="auto"/>
            <w:vAlign w:val="center"/>
          </w:tcPr>
          <w:p w14:paraId="6F795DD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0.0003</w:t>
            </w:r>
          </w:p>
        </w:tc>
        <w:tc>
          <w:tcPr>
            <w:tcW w:w="828" w:type="dxa"/>
            <w:shd w:val="clear" w:color="auto" w:fill="auto"/>
            <w:vAlign w:val="center"/>
          </w:tcPr>
          <w:p w14:paraId="1D7E49F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0.0001</w:t>
            </w:r>
          </w:p>
        </w:tc>
        <w:tc>
          <w:tcPr>
            <w:tcW w:w="1032" w:type="dxa"/>
            <w:shd w:val="clear" w:color="auto" w:fill="auto"/>
            <w:vAlign w:val="center"/>
          </w:tcPr>
          <w:p w14:paraId="061B89A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0.0012</w:t>
            </w:r>
          </w:p>
        </w:tc>
        <w:tc>
          <w:tcPr>
            <w:tcW w:w="828" w:type="dxa"/>
            <w:shd w:val="clear" w:color="auto" w:fill="auto"/>
            <w:vAlign w:val="center"/>
          </w:tcPr>
          <w:p w14:paraId="06BBE50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0.0118</w:t>
            </w:r>
          </w:p>
        </w:tc>
        <w:tc>
          <w:tcPr>
            <w:tcW w:w="1033" w:type="dxa"/>
            <w:shd w:val="clear" w:color="auto" w:fill="auto"/>
            <w:vAlign w:val="center"/>
          </w:tcPr>
          <w:p w14:paraId="6C9CB5A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0.2396</w:t>
            </w:r>
          </w:p>
        </w:tc>
        <w:tc>
          <w:tcPr>
            <w:tcW w:w="829" w:type="dxa"/>
            <w:shd w:val="clear" w:color="auto" w:fill="auto"/>
            <w:vAlign w:val="center"/>
          </w:tcPr>
          <w:p w14:paraId="383F37C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0.0266</w:t>
            </w:r>
          </w:p>
        </w:tc>
      </w:tr>
      <w:tr w14:paraId="5C434C92">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23" w:hRule="atLeast"/>
          <w:jc w:val="center"/>
        </w:trPr>
        <w:tc>
          <w:tcPr>
            <w:tcW w:w="930" w:type="dxa"/>
            <w:vAlign w:val="center"/>
          </w:tcPr>
          <w:p w14:paraId="62EBF7C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5000.0</w:t>
            </w:r>
          </w:p>
        </w:tc>
        <w:tc>
          <w:tcPr>
            <w:tcW w:w="1032" w:type="dxa"/>
            <w:vAlign w:val="center"/>
          </w:tcPr>
          <w:p w14:paraId="3EF3CAC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0.0008</w:t>
            </w:r>
          </w:p>
        </w:tc>
        <w:tc>
          <w:tcPr>
            <w:tcW w:w="828" w:type="dxa"/>
            <w:vAlign w:val="center"/>
          </w:tcPr>
          <w:p w14:paraId="461E13F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0.0004</w:t>
            </w:r>
          </w:p>
        </w:tc>
        <w:tc>
          <w:tcPr>
            <w:tcW w:w="1032" w:type="dxa"/>
            <w:vAlign w:val="center"/>
          </w:tcPr>
          <w:p w14:paraId="6AEA922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0.0001</w:t>
            </w:r>
          </w:p>
        </w:tc>
        <w:tc>
          <w:tcPr>
            <w:tcW w:w="828" w:type="dxa"/>
            <w:vAlign w:val="center"/>
          </w:tcPr>
          <w:p w14:paraId="6706A9D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0.0011</w:t>
            </w:r>
          </w:p>
        </w:tc>
        <w:tc>
          <w:tcPr>
            <w:tcW w:w="1032" w:type="dxa"/>
            <w:shd w:val="clear" w:color="auto" w:fill="auto"/>
            <w:vAlign w:val="center"/>
          </w:tcPr>
          <w:p w14:paraId="6AB23B7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0.0000</w:t>
            </w:r>
          </w:p>
        </w:tc>
        <w:tc>
          <w:tcPr>
            <w:tcW w:w="828" w:type="dxa"/>
            <w:shd w:val="clear" w:color="auto" w:fill="auto"/>
            <w:vAlign w:val="center"/>
          </w:tcPr>
          <w:p w14:paraId="5083B03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0.0000</w:t>
            </w:r>
          </w:p>
        </w:tc>
        <w:tc>
          <w:tcPr>
            <w:tcW w:w="1032" w:type="dxa"/>
            <w:shd w:val="clear" w:color="auto" w:fill="auto"/>
            <w:vAlign w:val="center"/>
          </w:tcPr>
          <w:p w14:paraId="17D2CBF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0.0000</w:t>
            </w:r>
          </w:p>
        </w:tc>
        <w:tc>
          <w:tcPr>
            <w:tcW w:w="828" w:type="dxa"/>
            <w:shd w:val="clear" w:color="auto" w:fill="auto"/>
            <w:vAlign w:val="center"/>
          </w:tcPr>
          <w:p w14:paraId="38560D2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0.0001</w:t>
            </w:r>
          </w:p>
        </w:tc>
        <w:tc>
          <w:tcPr>
            <w:tcW w:w="1032" w:type="dxa"/>
            <w:shd w:val="clear" w:color="auto" w:fill="auto"/>
            <w:vAlign w:val="center"/>
          </w:tcPr>
          <w:p w14:paraId="6E600FA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0.0003</w:t>
            </w:r>
          </w:p>
        </w:tc>
        <w:tc>
          <w:tcPr>
            <w:tcW w:w="828" w:type="dxa"/>
            <w:shd w:val="clear" w:color="auto" w:fill="auto"/>
            <w:vAlign w:val="center"/>
          </w:tcPr>
          <w:p w14:paraId="5D7E4AD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0.0001</w:t>
            </w:r>
          </w:p>
        </w:tc>
        <w:tc>
          <w:tcPr>
            <w:tcW w:w="1032" w:type="dxa"/>
            <w:shd w:val="clear" w:color="auto" w:fill="auto"/>
            <w:vAlign w:val="center"/>
          </w:tcPr>
          <w:p w14:paraId="08452B4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0.0010</w:t>
            </w:r>
          </w:p>
        </w:tc>
        <w:tc>
          <w:tcPr>
            <w:tcW w:w="828" w:type="dxa"/>
            <w:shd w:val="clear" w:color="auto" w:fill="auto"/>
            <w:vAlign w:val="center"/>
          </w:tcPr>
          <w:p w14:paraId="3825354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0.0104</w:t>
            </w:r>
          </w:p>
        </w:tc>
        <w:tc>
          <w:tcPr>
            <w:tcW w:w="1033" w:type="dxa"/>
            <w:shd w:val="clear" w:color="auto" w:fill="auto"/>
            <w:vAlign w:val="center"/>
          </w:tcPr>
          <w:p w14:paraId="195C568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0.2179</w:t>
            </w:r>
          </w:p>
        </w:tc>
        <w:tc>
          <w:tcPr>
            <w:tcW w:w="829" w:type="dxa"/>
            <w:shd w:val="clear" w:color="auto" w:fill="auto"/>
            <w:vAlign w:val="center"/>
          </w:tcPr>
          <w:p w14:paraId="5B2AD8B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0.0242</w:t>
            </w:r>
          </w:p>
        </w:tc>
      </w:tr>
      <w:tr w14:paraId="0BC8004B">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23" w:hRule="atLeast"/>
          <w:jc w:val="center"/>
        </w:trPr>
        <w:tc>
          <w:tcPr>
            <w:tcW w:w="930" w:type="dxa"/>
            <w:vAlign w:val="center"/>
          </w:tcPr>
          <w:p w14:paraId="02EA7E7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10000.0</w:t>
            </w:r>
          </w:p>
        </w:tc>
        <w:tc>
          <w:tcPr>
            <w:tcW w:w="1032" w:type="dxa"/>
            <w:vAlign w:val="center"/>
          </w:tcPr>
          <w:p w14:paraId="14EBE36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0.0004</w:t>
            </w:r>
          </w:p>
        </w:tc>
        <w:tc>
          <w:tcPr>
            <w:tcW w:w="828" w:type="dxa"/>
            <w:vAlign w:val="center"/>
          </w:tcPr>
          <w:p w14:paraId="3910F68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0.0002</w:t>
            </w:r>
          </w:p>
        </w:tc>
        <w:tc>
          <w:tcPr>
            <w:tcW w:w="1032" w:type="dxa"/>
            <w:vAlign w:val="center"/>
          </w:tcPr>
          <w:p w14:paraId="4A90ABB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0.0001</w:t>
            </w:r>
          </w:p>
        </w:tc>
        <w:tc>
          <w:tcPr>
            <w:tcW w:w="828" w:type="dxa"/>
            <w:vAlign w:val="center"/>
          </w:tcPr>
          <w:p w14:paraId="49A7B73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0.0006</w:t>
            </w:r>
          </w:p>
        </w:tc>
        <w:tc>
          <w:tcPr>
            <w:tcW w:w="1032" w:type="dxa"/>
            <w:shd w:val="clear" w:color="auto" w:fill="auto"/>
            <w:vAlign w:val="center"/>
          </w:tcPr>
          <w:p w14:paraId="0116246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0.0000</w:t>
            </w:r>
          </w:p>
        </w:tc>
        <w:tc>
          <w:tcPr>
            <w:tcW w:w="828" w:type="dxa"/>
            <w:shd w:val="clear" w:color="auto" w:fill="auto"/>
            <w:vAlign w:val="center"/>
          </w:tcPr>
          <w:p w14:paraId="308F4DA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0.0000</w:t>
            </w:r>
          </w:p>
        </w:tc>
        <w:tc>
          <w:tcPr>
            <w:tcW w:w="1032" w:type="dxa"/>
            <w:shd w:val="clear" w:color="auto" w:fill="auto"/>
            <w:vAlign w:val="center"/>
          </w:tcPr>
          <w:p w14:paraId="1356691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0.0000</w:t>
            </w:r>
          </w:p>
        </w:tc>
        <w:tc>
          <w:tcPr>
            <w:tcW w:w="828" w:type="dxa"/>
            <w:shd w:val="clear" w:color="auto" w:fill="auto"/>
            <w:vAlign w:val="center"/>
          </w:tcPr>
          <w:p w14:paraId="1506691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0.0000</w:t>
            </w:r>
          </w:p>
        </w:tc>
        <w:tc>
          <w:tcPr>
            <w:tcW w:w="1032" w:type="dxa"/>
            <w:shd w:val="clear" w:color="auto" w:fill="auto"/>
            <w:vAlign w:val="center"/>
          </w:tcPr>
          <w:p w14:paraId="39CBBEF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0.0001</w:t>
            </w:r>
          </w:p>
        </w:tc>
        <w:tc>
          <w:tcPr>
            <w:tcW w:w="828" w:type="dxa"/>
            <w:shd w:val="clear" w:color="auto" w:fill="auto"/>
            <w:vAlign w:val="center"/>
          </w:tcPr>
          <w:p w14:paraId="3F980FC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0.0001</w:t>
            </w:r>
          </w:p>
        </w:tc>
        <w:tc>
          <w:tcPr>
            <w:tcW w:w="1032" w:type="dxa"/>
            <w:shd w:val="clear" w:color="auto" w:fill="auto"/>
            <w:vAlign w:val="center"/>
          </w:tcPr>
          <w:p w14:paraId="695B2FC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0.0005</w:t>
            </w:r>
          </w:p>
        </w:tc>
        <w:tc>
          <w:tcPr>
            <w:tcW w:w="828" w:type="dxa"/>
            <w:shd w:val="clear" w:color="auto" w:fill="auto"/>
            <w:vAlign w:val="center"/>
          </w:tcPr>
          <w:p w14:paraId="09A1FB1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0.0046</w:t>
            </w:r>
          </w:p>
        </w:tc>
        <w:tc>
          <w:tcPr>
            <w:tcW w:w="1033" w:type="dxa"/>
            <w:shd w:val="clear" w:color="auto" w:fill="auto"/>
            <w:vAlign w:val="center"/>
          </w:tcPr>
          <w:p w14:paraId="240066B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0.1102</w:t>
            </w:r>
          </w:p>
        </w:tc>
        <w:tc>
          <w:tcPr>
            <w:tcW w:w="829" w:type="dxa"/>
            <w:shd w:val="clear" w:color="auto" w:fill="auto"/>
            <w:vAlign w:val="center"/>
          </w:tcPr>
          <w:p w14:paraId="034E980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0.0122</w:t>
            </w:r>
          </w:p>
        </w:tc>
      </w:tr>
      <w:tr w14:paraId="6F0F499D">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23" w:hRule="atLeast"/>
          <w:jc w:val="center"/>
        </w:trPr>
        <w:tc>
          <w:tcPr>
            <w:tcW w:w="930" w:type="dxa"/>
            <w:vAlign w:val="center"/>
          </w:tcPr>
          <w:p w14:paraId="7250E6C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11000.0</w:t>
            </w:r>
          </w:p>
        </w:tc>
        <w:tc>
          <w:tcPr>
            <w:tcW w:w="1032" w:type="dxa"/>
            <w:vAlign w:val="center"/>
          </w:tcPr>
          <w:p w14:paraId="49D8802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0.0004</w:t>
            </w:r>
          </w:p>
        </w:tc>
        <w:tc>
          <w:tcPr>
            <w:tcW w:w="828" w:type="dxa"/>
            <w:vAlign w:val="center"/>
          </w:tcPr>
          <w:p w14:paraId="30BF3DF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0.0002</w:t>
            </w:r>
          </w:p>
        </w:tc>
        <w:tc>
          <w:tcPr>
            <w:tcW w:w="1032" w:type="dxa"/>
            <w:vAlign w:val="center"/>
          </w:tcPr>
          <w:p w14:paraId="06B51B4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0.0000</w:t>
            </w:r>
          </w:p>
        </w:tc>
        <w:tc>
          <w:tcPr>
            <w:tcW w:w="828" w:type="dxa"/>
            <w:vAlign w:val="center"/>
          </w:tcPr>
          <w:p w14:paraId="27B0BF1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0.0005</w:t>
            </w:r>
          </w:p>
        </w:tc>
        <w:tc>
          <w:tcPr>
            <w:tcW w:w="1032" w:type="dxa"/>
            <w:shd w:val="clear" w:color="auto" w:fill="auto"/>
            <w:vAlign w:val="center"/>
          </w:tcPr>
          <w:p w14:paraId="60550B1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0.0000</w:t>
            </w:r>
          </w:p>
        </w:tc>
        <w:tc>
          <w:tcPr>
            <w:tcW w:w="828" w:type="dxa"/>
            <w:shd w:val="clear" w:color="auto" w:fill="auto"/>
            <w:vAlign w:val="center"/>
          </w:tcPr>
          <w:p w14:paraId="0CE393E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0.0000</w:t>
            </w:r>
          </w:p>
        </w:tc>
        <w:tc>
          <w:tcPr>
            <w:tcW w:w="1032" w:type="dxa"/>
            <w:shd w:val="clear" w:color="auto" w:fill="auto"/>
            <w:vAlign w:val="center"/>
          </w:tcPr>
          <w:p w14:paraId="001D1A0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0.0000</w:t>
            </w:r>
          </w:p>
        </w:tc>
        <w:tc>
          <w:tcPr>
            <w:tcW w:w="828" w:type="dxa"/>
            <w:shd w:val="clear" w:color="auto" w:fill="auto"/>
            <w:vAlign w:val="center"/>
          </w:tcPr>
          <w:p w14:paraId="128D18F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0.0000</w:t>
            </w:r>
          </w:p>
        </w:tc>
        <w:tc>
          <w:tcPr>
            <w:tcW w:w="1032" w:type="dxa"/>
            <w:shd w:val="clear" w:color="auto" w:fill="auto"/>
            <w:vAlign w:val="center"/>
          </w:tcPr>
          <w:p w14:paraId="278E6FC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0.0001</w:t>
            </w:r>
          </w:p>
        </w:tc>
        <w:tc>
          <w:tcPr>
            <w:tcW w:w="828" w:type="dxa"/>
            <w:shd w:val="clear" w:color="auto" w:fill="auto"/>
            <w:vAlign w:val="center"/>
          </w:tcPr>
          <w:p w14:paraId="13E6A06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0.0000</w:t>
            </w:r>
          </w:p>
        </w:tc>
        <w:tc>
          <w:tcPr>
            <w:tcW w:w="1032" w:type="dxa"/>
            <w:shd w:val="clear" w:color="auto" w:fill="auto"/>
            <w:vAlign w:val="center"/>
          </w:tcPr>
          <w:p w14:paraId="407C1F1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0.0004</w:t>
            </w:r>
          </w:p>
        </w:tc>
        <w:tc>
          <w:tcPr>
            <w:tcW w:w="828" w:type="dxa"/>
            <w:shd w:val="clear" w:color="auto" w:fill="auto"/>
            <w:vAlign w:val="center"/>
          </w:tcPr>
          <w:p w14:paraId="7CA6709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0.0041</w:t>
            </w:r>
          </w:p>
        </w:tc>
        <w:tc>
          <w:tcPr>
            <w:tcW w:w="1033" w:type="dxa"/>
            <w:shd w:val="clear" w:color="auto" w:fill="auto"/>
            <w:vAlign w:val="center"/>
          </w:tcPr>
          <w:p w14:paraId="15FC6A7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0.0997</w:t>
            </w:r>
          </w:p>
        </w:tc>
        <w:tc>
          <w:tcPr>
            <w:tcW w:w="829" w:type="dxa"/>
            <w:shd w:val="clear" w:color="auto" w:fill="auto"/>
            <w:vAlign w:val="center"/>
          </w:tcPr>
          <w:p w14:paraId="7962DBF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0.0111</w:t>
            </w:r>
          </w:p>
        </w:tc>
      </w:tr>
      <w:tr w14:paraId="12B2A26A">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23" w:hRule="atLeast"/>
          <w:jc w:val="center"/>
        </w:trPr>
        <w:tc>
          <w:tcPr>
            <w:tcW w:w="930" w:type="dxa"/>
            <w:vAlign w:val="center"/>
          </w:tcPr>
          <w:p w14:paraId="298F832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12000.0</w:t>
            </w:r>
          </w:p>
        </w:tc>
        <w:tc>
          <w:tcPr>
            <w:tcW w:w="1032" w:type="dxa"/>
            <w:vAlign w:val="center"/>
          </w:tcPr>
          <w:p w14:paraId="7A62EAA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0.0003</w:t>
            </w:r>
          </w:p>
        </w:tc>
        <w:tc>
          <w:tcPr>
            <w:tcW w:w="828" w:type="dxa"/>
            <w:vAlign w:val="center"/>
          </w:tcPr>
          <w:p w14:paraId="3FF3CD8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0.0002</w:t>
            </w:r>
          </w:p>
        </w:tc>
        <w:tc>
          <w:tcPr>
            <w:tcW w:w="1032" w:type="dxa"/>
            <w:vAlign w:val="center"/>
          </w:tcPr>
          <w:p w14:paraId="303B99D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0.0000</w:t>
            </w:r>
          </w:p>
        </w:tc>
        <w:tc>
          <w:tcPr>
            <w:tcW w:w="828" w:type="dxa"/>
            <w:vAlign w:val="center"/>
          </w:tcPr>
          <w:p w14:paraId="25265F2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0.0005</w:t>
            </w:r>
          </w:p>
        </w:tc>
        <w:tc>
          <w:tcPr>
            <w:tcW w:w="1032" w:type="dxa"/>
            <w:shd w:val="clear" w:color="auto" w:fill="auto"/>
            <w:vAlign w:val="center"/>
          </w:tcPr>
          <w:p w14:paraId="004DDFE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0.0000</w:t>
            </w:r>
          </w:p>
        </w:tc>
        <w:tc>
          <w:tcPr>
            <w:tcW w:w="828" w:type="dxa"/>
            <w:shd w:val="clear" w:color="auto" w:fill="auto"/>
            <w:vAlign w:val="center"/>
          </w:tcPr>
          <w:p w14:paraId="355F3DC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0.0000</w:t>
            </w:r>
          </w:p>
        </w:tc>
        <w:tc>
          <w:tcPr>
            <w:tcW w:w="1032" w:type="dxa"/>
            <w:shd w:val="clear" w:color="auto" w:fill="auto"/>
            <w:vAlign w:val="center"/>
          </w:tcPr>
          <w:p w14:paraId="7127319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0.0000</w:t>
            </w:r>
          </w:p>
        </w:tc>
        <w:tc>
          <w:tcPr>
            <w:tcW w:w="828" w:type="dxa"/>
            <w:shd w:val="clear" w:color="auto" w:fill="auto"/>
            <w:vAlign w:val="center"/>
          </w:tcPr>
          <w:p w14:paraId="22CD956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0.0000</w:t>
            </w:r>
          </w:p>
        </w:tc>
        <w:tc>
          <w:tcPr>
            <w:tcW w:w="1032" w:type="dxa"/>
            <w:shd w:val="clear" w:color="auto" w:fill="auto"/>
            <w:vAlign w:val="center"/>
          </w:tcPr>
          <w:p w14:paraId="4B7E55D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0.0001</w:t>
            </w:r>
          </w:p>
        </w:tc>
        <w:tc>
          <w:tcPr>
            <w:tcW w:w="828" w:type="dxa"/>
            <w:shd w:val="clear" w:color="auto" w:fill="auto"/>
            <w:vAlign w:val="center"/>
          </w:tcPr>
          <w:p w14:paraId="311D0DA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0.0000</w:t>
            </w:r>
          </w:p>
        </w:tc>
        <w:tc>
          <w:tcPr>
            <w:tcW w:w="1032" w:type="dxa"/>
            <w:shd w:val="clear" w:color="auto" w:fill="auto"/>
            <w:vAlign w:val="center"/>
          </w:tcPr>
          <w:p w14:paraId="2DDEE2A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0.0004</w:t>
            </w:r>
          </w:p>
        </w:tc>
        <w:tc>
          <w:tcPr>
            <w:tcW w:w="828" w:type="dxa"/>
            <w:shd w:val="clear" w:color="auto" w:fill="auto"/>
            <w:vAlign w:val="center"/>
          </w:tcPr>
          <w:p w14:paraId="5424752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0.0037</w:t>
            </w:r>
          </w:p>
        </w:tc>
        <w:tc>
          <w:tcPr>
            <w:tcW w:w="1033" w:type="dxa"/>
            <w:shd w:val="clear" w:color="auto" w:fill="auto"/>
            <w:vAlign w:val="center"/>
          </w:tcPr>
          <w:p w14:paraId="1FD3E7D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0.0909</w:t>
            </w:r>
          </w:p>
        </w:tc>
        <w:tc>
          <w:tcPr>
            <w:tcW w:w="829" w:type="dxa"/>
            <w:shd w:val="clear" w:color="auto" w:fill="auto"/>
            <w:vAlign w:val="center"/>
          </w:tcPr>
          <w:p w14:paraId="54BCFE7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0.0101</w:t>
            </w:r>
          </w:p>
        </w:tc>
      </w:tr>
      <w:tr w14:paraId="7888A8F9">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23" w:hRule="atLeast"/>
          <w:jc w:val="center"/>
        </w:trPr>
        <w:tc>
          <w:tcPr>
            <w:tcW w:w="930" w:type="dxa"/>
            <w:vAlign w:val="center"/>
          </w:tcPr>
          <w:p w14:paraId="482CF02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13000.0</w:t>
            </w:r>
          </w:p>
        </w:tc>
        <w:tc>
          <w:tcPr>
            <w:tcW w:w="1032" w:type="dxa"/>
            <w:vAlign w:val="center"/>
          </w:tcPr>
          <w:p w14:paraId="5359A1C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0.0003</w:t>
            </w:r>
          </w:p>
        </w:tc>
        <w:tc>
          <w:tcPr>
            <w:tcW w:w="828" w:type="dxa"/>
            <w:vAlign w:val="center"/>
          </w:tcPr>
          <w:p w14:paraId="2FE9424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0.0002</w:t>
            </w:r>
          </w:p>
        </w:tc>
        <w:tc>
          <w:tcPr>
            <w:tcW w:w="1032" w:type="dxa"/>
            <w:vAlign w:val="center"/>
          </w:tcPr>
          <w:p w14:paraId="59842A4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0.0000</w:t>
            </w:r>
          </w:p>
        </w:tc>
        <w:tc>
          <w:tcPr>
            <w:tcW w:w="828" w:type="dxa"/>
            <w:vAlign w:val="center"/>
          </w:tcPr>
          <w:p w14:paraId="2FCC5C8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0.0004</w:t>
            </w:r>
          </w:p>
        </w:tc>
        <w:tc>
          <w:tcPr>
            <w:tcW w:w="1032" w:type="dxa"/>
            <w:shd w:val="clear" w:color="auto" w:fill="auto"/>
            <w:vAlign w:val="center"/>
          </w:tcPr>
          <w:p w14:paraId="4192768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0.0000</w:t>
            </w:r>
          </w:p>
        </w:tc>
        <w:tc>
          <w:tcPr>
            <w:tcW w:w="828" w:type="dxa"/>
            <w:shd w:val="clear" w:color="auto" w:fill="auto"/>
            <w:vAlign w:val="center"/>
          </w:tcPr>
          <w:p w14:paraId="6C91EA8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0.0000</w:t>
            </w:r>
          </w:p>
        </w:tc>
        <w:tc>
          <w:tcPr>
            <w:tcW w:w="1032" w:type="dxa"/>
            <w:shd w:val="clear" w:color="auto" w:fill="auto"/>
            <w:vAlign w:val="center"/>
          </w:tcPr>
          <w:p w14:paraId="18118A6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0.0000</w:t>
            </w:r>
          </w:p>
        </w:tc>
        <w:tc>
          <w:tcPr>
            <w:tcW w:w="828" w:type="dxa"/>
            <w:shd w:val="clear" w:color="auto" w:fill="auto"/>
            <w:vAlign w:val="center"/>
          </w:tcPr>
          <w:p w14:paraId="5DF9CD9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0.0000</w:t>
            </w:r>
          </w:p>
        </w:tc>
        <w:tc>
          <w:tcPr>
            <w:tcW w:w="1032" w:type="dxa"/>
            <w:shd w:val="clear" w:color="auto" w:fill="auto"/>
            <w:vAlign w:val="center"/>
          </w:tcPr>
          <w:p w14:paraId="79D3F2E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0.0001</w:t>
            </w:r>
          </w:p>
        </w:tc>
        <w:tc>
          <w:tcPr>
            <w:tcW w:w="828" w:type="dxa"/>
            <w:shd w:val="clear" w:color="auto" w:fill="auto"/>
            <w:vAlign w:val="center"/>
          </w:tcPr>
          <w:p w14:paraId="297B391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0.0000</w:t>
            </w:r>
          </w:p>
        </w:tc>
        <w:tc>
          <w:tcPr>
            <w:tcW w:w="1032" w:type="dxa"/>
            <w:shd w:val="clear" w:color="auto" w:fill="auto"/>
            <w:vAlign w:val="center"/>
          </w:tcPr>
          <w:p w14:paraId="102287A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0.0003</w:t>
            </w:r>
          </w:p>
        </w:tc>
        <w:tc>
          <w:tcPr>
            <w:tcW w:w="828" w:type="dxa"/>
            <w:shd w:val="clear" w:color="auto" w:fill="auto"/>
            <w:vAlign w:val="center"/>
          </w:tcPr>
          <w:p w14:paraId="5E1A488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0.0034</w:t>
            </w:r>
          </w:p>
        </w:tc>
        <w:tc>
          <w:tcPr>
            <w:tcW w:w="1033" w:type="dxa"/>
            <w:shd w:val="clear" w:color="auto" w:fill="auto"/>
            <w:vAlign w:val="center"/>
          </w:tcPr>
          <w:p w14:paraId="71AC025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0.0836</w:t>
            </w:r>
          </w:p>
        </w:tc>
        <w:tc>
          <w:tcPr>
            <w:tcW w:w="829" w:type="dxa"/>
            <w:shd w:val="clear" w:color="auto" w:fill="auto"/>
            <w:vAlign w:val="center"/>
          </w:tcPr>
          <w:p w14:paraId="449F13B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0.0093</w:t>
            </w:r>
          </w:p>
        </w:tc>
      </w:tr>
      <w:tr w14:paraId="20E83648">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23" w:hRule="atLeast"/>
          <w:jc w:val="center"/>
        </w:trPr>
        <w:tc>
          <w:tcPr>
            <w:tcW w:w="930" w:type="dxa"/>
            <w:vAlign w:val="center"/>
          </w:tcPr>
          <w:p w14:paraId="6A1BE9D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14000.0</w:t>
            </w:r>
          </w:p>
        </w:tc>
        <w:tc>
          <w:tcPr>
            <w:tcW w:w="1032" w:type="dxa"/>
            <w:vAlign w:val="center"/>
          </w:tcPr>
          <w:p w14:paraId="6C326CA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0.0003</w:t>
            </w:r>
          </w:p>
        </w:tc>
        <w:tc>
          <w:tcPr>
            <w:tcW w:w="828" w:type="dxa"/>
            <w:vAlign w:val="center"/>
          </w:tcPr>
          <w:p w14:paraId="23B8BAF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0.0001</w:t>
            </w:r>
          </w:p>
        </w:tc>
        <w:tc>
          <w:tcPr>
            <w:tcW w:w="1032" w:type="dxa"/>
            <w:vAlign w:val="center"/>
          </w:tcPr>
          <w:p w14:paraId="04A1AB5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0.0000</w:t>
            </w:r>
          </w:p>
        </w:tc>
        <w:tc>
          <w:tcPr>
            <w:tcW w:w="828" w:type="dxa"/>
            <w:vAlign w:val="center"/>
          </w:tcPr>
          <w:p w14:paraId="4F8B6A7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0.0004</w:t>
            </w:r>
          </w:p>
        </w:tc>
        <w:tc>
          <w:tcPr>
            <w:tcW w:w="1032" w:type="dxa"/>
            <w:shd w:val="clear" w:color="auto" w:fill="auto"/>
            <w:vAlign w:val="center"/>
          </w:tcPr>
          <w:p w14:paraId="11D7922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0.0000</w:t>
            </w:r>
          </w:p>
        </w:tc>
        <w:tc>
          <w:tcPr>
            <w:tcW w:w="828" w:type="dxa"/>
            <w:shd w:val="clear" w:color="auto" w:fill="auto"/>
            <w:vAlign w:val="center"/>
          </w:tcPr>
          <w:p w14:paraId="4E80073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0.0000</w:t>
            </w:r>
          </w:p>
        </w:tc>
        <w:tc>
          <w:tcPr>
            <w:tcW w:w="1032" w:type="dxa"/>
            <w:shd w:val="clear" w:color="auto" w:fill="auto"/>
            <w:vAlign w:val="center"/>
          </w:tcPr>
          <w:p w14:paraId="0F7315B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0.0000</w:t>
            </w:r>
          </w:p>
        </w:tc>
        <w:tc>
          <w:tcPr>
            <w:tcW w:w="828" w:type="dxa"/>
            <w:shd w:val="clear" w:color="auto" w:fill="auto"/>
            <w:vAlign w:val="center"/>
          </w:tcPr>
          <w:p w14:paraId="71AB466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0.0000</w:t>
            </w:r>
          </w:p>
        </w:tc>
        <w:tc>
          <w:tcPr>
            <w:tcW w:w="1032" w:type="dxa"/>
            <w:shd w:val="clear" w:color="auto" w:fill="auto"/>
            <w:vAlign w:val="center"/>
          </w:tcPr>
          <w:p w14:paraId="0AF9002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0.0001</w:t>
            </w:r>
          </w:p>
        </w:tc>
        <w:tc>
          <w:tcPr>
            <w:tcW w:w="828" w:type="dxa"/>
            <w:shd w:val="clear" w:color="auto" w:fill="auto"/>
            <w:vAlign w:val="center"/>
          </w:tcPr>
          <w:p w14:paraId="6469D3E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0.0000</w:t>
            </w:r>
          </w:p>
        </w:tc>
        <w:tc>
          <w:tcPr>
            <w:tcW w:w="1032" w:type="dxa"/>
            <w:shd w:val="clear" w:color="auto" w:fill="auto"/>
            <w:vAlign w:val="center"/>
          </w:tcPr>
          <w:p w14:paraId="7C41329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0.0003</w:t>
            </w:r>
          </w:p>
        </w:tc>
        <w:tc>
          <w:tcPr>
            <w:tcW w:w="828" w:type="dxa"/>
            <w:shd w:val="clear" w:color="auto" w:fill="auto"/>
            <w:vAlign w:val="center"/>
          </w:tcPr>
          <w:p w14:paraId="6E9CE8C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0.0031</w:t>
            </w:r>
          </w:p>
        </w:tc>
        <w:tc>
          <w:tcPr>
            <w:tcW w:w="1033" w:type="dxa"/>
            <w:shd w:val="clear" w:color="auto" w:fill="auto"/>
            <w:vAlign w:val="center"/>
          </w:tcPr>
          <w:p w14:paraId="0A8220B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0.0775</w:t>
            </w:r>
          </w:p>
        </w:tc>
        <w:tc>
          <w:tcPr>
            <w:tcW w:w="829" w:type="dxa"/>
            <w:shd w:val="clear" w:color="auto" w:fill="auto"/>
            <w:vAlign w:val="center"/>
          </w:tcPr>
          <w:p w14:paraId="239804B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0.0086</w:t>
            </w:r>
          </w:p>
        </w:tc>
      </w:tr>
      <w:tr w14:paraId="57ABC0C2">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23" w:hRule="atLeast"/>
          <w:jc w:val="center"/>
        </w:trPr>
        <w:tc>
          <w:tcPr>
            <w:tcW w:w="930" w:type="dxa"/>
            <w:vAlign w:val="center"/>
          </w:tcPr>
          <w:p w14:paraId="199C779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15000.0</w:t>
            </w:r>
          </w:p>
        </w:tc>
        <w:tc>
          <w:tcPr>
            <w:tcW w:w="1032" w:type="dxa"/>
            <w:vAlign w:val="center"/>
          </w:tcPr>
          <w:p w14:paraId="7C9B5BA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0.0003</w:t>
            </w:r>
          </w:p>
        </w:tc>
        <w:tc>
          <w:tcPr>
            <w:tcW w:w="828" w:type="dxa"/>
            <w:vAlign w:val="center"/>
          </w:tcPr>
          <w:p w14:paraId="2B26F97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0.0001</w:t>
            </w:r>
          </w:p>
        </w:tc>
        <w:tc>
          <w:tcPr>
            <w:tcW w:w="1032" w:type="dxa"/>
            <w:vAlign w:val="center"/>
          </w:tcPr>
          <w:p w14:paraId="3861422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0.0000</w:t>
            </w:r>
          </w:p>
        </w:tc>
        <w:tc>
          <w:tcPr>
            <w:tcW w:w="828" w:type="dxa"/>
            <w:vAlign w:val="center"/>
          </w:tcPr>
          <w:p w14:paraId="480569B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0.0004</w:t>
            </w:r>
          </w:p>
        </w:tc>
        <w:tc>
          <w:tcPr>
            <w:tcW w:w="1032" w:type="dxa"/>
            <w:shd w:val="clear" w:color="auto" w:fill="auto"/>
            <w:vAlign w:val="center"/>
          </w:tcPr>
          <w:p w14:paraId="68948C7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0.0000</w:t>
            </w:r>
          </w:p>
        </w:tc>
        <w:tc>
          <w:tcPr>
            <w:tcW w:w="828" w:type="dxa"/>
            <w:shd w:val="clear" w:color="auto" w:fill="auto"/>
            <w:vAlign w:val="center"/>
          </w:tcPr>
          <w:p w14:paraId="20DA2E0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0.0000</w:t>
            </w:r>
          </w:p>
        </w:tc>
        <w:tc>
          <w:tcPr>
            <w:tcW w:w="1032" w:type="dxa"/>
            <w:shd w:val="clear" w:color="auto" w:fill="auto"/>
            <w:vAlign w:val="center"/>
          </w:tcPr>
          <w:p w14:paraId="2BA190A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0.0000</w:t>
            </w:r>
          </w:p>
        </w:tc>
        <w:tc>
          <w:tcPr>
            <w:tcW w:w="828" w:type="dxa"/>
            <w:shd w:val="clear" w:color="auto" w:fill="auto"/>
            <w:vAlign w:val="center"/>
          </w:tcPr>
          <w:p w14:paraId="0CA7CF5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0.0000</w:t>
            </w:r>
          </w:p>
        </w:tc>
        <w:tc>
          <w:tcPr>
            <w:tcW w:w="1032" w:type="dxa"/>
            <w:shd w:val="clear" w:color="auto" w:fill="auto"/>
            <w:vAlign w:val="center"/>
          </w:tcPr>
          <w:p w14:paraId="5F3AD9D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0.0001</w:t>
            </w:r>
          </w:p>
        </w:tc>
        <w:tc>
          <w:tcPr>
            <w:tcW w:w="828" w:type="dxa"/>
            <w:shd w:val="clear" w:color="auto" w:fill="auto"/>
            <w:vAlign w:val="center"/>
          </w:tcPr>
          <w:p w14:paraId="0718776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0.0000</w:t>
            </w:r>
          </w:p>
        </w:tc>
        <w:tc>
          <w:tcPr>
            <w:tcW w:w="1032" w:type="dxa"/>
            <w:shd w:val="clear" w:color="auto" w:fill="auto"/>
            <w:vAlign w:val="center"/>
          </w:tcPr>
          <w:p w14:paraId="077F01F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0.0003</w:t>
            </w:r>
          </w:p>
        </w:tc>
        <w:tc>
          <w:tcPr>
            <w:tcW w:w="828" w:type="dxa"/>
            <w:shd w:val="clear" w:color="auto" w:fill="auto"/>
            <w:vAlign w:val="center"/>
          </w:tcPr>
          <w:p w14:paraId="1A2E335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0.0028</w:t>
            </w:r>
          </w:p>
        </w:tc>
        <w:tc>
          <w:tcPr>
            <w:tcW w:w="1033" w:type="dxa"/>
            <w:shd w:val="clear" w:color="auto" w:fill="auto"/>
            <w:vAlign w:val="center"/>
          </w:tcPr>
          <w:p w14:paraId="00B5EF6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0.0722</w:t>
            </w:r>
          </w:p>
        </w:tc>
        <w:tc>
          <w:tcPr>
            <w:tcW w:w="829" w:type="dxa"/>
            <w:shd w:val="clear" w:color="auto" w:fill="auto"/>
            <w:vAlign w:val="center"/>
          </w:tcPr>
          <w:p w14:paraId="15B90C6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0.0080</w:t>
            </w:r>
          </w:p>
        </w:tc>
      </w:tr>
      <w:tr w14:paraId="170057B0">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23" w:hRule="atLeast"/>
          <w:jc w:val="center"/>
        </w:trPr>
        <w:tc>
          <w:tcPr>
            <w:tcW w:w="930" w:type="dxa"/>
            <w:vAlign w:val="center"/>
          </w:tcPr>
          <w:p w14:paraId="461990E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20000.0</w:t>
            </w:r>
          </w:p>
        </w:tc>
        <w:tc>
          <w:tcPr>
            <w:tcW w:w="1032" w:type="dxa"/>
            <w:vAlign w:val="center"/>
          </w:tcPr>
          <w:p w14:paraId="04CA9E9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0.0002</w:t>
            </w:r>
          </w:p>
        </w:tc>
        <w:tc>
          <w:tcPr>
            <w:tcW w:w="828" w:type="dxa"/>
            <w:vAlign w:val="center"/>
          </w:tcPr>
          <w:p w14:paraId="2654F42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0.0001</w:t>
            </w:r>
          </w:p>
        </w:tc>
        <w:tc>
          <w:tcPr>
            <w:tcW w:w="1032" w:type="dxa"/>
            <w:vAlign w:val="center"/>
          </w:tcPr>
          <w:p w14:paraId="729E537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0.0000</w:t>
            </w:r>
          </w:p>
        </w:tc>
        <w:tc>
          <w:tcPr>
            <w:tcW w:w="828" w:type="dxa"/>
            <w:vAlign w:val="center"/>
          </w:tcPr>
          <w:p w14:paraId="398529C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0.0003</w:t>
            </w:r>
          </w:p>
        </w:tc>
        <w:tc>
          <w:tcPr>
            <w:tcW w:w="1032" w:type="dxa"/>
            <w:shd w:val="clear" w:color="auto" w:fill="auto"/>
            <w:vAlign w:val="center"/>
          </w:tcPr>
          <w:p w14:paraId="30F7DF0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0.0000</w:t>
            </w:r>
          </w:p>
        </w:tc>
        <w:tc>
          <w:tcPr>
            <w:tcW w:w="828" w:type="dxa"/>
            <w:shd w:val="clear" w:color="auto" w:fill="auto"/>
            <w:vAlign w:val="center"/>
          </w:tcPr>
          <w:p w14:paraId="4F0A815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0.0000</w:t>
            </w:r>
          </w:p>
        </w:tc>
        <w:tc>
          <w:tcPr>
            <w:tcW w:w="1032" w:type="dxa"/>
            <w:shd w:val="clear" w:color="auto" w:fill="auto"/>
            <w:vAlign w:val="center"/>
          </w:tcPr>
          <w:p w14:paraId="656AF53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0.0000</w:t>
            </w:r>
          </w:p>
        </w:tc>
        <w:tc>
          <w:tcPr>
            <w:tcW w:w="828" w:type="dxa"/>
            <w:shd w:val="clear" w:color="auto" w:fill="auto"/>
            <w:vAlign w:val="center"/>
          </w:tcPr>
          <w:p w14:paraId="5F9B0E4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0.0000</w:t>
            </w:r>
          </w:p>
        </w:tc>
        <w:tc>
          <w:tcPr>
            <w:tcW w:w="1032" w:type="dxa"/>
            <w:shd w:val="clear" w:color="auto" w:fill="auto"/>
            <w:vAlign w:val="center"/>
          </w:tcPr>
          <w:p w14:paraId="344E4EB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0.0000</w:t>
            </w:r>
          </w:p>
        </w:tc>
        <w:tc>
          <w:tcPr>
            <w:tcW w:w="828" w:type="dxa"/>
            <w:shd w:val="clear" w:color="auto" w:fill="auto"/>
            <w:vAlign w:val="center"/>
          </w:tcPr>
          <w:p w14:paraId="232DFB3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0.0000</w:t>
            </w:r>
          </w:p>
        </w:tc>
        <w:tc>
          <w:tcPr>
            <w:tcW w:w="1032" w:type="dxa"/>
            <w:shd w:val="clear" w:color="auto" w:fill="auto"/>
            <w:vAlign w:val="center"/>
          </w:tcPr>
          <w:p w14:paraId="1FE7C40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0.0002</w:t>
            </w:r>
          </w:p>
        </w:tc>
        <w:tc>
          <w:tcPr>
            <w:tcW w:w="828" w:type="dxa"/>
            <w:shd w:val="clear" w:color="auto" w:fill="auto"/>
            <w:vAlign w:val="center"/>
          </w:tcPr>
          <w:p w14:paraId="2927AAB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0.0020</w:t>
            </w:r>
          </w:p>
        </w:tc>
        <w:tc>
          <w:tcPr>
            <w:tcW w:w="1033" w:type="dxa"/>
            <w:shd w:val="clear" w:color="auto" w:fill="auto"/>
            <w:vAlign w:val="center"/>
          </w:tcPr>
          <w:p w14:paraId="6487662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0.0532</w:t>
            </w:r>
          </w:p>
        </w:tc>
        <w:tc>
          <w:tcPr>
            <w:tcW w:w="829" w:type="dxa"/>
            <w:shd w:val="clear" w:color="auto" w:fill="auto"/>
            <w:vAlign w:val="center"/>
          </w:tcPr>
          <w:p w14:paraId="514FED3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0.0059</w:t>
            </w:r>
          </w:p>
        </w:tc>
      </w:tr>
      <w:tr w14:paraId="7D54A267">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23" w:hRule="atLeast"/>
          <w:jc w:val="center"/>
        </w:trPr>
        <w:tc>
          <w:tcPr>
            <w:tcW w:w="930" w:type="dxa"/>
            <w:vAlign w:val="center"/>
          </w:tcPr>
          <w:p w14:paraId="54C9EEA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25000.0</w:t>
            </w:r>
          </w:p>
        </w:tc>
        <w:tc>
          <w:tcPr>
            <w:tcW w:w="1032" w:type="dxa"/>
            <w:vAlign w:val="center"/>
          </w:tcPr>
          <w:p w14:paraId="29C2126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0.0002</w:t>
            </w:r>
          </w:p>
        </w:tc>
        <w:tc>
          <w:tcPr>
            <w:tcW w:w="828" w:type="dxa"/>
            <w:vAlign w:val="center"/>
          </w:tcPr>
          <w:p w14:paraId="4EC6FCA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0.0001</w:t>
            </w:r>
          </w:p>
        </w:tc>
        <w:tc>
          <w:tcPr>
            <w:tcW w:w="1032" w:type="dxa"/>
            <w:vAlign w:val="center"/>
          </w:tcPr>
          <w:p w14:paraId="5BF3F7C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0.0000</w:t>
            </w:r>
          </w:p>
        </w:tc>
        <w:tc>
          <w:tcPr>
            <w:tcW w:w="828" w:type="dxa"/>
            <w:vAlign w:val="center"/>
          </w:tcPr>
          <w:p w14:paraId="00133F3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18"/>
                <w:szCs w:val="18"/>
              </w:rPr>
            </w:pPr>
            <w:r>
              <w:rPr>
                <w:rFonts w:hint="default" w:ascii="Times New Roman" w:hAnsi="Times New Roman" w:eastAsia="宋体" w:cs="Times New Roman"/>
                <w:b w:val="0"/>
                <w:color w:val="0000FF"/>
                <w:sz w:val="18"/>
                <w:szCs w:val="18"/>
              </w:rPr>
              <w:t>0.0002</w:t>
            </w:r>
          </w:p>
        </w:tc>
        <w:tc>
          <w:tcPr>
            <w:tcW w:w="1032" w:type="dxa"/>
            <w:shd w:val="clear" w:color="auto" w:fill="auto"/>
            <w:vAlign w:val="center"/>
          </w:tcPr>
          <w:p w14:paraId="2438740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0.0000</w:t>
            </w:r>
          </w:p>
        </w:tc>
        <w:tc>
          <w:tcPr>
            <w:tcW w:w="828" w:type="dxa"/>
            <w:shd w:val="clear" w:color="auto" w:fill="auto"/>
            <w:vAlign w:val="center"/>
          </w:tcPr>
          <w:p w14:paraId="01485AA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0.0000</w:t>
            </w:r>
          </w:p>
        </w:tc>
        <w:tc>
          <w:tcPr>
            <w:tcW w:w="1032" w:type="dxa"/>
            <w:shd w:val="clear" w:color="auto" w:fill="auto"/>
            <w:vAlign w:val="center"/>
          </w:tcPr>
          <w:p w14:paraId="798612F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0.0000</w:t>
            </w:r>
          </w:p>
        </w:tc>
        <w:tc>
          <w:tcPr>
            <w:tcW w:w="828" w:type="dxa"/>
            <w:shd w:val="clear" w:color="auto" w:fill="auto"/>
            <w:vAlign w:val="center"/>
          </w:tcPr>
          <w:p w14:paraId="459C8D0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0.0000</w:t>
            </w:r>
          </w:p>
        </w:tc>
        <w:tc>
          <w:tcPr>
            <w:tcW w:w="1032" w:type="dxa"/>
            <w:shd w:val="clear" w:color="auto" w:fill="auto"/>
            <w:vAlign w:val="center"/>
          </w:tcPr>
          <w:p w14:paraId="5971781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0.0000</w:t>
            </w:r>
          </w:p>
        </w:tc>
        <w:tc>
          <w:tcPr>
            <w:tcW w:w="828" w:type="dxa"/>
            <w:shd w:val="clear" w:color="auto" w:fill="auto"/>
            <w:vAlign w:val="center"/>
          </w:tcPr>
          <w:p w14:paraId="3CA9C87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0.0000</w:t>
            </w:r>
          </w:p>
        </w:tc>
        <w:tc>
          <w:tcPr>
            <w:tcW w:w="1032" w:type="dxa"/>
            <w:shd w:val="clear" w:color="auto" w:fill="auto"/>
            <w:vAlign w:val="center"/>
          </w:tcPr>
          <w:p w14:paraId="4E16ADD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0.0002</w:t>
            </w:r>
          </w:p>
        </w:tc>
        <w:tc>
          <w:tcPr>
            <w:tcW w:w="828" w:type="dxa"/>
            <w:shd w:val="clear" w:color="auto" w:fill="auto"/>
            <w:vAlign w:val="center"/>
          </w:tcPr>
          <w:p w14:paraId="21A27EC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0.0015</w:t>
            </w:r>
          </w:p>
        </w:tc>
        <w:tc>
          <w:tcPr>
            <w:tcW w:w="1033" w:type="dxa"/>
            <w:shd w:val="clear" w:color="auto" w:fill="auto"/>
            <w:vAlign w:val="center"/>
          </w:tcPr>
          <w:p w14:paraId="7A8F6C5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0.0417</w:t>
            </w:r>
          </w:p>
        </w:tc>
        <w:tc>
          <w:tcPr>
            <w:tcW w:w="829" w:type="dxa"/>
            <w:shd w:val="clear" w:color="auto" w:fill="auto"/>
            <w:vAlign w:val="center"/>
          </w:tcPr>
          <w:p w14:paraId="07413DB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18"/>
                <w:szCs w:val="18"/>
                <w:lang w:val="en-US" w:eastAsia="zh-CN" w:bidi="ar-SA"/>
              </w:rPr>
            </w:pPr>
            <w:r>
              <w:rPr>
                <w:rFonts w:hint="default" w:ascii="Times New Roman" w:hAnsi="Times New Roman" w:eastAsia="宋体" w:cs="Times New Roman"/>
                <w:b w:val="0"/>
                <w:color w:val="0000FF"/>
                <w:sz w:val="18"/>
                <w:szCs w:val="18"/>
              </w:rPr>
              <w:t>0.0046</w:t>
            </w:r>
          </w:p>
        </w:tc>
      </w:tr>
      <w:tr w14:paraId="19ECD6E2">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23" w:hRule="atLeast"/>
          <w:jc w:val="center"/>
        </w:trPr>
        <w:tc>
          <w:tcPr>
            <w:tcW w:w="930" w:type="dxa"/>
            <w:vAlign w:val="center"/>
          </w:tcPr>
          <w:p w14:paraId="66F590C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21"/>
                <w:szCs w:val="21"/>
              </w:rPr>
            </w:pPr>
            <w:r>
              <w:rPr>
                <w:rFonts w:hint="default" w:ascii="Times New Roman" w:hAnsi="Times New Roman" w:eastAsia="宋体" w:cs="Times New Roman"/>
                <w:b w:val="0"/>
                <w:color w:val="0000FF"/>
                <w:sz w:val="21"/>
                <w:szCs w:val="21"/>
              </w:rPr>
              <w:t>下风向最大浓度</w:t>
            </w:r>
          </w:p>
        </w:tc>
        <w:tc>
          <w:tcPr>
            <w:tcW w:w="1032" w:type="dxa"/>
            <w:vAlign w:val="center"/>
          </w:tcPr>
          <w:p w14:paraId="6EE4659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21"/>
                <w:szCs w:val="21"/>
              </w:rPr>
            </w:pPr>
            <w:r>
              <w:rPr>
                <w:rFonts w:hint="default" w:ascii="Times New Roman" w:hAnsi="Times New Roman" w:eastAsia="宋体" w:cs="Times New Roman"/>
                <w:b w:val="0"/>
                <w:color w:val="0000FF"/>
                <w:sz w:val="21"/>
                <w:szCs w:val="21"/>
              </w:rPr>
              <w:t>0.0051</w:t>
            </w:r>
          </w:p>
        </w:tc>
        <w:tc>
          <w:tcPr>
            <w:tcW w:w="828" w:type="dxa"/>
            <w:vAlign w:val="center"/>
          </w:tcPr>
          <w:p w14:paraId="0FDE984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21"/>
                <w:szCs w:val="21"/>
              </w:rPr>
            </w:pPr>
            <w:r>
              <w:rPr>
                <w:rFonts w:hint="default" w:ascii="Times New Roman" w:hAnsi="Times New Roman" w:eastAsia="宋体" w:cs="Times New Roman"/>
                <w:b w:val="0"/>
                <w:color w:val="0000FF"/>
                <w:sz w:val="21"/>
                <w:szCs w:val="21"/>
              </w:rPr>
              <w:t>0.0025</w:t>
            </w:r>
          </w:p>
        </w:tc>
        <w:tc>
          <w:tcPr>
            <w:tcW w:w="1032" w:type="dxa"/>
            <w:vAlign w:val="center"/>
          </w:tcPr>
          <w:p w14:paraId="581D821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21"/>
                <w:szCs w:val="21"/>
              </w:rPr>
            </w:pPr>
            <w:r>
              <w:rPr>
                <w:rFonts w:hint="default" w:ascii="Times New Roman" w:hAnsi="Times New Roman" w:eastAsia="宋体" w:cs="Times New Roman"/>
                <w:b w:val="0"/>
                <w:color w:val="0000FF"/>
                <w:sz w:val="21"/>
                <w:szCs w:val="21"/>
              </w:rPr>
              <w:t>0.0007</w:t>
            </w:r>
          </w:p>
        </w:tc>
        <w:tc>
          <w:tcPr>
            <w:tcW w:w="828" w:type="dxa"/>
            <w:vAlign w:val="center"/>
          </w:tcPr>
          <w:p w14:paraId="3E8971C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21"/>
                <w:szCs w:val="21"/>
              </w:rPr>
            </w:pPr>
            <w:r>
              <w:rPr>
                <w:rFonts w:hint="default" w:ascii="Times New Roman" w:hAnsi="Times New Roman" w:eastAsia="宋体" w:cs="Times New Roman"/>
                <w:b w:val="0"/>
                <w:color w:val="0000FF"/>
                <w:sz w:val="21"/>
                <w:szCs w:val="21"/>
              </w:rPr>
              <w:t>0.0067</w:t>
            </w:r>
          </w:p>
        </w:tc>
        <w:tc>
          <w:tcPr>
            <w:tcW w:w="1032" w:type="dxa"/>
            <w:shd w:val="clear" w:color="auto" w:fill="auto"/>
            <w:vAlign w:val="center"/>
          </w:tcPr>
          <w:p w14:paraId="1729C44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b w:val="0"/>
                <w:color w:val="0000FF"/>
                <w:sz w:val="21"/>
                <w:szCs w:val="21"/>
              </w:rPr>
              <w:t>0.0005</w:t>
            </w:r>
          </w:p>
        </w:tc>
        <w:tc>
          <w:tcPr>
            <w:tcW w:w="828" w:type="dxa"/>
            <w:shd w:val="clear" w:color="auto" w:fill="auto"/>
            <w:vAlign w:val="center"/>
          </w:tcPr>
          <w:p w14:paraId="4A8D9E0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b w:val="0"/>
                <w:color w:val="0000FF"/>
                <w:sz w:val="21"/>
                <w:szCs w:val="21"/>
              </w:rPr>
              <w:t>0.0003</w:t>
            </w:r>
          </w:p>
        </w:tc>
        <w:tc>
          <w:tcPr>
            <w:tcW w:w="1032" w:type="dxa"/>
            <w:shd w:val="clear" w:color="auto" w:fill="auto"/>
            <w:vAlign w:val="center"/>
          </w:tcPr>
          <w:p w14:paraId="656794E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b w:val="0"/>
                <w:color w:val="0000FF"/>
                <w:sz w:val="21"/>
                <w:szCs w:val="21"/>
              </w:rPr>
              <w:t>0.0002</w:t>
            </w:r>
          </w:p>
        </w:tc>
        <w:tc>
          <w:tcPr>
            <w:tcW w:w="828" w:type="dxa"/>
            <w:shd w:val="clear" w:color="auto" w:fill="auto"/>
            <w:vAlign w:val="center"/>
          </w:tcPr>
          <w:p w14:paraId="273E1B3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b w:val="0"/>
                <w:color w:val="0000FF"/>
                <w:sz w:val="21"/>
                <w:szCs w:val="21"/>
              </w:rPr>
              <w:t>0.0019</w:t>
            </w:r>
          </w:p>
        </w:tc>
        <w:tc>
          <w:tcPr>
            <w:tcW w:w="1032" w:type="dxa"/>
            <w:shd w:val="clear" w:color="auto" w:fill="auto"/>
            <w:vAlign w:val="center"/>
          </w:tcPr>
          <w:p w14:paraId="47DA864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b w:val="0"/>
                <w:color w:val="0000FF"/>
                <w:sz w:val="21"/>
                <w:szCs w:val="21"/>
              </w:rPr>
              <w:t>0.0026</w:t>
            </w:r>
          </w:p>
        </w:tc>
        <w:tc>
          <w:tcPr>
            <w:tcW w:w="828" w:type="dxa"/>
            <w:shd w:val="clear" w:color="auto" w:fill="auto"/>
            <w:vAlign w:val="center"/>
          </w:tcPr>
          <w:p w14:paraId="158EBF9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b w:val="0"/>
                <w:color w:val="0000FF"/>
                <w:sz w:val="21"/>
                <w:szCs w:val="21"/>
              </w:rPr>
              <w:t>0.0013</w:t>
            </w:r>
          </w:p>
        </w:tc>
        <w:tc>
          <w:tcPr>
            <w:tcW w:w="1032" w:type="dxa"/>
            <w:shd w:val="clear" w:color="auto" w:fill="auto"/>
            <w:vAlign w:val="center"/>
          </w:tcPr>
          <w:p w14:paraId="42811E8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b w:val="0"/>
                <w:color w:val="0000FF"/>
                <w:sz w:val="21"/>
                <w:szCs w:val="21"/>
              </w:rPr>
              <w:t>0.0107</w:t>
            </w:r>
          </w:p>
        </w:tc>
        <w:tc>
          <w:tcPr>
            <w:tcW w:w="828" w:type="dxa"/>
            <w:shd w:val="clear" w:color="auto" w:fill="auto"/>
            <w:vAlign w:val="center"/>
          </w:tcPr>
          <w:p w14:paraId="22ED312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b w:val="0"/>
                <w:color w:val="0000FF"/>
                <w:sz w:val="21"/>
                <w:szCs w:val="21"/>
              </w:rPr>
              <w:t>0.1066</w:t>
            </w:r>
          </w:p>
        </w:tc>
        <w:tc>
          <w:tcPr>
            <w:tcW w:w="1033" w:type="dxa"/>
            <w:shd w:val="clear" w:color="auto" w:fill="auto"/>
            <w:vAlign w:val="center"/>
          </w:tcPr>
          <w:p w14:paraId="2A5D628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b w:val="0"/>
                <w:color w:val="0000FF"/>
                <w:sz w:val="21"/>
                <w:szCs w:val="21"/>
              </w:rPr>
              <w:t>4.2419</w:t>
            </w:r>
          </w:p>
        </w:tc>
        <w:tc>
          <w:tcPr>
            <w:tcW w:w="829" w:type="dxa"/>
            <w:shd w:val="clear" w:color="auto" w:fill="auto"/>
            <w:vAlign w:val="center"/>
          </w:tcPr>
          <w:p w14:paraId="36D1BCD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b w:val="0"/>
                <w:color w:val="0000FF"/>
                <w:sz w:val="21"/>
                <w:szCs w:val="21"/>
              </w:rPr>
              <w:t>0.4713</w:t>
            </w:r>
          </w:p>
        </w:tc>
      </w:tr>
      <w:tr w14:paraId="45DE191D">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23" w:hRule="atLeast"/>
          <w:jc w:val="center"/>
        </w:trPr>
        <w:tc>
          <w:tcPr>
            <w:tcW w:w="930" w:type="dxa"/>
            <w:vAlign w:val="center"/>
          </w:tcPr>
          <w:p w14:paraId="5FE3486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21"/>
                <w:szCs w:val="21"/>
              </w:rPr>
            </w:pPr>
            <w:r>
              <w:rPr>
                <w:rFonts w:hint="default" w:ascii="Times New Roman" w:hAnsi="Times New Roman" w:eastAsia="宋体" w:cs="Times New Roman"/>
                <w:b w:val="0"/>
                <w:color w:val="0000FF"/>
                <w:sz w:val="21"/>
                <w:szCs w:val="21"/>
              </w:rPr>
              <w:t>下风向最大浓度出现距离</w:t>
            </w:r>
          </w:p>
        </w:tc>
        <w:tc>
          <w:tcPr>
            <w:tcW w:w="1032" w:type="dxa"/>
            <w:vAlign w:val="center"/>
          </w:tcPr>
          <w:p w14:paraId="62EC17E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21"/>
                <w:szCs w:val="21"/>
              </w:rPr>
            </w:pPr>
            <w:r>
              <w:rPr>
                <w:rFonts w:hint="default" w:ascii="Times New Roman" w:hAnsi="Times New Roman" w:eastAsia="宋体" w:cs="Times New Roman"/>
                <w:b w:val="0"/>
                <w:color w:val="0000FF"/>
                <w:sz w:val="21"/>
                <w:szCs w:val="21"/>
              </w:rPr>
              <w:t>227.0</w:t>
            </w:r>
          </w:p>
        </w:tc>
        <w:tc>
          <w:tcPr>
            <w:tcW w:w="828" w:type="dxa"/>
            <w:vAlign w:val="center"/>
          </w:tcPr>
          <w:p w14:paraId="2C08C94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21"/>
                <w:szCs w:val="21"/>
              </w:rPr>
            </w:pPr>
            <w:r>
              <w:rPr>
                <w:rFonts w:hint="default" w:ascii="Times New Roman" w:hAnsi="Times New Roman" w:eastAsia="宋体" w:cs="Times New Roman"/>
                <w:b w:val="0"/>
                <w:color w:val="0000FF"/>
                <w:sz w:val="21"/>
                <w:szCs w:val="21"/>
              </w:rPr>
              <w:t>227.0</w:t>
            </w:r>
          </w:p>
        </w:tc>
        <w:tc>
          <w:tcPr>
            <w:tcW w:w="1032" w:type="dxa"/>
            <w:vAlign w:val="center"/>
          </w:tcPr>
          <w:p w14:paraId="6EAEA13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21"/>
                <w:szCs w:val="21"/>
              </w:rPr>
            </w:pPr>
            <w:r>
              <w:rPr>
                <w:rFonts w:hint="default" w:ascii="Times New Roman" w:hAnsi="Times New Roman" w:eastAsia="宋体" w:cs="Times New Roman"/>
                <w:b w:val="0"/>
                <w:color w:val="0000FF"/>
                <w:sz w:val="21"/>
                <w:szCs w:val="21"/>
              </w:rPr>
              <w:t>227.0</w:t>
            </w:r>
          </w:p>
        </w:tc>
        <w:tc>
          <w:tcPr>
            <w:tcW w:w="828" w:type="dxa"/>
            <w:vAlign w:val="center"/>
          </w:tcPr>
          <w:p w14:paraId="04AA2CD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21"/>
                <w:szCs w:val="21"/>
              </w:rPr>
            </w:pPr>
            <w:r>
              <w:rPr>
                <w:rFonts w:hint="default" w:ascii="Times New Roman" w:hAnsi="Times New Roman" w:eastAsia="宋体" w:cs="Times New Roman"/>
                <w:b w:val="0"/>
                <w:color w:val="0000FF"/>
                <w:sz w:val="21"/>
                <w:szCs w:val="21"/>
              </w:rPr>
              <w:t>227.0</w:t>
            </w:r>
          </w:p>
        </w:tc>
        <w:tc>
          <w:tcPr>
            <w:tcW w:w="1032" w:type="dxa"/>
            <w:shd w:val="clear" w:color="auto" w:fill="auto"/>
            <w:vAlign w:val="center"/>
          </w:tcPr>
          <w:p w14:paraId="17B3646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b w:val="0"/>
                <w:color w:val="0000FF"/>
                <w:sz w:val="21"/>
                <w:szCs w:val="21"/>
              </w:rPr>
              <w:t>19.01</w:t>
            </w:r>
          </w:p>
        </w:tc>
        <w:tc>
          <w:tcPr>
            <w:tcW w:w="828" w:type="dxa"/>
            <w:shd w:val="clear" w:color="auto" w:fill="auto"/>
            <w:vAlign w:val="center"/>
          </w:tcPr>
          <w:p w14:paraId="097B121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b w:val="0"/>
                <w:color w:val="0000FF"/>
                <w:sz w:val="21"/>
                <w:szCs w:val="21"/>
              </w:rPr>
              <w:t>19.01</w:t>
            </w:r>
          </w:p>
        </w:tc>
        <w:tc>
          <w:tcPr>
            <w:tcW w:w="1032" w:type="dxa"/>
            <w:shd w:val="clear" w:color="auto" w:fill="auto"/>
            <w:vAlign w:val="center"/>
          </w:tcPr>
          <w:p w14:paraId="4A9CFCA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b w:val="0"/>
                <w:color w:val="0000FF"/>
                <w:sz w:val="21"/>
                <w:szCs w:val="21"/>
              </w:rPr>
              <w:t>19.01</w:t>
            </w:r>
          </w:p>
        </w:tc>
        <w:tc>
          <w:tcPr>
            <w:tcW w:w="828" w:type="dxa"/>
            <w:shd w:val="clear" w:color="auto" w:fill="auto"/>
            <w:vAlign w:val="center"/>
          </w:tcPr>
          <w:p w14:paraId="578E850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b w:val="0"/>
                <w:color w:val="0000FF"/>
                <w:sz w:val="21"/>
                <w:szCs w:val="21"/>
              </w:rPr>
              <w:t>19.01</w:t>
            </w:r>
          </w:p>
        </w:tc>
        <w:tc>
          <w:tcPr>
            <w:tcW w:w="1032" w:type="dxa"/>
            <w:shd w:val="clear" w:color="auto" w:fill="auto"/>
            <w:vAlign w:val="center"/>
          </w:tcPr>
          <w:p w14:paraId="4FEDDC6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b w:val="0"/>
                <w:color w:val="0000FF"/>
                <w:sz w:val="21"/>
                <w:szCs w:val="21"/>
              </w:rPr>
              <w:t>100.01</w:t>
            </w:r>
          </w:p>
        </w:tc>
        <w:tc>
          <w:tcPr>
            <w:tcW w:w="828" w:type="dxa"/>
            <w:shd w:val="clear" w:color="auto" w:fill="auto"/>
            <w:vAlign w:val="center"/>
          </w:tcPr>
          <w:p w14:paraId="56FEB85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b w:val="0"/>
                <w:color w:val="0000FF"/>
                <w:sz w:val="21"/>
                <w:szCs w:val="21"/>
              </w:rPr>
              <w:t>100.01</w:t>
            </w:r>
          </w:p>
        </w:tc>
        <w:tc>
          <w:tcPr>
            <w:tcW w:w="1032" w:type="dxa"/>
            <w:shd w:val="clear" w:color="auto" w:fill="auto"/>
            <w:vAlign w:val="center"/>
          </w:tcPr>
          <w:p w14:paraId="2FB8348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b w:val="0"/>
                <w:color w:val="0000FF"/>
                <w:sz w:val="21"/>
                <w:szCs w:val="21"/>
              </w:rPr>
              <w:t>100.01</w:t>
            </w:r>
          </w:p>
        </w:tc>
        <w:tc>
          <w:tcPr>
            <w:tcW w:w="828" w:type="dxa"/>
            <w:shd w:val="clear" w:color="auto" w:fill="auto"/>
            <w:vAlign w:val="center"/>
          </w:tcPr>
          <w:p w14:paraId="1002D77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b w:val="0"/>
                <w:color w:val="0000FF"/>
                <w:sz w:val="21"/>
                <w:szCs w:val="21"/>
              </w:rPr>
              <w:t>100.01</w:t>
            </w:r>
          </w:p>
        </w:tc>
        <w:tc>
          <w:tcPr>
            <w:tcW w:w="1033" w:type="dxa"/>
            <w:shd w:val="clear" w:color="auto" w:fill="auto"/>
            <w:vAlign w:val="center"/>
          </w:tcPr>
          <w:p w14:paraId="712ED3C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b w:val="0"/>
                <w:color w:val="0000FF"/>
                <w:sz w:val="21"/>
                <w:szCs w:val="21"/>
              </w:rPr>
              <w:t>36.0</w:t>
            </w:r>
          </w:p>
        </w:tc>
        <w:tc>
          <w:tcPr>
            <w:tcW w:w="829" w:type="dxa"/>
            <w:shd w:val="clear" w:color="auto" w:fill="auto"/>
            <w:vAlign w:val="center"/>
          </w:tcPr>
          <w:p w14:paraId="3E6500F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b w:val="0"/>
                <w:color w:val="0000FF"/>
                <w:sz w:val="21"/>
                <w:szCs w:val="21"/>
              </w:rPr>
              <w:t>36.0</w:t>
            </w:r>
          </w:p>
        </w:tc>
      </w:tr>
      <w:tr w14:paraId="0E0C8F7E">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23" w:hRule="atLeast"/>
          <w:jc w:val="center"/>
        </w:trPr>
        <w:tc>
          <w:tcPr>
            <w:tcW w:w="930" w:type="dxa"/>
            <w:vAlign w:val="center"/>
          </w:tcPr>
          <w:p w14:paraId="17A2A88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21"/>
                <w:szCs w:val="21"/>
              </w:rPr>
            </w:pPr>
            <w:r>
              <w:rPr>
                <w:rFonts w:hint="default" w:ascii="Times New Roman" w:hAnsi="Times New Roman" w:eastAsia="宋体" w:cs="Times New Roman"/>
                <w:b w:val="0"/>
                <w:color w:val="0000FF"/>
                <w:sz w:val="21"/>
                <w:szCs w:val="21"/>
              </w:rPr>
              <w:t>D10%最远距离</w:t>
            </w:r>
          </w:p>
        </w:tc>
        <w:tc>
          <w:tcPr>
            <w:tcW w:w="1032" w:type="dxa"/>
            <w:vAlign w:val="center"/>
          </w:tcPr>
          <w:p w14:paraId="103B421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21"/>
                <w:szCs w:val="21"/>
              </w:rPr>
            </w:pPr>
            <w:r>
              <w:rPr>
                <w:rFonts w:hint="default" w:ascii="Times New Roman" w:hAnsi="Times New Roman" w:eastAsia="宋体" w:cs="Times New Roman"/>
                <w:b w:val="0"/>
                <w:color w:val="0000FF"/>
                <w:sz w:val="21"/>
                <w:szCs w:val="21"/>
              </w:rPr>
              <w:t>/</w:t>
            </w:r>
          </w:p>
        </w:tc>
        <w:tc>
          <w:tcPr>
            <w:tcW w:w="828" w:type="dxa"/>
            <w:vAlign w:val="center"/>
          </w:tcPr>
          <w:p w14:paraId="6025E59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21"/>
                <w:szCs w:val="21"/>
              </w:rPr>
            </w:pPr>
            <w:r>
              <w:rPr>
                <w:rFonts w:hint="default" w:ascii="Times New Roman" w:hAnsi="Times New Roman" w:eastAsia="宋体" w:cs="Times New Roman"/>
                <w:b w:val="0"/>
                <w:color w:val="0000FF"/>
                <w:sz w:val="21"/>
                <w:szCs w:val="21"/>
              </w:rPr>
              <w:t>/</w:t>
            </w:r>
          </w:p>
        </w:tc>
        <w:tc>
          <w:tcPr>
            <w:tcW w:w="1032" w:type="dxa"/>
            <w:vAlign w:val="center"/>
          </w:tcPr>
          <w:p w14:paraId="54ACAD0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21"/>
                <w:szCs w:val="21"/>
              </w:rPr>
            </w:pPr>
            <w:r>
              <w:rPr>
                <w:rFonts w:hint="default" w:ascii="Times New Roman" w:hAnsi="Times New Roman" w:eastAsia="宋体" w:cs="Times New Roman"/>
                <w:b w:val="0"/>
                <w:color w:val="0000FF"/>
                <w:sz w:val="21"/>
                <w:szCs w:val="21"/>
              </w:rPr>
              <w:t>/</w:t>
            </w:r>
          </w:p>
        </w:tc>
        <w:tc>
          <w:tcPr>
            <w:tcW w:w="828" w:type="dxa"/>
            <w:vAlign w:val="center"/>
          </w:tcPr>
          <w:p w14:paraId="63F6D16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21"/>
                <w:szCs w:val="21"/>
              </w:rPr>
            </w:pPr>
            <w:r>
              <w:rPr>
                <w:rFonts w:hint="default" w:ascii="Times New Roman" w:hAnsi="Times New Roman" w:eastAsia="宋体" w:cs="Times New Roman"/>
                <w:b w:val="0"/>
                <w:color w:val="0000FF"/>
                <w:sz w:val="21"/>
                <w:szCs w:val="21"/>
              </w:rPr>
              <w:t>/</w:t>
            </w:r>
          </w:p>
        </w:tc>
        <w:tc>
          <w:tcPr>
            <w:tcW w:w="1032" w:type="dxa"/>
            <w:shd w:val="clear" w:color="auto" w:fill="auto"/>
            <w:vAlign w:val="center"/>
          </w:tcPr>
          <w:p w14:paraId="420C570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b w:val="0"/>
                <w:color w:val="0000FF"/>
                <w:sz w:val="21"/>
                <w:szCs w:val="21"/>
              </w:rPr>
              <w:t>/</w:t>
            </w:r>
          </w:p>
        </w:tc>
        <w:tc>
          <w:tcPr>
            <w:tcW w:w="828" w:type="dxa"/>
            <w:shd w:val="clear" w:color="auto" w:fill="auto"/>
            <w:vAlign w:val="center"/>
          </w:tcPr>
          <w:p w14:paraId="15BD803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b w:val="0"/>
                <w:color w:val="0000FF"/>
                <w:sz w:val="21"/>
                <w:szCs w:val="21"/>
              </w:rPr>
              <w:t>/</w:t>
            </w:r>
          </w:p>
        </w:tc>
        <w:tc>
          <w:tcPr>
            <w:tcW w:w="1032" w:type="dxa"/>
            <w:shd w:val="clear" w:color="auto" w:fill="auto"/>
            <w:vAlign w:val="center"/>
          </w:tcPr>
          <w:p w14:paraId="3CDA17A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b w:val="0"/>
                <w:color w:val="0000FF"/>
                <w:sz w:val="21"/>
                <w:szCs w:val="21"/>
              </w:rPr>
              <w:t>/</w:t>
            </w:r>
          </w:p>
        </w:tc>
        <w:tc>
          <w:tcPr>
            <w:tcW w:w="828" w:type="dxa"/>
            <w:shd w:val="clear" w:color="auto" w:fill="auto"/>
            <w:vAlign w:val="center"/>
          </w:tcPr>
          <w:p w14:paraId="7D48119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b w:val="0"/>
                <w:color w:val="0000FF"/>
                <w:sz w:val="21"/>
                <w:szCs w:val="21"/>
              </w:rPr>
              <w:t>/</w:t>
            </w:r>
          </w:p>
        </w:tc>
        <w:tc>
          <w:tcPr>
            <w:tcW w:w="1032" w:type="dxa"/>
            <w:shd w:val="clear" w:color="auto" w:fill="auto"/>
            <w:vAlign w:val="center"/>
          </w:tcPr>
          <w:p w14:paraId="6D4C8A7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b w:val="0"/>
                <w:color w:val="0000FF"/>
                <w:sz w:val="21"/>
                <w:szCs w:val="21"/>
              </w:rPr>
              <w:t>/</w:t>
            </w:r>
          </w:p>
        </w:tc>
        <w:tc>
          <w:tcPr>
            <w:tcW w:w="828" w:type="dxa"/>
            <w:shd w:val="clear" w:color="auto" w:fill="auto"/>
            <w:vAlign w:val="center"/>
          </w:tcPr>
          <w:p w14:paraId="0E4FCFF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b w:val="0"/>
                <w:color w:val="0000FF"/>
                <w:sz w:val="21"/>
                <w:szCs w:val="21"/>
              </w:rPr>
              <w:t>/</w:t>
            </w:r>
          </w:p>
        </w:tc>
        <w:tc>
          <w:tcPr>
            <w:tcW w:w="1032" w:type="dxa"/>
            <w:shd w:val="clear" w:color="auto" w:fill="auto"/>
            <w:vAlign w:val="center"/>
          </w:tcPr>
          <w:p w14:paraId="138828D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b w:val="0"/>
                <w:color w:val="0000FF"/>
                <w:sz w:val="21"/>
                <w:szCs w:val="21"/>
              </w:rPr>
              <w:t>/</w:t>
            </w:r>
          </w:p>
        </w:tc>
        <w:tc>
          <w:tcPr>
            <w:tcW w:w="828" w:type="dxa"/>
            <w:shd w:val="clear" w:color="auto" w:fill="auto"/>
            <w:vAlign w:val="center"/>
          </w:tcPr>
          <w:p w14:paraId="6F8B082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b w:val="0"/>
                <w:color w:val="0000FF"/>
                <w:sz w:val="21"/>
                <w:szCs w:val="21"/>
              </w:rPr>
              <w:t>/</w:t>
            </w:r>
          </w:p>
        </w:tc>
        <w:tc>
          <w:tcPr>
            <w:tcW w:w="1033" w:type="dxa"/>
            <w:shd w:val="clear" w:color="auto" w:fill="auto"/>
            <w:vAlign w:val="center"/>
          </w:tcPr>
          <w:p w14:paraId="5B93108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b w:val="0"/>
                <w:color w:val="0000FF"/>
                <w:sz w:val="21"/>
                <w:szCs w:val="21"/>
              </w:rPr>
              <w:t>/</w:t>
            </w:r>
          </w:p>
        </w:tc>
        <w:tc>
          <w:tcPr>
            <w:tcW w:w="829" w:type="dxa"/>
            <w:shd w:val="clear" w:color="auto" w:fill="auto"/>
            <w:vAlign w:val="center"/>
          </w:tcPr>
          <w:p w14:paraId="467FBDF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b w:val="0"/>
                <w:color w:val="0000FF"/>
                <w:sz w:val="21"/>
                <w:szCs w:val="21"/>
              </w:rPr>
              <w:t>/</w:t>
            </w:r>
          </w:p>
        </w:tc>
      </w:tr>
    </w:tbl>
    <w:p w14:paraId="1054F7FB">
      <w:pPr>
        <w:spacing w:line="360" w:lineRule="auto"/>
        <w:ind w:firstLine="480"/>
        <w:rPr>
          <w:color w:val="0000FF"/>
        </w:rPr>
      </w:pPr>
      <w:r>
        <w:rPr>
          <w:rFonts w:hint="default" w:ascii="Times New Roman" w:hAnsi="Times New Roman" w:eastAsia="宋体" w:cs="Times New Roman"/>
          <w:b w:val="0"/>
          <w:bCs/>
          <w:color w:val="0000FF"/>
        </w:rPr>
        <w:t>根据估算</w:t>
      </w:r>
      <w:r>
        <w:rPr>
          <w:rFonts w:hint="default" w:ascii="Times New Roman" w:hAnsi="Times New Roman" w:eastAsia="宋体" w:cs="Times New Roman"/>
          <w:b w:val="0"/>
          <w:bCs/>
          <w:color w:val="0000FF"/>
          <w:lang w:val="en-US" w:eastAsia="zh-CN"/>
        </w:rPr>
        <w:t>结果</w:t>
      </w:r>
      <w:r>
        <w:rPr>
          <w:rFonts w:hint="eastAsia" w:cs="Times New Roman"/>
          <w:b w:val="0"/>
          <w:bCs/>
          <w:color w:val="0000FF"/>
          <w:lang w:val="en-US" w:eastAsia="zh-CN"/>
        </w:rPr>
        <w:t>可知</w:t>
      </w:r>
      <w:r>
        <w:rPr>
          <w:rFonts w:hint="default" w:ascii="Times New Roman" w:hAnsi="Times New Roman" w:eastAsia="宋体" w:cs="Times New Roman"/>
          <w:b w:val="0"/>
          <w:bCs/>
          <w:color w:val="0000FF"/>
        </w:rPr>
        <w:t>，</w:t>
      </w:r>
      <w:r>
        <w:rPr>
          <w:color w:val="0000FF"/>
          <w:kern w:val="0"/>
        </w:rPr>
        <w:t>本项目各污染源中最大地面空气质量浓度占标率Pmax为</w:t>
      </w:r>
      <w:r>
        <w:rPr>
          <w:rFonts w:hint="default"/>
          <w:color w:val="0000FF"/>
          <w:kern w:val="0"/>
        </w:rPr>
        <w:t>0.4713</w:t>
      </w:r>
      <w:r>
        <w:rPr>
          <w:color w:val="0000FF"/>
          <w:kern w:val="0"/>
        </w:rPr>
        <w:t>%</w:t>
      </w:r>
      <w:r>
        <w:rPr>
          <w:rFonts w:ascii="Times New Roman" w:hAnsi="Times New Roman" w:cs="Times New Roman"/>
          <w:color w:val="0000FF"/>
          <w:sz w:val="24"/>
          <w:szCs w:val="24"/>
        </w:rPr>
        <w:t>&lt;1%</w:t>
      </w:r>
      <w:r>
        <w:rPr>
          <w:color w:val="0000FF"/>
          <w:kern w:val="0"/>
        </w:rPr>
        <w:t>，且本项目不属于“高耗能行业的多源项目或使用高污染燃料为主的多源项目”，根据《环境影响评价技术导则大气环境》（HJ2.2-2018）判定，本项目大气环境影响评价工作级别为</w:t>
      </w:r>
      <w:r>
        <w:rPr>
          <w:rFonts w:hint="eastAsia"/>
          <w:color w:val="0000FF"/>
          <w:kern w:val="0"/>
          <w:lang w:val="en-US" w:eastAsia="zh-CN"/>
        </w:rPr>
        <w:t>三</w:t>
      </w:r>
      <w:r>
        <w:rPr>
          <w:color w:val="0000FF"/>
          <w:kern w:val="0"/>
        </w:rPr>
        <w:t>级，项目</w:t>
      </w:r>
      <w:r>
        <w:rPr>
          <w:color w:val="0000FF"/>
        </w:rPr>
        <w:t>运行时，严格落实环评要求的环保措施后，本项目Pmax最大值出现为饲料库排放的TSP</w:t>
      </w:r>
      <w:r>
        <w:rPr>
          <w:rFonts w:hint="eastAsia"/>
          <w:color w:val="0000FF"/>
        </w:rPr>
        <w:t>　</w:t>
      </w:r>
      <w:r>
        <w:rPr>
          <w:color w:val="0000FF"/>
        </w:rPr>
        <w:t>Pmax值为0.4713%，Cmax为4.2419μg/m³，小于</w:t>
      </w:r>
      <w:r>
        <w:rPr>
          <w:rFonts w:hint="eastAsia"/>
          <w:color w:val="0000FF"/>
          <w:lang w:eastAsia="zh-CN"/>
        </w:rPr>
        <w:t>《</w:t>
      </w:r>
      <w:r>
        <w:rPr>
          <w:color w:val="0000FF"/>
        </w:rPr>
        <w:t>环境空气质量标准</w:t>
      </w:r>
      <w:r>
        <w:rPr>
          <w:rFonts w:hint="eastAsia"/>
          <w:color w:val="0000FF"/>
          <w:lang w:eastAsia="zh-CN"/>
        </w:rPr>
        <w:t>》（</w:t>
      </w:r>
      <w:r>
        <w:rPr>
          <w:color w:val="0000FF"/>
        </w:rPr>
        <w:t>GB3095-2012</w:t>
      </w:r>
      <w:r>
        <w:rPr>
          <w:rFonts w:hint="eastAsia"/>
          <w:color w:val="0000FF"/>
          <w:lang w:eastAsia="zh-CN"/>
        </w:rPr>
        <w:t>）</w:t>
      </w:r>
      <w:r>
        <w:rPr>
          <w:rFonts w:hint="eastAsia"/>
          <w:color w:val="0000FF"/>
          <w:lang w:val="en-US" w:eastAsia="zh-CN"/>
        </w:rPr>
        <w:t>质量</w:t>
      </w:r>
      <w:r>
        <w:rPr>
          <w:color w:val="0000FF"/>
        </w:rPr>
        <w:t>标准。因此，本项目正常运行条件下，对区域环境空气影响较小。</w:t>
      </w:r>
    </w:p>
    <w:p w14:paraId="6FAA86AB">
      <w:pPr>
        <w:tabs>
          <w:tab w:val="left" w:pos="2771"/>
          <w:tab w:val="left" w:pos="6612"/>
        </w:tabs>
        <w:adjustRightInd w:val="0"/>
        <w:snapToGrid w:val="0"/>
        <w:ind w:firstLine="482"/>
        <w:jc w:val="both"/>
        <w:rPr>
          <w:rFonts w:hint="default" w:ascii="Times New Roman" w:hAnsi="Times New Roman" w:eastAsia="宋体" w:cs="Times New Roman"/>
          <w:b w:val="0"/>
          <w:bCs/>
          <w:color w:val="0000FF"/>
          <w:lang w:val="en-US" w:eastAsia="zh-CN"/>
        </w:rPr>
      </w:pPr>
      <w:r>
        <w:rPr>
          <w:rFonts w:hint="default" w:ascii="Times New Roman" w:hAnsi="Times New Roman" w:eastAsia="宋体" w:cs="Times New Roman"/>
          <w:b w:val="0"/>
          <w:bCs/>
          <w:color w:val="0000FF"/>
          <w:lang w:val="en-US" w:eastAsia="zh-CN"/>
        </w:rPr>
        <w:t>本项目采用科学饲喂技术、</w:t>
      </w:r>
      <w:r>
        <w:rPr>
          <w:rFonts w:hint="default" w:ascii="Times New Roman" w:hAnsi="Times New Roman" w:eastAsia="宋体" w:cs="Times New Roman"/>
          <w:b w:val="0"/>
          <w:bCs/>
          <w:color w:val="0000FF"/>
        </w:rPr>
        <w:t>添加生物菌剂配合饲料</w:t>
      </w:r>
      <w:r>
        <w:rPr>
          <w:rFonts w:hint="default" w:ascii="Times New Roman" w:hAnsi="Times New Roman" w:eastAsia="宋体" w:cs="Times New Roman"/>
          <w:b w:val="0"/>
          <w:bCs/>
          <w:color w:val="0000FF"/>
          <w:lang w:eastAsia="zh-CN"/>
        </w:rPr>
        <w:t>，</w:t>
      </w:r>
      <w:r>
        <w:rPr>
          <w:rFonts w:hint="default" w:ascii="Times New Roman" w:hAnsi="Times New Roman" w:eastAsia="宋体" w:cs="Times New Roman"/>
          <w:b w:val="0"/>
          <w:bCs/>
          <w:color w:val="0000FF"/>
        </w:rPr>
        <w:t>牛</w:t>
      </w:r>
      <w:r>
        <w:rPr>
          <w:rFonts w:hint="eastAsia" w:cs="Times New Roman"/>
          <w:b w:val="0"/>
          <w:bCs/>
          <w:color w:val="0000FF"/>
          <w:lang w:val="en-US" w:eastAsia="zh-CN"/>
        </w:rPr>
        <w:t>舍</w:t>
      </w:r>
      <w:r>
        <w:rPr>
          <w:rFonts w:hint="default" w:ascii="Times New Roman" w:hAnsi="Times New Roman" w:eastAsia="宋体" w:cs="Times New Roman"/>
          <w:b w:val="0"/>
          <w:bCs/>
          <w:color w:val="0000FF"/>
        </w:rPr>
        <w:t>采用</w:t>
      </w:r>
      <w:r>
        <w:rPr>
          <w:rFonts w:hint="default" w:ascii="Times New Roman" w:hAnsi="Times New Roman" w:eastAsia="宋体" w:cs="Times New Roman"/>
          <w:b w:val="0"/>
          <w:bCs/>
          <w:color w:val="0000FF"/>
          <w:lang w:eastAsia="zh-CN"/>
        </w:rPr>
        <w:t>地面垫料机械清粪工艺</w:t>
      </w:r>
      <w:r>
        <w:rPr>
          <w:rFonts w:hint="default" w:ascii="Times New Roman" w:hAnsi="Times New Roman" w:eastAsia="宋体" w:cs="Times New Roman"/>
          <w:b w:val="0"/>
          <w:bCs/>
          <w:color w:val="0000FF"/>
        </w:rPr>
        <w:t>，及时清运粪污</w:t>
      </w:r>
      <w:r>
        <w:rPr>
          <w:rFonts w:hint="default" w:ascii="Times New Roman" w:hAnsi="Times New Roman" w:eastAsia="宋体" w:cs="Times New Roman"/>
          <w:b w:val="0"/>
          <w:bCs/>
          <w:color w:val="0000FF"/>
          <w:lang w:eastAsia="zh-CN"/>
        </w:rPr>
        <w:t>，</w:t>
      </w:r>
      <w:r>
        <w:rPr>
          <w:rFonts w:hint="default" w:ascii="Times New Roman" w:hAnsi="Times New Roman" w:eastAsia="宋体" w:cs="Times New Roman"/>
          <w:b w:val="0"/>
          <w:bCs/>
          <w:color w:val="0000FF"/>
          <w:lang w:val="en-US" w:eastAsia="zh-CN"/>
        </w:rPr>
        <w:t>及时更换垫料，保持牛棚干燥，</w:t>
      </w:r>
      <w:r>
        <w:rPr>
          <w:rFonts w:hint="default" w:ascii="Times New Roman" w:hAnsi="Times New Roman" w:eastAsia="宋体" w:cs="Times New Roman"/>
          <w:b w:val="0"/>
          <w:bCs/>
          <w:color w:val="0000FF"/>
        </w:rPr>
        <w:t>喷洒除臭剂</w:t>
      </w:r>
      <w:r>
        <w:rPr>
          <w:rFonts w:hint="default" w:ascii="Times New Roman" w:hAnsi="Times New Roman" w:eastAsia="宋体" w:cs="Times New Roman"/>
          <w:b w:val="0"/>
          <w:bCs/>
          <w:color w:val="0000FF"/>
          <w:lang w:eastAsia="zh-CN"/>
        </w:rPr>
        <w:t>，</w:t>
      </w:r>
      <w:r>
        <w:rPr>
          <w:rFonts w:hint="default" w:ascii="Times New Roman" w:hAnsi="Times New Roman" w:eastAsia="宋体" w:cs="Times New Roman"/>
          <w:b w:val="0"/>
          <w:bCs/>
          <w:color w:val="0000FF"/>
          <w:lang w:val="en-US" w:eastAsia="zh-CN"/>
        </w:rPr>
        <w:t>加强通风等措施；堆肥过程采用槽式好氧堆肥发酵工艺，喷洒除臭剂，并</w:t>
      </w:r>
      <w:r>
        <w:rPr>
          <w:rFonts w:hint="default" w:ascii="Times New Roman" w:hAnsi="Times New Roman" w:eastAsia="宋体" w:cs="Times New Roman"/>
          <w:b w:val="0"/>
          <w:bCs/>
          <w:color w:val="0000FF"/>
        </w:rPr>
        <w:t>投加减少氨释放和保氮的复合菌剂，</w:t>
      </w:r>
      <w:r>
        <w:rPr>
          <w:rFonts w:hint="default" w:ascii="Times New Roman" w:hAnsi="Times New Roman" w:eastAsia="宋体" w:cs="Times New Roman"/>
          <w:b w:val="0"/>
          <w:bCs/>
          <w:color w:val="0000FF"/>
          <w:lang w:val="en-US" w:eastAsia="zh-CN"/>
        </w:rPr>
        <w:t>调节合适的水份和C/N比，从源头减少恶臭产生，同时在场区及场界种植除臭绿化带，也可有效缓解对周围环境的空气污染。类比同类企业，场界臭气浓度满足《畜禽养殖业污染物排放标准》（GB18596-2001）表7标准。</w:t>
      </w:r>
    </w:p>
    <w:p w14:paraId="5D42FCCD">
      <w:pPr>
        <w:tabs>
          <w:tab w:val="left" w:pos="2771"/>
          <w:tab w:val="left" w:pos="6612"/>
        </w:tabs>
        <w:adjustRightInd w:val="0"/>
        <w:snapToGrid w:val="0"/>
        <w:ind w:firstLine="482"/>
        <w:jc w:val="center"/>
        <w:rPr>
          <w:rFonts w:hint="default" w:ascii="Times New Roman" w:hAnsi="Times New Roman" w:eastAsia="宋体" w:cs="Times New Roman"/>
          <w:b/>
          <w:color w:val="0000FF"/>
        </w:rPr>
      </w:pPr>
      <w:r>
        <w:rPr>
          <w:rFonts w:hint="default" w:ascii="Times New Roman" w:hAnsi="Times New Roman" w:eastAsia="宋体" w:cs="Times New Roman"/>
          <w:b w:val="0"/>
          <w:bCs/>
          <w:color w:val="0000FF"/>
          <w:lang w:val="en-US" w:eastAsia="zh-CN"/>
        </w:rPr>
        <w:t>综上，本项目所有污染源污染物短期浓度贡献值的最大浓度占标率≤100%。本项目的建设对环境空气的影响可接受</w:t>
      </w:r>
      <w:r>
        <w:rPr>
          <w:rFonts w:hint="eastAsia" w:cs="Times New Roman"/>
          <w:b w:val="0"/>
          <w:bCs/>
          <w:color w:val="0000FF"/>
          <w:lang w:val="en-US" w:eastAsia="zh-CN"/>
        </w:rPr>
        <w:t>。</w:t>
      </w:r>
    </w:p>
    <w:p w14:paraId="54B6AA62">
      <w:pPr>
        <w:tabs>
          <w:tab w:val="left" w:pos="2771"/>
          <w:tab w:val="left" w:pos="6612"/>
        </w:tabs>
        <w:adjustRightInd w:val="0"/>
        <w:snapToGrid w:val="0"/>
        <w:ind w:firstLine="482"/>
        <w:jc w:val="both"/>
        <w:rPr>
          <w:rFonts w:hint="default" w:ascii="Times New Roman" w:hAnsi="Times New Roman" w:eastAsia="宋体" w:cs="Times New Roman"/>
          <w:b w:val="0"/>
          <w:bCs/>
          <w:color w:val="000000" w:themeColor="text1"/>
          <w:lang w:val="en-US" w:eastAsia="zh-CN"/>
          <w14:textFill>
            <w14:solidFill>
              <w14:schemeClr w14:val="tx1"/>
            </w14:solidFill>
          </w14:textFill>
        </w:rPr>
        <w:sectPr>
          <w:pgSz w:w="16839" w:h="11906" w:orient="landscape"/>
          <w:pgMar w:top="1457" w:right="1431" w:bottom="1457" w:left="1259" w:header="964" w:footer="794" w:gutter="0"/>
          <w:pgNumType w:fmt="decimal"/>
          <w:cols w:equalWidth="0" w:num="1">
            <w:col w:w="8990"/>
          </w:cols>
          <w:rtlGutter w:val="0"/>
          <w:docGrid w:linePitch="0" w:charSpace="0"/>
        </w:sectPr>
      </w:pPr>
    </w:p>
    <w:p w14:paraId="524E63C5">
      <w:pPr>
        <w:ind w:firstLine="482"/>
        <w:outlineLvl w:val="2"/>
        <w:rPr>
          <w:rFonts w:hint="default" w:ascii="Times New Roman" w:hAnsi="Times New Roman" w:eastAsia="宋体" w:cs="Times New Roman"/>
          <w:color w:val="0000FF"/>
        </w:rPr>
      </w:pPr>
      <w:bookmarkStart w:id="255" w:name="_Toc15367"/>
      <w:r>
        <w:rPr>
          <w:rFonts w:hint="default" w:ascii="Times New Roman" w:hAnsi="Times New Roman" w:eastAsia="宋体" w:cs="Times New Roman"/>
          <w:b/>
          <w:bCs/>
          <w:color w:val="0000FF"/>
        </w:rPr>
        <w:fldChar w:fldCharType="begin"/>
      </w:r>
      <w:r>
        <w:rPr>
          <w:rFonts w:hint="default" w:ascii="Times New Roman" w:hAnsi="Times New Roman" w:eastAsia="宋体" w:cs="Times New Roman"/>
          <w:b/>
          <w:bCs/>
          <w:color w:val="0000FF"/>
        </w:rPr>
        <w:instrText xml:space="preserve">HYPERLINK "C:\\Users\\Administrator\\Desktop\\科右前旗现代农牧业园区核心育种场养殖项目-修改稿\\5.2.1.4"</w:instrText>
      </w:r>
      <w:r>
        <w:rPr>
          <w:rFonts w:hint="default" w:ascii="Times New Roman" w:hAnsi="Times New Roman" w:eastAsia="宋体" w:cs="Times New Roman"/>
          <w:b/>
          <w:bCs/>
          <w:color w:val="0000FF"/>
        </w:rPr>
        <w:fldChar w:fldCharType="separate"/>
      </w:r>
      <w:r>
        <w:rPr>
          <w:rFonts w:hint="default" w:ascii="Times New Roman" w:hAnsi="Times New Roman" w:eastAsia="宋体" w:cs="Times New Roman"/>
          <w:b/>
          <w:bCs/>
          <w:color w:val="0000FF"/>
        </w:rPr>
        <w:t>6.1.3</w:t>
      </w:r>
      <w:r>
        <w:rPr>
          <w:rFonts w:hint="default" w:ascii="Times New Roman" w:hAnsi="Times New Roman" w:eastAsia="宋体" w:cs="Times New Roman"/>
          <w:b/>
          <w:bCs/>
          <w:color w:val="0000FF"/>
        </w:rPr>
        <w:fldChar w:fldCharType="end"/>
      </w:r>
      <w:r>
        <w:rPr>
          <w:rFonts w:hint="default" w:ascii="Times New Roman" w:hAnsi="Times New Roman" w:eastAsia="宋体" w:cs="Times New Roman"/>
          <w:b/>
          <w:bCs/>
          <w:color w:val="0000FF"/>
        </w:rPr>
        <w:t>大气防护距离</w:t>
      </w:r>
      <w:bookmarkEnd w:id="255"/>
    </w:p>
    <w:p w14:paraId="7FF1D892">
      <w:pPr>
        <w:spacing w:line="360" w:lineRule="auto"/>
        <w:ind w:firstLine="460"/>
        <w:rPr>
          <w:color w:val="0000FF"/>
          <w:spacing w:val="-5"/>
        </w:rPr>
      </w:pPr>
      <w:r>
        <w:rPr>
          <w:color w:val="0000FF"/>
          <w:spacing w:val="-5"/>
        </w:rPr>
        <w:t>根据《环境影响评价技术导则</w:t>
      </w:r>
      <w:r>
        <w:rPr>
          <w:rFonts w:hint="eastAsia"/>
          <w:color w:val="0000FF"/>
          <w:spacing w:val="-5"/>
          <w:lang w:val="en-US" w:eastAsia="zh-CN"/>
        </w:rPr>
        <w:t>-</w:t>
      </w:r>
      <w:r>
        <w:rPr>
          <w:color w:val="0000FF"/>
          <w:spacing w:val="-5"/>
        </w:rPr>
        <w:t>大气环境》（HJ2.2-2018），“对于项目厂界浓度满足大气污染物厂界浓度限值，但厂界外大气污染物短期贡献浓度超过环境质量浓度限值的，可以自厂界向外设置一定范围的大气环境防护区域，以确保大气环境防护区域外的污染物贡献浓度满足环境质量标准。”根据估算模式AERSCREEN的计算结果，本项目无组织排放源中Pmax最大值出现为</w:t>
      </w:r>
      <w:r>
        <w:rPr>
          <w:rFonts w:hint="eastAsia"/>
          <w:color w:val="0000FF"/>
          <w:spacing w:val="-5"/>
          <w:lang w:val="en-US" w:eastAsia="zh-CN"/>
        </w:rPr>
        <w:t>饲料库</w:t>
      </w:r>
      <w:r>
        <w:rPr>
          <w:color w:val="0000FF"/>
          <w:spacing w:val="-5"/>
        </w:rPr>
        <w:t>排放的无组织</w:t>
      </w:r>
      <w:r>
        <w:rPr>
          <w:rFonts w:hint="eastAsia"/>
          <w:color w:val="0000FF"/>
          <w:spacing w:val="-5"/>
          <w:lang w:val="en-US" w:eastAsia="zh-CN"/>
        </w:rPr>
        <w:t>TSP</w:t>
      </w:r>
      <w:r>
        <w:rPr>
          <w:color w:val="0000FF"/>
          <w:spacing w:val="-5"/>
        </w:rPr>
        <w:t>，</w:t>
      </w:r>
      <w:r>
        <w:rPr>
          <w:color w:val="0000FF"/>
        </w:rPr>
        <w:t>Pmax值为0.4713%，Cmax为4.2419μg/m³</w:t>
      </w:r>
      <w:r>
        <w:rPr>
          <w:color w:val="0000FF"/>
          <w:spacing w:val="-5"/>
        </w:rPr>
        <w:t>，本项目厂界外大气污染物贡献浓度不会超过环境质量浓度限值，不需设置大气环境防护距离。</w:t>
      </w:r>
    </w:p>
    <w:p w14:paraId="1B41AD60">
      <w:pPr>
        <w:spacing w:line="360" w:lineRule="auto"/>
        <w:ind w:firstLine="460"/>
        <w:rPr>
          <w:color w:val="0000FF"/>
          <w:spacing w:val="-5"/>
        </w:rPr>
      </w:pPr>
      <w:r>
        <w:rPr>
          <w:color w:val="0000FF"/>
          <w:spacing w:val="-5"/>
        </w:rPr>
        <w:t>根据项目污染物处理措施及排放源强，结合当地的环境及气象等因素，并考虑非正常工况影响，本项目以场界计设500m大气环境防护距离。根据现场勘察，项目500m大气环境防护距离范围内现无环境敏感点。</w:t>
      </w:r>
    </w:p>
    <w:p w14:paraId="1A0B4C7E">
      <w:pPr>
        <w:spacing w:line="360" w:lineRule="auto"/>
        <w:ind w:firstLine="460"/>
        <w:rPr>
          <w:color w:val="0000FF"/>
          <w:spacing w:val="-5"/>
        </w:rPr>
      </w:pPr>
      <w:r>
        <w:rPr>
          <w:color w:val="0000FF"/>
          <w:spacing w:val="-5"/>
        </w:rPr>
        <w:t>根据《畜禽养殖业污染防治技术规范》（HJ/T81-2001）中3.1.2规定：“禁止在城市和城镇居民区，包括文教科研区、医疗区、商业区、工业区、游览区等人口集中地区建设畜禽养殖场。在城市和城镇居民区附近建设的，应建在禁建区域常年主导风向的下风向或侧风向处，场界与禁建区域的最小距离不得小于500m。”本项目500m范围内不存在禁建区，项目选址符合《畜禽养殖业污染防治技术规范》（HJ/T81-2001）中“场界与禁建区域的最小距离不得小于500m”的要求。</w:t>
      </w:r>
    </w:p>
    <w:p w14:paraId="537519C6">
      <w:pPr>
        <w:ind w:firstLine="482"/>
        <w:outlineLvl w:val="2"/>
        <w:rPr>
          <w:rFonts w:hint="default" w:ascii="Times New Roman" w:hAnsi="Times New Roman" w:eastAsia="宋体" w:cs="Times New Roman"/>
          <w:color w:val="000000" w:themeColor="text1"/>
          <w14:textFill>
            <w14:solidFill>
              <w14:schemeClr w14:val="tx1"/>
            </w14:solidFill>
          </w14:textFill>
        </w:rPr>
      </w:pPr>
      <w:bookmarkStart w:id="256" w:name="_Toc26383"/>
      <w:r>
        <w:rPr>
          <w:rFonts w:hint="default" w:ascii="Times New Roman" w:hAnsi="Times New Roman" w:eastAsia="宋体" w:cs="Times New Roman"/>
          <w:b/>
          <w:bCs/>
          <w:color w:val="000000" w:themeColor="text1"/>
          <w14:textFill>
            <w14:solidFill>
              <w14:schemeClr w14:val="tx1"/>
            </w14:solidFill>
          </w14:textFill>
        </w:rPr>
        <w:fldChar w:fldCharType="begin"/>
      </w:r>
      <w:r>
        <w:rPr>
          <w:rFonts w:hint="default" w:ascii="Times New Roman" w:hAnsi="Times New Roman" w:eastAsia="宋体" w:cs="Times New Roman"/>
          <w:b/>
          <w:bCs/>
          <w:color w:val="000000" w:themeColor="text1"/>
          <w14:textFill>
            <w14:solidFill>
              <w14:schemeClr w14:val="tx1"/>
            </w14:solidFill>
          </w14:textFill>
        </w:rPr>
        <w:instrText xml:space="preserve">HYPERLINK "C:\\Users\\Administrator\\Desktop\\科右前旗现代农牧业园区核心育种场养殖项目-修改稿\\5.2.1.6"</w:instrText>
      </w:r>
      <w:r>
        <w:rPr>
          <w:rFonts w:hint="default" w:ascii="Times New Roman" w:hAnsi="Times New Roman" w:eastAsia="宋体" w:cs="Times New Roman"/>
          <w:b/>
          <w:bCs/>
          <w:color w:val="000000" w:themeColor="text1"/>
          <w14:textFill>
            <w14:solidFill>
              <w14:schemeClr w14:val="tx1"/>
            </w14:solidFill>
          </w14:textFill>
        </w:rPr>
        <w:fldChar w:fldCharType="separate"/>
      </w:r>
      <w:r>
        <w:rPr>
          <w:rFonts w:hint="default" w:ascii="Times New Roman" w:hAnsi="Times New Roman" w:eastAsia="宋体" w:cs="Times New Roman"/>
          <w:b/>
          <w:bCs/>
          <w:color w:val="000000" w:themeColor="text1"/>
          <w14:textFill>
            <w14:solidFill>
              <w14:schemeClr w14:val="tx1"/>
            </w14:solidFill>
          </w14:textFill>
        </w:rPr>
        <w:t>6.1.</w:t>
      </w:r>
      <w:r>
        <w:rPr>
          <w:rFonts w:hint="eastAsia" w:cs="Times New Roman"/>
          <w:b/>
          <w:bCs/>
          <w:color w:val="000000" w:themeColor="text1"/>
          <w:lang w:val="en-US" w:eastAsia="zh-CN"/>
          <w14:textFill>
            <w14:solidFill>
              <w14:schemeClr w14:val="tx1"/>
            </w14:solidFill>
          </w14:textFill>
        </w:rPr>
        <w:t>4</w:t>
      </w:r>
      <w:r>
        <w:rPr>
          <w:rFonts w:hint="default" w:ascii="Times New Roman" w:hAnsi="Times New Roman" w:eastAsia="宋体" w:cs="Times New Roman"/>
          <w:b/>
          <w:bCs/>
          <w:color w:val="000000" w:themeColor="text1"/>
          <w14:textFill>
            <w14:solidFill>
              <w14:schemeClr w14:val="tx1"/>
            </w14:solidFill>
          </w14:textFill>
        </w:rPr>
        <w:fldChar w:fldCharType="end"/>
      </w:r>
      <w:r>
        <w:rPr>
          <w:rFonts w:hint="default" w:ascii="Times New Roman" w:hAnsi="Times New Roman" w:eastAsia="宋体" w:cs="Times New Roman"/>
          <w:b/>
          <w:bCs/>
          <w:color w:val="000000" w:themeColor="text1"/>
          <w14:textFill>
            <w14:solidFill>
              <w14:schemeClr w14:val="tx1"/>
            </w14:solidFill>
          </w14:textFill>
        </w:rPr>
        <w:t>大气环境影响评价自查表</w:t>
      </w:r>
      <w:bookmarkEnd w:id="256"/>
    </w:p>
    <w:p w14:paraId="1BC82923">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建设项目大气环境影响评价自查表见表6.1-</w:t>
      </w:r>
      <w:r>
        <w:rPr>
          <w:rFonts w:hint="eastAsia" w:cs="Times New Roman"/>
          <w:color w:val="000000" w:themeColor="text1"/>
          <w:lang w:val="en-US" w:eastAsia="zh-CN"/>
          <w14:textFill>
            <w14:solidFill>
              <w14:schemeClr w14:val="tx1"/>
            </w14:solidFill>
          </w14:textFill>
        </w:rPr>
        <w:t>5</w:t>
      </w:r>
      <w:r>
        <w:rPr>
          <w:rFonts w:hint="default" w:ascii="Times New Roman" w:hAnsi="Times New Roman" w:eastAsia="宋体" w:cs="Times New Roman"/>
          <w:color w:val="000000" w:themeColor="text1"/>
          <w14:textFill>
            <w14:solidFill>
              <w14:schemeClr w14:val="tx1"/>
            </w14:solidFill>
          </w14:textFill>
        </w:rPr>
        <w:t>。</w:t>
      </w:r>
    </w:p>
    <w:p w14:paraId="419A4F01">
      <w:pPr>
        <w:ind w:firstLine="0" w:firstLineChars="0"/>
        <w:jc w:val="center"/>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表6.1-</w:t>
      </w:r>
      <w:r>
        <w:rPr>
          <w:rFonts w:hint="eastAsia" w:cs="Times New Roman"/>
          <w:b/>
          <w:bCs/>
          <w:color w:val="000000" w:themeColor="text1"/>
          <w:lang w:val="en-US" w:eastAsia="zh-CN"/>
          <w14:textFill>
            <w14:solidFill>
              <w14:schemeClr w14:val="tx1"/>
            </w14:solidFill>
          </w14:textFill>
        </w:rPr>
        <w:t>5</w:t>
      </w:r>
      <w:r>
        <w:rPr>
          <w:rFonts w:hint="default" w:ascii="Times New Roman" w:hAnsi="Times New Roman" w:eastAsia="宋体" w:cs="Times New Roman"/>
          <w:b/>
          <w:bCs/>
          <w:color w:val="000000" w:themeColor="text1"/>
          <w14:textFill>
            <w14:solidFill>
              <w14:schemeClr w14:val="tx1"/>
            </w14:solidFill>
          </w14:textFill>
        </w:rPr>
        <w:t>本项目大气环境影响评价自查表</w:t>
      </w:r>
    </w:p>
    <w:tbl>
      <w:tblPr>
        <w:tblStyle w:val="29"/>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978"/>
        <w:gridCol w:w="1534"/>
        <w:gridCol w:w="1065"/>
        <w:gridCol w:w="711"/>
        <w:gridCol w:w="193"/>
        <w:gridCol w:w="221"/>
        <w:gridCol w:w="237"/>
        <w:gridCol w:w="123"/>
        <w:gridCol w:w="795"/>
        <w:gridCol w:w="420"/>
        <w:gridCol w:w="134"/>
        <w:gridCol w:w="130"/>
        <w:gridCol w:w="756"/>
        <w:gridCol w:w="690"/>
        <w:gridCol w:w="1055"/>
      </w:tblGrid>
      <w:tr w14:paraId="32778B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41" w:hRule="atLeast"/>
          <w:jc w:val="center"/>
        </w:trPr>
        <w:tc>
          <w:tcPr>
            <w:tcW w:w="1389" w:type="pct"/>
            <w:gridSpan w:val="2"/>
            <w:vAlign w:val="center"/>
          </w:tcPr>
          <w:p w14:paraId="0F3D62F7">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工作内容</w:t>
            </w:r>
          </w:p>
        </w:tc>
        <w:tc>
          <w:tcPr>
            <w:tcW w:w="3610" w:type="pct"/>
            <w:gridSpan w:val="13"/>
            <w:vAlign w:val="center"/>
          </w:tcPr>
          <w:p w14:paraId="62F70439">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自查项目</w:t>
            </w:r>
          </w:p>
        </w:tc>
      </w:tr>
      <w:tr w14:paraId="653F3D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41" w:hRule="atLeast"/>
          <w:jc w:val="center"/>
        </w:trPr>
        <w:tc>
          <w:tcPr>
            <w:tcW w:w="540" w:type="pct"/>
            <w:vMerge w:val="restart"/>
            <w:vAlign w:val="center"/>
          </w:tcPr>
          <w:p w14:paraId="3FDFE894">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评价等级与范围</w:t>
            </w:r>
          </w:p>
        </w:tc>
        <w:tc>
          <w:tcPr>
            <w:tcW w:w="848" w:type="pct"/>
            <w:vAlign w:val="center"/>
          </w:tcPr>
          <w:p w14:paraId="7100F53F">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评价等级</w:t>
            </w:r>
          </w:p>
        </w:tc>
        <w:tc>
          <w:tcPr>
            <w:tcW w:w="1211" w:type="pct"/>
            <w:gridSpan w:val="4"/>
            <w:vAlign w:val="center"/>
          </w:tcPr>
          <w:p w14:paraId="2A819722">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一级□</w:t>
            </w:r>
          </w:p>
        </w:tc>
        <w:tc>
          <w:tcPr>
            <w:tcW w:w="1434" w:type="pct"/>
            <w:gridSpan w:val="7"/>
            <w:vAlign w:val="center"/>
          </w:tcPr>
          <w:p w14:paraId="0DB87152">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二级□</w:t>
            </w:r>
          </w:p>
        </w:tc>
        <w:tc>
          <w:tcPr>
            <w:tcW w:w="964" w:type="pct"/>
            <w:gridSpan w:val="2"/>
            <w:vAlign w:val="center"/>
          </w:tcPr>
          <w:p w14:paraId="74125076">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三级</w:t>
            </w:r>
            <w:r>
              <w:rPr>
                <w:rFonts w:hint="eastAsia" w:cs="Times New Roman"/>
                <w:color w:val="000000" w:themeColor="text1"/>
                <w:sz w:val="21"/>
                <w:szCs w:val="21"/>
                <w:lang w:eastAsia="zh-CN"/>
                <w14:textFill>
                  <w14:solidFill>
                    <w14:schemeClr w14:val="tx1"/>
                  </w14:solidFill>
                </w14:textFill>
              </w:rPr>
              <w:t>☑</w:t>
            </w:r>
          </w:p>
        </w:tc>
      </w:tr>
      <w:tr w14:paraId="5C5096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41" w:hRule="atLeast"/>
          <w:jc w:val="center"/>
        </w:trPr>
        <w:tc>
          <w:tcPr>
            <w:tcW w:w="540" w:type="pct"/>
            <w:vMerge w:val="continue"/>
            <w:vAlign w:val="center"/>
          </w:tcPr>
          <w:p w14:paraId="7ADCA9E1">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848" w:type="pct"/>
            <w:vAlign w:val="center"/>
          </w:tcPr>
          <w:p w14:paraId="4868F366">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评价范围</w:t>
            </w:r>
          </w:p>
        </w:tc>
        <w:tc>
          <w:tcPr>
            <w:tcW w:w="1211" w:type="pct"/>
            <w:gridSpan w:val="4"/>
            <w:vAlign w:val="center"/>
          </w:tcPr>
          <w:p w14:paraId="04105001">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边长=50km□</w:t>
            </w:r>
          </w:p>
        </w:tc>
        <w:tc>
          <w:tcPr>
            <w:tcW w:w="1434" w:type="pct"/>
            <w:gridSpan w:val="7"/>
            <w:vAlign w:val="center"/>
          </w:tcPr>
          <w:p w14:paraId="70B042E9">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边长5～50km□</w:t>
            </w:r>
          </w:p>
        </w:tc>
        <w:tc>
          <w:tcPr>
            <w:tcW w:w="964" w:type="pct"/>
            <w:gridSpan w:val="2"/>
            <w:vAlign w:val="center"/>
          </w:tcPr>
          <w:p w14:paraId="176896BC">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边长=5km□</w:t>
            </w:r>
          </w:p>
        </w:tc>
      </w:tr>
      <w:tr w14:paraId="57C9C1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41" w:hRule="atLeast"/>
          <w:jc w:val="center"/>
        </w:trPr>
        <w:tc>
          <w:tcPr>
            <w:tcW w:w="540" w:type="pct"/>
            <w:vMerge w:val="restart"/>
            <w:vAlign w:val="center"/>
          </w:tcPr>
          <w:p w14:paraId="7A43BFBE">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评价因子</w:t>
            </w:r>
          </w:p>
        </w:tc>
        <w:tc>
          <w:tcPr>
            <w:tcW w:w="848" w:type="pct"/>
            <w:vAlign w:val="center"/>
          </w:tcPr>
          <w:p w14:paraId="02E35AA6">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SO</w:t>
            </w:r>
            <w:r>
              <w:rPr>
                <w:rFonts w:hint="default" w:ascii="Times New Roman" w:hAnsi="Times New Roman" w:eastAsia="宋体" w:cs="Times New Roman"/>
                <w:color w:val="000000" w:themeColor="text1"/>
                <w:sz w:val="21"/>
                <w:szCs w:val="21"/>
                <w:vertAlign w:val="subscript"/>
                <w14:textFill>
                  <w14:solidFill>
                    <w14:schemeClr w14:val="tx1"/>
                  </w14:solidFill>
                </w14:textFill>
              </w:rPr>
              <w:t>2</w:t>
            </w:r>
            <w:r>
              <w:rPr>
                <w:rFonts w:hint="default" w:ascii="Times New Roman" w:hAnsi="Times New Roman" w:eastAsia="宋体" w:cs="Times New Roman"/>
                <w:color w:val="000000" w:themeColor="text1"/>
                <w:sz w:val="21"/>
                <w:szCs w:val="21"/>
                <w14:textFill>
                  <w14:solidFill>
                    <w14:schemeClr w14:val="tx1"/>
                  </w14:solidFill>
                </w14:textFill>
              </w:rPr>
              <w:t>+NO</w:t>
            </w:r>
            <w:r>
              <w:rPr>
                <w:rFonts w:hint="default" w:ascii="Times New Roman" w:hAnsi="Times New Roman" w:eastAsia="宋体" w:cs="Times New Roman"/>
                <w:i/>
                <w:color w:val="000000" w:themeColor="text1"/>
                <w:sz w:val="21"/>
                <w:szCs w:val="21"/>
                <w:vertAlign w:val="subscript"/>
                <w14:textFill>
                  <w14:solidFill>
                    <w14:schemeClr w14:val="tx1"/>
                  </w14:solidFill>
                </w14:textFill>
              </w:rPr>
              <w:t>x</w:t>
            </w:r>
            <w:r>
              <w:rPr>
                <w:rFonts w:hint="default" w:ascii="Times New Roman" w:hAnsi="Times New Roman" w:eastAsia="宋体" w:cs="Times New Roman"/>
                <w:color w:val="000000" w:themeColor="text1"/>
                <w:sz w:val="21"/>
                <w:szCs w:val="21"/>
                <w14:textFill>
                  <w14:solidFill>
                    <w14:schemeClr w14:val="tx1"/>
                  </w14:solidFill>
                </w14:textFill>
              </w:rPr>
              <w:t>排放量</w:t>
            </w:r>
          </w:p>
        </w:tc>
        <w:tc>
          <w:tcPr>
            <w:tcW w:w="1211" w:type="pct"/>
            <w:gridSpan w:val="4"/>
            <w:vAlign w:val="center"/>
          </w:tcPr>
          <w:p w14:paraId="492F01E9">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≥2000t/a□</w:t>
            </w:r>
          </w:p>
        </w:tc>
        <w:tc>
          <w:tcPr>
            <w:tcW w:w="1434" w:type="pct"/>
            <w:gridSpan w:val="7"/>
            <w:vAlign w:val="center"/>
          </w:tcPr>
          <w:p w14:paraId="7973A224">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500~2000t/a□</w:t>
            </w:r>
          </w:p>
        </w:tc>
        <w:tc>
          <w:tcPr>
            <w:tcW w:w="964" w:type="pct"/>
            <w:gridSpan w:val="2"/>
            <w:vAlign w:val="center"/>
          </w:tcPr>
          <w:p w14:paraId="6CD8E15D">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＜500t/a</w:t>
            </w:r>
            <w:r>
              <w:rPr>
                <w:rFonts w:hint="default" w:ascii="Times New Roman" w:hAnsi="Times New Roman" w:eastAsia="宋体" w:cs="Times New Roman"/>
                <w:color w:val="000000" w:themeColor="text1"/>
                <w:sz w:val="21"/>
                <w:szCs w:val="21"/>
                <w:shd w:val="clear" w:color="auto" w:fill="FFFFFF"/>
                <w14:textFill>
                  <w14:solidFill>
                    <w14:schemeClr w14:val="tx1"/>
                  </w14:solidFill>
                </w14:textFill>
              </w:rPr>
              <w:t>□</w:t>
            </w:r>
          </w:p>
        </w:tc>
      </w:tr>
      <w:tr w14:paraId="6CF1A6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46" w:hRule="atLeast"/>
          <w:jc w:val="center"/>
        </w:trPr>
        <w:tc>
          <w:tcPr>
            <w:tcW w:w="540" w:type="pct"/>
            <w:vMerge w:val="continue"/>
            <w:vAlign w:val="center"/>
          </w:tcPr>
          <w:p w14:paraId="1BE6E370">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848" w:type="pct"/>
            <w:vAlign w:val="center"/>
          </w:tcPr>
          <w:p w14:paraId="7008FFE5">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评价因子</w:t>
            </w:r>
          </w:p>
        </w:tc>
        <w:tc>
          <w:tcPr>
            <w:tcW w:w="1849" w:type="pct"/>
            <w:gridSpan w:val="7"/>
            <w:vAlign w:val="center"/>
          </w:tcPr>
          <w:p w14:paraId="23C9055D">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基本污染物</w:t>
            </w:r>
            <w:r>
              <w:rPr>
                <w:rFonts w:hint="eastAsia" w:cs="Times New Roman"/>
                <w:color w:val="000000" w:themeColor="text1"/>
                <w:sz w:val="21"/>
                <w:szCs w:val="21"/>
                <w:lang w:eastAsia="zh-CN"/>
                <w14:textFill>
                  <w14:solidFill>
                    <w14:schemeClr w14:val="tx1"/>
                  </w14:solidFill>
                </w14:textFill>
              </w:rPr>
              <w:t>（）</w:t>
            </w:r>
          </w:p>
          <w:p w14:paraId="2D1B9938">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其他污染物</w:t>
            </w:r>
            <w:r>
              <w:rPr>
                <w:rFonts w:hint="eastAsia" w:cs="Times New Roman"/>
                <w:color w:val="000000" w:themeColor="text1"/>
                <w:sz w:val="21"/>
                <w:szCs w:val="21"/>
                <w:lang w:eastAsia="zh-CN"/>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TSP、H</w:t>
            </w:r>
            <w:r>
              <w:rPr>
                <w:rFonts w:hint="default" w:ascii="Times New Roman" w:hAnsi="Times New Roman" w:eastAsia="宋体" w:cs="Times New Roman"/>
                <w:color w:val="000000" w:themeColor="text1"/>
                <w:sz w:val="21"/>
                <w:szCs w:val="21"/>
                <w:vertAlign w:val="subscript"/>
                <w14:textFill>
                  <w14:solidFill>
                    <w14:schemeClr w14:val="tx1"/>
                  </w14:solidFill>
                </w14:textFill>
              </w:rPr>
              <w:t>2</w:t>
            </w:r>
            <w:r>
              <w:rPr>
                <w:rFonts w:hint="default" w:ascii="Times New Roman" w:hAnsi="Times New Roman" w:eastAsia="宋体" w:cs="Times New Roman"/>
                <w:color w:val="000000" w:themeColor="text1"/>
                <w:sz w:val="21"/>
                <w:szCs w:val="21"/>
                <w14:textFill>
                  <w14:solidFill>
                    <w14:schemeClr w14:val="tx1"/>
                  </w14:solidFill>
                </w14:textFill>
              </w:rPr>
              <w:t>S、NH</w:t>
            </w:r>
            <w:r>
              <w:rPr>
                <w:rFonts w:hint="default" w:ascii="Times New Roman" w:hAnsi="Times New Roman" w:eastAsia="宋体" w:cs="Times New Roman"/>
                <w:color w:val="000000" w:themeColor="text1"/>
                <w:sz w:val="21"/>
                <w:szCs w:val="21"/>
                <w:vertAlign w:val="subscript"/>
                <w14:textFill>
                  <w14:solidFill>
                    <w14:schemeClr w14:val="tx1"/>
                  </w14:solidFill>
                </w14:textFill>
              </w:rPr>
              <w:t>3</w:t>
            </w:r>
            <w:r>
              <w:rPr>
                <w:rFonts w:hint="eastAsia" w:cs="Times New Roman"/>
                <w:color w:val="000000" w:themeColor="text1"/>
                <w:sz w:val="21"/>
                <w:szCs w:val="21"/>
                <w:lang w:eastAsia="zh-CN"/>
                <w14:textFill>
                  <w14:solidFill>
                    <w14:schemeClr w14:val="tx1"/>
                  </w14:solidFill>
                </w14:textFill>
              </w:rPr>
              <w:t>）</w:t>
            </w:r>
          </w:p>
        </w:tc>
        <w:tc>
          <w:tcPr>
            <w:tcW w:w="1761" w:type="pct"/>
            <w:gridSpan w:val="6"/>
            <w:vAlign w:val="center"/>
          </w:tcPr>
          <w:p w14:paraId="03B5DA74">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包括二次PM</w:t>
            </w:r>
            <w:r>
              <w:rPr>
                <w:rFonts w:hint="default" w:ascii="Times New Roman" w:hAnsi="Times New Roman" w:eastAsia="宋体" w:cs="Times New Roman"/>
                <w:color w:val="000000" w:themeColor="text1"/>
                <w:sz w:val="21"/>
                <w:szCs w:val="21"/>
                <w:vertAlign w:val="subscript"/>
                <w14:textFill>
                  <w14:solidFill>
                    <w14:schemeClr w14:val="tx1"/>
                  </w14:solidFill>
                </w14:textFill>
              </w:rPr>
              <w:t>2.5</w:t>
            </w:r>
            <w:r>
              <w:rPr>
                <w:rFonts w:hint="default" w:ascii="Times New Roman" w:hAnsi="Times New Roman" w:eastAsia="宋体" w:cs="Times New Roman"/>
                <w:color w:val="000000" w:themeColor="text1"/>
                <w:sz w:val="21"/>
                <w:szCs w:val="21"/>
                <w14:textFill>
                  <w14:solidFill>
                    <w14:schemeClr w14:val="tx1"/>
                  </w14:solidFill>
                </w14:textFill>
              </w:rPr>
              <w:t>□</w:t>
            </w:r>
          </w:p>
          <w:p w14:paraId="1C095682">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不包括二次PM</w:t>
            </w:r>
            <w:r>
              <w:rPr>
                <w:rFonts w:hint="default" w:ascii="Times New Roman" w:hAnsi="Times New Roman" w:eastAsia="宋体" w:cs="Times New Roman"/>
                <w:color w:val="000000" w:themeColor="text1"/>
                <w:sz w:val="21"/>
                <w:szCs w:val="21"/>
                <w:vertAlign w:val="subscript"/>
                <w14:textFill>
                  <w14:solidFill>
                    <w14:schemeClr w14:val="tx1"/>
                  </w14:solidFill>
                </w14:textFill>
              </w:rPr>
              <w:t>2.5</w:t>
            </w:r>
            <w:r>
              <w:rPr>
                <w:rFonts w:hint="default" w:ascii="Times New Roman" w:hAnsi="Times New Roman" w:eastAsia="宋体" w:cs="Times New Roman"/>
                <w:color w:val="000000" w:themeColor="text1"/>
                <w:sz w:val="21"/>
                <w:szCs w:val="21"/>
                <w14:textFill>
                  <w14:solidFill>
                    <w14:schemeClr w14:val="tx1"/>
                  </w14:solidFill>
                </w14:textFill>
              </w:rPr>
              <w:t>☑</w:t>
            </w:r>
          </w:p>
        </w:tc>
      </w:tr>
      <w:tr w14:paraId="6157C9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41" w:hRule="atLeast"/>
          <w:jc w:val="center"/>
        </w:trPr>
        <w:tc>
          <w:tcPr>
            <w:tcW w:w="540" w:type="pct"/>
            <w:vAlign w:val="center"/>
          </w:tcPr>
          <w:p w14:paraId="05D97FDB">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评价标准</w:t>
            </w:r>
          </w:p>
        </w:tc>
        <w:tc>
          <w:tcPr>
            <w:tcW w:w="848" w:type="pct"/>
            <w:vAlign w:val="center"/>
          </w:tcPr>
          <w:p w14:paraId="536FA6BA">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评价标准</w:t>
            </w:r>
          </w:p>
        </w:tc>
        <w:tc>
          <w:tcPr>
            <w:tcW w:w="1211" w:type="pct"/>
            <w:gridSpan w:val="4"/>
            <w:vAlign w:val="center"/>
          </w:tcPr>
          <w:p w14:paraId="6D92819B">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国家标准</w:t>
            </w:r>
            <w:r>
              <w:rPr>
                <w:rFonts w:hint="default" w:ascii="Times New Roman" w:hAnsi="Times New Roman" w:eastAsia="宋体" w:cs="Times New Roman"/>
                <w:color w:val="000000" w:themeColor="text1"/>
                <w:sz w:val="21"/>
                <w:szCs w:val="21"/>
                <w:shd w:val="clear" w:color="auto" w:fill="FFFFFF"/>
                <w14:textFill>
                  <w14:solidFill>
                    <w14:schemeClr w14:val="tx1"/>
                  </w14:solidFill>
                </w14:textFill>
              </w:rPr>
              <w:t>☑</w:t>
            </w:r>
          </w:p>
        </w:tc>
        <w:tc>
          <w:tcPr>
            <w:tcW w:w="638" w:type="pct"/>
            <w:gridSpan w:val="3"/>
            <w:vAlign w:val="center"/>
          </w:tcPr>
          <w:p w14:paraId="1917D663">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地方标准□</w:t>
            </w:r>
          </w:p>
        </w:tc>
        <w:tc>
          <w:tcPr>
            <w:tcW w:w="796" w:type="pct"/>
            <w:gridSpan w:val="4"/>
            <w:vAlign w:val="center"/>
          </w:tcPr>
          <w:p w14:paraId="66CE27FA">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附录D</w:t>
            </w:r>
            <w:r>
              <w:rPr>
                <w:rFonts w:hint="eastAsia" w:cs="Times New Roman"/>
                <w:color w:val="000000" w:themeColor="text1"/>
                <w:sz w:val="21"/>
                <w:szCs w:val="21"/>
                <w:lang w:eastAsia="zh-CN"/>
                <w14:textFill>
                  <w14:solidFill>
                    <w14:schemeClr w14:val="tx1"/>
                  </w14:solidFill>
                </w14:textFill>
              </w:rPr>
              <w:t>☑</w:t>
            </w:r>
          </w:p>
        </w:tc>
        <w:tc>
          <w:tcPr>
            <w:tcW w:w="964" w:type="pct"/>
            <w:gridSpan w:val="2"/>
            <w:vAlign w:val="center"/>
          </w:tcPr>
          <w:p w14:paraId="5392C3AA">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其他标准□</w:t>
            </w:r>
          </w:p>
        </w:tc>
      </w:tr>
      <w:tr w14:paraId="51EEF8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41" w:hRule="atLeast"/>
          <w:jc w:val="center"/>
        </w:trPr>
        <w:tc>
          <w:tcPr>
            <w:tcW w:w="540" w:type="pct"/>
            <w:vMerge w:val="restart"/>
            <w:vAlign w:val="center"/>
          </w:tcPr>
          <w:p w14:paraId="2255CFBD">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现状评价</w:t>
            </w:r>
          </w:p>
        </w:tc>
        <w:tc>
          <w:tcPr>
            <w:tcW w:w="848" w:type="pct"/>
            <w:vAlign w:val="center"/>
          </w:tcPr>
          <w:p w14:paraId="3854CED9">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环境功能区</w:t>
            </w:r>
          </w:p>
        </w:tc>
        <w:tc>
          <w:tcPr>
            <w:tcW w:w="1211" w:type="pct"/>
            <w:gridSpan w:val="4"/>
            <w:vAlign w:val="center"/>
          </w:tcPr>
          <w:p w14:paraId="31DCA657">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一类区□</w:t>
            </w:r>
          </w:p>
        </w:tc>
        <w:tc>
          <w:tcPr>
            <w:tcW w:w="1016" w:type="pct"/>
            <w:gridSpan w:val="6"/>
            <w:vAlign w:val="center"/>
          </w:tcPr>
          <w:p w14:paraId="18DACDBA">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二类区</w:t>
            </w:r>
            <w:r>
              <w:rPr>
                <w:rFonts w:hint="default" w:ascii="Times New Roman" w:hAnsi="Times New Roman" w:eastAsia="宋体" w:cs="Times New Roman"/>
                <w:color w:val="000000" w:themeColor="text1"/>
                <w:sz w:val="21"/>
                <w:szCs w:val="21"/>
                <w:shd w:val="clear" w:color="auto" w:fill="FFFFFF"/>
                <w14:textFill>
                  <w14:solidFill>
                    <w14:schemeClr w14:val="tx1"/>
                  </w14:solidFill>
                </w14:textFill>
              </w:rPr>
              <w:t>☑</w:t>
            </w:r>
          </w:p>
        </w:tc>
        <w:tc>
          <w:tcPr>
            <w:tcW w:w="1382" w:type="pct"/>
            <w:gridSpan w:val="3"/>
            <w:vAlign w:val="center"/>
          </w:tcPr>
          <w:p w14:paraId="2984EC80">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一类区和二类区□</w:t>
            </w:r>
          </w:p>
        </w:tc>
      </w:tr>
      <w:tr w14:paraId="52D8CC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41" w:hRule="atLeast"/>
          <w:jc w:val="center"/>
        </w:trPr>
        <w:tc>
          <w:tcPr>
            <w:tcW w:w="540" w:type="pct"/>
            <w:vMerge w:val="continue"/>
            <w:vAlign w:val="center"/>
          </w:tcPr>
          <w:p w14:paraId="5536731F">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848" w:type="pct"/>
            <w:vAlign w:val="center"/>
          </w:tcPr>
          <w:p w14:paraId="2836C55E">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评价基准年</w:t>
            </w:r>
          </w:p>
        </w:tc>
        <w:tc>
          <w:tcPr>
            <w:tcW w:w="3610" w:type="pct"/>
            <w:gridSpan w:val="13"/>
            <w:vAlign w:val="center"/>
          </w:tcPr>
          <w:p w14:paraId="22CC0BFA">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（202</w:t>
            </w:r>
            <w:r>
              <w:rPr>
                <w:rFonts w:hint="eastAsia" w:cs="Times New Roman"/>
                <w:color w:val="000000" w:themeColor="text1"/>
                <w:sz w:val="21"/>
                <w:szCs w:val="21"/>
                <w:lang w:val="en-US" w:eastAsia="zh-CN"/>
                <w14:textFill>
                  <w14:solidFill>
                    <w14:schemeClr w14:val="tx1"/>
                  </w14:solidFill>
                </w14:textFill>
              </w:rPr>
              <w:t>3</w:t>
            </w:r>
            <w:r>
              <w:rPr>
                <w:rFonts w:hint="default" w:ascii="Times New Roman" w:hAnsi="Times New Roman" w:eastAsia="宋体" w:cs="Times New Roman"/>
                <w:color w:val="000000" w:themeColor="text1"/>
                <w:sz w:val="21"/>
                <w:szCs w:val="21"/>
                <w14:textFill>
                  <w14:solidFill>
                    <w14:schemeClr w14:val="tx1"/>
                  </w14:solidFill>
                </w14:textFill>
              </w:rPr>
              <w:t>）年</w:t>
            </w:r>
          </w:p>
        </w:tc>
      </w:tr>
      <w:tr w14:paraId="6C1EB4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41" w:hRule="atLeast"/>
          <w:jc w:val="center"/>
        </w:trPr>
        <w:tc>
          <w:tcPr>
            <w:tcW w:w="540" w:type="pct"/>
            <w:vMerge w:val="continue"/>
            <w:vAlign w:val="center"/>
          </w:tcPr>
          <w:p w14:paraId="2F3525B6">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848" w:type="pct"/>
            <w:vAlign w:val="center"/>
          </w:tcPr>
          <w:p w14:paraId="0D13E623">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环境空气质量现状调查数据来源</w:t>
            </w:r>
          </w:p>
        </w:tc>
        <w:tc>
          <w:tcPr>
            <w:tcW w:w="1211" w:type="pct"/>
            <w:gridSpan w:val="4"/>
            <w:vAlign w:val="center"/>
          </w:tcPr>
          <w:p w14:paraId="1E334AD1">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长期例行监测数据□</w:t>
            </w:r>
          </w:p>
        </w:tc>
        <w:tc>
          <w:tcPr>
            <w:tcW w:w="1434" w:type="pct"/>
            <w:gridSpan w:val="7"/>
            <w:vAlign w:val="center"/>
          </w:tcPr>
          <w:p w14:paraId="6A1C579F">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主管部门发布的数据</w:t>
            </w:r>
            <w:r>
              <w:rPr>
                <w:rFonts w:hint="default" w:ascii="Times New Roman" w:hAnsi="Times New Roman" w:eastAsia="宋体" w:cs="Times New Roman"/>
                <w:color w:val="000000" w:themeColor="text1"/>
                <w:sz w:val="21"/>
                <w:szCs w:val="21"/>
                <w:shd w:val="clear" w:color="auto" w:fill="FFFFFF"/>
                <w14:textFill>
                  <w14:solidFill>
                    <w14:schemeClr w14:val="tx1"/>
                  </w14:solidFill>
                </w14:textFill>
              </w:rPr>
              <w:t>☑</w:t>
            </w:r>
          </w:p>
        </w:tc>
        <w:tc>
          <w:tcPr>
            <w:tcW w:w="964" w:type="pct"/>
            <w:gridSpan w:val="2"/>
            <w:vAlign w:val="center"/>
          </w:tcPr>
          <w:p w14:paraId="787CA9DD">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现状补充监测</w:t>
            </w:r>
            <w:r>
              <w:rPr>
                <w:rFonts w:hint="eastAsia" w:cs="Times New Roman"/>
                <w:color w:val="000000" w:themeColor="text1"/>
                <w:sz w:val="21"/>
                <w:szCs w:val="21"/>
                <w:lang w:eastAsia="zh-CN"/>
                <w14:textFill>
                  <w14:solidFill>
                    <w14:schemeClr w14:val="tx1"/>
                  </w14:solidFill>
                </w14:textFill>
              </w:rPr>
              <w:t>☑</w:t>
            </w:r>
          </w:p>
        </w:tc>
      </w:tr>
      <w:tr w14:paraId="19A461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41" w:hRule="atLeast"/>
          <w:jc w:val="center"/>
        </w:trPr>
        <w:tc>
          <w:tcPr>
            <w:tcW w:w="540" w:type="pct"/>
            <w:vMerge w:val="continue"/>
            <w:vAlign w:val="center"/>
          </w:tcPr>
          <w:p w14:paraId="3E9BF2B9">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848" w:type="pct"/>
            <w:vAlign w:val="center"/>
          </w:tcPr>
          <w:p w14:paraId="7C7DFE68">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现状评价</w:t>
            </w:r>
          </w:p>
        </w:tc>
        <w:tc>
          <w:tcPr>
            <w:tcW w:w="1849" w:type="pct"/>
            <w:gridSpan w:val="7"/>
            <w:vAlign w:val="center"/>
          </w:tcPr>
          <w:p w14:paraId="526FFDAF">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达标区</w:t>
            </w:r>
            <w:r>
              <w:rPr>
                <w:rFonts w:hint="eastAsia" w:cs="Times New Roman"/>
                <w:color w:val="000000" w:themeColor="text1"/>
                <w:sz w:val="21"/>
                <w:szCs w:val="21"/>
                <w:lang w:eastAsia="zh-CN"/>
                <w14:textFill>
                  <w14:solidFill>
                    <w14:schemeClr w14:val="tx1"/>
                  </w14:solidFill>
                </w14:textFill>
              </w:rPr>
              <w:t>☑</w:t>
            </w:r>
          </w:p>
        </w:tc>
        <w:tc>
          <w:tcPr>
            <w:tcW w:w="1761" w:type="pct"/>
            <w:gridSpan w:val="6"/>
            <w:vAlign w:val="center"/>
          </w:tcPr>
          <w:p w14:paraId="722351A2">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不达标区□</w:t>
            </w:r>
          </w:p>
        </w:tc>
      </w:tr>
      <w:tr w14:paraId="387DE7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41" w:hRule="atLeast"/>
          <w:jc w:val="center"/>
        </w:trPr>
        <w:tc>
          <w:tcPr>
            <w:tcW w:w="540" w:type="pct"/>
            <w:vAlign w:val="center"/>
          </w:tcPr>
          <w:p w14:paraId="5A9F18AD">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污染源</w:t>
            </w:r>
          </w:p>
          <w:p w14:paraId="1BB9E2AE">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调查</w:t>
            </w:r>
          </w:p>
        </w:tc>
        <w:tc>
          <w:tcPr>
            <w:tcW w:w="848" w:type="pct"/>
            <w:vAlign w:val="center"/>
          </w:tcPr>
          <w:p w14:paraId="46236E79">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调查内容</w:t>
            </w:r>
          </w:p>
        </w:tc>
        <w:tc>
          <w:tcPr>
            <w:tcW w:w="1211" w:type="pct"/>
            <w:gridSpan w:val="4"/>
            <w:vAlign w:val="center"/>
          </w:tcPr>
          <w:p w14:paraId="245263C7">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本项目正常排放源</w:t>
            </w:r>
            <w:r>
              <w:rPr>
                <w:rFonts w:hint="default" w:ascii="Times New Roman" w:hAnsi="Times New Roman" w:eastAsia="宋体" w:cs="Times New Roman"/>
                <w:color w:val="000000" w:themeColor="text1"/>
                <w:sz w:val="21"/>
                <w:szCs w:val="21"/>
                <w:shd w:val="clear" w:color="auto" w:fill="FFFFFF"/>
                <w14:textFill>
                  <w14:solidFill>
                    <w14:schemeClr w14:val="tx1"/>
                  </w14:solidFill>
                </w14:textFill>
              </w:rPr>
              <w:t>☑</w:t>
            </w:r>
          </w:p>
          <w:p w14:paraId="171E0A72">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本项目非正常排放源□</w:t>
            </w:r>
          </w:p>
          <w:p w14:paraId="31B23FC3">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现有污染源□</w:t>
            </w:r>
          </w:p>
        </w:tc>
        <w:tc>
          <w:tcPr>
            <w:tcW w:w="638" w:type="pct"/>
            <w:gridSpan w:val="3"/>
            <w:vAlign w:val="center"/>
          </w:tcPr>
          <w:p w14:paraId="6DF3027A">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拟替代的污染源□</w:t>
            </w:r>
          </w:p>
        </w:tc>
        <w:tc>
          <w:tcPr>
            <w:tcW w:w="796" w:type="pct"/>
            <w:gridSpan w:val="4"/>
            <w:vAlign w:val="center"/>
          </w:tcPr>
          <w:p w14:paraId="71E19E69">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其他在建、拟建项目污染源□</w:t>
            </w:r>
          </w:p>
        </w:tc>
        <w:tc>
          <w:tcPr>
            <w:tcW w:w="964" w:type="pct"/>
            <w:gridSpan w:val="2"/>
            <w:vAlign w:val="center"/>
          </w:tcPr>
          <w:p w14:paraId="52A5ECD9">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区域污染源□</w:t>
            </w:r>
          </w:p>
        </w:tc>
      </w:tr>
      <w:tr w14:paraId="33FA65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41" w:hRule="atLeast"/>
          <w:jc w:val="center"/>
        </w:trPr>
        <w:tc>
          <w:tcPr>
            <w:tcW w:w="540" w:type="pct"/>
            <w:vMerge w:val="restart"/>
            <w:vAlign w:val="center"/>
          </w:tcPr>
          <w:p w14:paraId="49A06526">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大气环境影响预测与评价</w:t>
            </w:r>
          </w:p>
        </w:tc>
        <w:tc>
          <w:tcPr>
            <w:tcW w:w="848" w:type="pct"/>
            <w:vAlign w:val="center"/>
          </w:tcPr>
          <w:p w14:paraId="7C657CB5">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预测模型</w:t>
            </w:r>
          </w:p>
        </w:tc>
        <w:tc>
          <w:tcPr>
            <w:tcW w:w="588" w:type="pct"/>
            <w:vAlign w:val="center"/>
          </w:tcPr>
          <w:p w14:paraId="1AEA08B4">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AERMOD</w:t>
            </w:r>
          </w:p>
          <w:p w14:paraId="27B01128">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eastAsia" w:cs="Times New Roman"/>
                <w:color w:val="000000" w:themeColor="text1"/>
                <w:sz w:val="21"/>
                <w:szCs w:val="21"/>
                <w:lang w:eastAsia="zh-CN"/>
                <w14:textFill>
                  <w14:solidFill>
                    <w14:schemeClr w14:val="tx1"/>
                  </w14:solidFill>
                </w14:textFill>
              </w:rPr>
              <w:t>☑</w:t>
            </w:r>
          </w:p>
        </w:tc>
        <w:tc>
          <w:tcPr>
            <w:tcW w:w="393" w:type="pct"/>
            <w:vAlign w:val="center"/>
          </w:tcPr>
          <w:p w14:paraId="33A0C33C">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ADMS</w:t>
            </w:r>
          </w:p>
          <w:p w14:paraId="4F029167">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p>
        </w:tc>
        <w:tc>
          <w:tcPr>
            <w:tcW w:w="428" w:type="pct"/>
            <w:gridSpan w:val="4"/>
            <w:vAlign w:val="center"/>
          </w:tcPr>
          <w:p w14:paraId="11B11399">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AUSTAL2000□</w:t>
            </w:r>
          </w:p>
        </w:tc>
        <w:tc>
          <w:tcPr>
            <w:tcW w:w="671" w:type="pct"/>
            <w:gridSpan w:val="2"/>
            <w:vAlign w:val="center"/>
          </w:tcPr>
          <w:p w14:paraId="1D1D3B43">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EDMS/AEDT□</w:t>
            </w:r>
          </w:p>
        </w:tc>
        <w:tc>
          <w:tcPr>
            <w:tcW w:w="564" w:type="pct"/>
            <w:gridSpan w:val="3"/>
            <w:vAlign w:val="center"/>
          </w:tcPr>
          <w:p w14:paraId="297FA948">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CALPUFF</w:t>
            </w:r>
          </w:p>
          <w:p w14:paraId="4DA2DEE1">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p>
        </w:tc>
        <w:tc>
          <w:tcPr>
            <w:tcW w:w="381" w:type="pct"/>
            <w:vAlign w:val="center"/>
          </w:tcPr>
          <w:p w14:paraId="76C67224">
            <w:pPr>
              <w:keepNext w:val="0"/>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网格模型</w:t>
            </w:r>
          </w:p>
          <w:p w14:paraId="67B07B97">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p>
        </w:tc>
        <w:tc>
          <w:tcPr>
            <w:tcW w:w="583" w:type="pct"/>
            <w:vAlign w:val="center"/>
          </w:tcPr>
          <w:p w14:paraId="6C1937F2">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其他</w:t>
            </w:r>
          </w:p>
          <w:p w14:paraId="309F79F5">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p>
        </w:tc>
      </w:tr>
      <w:tr w14:paraId="5E3982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2" w:hRule="atLeast"/>
          <w:jc w:val="center"/>
        </w:trPr>
        <w:tc>
          <w:tcPr>
            <w:tcW w:w="540" w:type="pct"/>
            <w:vMerge w:val="continue"/>
            <w:vAlign w:val="center"/>
          </w:tcPr>
          <w:p w14:paraId="3972B582">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848" w:type="pct"/>
            <w:vAlign w:val="center"/>
          </w:tcPr>
          <w:p w14:paraId="4D957BA2">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预测范围</w:t>
            </w:r>
          </w:p>
        </w:tc>
        <w:tc>
          <w:tcPr>
            <w:tcW w:w="982" w:type="pct"/>
            <w:gridSpan w:val="2"/>
            <w:vAlign w:val="center"/>
          </w:tcPr>
          <w:p w14:paraId="76D7FC39">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边长≥50km□</w:t>
            </w:r>
          </w:p>
        </w:tc>
        <w:tc>
          <w:tcPr>
            <w:tcW w:w="1663" w:type="pct"/>
            <w:gridSpan w:val="9"/>
            <w:vAlign w:val="center"/>
          </w:tcPr>
          <w:p w14:paraId="58D8C62A">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边长5～50km□</w:t>
            </w:r>
          </w:p>
        </w:tc>
        <w:tc>
          <w:tcPr>
            <w:tcW w:w="964" w:type="pct"/>
            <w:gridSpan w:val="2"/>
            <w:vAlign w:val="center"/>
          </w:tcPr>
          <w:p w14:paraId="651D937E">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边长=5km</w:t>
            </w:r>
            <w:r>
              <w:rPr>
                <w:rFonts w:hint="default" w:ascii="Times New Roman" w:hAnsi="Times New Roman" w:eastAsia="宋体" w:cs="Times New Roman"/>
                <w:color w:val="000000" w:themeColor="text1"/>
                <w:sz w:val="21"/>
                <w:szCs w:val="21"/>
                <w:shd w:val="clear" w:color="auto" w:fill="FFFFFF"/>
                <w14:textFill>
                  <w14:solidFill>
                    <w14:schemeClr w14:val="tx1"/>
                  </w14:solidFill>
                </w14:textFill>
              </w:rPr>
              <w:t>☑</w:t>
            </w:r>
          </w:p>
        </w:tc>
      </w:tr>
      <w:tr w14:paraId="5E51F3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01" w:hRule="atLeast"/>
          <w:jc w:val="center"/>
        </w:trPr>
        <w:tc>
          <w:tcPr>
            <w:tcW w:w="540" w:type="pct"/>
            <w:vMerge w:val="continue"/>
            <w:vAlign w:val="center"/>
          </w:tcPr>
          <w:p w14:paraId="13D543A7">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848" w:type="pct"/>
            <w:vAlign w:val="center"/>
          </w:tcPr>
          <w:p w14:paraId="0E18D1BE">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预测因子</w:t>
            </w:r>
          </w:p>
        </w:tc>
        <w:tc>
          <w:tcPr>
            <w:tcW w:w="1849" w:type="pct"/>
            <w:gridSpan w:val="7"/>
            <w:vAlign w:val="center"/>
          </w:tcPr>
          <w:p w14:paraId="099BB835">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预测因子</w:t>
            </w:r>
            <w:r>
              <w:rPr>
                <w:rFonts w:hint="eastAsia" w:cs="Times New Roman"/>
                <w:color w:val="000000" w:themeColor="text1"/>
                <w:sz w:val="21"/>
                <w:szCs w:val="21"/>
                <w:lang w:eastAsia="zh-CN"/>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TSP、H</w:t>
            </w:r>
            <w:r>
              <w:rPr>
                <w:rFonts w:hint="default" w:ascii="Times New Roman" w:hAnsi="Times New Roman" w:eastAsia="宋体" w:cs="Times New Roman"/>
                <w:color w:val="000000" w:themeColor="text1"/>
                <w:sz w:val="21"/>
                <w:szCs w:val="21"/>
                <w:vertAlign w:val="subscript"/>
                <w14:textFill>
                  <w14:solidFill>
                    <w14:schemeClr w14:val="tx1"/>
                  </w14:solidFill>
                </w14:textFill>
              </w:rPr>
              <w:t>2</w:t>
            </w:r>
            <w:r>
              <w:rPr>
                <w:rFonts w:hint="default" w:ascii="Times New Roman" w:hAnsi="Times New Roman" w:eastAsia="宋体" w:cs="Times New Roman"/>
                <w:color w:val="000000" w:themeColor="text1"/>
                <w:sz w:val="21"/>
                <w:szCs w:val="21"/>
                <w14:textFill>
                  <w14:solidFill>
                    <w14:schemeClr w14:val="tx1"/>
                  </w14:solidFill>
                </w14:textFill>
              </w:rPr>
              <w:t>S</w:t>
            </w:r>
            <w:r>
              <w:rPr>
                <w:rFonts w:hint="default" w:ascii="Times New Roman" w:hAnsi="Times New Roman" w:eastAsia="宋体" w:cs="Times New Roman"/>
                <w:color w:val="000000" w:themeColor="text1"/>
                <w:sz w:val="21"/>
                <w:szCs w:val="21"/>
                <w:lang w:eastAsia="zh-CN"/>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NH</w:t>
            </w:r>
            <w:r>
              <w:rPr>
                <w:rFonts w:hint="eastAsia" w:cs="Times New Roman"/>
                <w:color w:val="000000" w:themeColor="text1"/>
                <w:sz w:val="21"/>
                <w:szCs w:val="21"/>
                <w:vertAlign w:val="subscript"/>
                <w:lang w:val="en-US" w:eastAsia="zh-CN"/>
                <w14:textFill>
                  <w14:solidFill>
                    <w14:schemeClr w14:val="tx1"/>
                  </w14:solidFill>
                </w14:textFill>
              </w:rPr>
              <w:t>3</w:t>
            </w:r>
            <w:r>
              <w:rPr>
                <w:rFonts w:hint="eastAsia" w:cs="Times New Roman"/>
                <w:color w:val="000000" w:themeColor="text1"/>
                <w:sz w:val="21"/>
                <w:szCs w:val="21"/>
                <w:lang w:eastAsia="zh-CN"/>
                <w14:textFill>
                  <w14:solidFill>
                    <w14:schemeClr w14:val="tx1"/>
                  </w14:solidFill>
                </w14:textFill>
              </w:rPr>
              <w:t>）</w:t>
            </w:r>
          </w:p>
        </w:tc>
        <w:tc>
          <w:tcPr>
            <w:tcW w:w="1761" w:type="pct"/>
            <w:gridSpan w:val="6"/>
            <w:vAlign w:val="center"/>
          </w:tcPr>
          <w:p w14:paraId="6D62827F">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包括二次PM</w:t>
            </w:r>
            <w:r>
              <w:rPr>
                <w:rFonts w:hint="default" w:ascii="Times New Roman" w:hAnsi="Times New Roman" w:eastAsia="宋体" w:cs="Times New Roman"/>
                <w:color w:val="000000" w:themeColor="text1"/>
                <w:sz w:val="21"/>
                <w:szCs w:val="21"/>
                <w:vertAlign w:val="subscript"/>
                <w14:textFill>
                  <w14:solidFill>
                    <w14:schemeClr w14:val="tx1"/>
                  </w14:solidFill>
                </w14:textFill>
              </w:rPr>
              <w:t>2.5</w:t>
            </w:r>
            <w:r>
              <w:rPr>
                <w:rFonts w:hint="default" w:ascii="Times New Roman" w:hAnsi="Times New Roman" w:eastAsia="宋体" w:cs="Times New Roman"/>
                <w:color w:val="000000" w:themeColor="text1"/>
                <w:sz w:val="21"/>
                <w:szCs w:val="21"/>
                <w14:textFill>
                  <w14:solidFill>
                    <w14:schemeClr w14:val="tx1"/>
                  </w14:solidFill>
                </w14:textFill>
              </w:rPr>
              <w:t>□</w:t>
            </w:r>
          </w:p>
          <w:p w14:paraId="0266BED1">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不包括二次PM</w:t>
            </w:r>
            <w:r>
              <w:rPr>
                <w:rFonts w:hint="default" w:ascii="Times New Roman" w:hAnsi="Times New Roman" w:eastAsia="宋体" w:cs="Times New Roman"/>
                <w:color w:val="000000" w:themeColor="text1"/>
                <w:sz w:val="21"/>
                <w:szCs w:val="21"/>
                <w:vertAlign w:val="subscript"/>
                <w14:textFill>
                  <w14:solidFill>
                    <w14:schemeClr w14:val="tx1"/>
                  </w14:solidFill>
                </w14:textFill>
              </w:rPr>
              <w:t>2.5</w:t>
            </w:r>
            <w:r>
              <w:rPr>
                <w:rFonts w:hint="default" w:ascii="Times New Roman" w:hAnsi="Times New Roman" w:eastAsia="宋体" w:cs="Times New Roman"/>
                <w:color w:val="000000" w:themeColor="text1"/>
                <w:sz w:val="21"/>
                <w:szCs w:val="21"/>
                <w14:textFill>
                  <w14:solidFill>
                    <w14:schemeClr w14:val="tx1"/>
                  </w14:solidFill>
                </w14:textFill>
              </w:rPr>
              <w:t>□</w:t>
            </w:r>
          </w:p>
        </w:tc>
      </w:tr>
      <w:tr w14:paraId="78955A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41" w:hRule="atLeast"/>
          <w:jc w:val="center"/>
        </w:trPr>
        <w:tc>
          <w:tcPr>
            <w:tcW w:w="540" w:type="pct"/>
            <w:vMerge w:val="continue"/>
            <w:vAlign w:val="center"/>
          </w:tcPr>
          <w:p w14:paraId="635DC344">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848" w:type="pct"/>
            <w:vAlign w:val="center"/>
          </w:tcPr>
          <w:p w14:paraId="41159C96">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正常排放短期浓度贡献值</w:t>
            </w:r>
          </w:p>
        </w:tc>
        <w:tc>
          <w:tcPr>
            <w:tcW w:w="1849" w:type="pct"/>
            <w:gridSpan w:val="7"/>
            <w:vAlign w:val="center"/>
          </w:tcPr>
          <w:p w14:paraId="274449DD">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drawing>
                <wp:inline distT="0" distB="0" distL="0" distR="0">
                  <wp:extent cx="323850" cy="171450"/>
                  <wp:effectExtent l="0" t="0" r="0" b="0"/>
                  <wp:docPr id="73" name="图片 73"/>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rrowheads="1"/>
                          </pic:cNvPicPr>
                        </pic:nvPicPr>
                        <pic:blipFill>
                          <a:blip r:embed="rId61">
                            <a:extLst>
                              <a:ext uri="{28A0092B-C50C-407E-A947-70E740481C1C}">
                                <a14:useLocalDpi xmlns:a14="http://schemas.microsoft.com/office/drawing/2010/main" val="0"/>
                              </a:ext>
                            </a:extLst>
                          </a:blip>
                          <a:srcRect/>
                          <a:stretch>
                            <a:fillRect/>
                          </a:stretch>
                        </pic:blipFill>
                        <pic:spPr>
                          <a:xfrm>
                            <a:off x="0" y="0"/>
                            <a:ext cx="323850" cy="171450"/>
                          </a:xfrm>
                          <a:prstGeom prst="rect">
                            <a:avLst/>
                          </a:prstGeom>
                          <a:noFill/>
                          <a:ln>
                            <a:noFill/>
                          </a:ln>
                        </pic:spPr>
                      </pic:pic>
                    </a:graphicData>
                  </a:graphic>
                </wp:inline>
              </w:drawing>
            </w:r>
            <w:r>
              <w:rPr>
                <w:rFonts w:hint="default" w:ascii="Times New Roman" w:hAnsi="Times New Roman" w:eastAsia="宋体" w:cs="Times New Roman"/>
                <w:color w:val="000000" w:themeColor="text1"/>
                <w:sz w:val="21"/>
                <w:szCs w:val="21"/>
                <w14:textFill>
                  <w14:solidFill>
                    <w14:schemeClr w14:val="tx1"/>
                  </w14:solidFill>
                </w14:textFill>
              </w:rPr>
              <w:t>最大占标率≤100%□</w:t>
            </w:r>
          </w:p>
        </w:tc>
        <w:tc>
          <w:tcPr>
            <w:tcW w:w="1761" w:type="pct"/>
            <w:gridSpan w:val="6"/>
            <w:vAlign w:val="center"/>
          </w:tcPr>
          <w:p w14:paraId="1059B9C4">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drawing>
                <wp:inline distT="0" distB="0" distL="0" distR="0">
                  <wp:extent cx="323850" cy="171450"/>
                  <wp:effectExtent l="0" t="0" r="0" b="0"/>
                  <wp:docPr id="72" name="图片 72"/>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rrowheads="1"/>
                          </pic:cNvPicPr>
                        </pic:nvPicPr>
                        <pic:blipFill>
                          <a:blip r:embed="rId61">
                            <a:extLst>
                              <a:ext uri="{28A0092B-C50C-407E-A947-70E740481C1C}">
                                <a14:useLocalDpi xmlns:a14="http://schemas.microsoft.com/office/drawing/2010/main" val="0"/>
                              </a:ext>
                            </a:extLst>
                          </a:blip>
                          <a:srcRect/>
                          <a:stretch>
                            <a:fillRect/>
                          </a:stretch>
                        </pic:blipFill>
                        <pic:spPr>
                          <a:xfrm>
                            <a:off x="0" y="0"/>
                            <a:ext cx="323850" cy="171450"/>
                          </a:xfrm>
                          <a:prstGeom prst="rect">
                            <a:avLst/>
                          </a:prstGeom>
                          <a:noFill/>
                          <a:ln>
                            <a:noFill/>
                          </a:ln>
                        </pic:spPr>
                      </pic:pic>
                    </a:graphicData>
                  </a:graphic>
                </wp:inline>
              </w:drawing>
            </w:r>
            <w:r>
              <w:rPr>
                <w:rFonts w:hint="default" w:ascii="Times New Roman" w:hAnsi="Times New Roman" w:eastAsia="宋体" w:cs="Times New Roman"/>
                <w:color w:val="000000" w:themeColor="text1"/>
                <w:sz w:val="21"/>
                <w:szCs w:val="21"/>
                <w14:textFill>
                  <w14:solidFill>
                    <w14:schemeClr w14:val="tx1"/>
                  </w14:solidFill>
                </w14:textFill>
              </w:rPr>
              <w:t>最大占标率＞100%□</w:t>
            </w:r>
          </w:p>
        </w:tc>
      </w:tr>
      <w:tr w14:paraId="06D2C3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89" w:hRule="atLeast"/>
          <w:jc w:val="center"/>
        </w:trPr>
        <w:tc>
          <w:tcPr>
            <w:tcW w:w="540" w:type="pct"/>
            <w:vMerge w:val="continue"/>
            <w:vAlign w:val="center"/>
          </w:tcPr>
          <w:p w14:paraId="76EE23B0">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848" w:type="pct"/>
            <w:vMerge w:val="restart"/>
            <w:vAlign w:val="center"/>
          </w:tcPr>
          <w:p w14:paraId="267EBB0C">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正常排放年均浓度贡献值</w:t>
            </w:r>
          </w:p>
        </w:tc>
        <w:tc>
          <w:tcPr>
            <w:tcW w:w="588" w:type="pct"/>
            <w:vAlign w:val="center"/>
          </w:tcPr>
          <w:p w14:paraId="7DB134F5">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一类区</w:t>
            </w:r>
          </w:p>
        </w:tc>
        <w:tc>
          <w:tcPr>
            <w:tcW w:w="1260" w:type="pct"/>
            <w:gridSpan w:val="6"/>
            <w:vAlign w:val="center"/>
          </w:tcPr>
          <w:p w14:paraId="238600AC">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最大占标率≤10%□</w:t>
            </w:r>
          </w:p>
        </w:tc>
        <w:tc>
          <w:tcPr>
            <w:tcW w:w="1761" w:type="pct"/>
            <w:gridSpan w:val="6"/>
            <w:vAlign w:val="center"/>
          </w:tcPr>
          <w:p w14:paraId="1FFD0C70">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drawing>
                <wp:inline distT="0" distB="0" distL="0" distR="0">
                  <wp:extent cx="323850" cy="171450"/>
                  <wp:effectExtent l="0" t="0" r="0" b="0"/>
                  <wp:docPr id="70" name="图片 70"/>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rrowheads="1"/>
                          </pic:cNvPicPr>
                        </pic:nvPicPr>
                        <pic:blipFill>
                          <a:blip r:embed="rId61">
                            <a:extLst>
                              <a:ext uri="{28A0092B-C50C-407E-A947-70E740481C1C}">
                                <a14:useLocalDpi xmlns:a14="http://schemas.microsoft.com/office/drawing/2010/main" val="0"/>
                              </a:ext>
                            </a:extLst>
                          </a:blip>
                          <a:srcRect/>
                          <a:stretch>
                            <a:fillRect/>
                          </a:stretch>
                        </pic:blipFill>
                        <pic:spPr>
                          <a:xfrm>
                            <a:off x="0" y="0"/>
                            <a:ext cx="323850" cy="171450"/>
                          </a:xfrm>
                          <a:prstGeom prst="rect">
                            <a:avLst/>
                          </a:prstGeom>
                          <a:noFill/>
                          <a:ln>
                            <a:noFill/>
                          </a:ln>
                        </pic:spPr>
                      </pic:pic>
                    </a:graphicData>
                  </a:graphic>
                </wp:inline>
              </w:drawing>
            </w:r>
            <w:r>
              <w:rPr>
                <w:rFonts w:hint="default" w:ascii="Times New Roman" w:hAnsi="Times New Roman" w:eastAsia="宋体" w:cs="Times New Roman"/>
                <w:color w:val="000000" w:themeColor="text1"/>
                <w:sz w:val="21"/>
                <w:szCs w:val="21"/>
                <w14:textFill>
                  <w14:solidFill>
                    <w14:schemeClr w14:val="tx1"/>
                  </w14:solidFill>
                </w14:textFill>
              </w:rPr>
              <w:t>最大标率＞10%□</w:t>
            </w:r>
          </w:p>
        </w:tc>
      </w:tr>
      <w:tr w14:paraId="5B1CCE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11" w:hRule="atLeast"/>
          <w:jc w:val="center"/>
        </w:trPr>
        <w:tc>
          <w:tcPr>
            <w:tcW w:w="540" w:type="pct"/>
            <w:vMerge w:val="continue"/>
            <w:vAlign w:val="center"/>
          </w:tcPr>
          <w:p w14:paraId="3BEE6894">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848" w:type="pct"/>
            <w:vMerge w:val="continue"/>
            <w:vAlign w:val="center"/>
          </w:tcPr>
          <w:p w14:paraId="1829935E">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588" w:type="pct"/>
            <w:vAlign w:val="center"/>
          </w:tcPr>
          <w:p w14:paraId="41B844E5">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二类区</w:t>
            </w:r>
          </w:p>
        </w:tc>
        <w:tc>
          <w:tcPr>
            <w:tcW w:w="1260" w:type="pct"/>
            <w:gridSpan w:val="6"/>
            <w:vAlign w:val="center"/>
          </w:tcPr>
          <w:p w14:paraId="75AF5813">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最大占标率≤30%□</w:t>
            </w:r>
          </w:p>
        </w:tc>
        <w:tc>
          <w:tcPr>
            <w:tcW w:w="1761" w:type="pct"/>
            <w:gridSpan w:val="6"/>
            <w:vAlign w:val="center"/>
          </w:tcPr>
          <w:p w14:paraId="10916F1D">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drawing>
                <wp:inline distT="0" distB="0" distL="0" distR="0">
                  <wp:extent cx="323850" cy="171450"/>
                  <wp:effectExtent l="0" t="0" r="0" b="0"/>
                  <wp:docPr id="67" name="图片 67"/>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rrowheads="1"/>
                          </pic:cNvPicPr>
                        </pic:nvPicPr>
                        <pic:blipFill>
                          <a:blip r:embed="rId61">
                            <a:extLst>
                              <a:ext uri="{28A0092B-C50C-407E-A947-70E740481C1C}">
                                <a14:useLocalDpi xmlns:a14="http://schemas.microsoft.com/office/drawing/2010/main" val="0"/>
                              </a:ext>
                            </a:extLst>
                          </a:blip>
                          <a:srcRect/>
                          <a:stretch>
                            <a:fillRect/>
                          </a:stretch>
                        </pic:blipFill>
                        <pic:spPr>
                          <a:xfrm>
                            <a:off x="0" y="0"/>
                            <a:ext cx="323850" cy="171450"/>
                          </a:xfrm>
                          <a:prstGeom prst="rect">
                            <a:avLst/>
                          </a:prstGeom>
                          <a:noFill/>
                          <a:ln>
                            <a:noFill/>
                          </a:ln>
                        </pic:spPr>
                      </pic:pic>
                    </a:graphicData>
                  </a:graphic>
                </wp:inline>
              </w:drawing>
            </w:r>
            <w:r>
              <w:rPr>
                <w:rFonts w:hint="default" w:ascii="Times New Roman" w:hAnsi="Times New Roman" w:eastAsia="宋体" w:cs="Times New Roman"/>
                <w:color w:val="000000" w:themeColor="text1"/>
                <w:sz w:val="21"/>
                <w:szCs w:val="21"/>
                <w14:textFill>
                  <w14:solidFill>
                    <w14:schemeClr w14:val="tx1"/>
                  </w14:solidFill>
                </w14:textFill>
              </w:rPr>
              <w:t>最大标率＞30%□</w:t>
            </w:r>
          </w:p>
        </w:tc>
      </w:tr>
      <w:tr w14:paraId="301FE3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41" w:hRule="atLeast"/>
          <w:jc w:val="center"/>
        </w:trPr>
        <w:tc>
          <w:tcPr>
            <w:tcW w:w="540" w:type="pct"/>
            <w:vMerge w:val="continue"/>
            <w:vAlign w:val="center"/>
          </w:tcPr>
          <w:p w14:paraId="6B18B102">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848" w:type="pct"/>
            <w:vAlign w:val="center"/>
          </w:tcPr>
          <w:p w14:paraId="2381D144">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非正常排放1h浓度贡献值</w:t>
            </w:r>
          </w:p>
        </w:tc>
        <w:tc>
          <w:tcPr>
            <w:tcW w:w="1088" w:type="pct"/>
            <w:gridSpan w:val="3"/>
            <w:vAlign w:val="center"/>
          </w:tcPr>
          <w:p w14:paraId="51D45DFC">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非正常持续时长</w:t>
            </w:r>
          </w:p>
          <w:p w14:paraId="26E1E4A4">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（）h</w:t>
            </w:r>
          </w:p>
        </w:tc>
        <w:tc>
          <w:tcPr>
            <w:tcW w:w="1067" w:type="pct"/>
            <w:gridSpan w:val="6"/>
            <w:vAlign w:val="center"/>
          </w:tcPr>
          <w:p w14:paraId="43C1A369">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占标率≤100%□</w:t>
            </w:r>
          </w:p>
        </w:tc>
        <w:tc>
          <w:tcPr>
            <w:tcW w:w="1454" w:type="pct"/>
            <w:gridSpan w:val="4"/>
            <w:vAlign w:val="center"/>
          </w:tcPr>
          <w:p w14:paraId="17FC1E0C">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drawing>
                <wp:inline distT="0" distB="0" distL="0" distR="0">
                  <wp:extent cx="323850" cy="171450"/>
                  <wp:effectExtent l="0" t="0" r="0" b="0"/>
                  <wp:docPr id="65" name="图片 65"/>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rrowheads="1"/>
                          </pic:cNvPicPr>
                        </pic:nvPicPr>
                        <pic:blipFill>
                          <a:blip r:embed="rId61">
                            <a:extLst>
                              <a:ext uri="{28A0092B-C50C-407E-A947-70E740481C1C}">
                                <a14:useLocalDpi xmlns:a14="http://schemas.microsoft.com/office/drawing/2010/main" val="0"/>
                              </a:ext>
                            </a:extLst>
                          </a:blip>
                          <a:srcRect/>
                          <a:stretch>
                            <a:fillRect/>
                          </a:stretch>
                        </pic:blipFill>
                        <pic:spPr>
                          <a:xfrm>
                            <a:off x="0" y="0"/>
                            <a:ext cx="323850" cy="171450"/>
                          </a:xfrm>
                          <a:prstGeom prst="rect">
                            <a:avLst/>
                          </a:prstGeom>
                          <a:noFill/>
                          <a:ln>
                            <a:noFill/>
                          </a:ln>
                        </pic:spPr>
                      </pic:pic>
                    </a:graphicData>
                  </a:graphic>
                </wp:inline>
              </w:drawing>
            </w:r>
            <w:r>
              <w:rPr>
                <w:rFonts w:hint="default" w:ascii="Times New Roman" w:hAnsi="Times New Roman" w:eastAsia="宋体" w:cs="Times New Roman"/>
                <w:color w:val="000000" w:themeColor="text1"/>
                <w:sz w:val="21"/>
                <w:szCs w:val="21"/>
                <w14:textFill>
                  <w14:solidFill>
                    <w14:schemeClr w14:val="tx1"/>
                  </w14:solidFill>
                </w14:textFill>
              </w:rPr>
              <w:t>占标率＞100%□</w:t>
            </w:r>
          </w:p>
        </w:tc>
      </w:tr>
      <w:tr w14:paraId="5DB86E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25" w:hRule="atLeast"/>
          <w:jc w:val="center"/>
        </w:trPr>
        <w:tc>
          <w:tcPr>
            <w:tcW w:w="540" w:type="pct"/>
            <w:vMerge w:val="continue"/>
            <w:vAlign w:val="center"/>
          </w:tcPr>
          <w:p w14:paraId="28D926B3">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848" w:type="pct"/>
            <w:vAlign w:val="center"/>
          </w:tcPr>
          <w:p w14:paraId="7C8B4CE7">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保证率日平均浓度和年平均浓度叠加值</w:t>
            </w:r>
          </w:p>
        </w:tc>
        <w:tc>
          <w:tcPr>
            <w:tcW w:w="1342" w:type="pct"/>
            <w:gridSpan w:val="5"/>
            <w:vAlign w:val="center"/>
          </w:tcPr>
          <w:p w14:paraId="07C3B8D8">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达标□</w:t>
            </w:r>
          </w:p>
        </w:tc>
        <w:tc>
          <w:tcPr>
            <w:tcW w:w="2268" w:type="pct"/>
            <w:gridSpan w:val="8"/>
            <w:vAlign w:val="center"/>
          </w:tcPr>
          <w:p w14:paraId="637E2A78">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drawing>
                <wp:inline distT="0" distB="0" distL="0" distR="0">
                  <wp:extent cx="238125" cy="171450"/>
                  <wp:effectExtent l="0" t="0" r="0" b="0"/>
                  <wp:docPr id="63" name="图片 63"/>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rrowheads="1"/>
                          </pic:cNvPicPr>
                        </pic:nvPicPr>
                        <pic:blipFill>
                          <a:blip r:embed="rId62">
                            <a:extLst>
                              <a:ext uri="{28A0092B-C50C-407E-A947-70E740481C1C}">
                                <a14:useLocalDpi xmlns:a14="http://schemas.microsoft.com/office/drawing/2010/main" val="0"/>
                              </a:ext>
                            </a:extLst>
                          </a:blip>
                          <a:srcRect/>
                          <a:stretch>
                            <a:fillRect/>
                          </a:stretch>
                        </pic:blipFill>
                        <pic:spPr>
                          <a:xfrm>
                            <a:off x="0" y="0"/>
                            <a:ext cx="238125" cy="171450"/>
                          </a:xfrm>
                          <a:prstGeom prst="rect">
                            <a:avLst/>
                          </a:prstGeom>
                          <a:noFill/>
                          <a:ln>
                            <a:noFill/>
                          </a:ln>
                        </pic:spPr>
                      </pic:pic>
                    </a:graphicData>
                  </a:graphic>
                </wp:inline>
              </w:drawing>
            </w:r>
            <w:r>
              <w:rPr>
                <w:rFonts w:hint="default" w:ascii="Times New Roman" w:hAnsi="Times New Roman" w:eastAsia="宋体" w:cs="Times New Roman"/>
                <w:color w:val="000000" w:themeColor="text1"/>
                <w:sz w:val="21"/>
                <w:szCs w:val="21"/>
                <w14:textFill>
                  <w14:solidFill>
                    <w14:schemeClr w14:val="tx1"/>
                  </w14:solidFill>
                </w14:textFill>
              </w:rPr>
              <w:t>不达标□</w:t>
            </w:r>
          </w:p>
        </w:tc>
      </w:tr>
      <w:tr w14:paraId="579BB4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41" w:hRule="atLeast"/>
          <w:jc w:val="center"/>
        </w:trPr>
        <w:tc>
          <w:tcPr>
            <w:tcW w:w="540" w:type="pct"/>
            <w:vMerge w:val="continue"/>
            <w:vAlign w:val="center"/>
          </w:tcPr>
          <w:p w14:paraId="5003A0BA">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848" w:type="pct"/>
            <w:vAlign w:val="center"/>
          </w:tcPr>
          <w:p w14:paraId="5196E62F">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区域环境质量的整体变化情况</w:t>
            </w:r>
          </w:p>
        </w:tc>
        <w:tc>
          <w:tcPr>
            <w:tcW w:w="1342" w:type="pct"/>
            <w:gridSpan w:val="5"/>
            <w:vAlign w:val="center"/>
          </w:tcPr>
          <w:p w14:paraId="05347975">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i/>
                <w:color w:val="000000" w:themeColor="text1"/>
                <w:sz w:val="21"/>
                <w:szCs w:val="21"/>
                <w14:textFill>
                  <w14:solidFill>
                    <w14:schemeClr w14:val="tx1"/>
                  </w14:solidFill>
                </w14:textFill>
              </w:rPr>
              <w:t>k</w:t>
            </w:r>
            <w:r>
              <w:rPr>
                <w:rFonts w:hint="default" w:ascii="Times New Roman" w:hAnsi="Times New Roman" w:eastAsia="宋体" w:cs="Times New Roman"/>
                <w:color w:val="000000" w:themeColor="text1"/>
                <w:sz w:val="21"/>
                <w:szCs w:val="21"/>
                <w14:textFill>
                  <w14:solidFill>
                    <w14:schemeClr w14:val="tx1"/>
                  </w14:solidFill>
                </w14:textFill>
              </w:rPr>
              <w:t>≤-20%□</w:t>
            </w:r>
          </w:p>
        </w:tc>
        <w:tc>
          <w:tcPr>
            <w:tcW w:w="2268" w:type="pct"/>
            <w:gridSpan w:val="8"/>
            <w:vAlign w:val="center"/>
          </w:tcPr>
          <w:p w14:paraId="41614F58">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i/>
                <w:color w:val="000000" w:themeColor="text1"/>
                <w:sz w:val="21"/>
                <w:szCs w:val="21"/>
                <w14:textFill>
                  <w14:solidFill>
                    <w14:schemeClr w14:val="tx1"/>
                  </w14:solidFill>
                </w14:textFill>
              </w:rPr>
              <w:t>k</w:t>
            </w:r>
            <w:r>
              <w:rPr>
                <w:rFonts w:hint="default" w:ascii="Times New Roman" w:hAnsi="Times New Roman" w:eastAsia="宋体" w:cs="Times New Roman"/>
                <w:color w:val="000000" w:themeColor="text1"/>
                <w:sz w:val="21"/>
                <w:szCs w:val="21"/>
                <w14:textFill>
                  <w14:solidFill>
                    <w14:schemeClr w14:val="tx1"/>
                  </w14:solidFill>
                </w14:textFill>
              </w:rPr>
              <w:t>＞-20%□</w:t>
            </w:r>
          </w:p>
        </w:tc>
      </w:tr>
      <w:tr w14:paraId="5F040C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41" w:hRule="atLeast"/>
          <w:jc w:val="center"/>
        </w:trPr>
        <w:tc>
          <w:tcPr>
            <w:tcW w:w="540" w:type="pct"/>
            <w:vMerge w:val="restart"/>
            <w:vAlign w:val="center"/>
          </w:tcPr>
          <w:p w14:paraId="2ECFD294">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环境监测</w:t>
            </w:r>
          </w:p>
          <w:p w14:paraId="51727397">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计划</w:t>
            </w:r>
          </w:p>
        </w:tc>
        <w:tc>
          <w:tcPr>
            <w:tcW w:w="848" w:type="pct"/>
            <w:vAlign w:val="center"/>
          </w:tcPr>
          <w:p w14:paraId="404E7E8E">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污染源监测</w:t>
            </w:r>
          </w:p>
        </w:tc>
        <w:tc>
          <w:tcPr>
            <w:tcW w:w="1211" w:type="pct"/>
            <w:gridSpan w:val="4"/>
            <w:vAlign w:val="center"/>
          </w:tcPr>
          <w:p w14:paraId="494D7E03">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监测因子：（颗粒物、氨气、硫化氢、臭气浓度）</w:t>
            </w:r>
          </w:p>
        </w:tc>
        <w:tc>
          <w:tcPr>
            <w:tcW w:w="1434" w:type="pct"/>
            <w:gridSpan w:val="7"/>
            <w:vAlign w:val="center"/>
          </w:tcPr>
          <w:p w14:paraId="0AD0BDB4">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有组织废气监测□</w:t>
            </w:r>
          </w:p>
          <w:p w14:paraId="5E35D1B7">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无组织废气监测</w:t>
            </w:r>
            <w:r>
              <w:rPr>
                <w:rFonts w:hint="eastAsia" w:cs="Times New Roman"/>
                <w:color w:val="000000" w:themeColor="text1"/>
                <w:sz w:val="21"/>
                <w:szCs w:val="21"/>
                <w:lang w:eastAsia="zh-CN"/>
                <w14:textFill>
                  <w14:solidFill>
                    <w14:schemeClr w14:val="tx1"/>
                  </w14:solidFill>
                </w14:textFill>
              </w:rPr>
              <w:t>☑</w:t>
            </w:r>
          </w:p>
        </w:tc>
        <w:tc>
          <w:tcPr>
            <w:tcW w:w="964" w:type="pct"/>
            <w:gridSpan w:val="2"/>
            <w:vAlign w:val="center"/>
          </w:tcPr>
          <w:p w14:paraId="0BF2A9C8">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无监测□</w:t>
            </w:r>
          </w:p>
        </w:tc>
      </w:tr>
      <w:tr w14:paraId="1079A9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41" w:hRule="atLeast"/>
          <w:jc w:val="center"/>
        </w:trPr>
        <w:tc>
          <w:tcPr>
            <w:tcW w:w="540" w:type="pct"/>
            <w:vMerge w:val="continue"/>
            <w:vAlign w:val="center"/>
          </w:tcPr>
          <w:p w14:paraId="7BCA770F">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848" w:type="pct"/>
            <w:vAlign w:val="center"/>
          </w:tcPr>
          <w:p w14:paraId="7990726B">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环境质量监测</w:t>
            </w:r>
          </w:p>
        </w:tc>
        <w:tc>
          <w:tcPr>
            <w:tcW w:w="1211" w:type="pct"/>
            <w:gridSpan w:val="4"/>
            <w:vAlign w:val="center"/>
          </w:tcPr>
          <w:p w14:paraId="139AAA11">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监测因子：（）</w:t>
            </w:r>
          </w:p>
        </w:tc>
        <w:tc>
          <w:tcPr>
            <w:tcW w:w="1434" w:type="pct"/>
            <w:gridSpan w:val="7"/>
            <w:vAlign w:val="center"/>
          </w:tcPr>
          <w:p w14:paraId="6037ECB5">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监测点位数（）</w:t>
            </w:r>
          </w:p>
        </w:tc>
        <w:tc>
          <w:tcPr>
            <w:tcW w:w="964" w:type="pct"/>
            <w:gridSpan w:val="2"/>
            <w:vAlign w:val="center"/>
          </w:tcPr>
          <w:p w14:paraId="13B215EC">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无监测□</w:t>
            </w:r>
          </w:p>
        </w:tc>
      </w:tr>
      <w:tr w14:paraId="3E86A0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4" w:hRule="atLeast"/>
          <w:jc w:val="center"/>
        </w:trPr>
        <w:tc>
          <w:tcPr>
            <w:tcW w:w="540" w:type="pct"/>
            <w:vMerge w:val="restart"/>
            <w:vAlign w:val="center"/>
          </w:tcPr>
          <w:p w14:paraId="54BD2221">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评价结论</w:t>
            </w:r>
          </w:p>
        </w:tc>
        <w:tc>
          <w:tcPr>
            <w:tcW w:w="848" w:type="pct"/>
            <w:vAlign w:val="center"/>
          </w:tcPr>
          <w:p w14:paraId="35B51A92">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环境影响</w:t>
            </w:r>
          </w:p>
        </w:tc>
        <w:tc>
          <w:tcPr>
            <w:tcW w:w="3610" w:type="pct"/>
            <w:gridSpan w:val="13"/>
            <w:vAlign w:val="center"/>
          </w:tcPr>
          <w:p w14:paraId="63EC007E">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可以接受</w:t>
            </w:r>
            <w:r>
              <w:rPr>
                <w:rFonts w:hint="default" w:ascii="Times New Roman" w:hAnsi="Times New Roman" w:eastAsia="宋体" w:cs="Times New Roman"/>
                <w:color w:val="000000" w:themeColor="text1"/>
                <w:sz w:val="21"/>
                <w:szCs w:val="21"/>
                <w:shd w:val="clear" w:color="auto" w:fill="FFFFFF"/>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不可以接受□</w:t>
            </w:r>
          </w:p>
        </w:tc>
      </w:tr>
      <w:tr w14:paraId="630C99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8" w:hRule="atLeast"/>
          <w:jc w:val="center"/>
        </w:trPr>
        <w:tc>
          <w:tcPr>
            <w:tcW w:w="540" w:type="pct"/>
            <w:vMerge w:val="continue"/>
            <w:vAlign w:val="center"/>
          </w:tcPr>
          <w:p w14:paraId="6F9563FC">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848" w:type="pct"/>
            <w:vAlign w:val="center"/>
          </w:tcPr>
          <w:p w14:paraId="3198DCB1">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大气环境防护</w:t>
            </w:r>
          </w:p>
          <w:p w14:paraId="43D84E4B">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距离</w:t>
            </w:r>
          </w:p>
        </w:tc>
        <w:tc>
          <w:tcPr>
            <w:tcW w:w="3610" w:type="pct"/>
            <w:gridSpan w:val="13"/>
            <w:vAlign w:val="center"/>
          </w:tcPr>
          <w:p w14:paraId="5FAED86C">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距厂界最远（</w:t>
            </w:r>
            <w:r>
              <w:rPr>
                <w:rFonts w:hint="eastAsia" w:cs="Times New Roman"/>
                <w:color w:val="000000" w:themeColor="text1"/>
                <w:sz w:val="21"/>
                <w:szCs w:val="21"/>
                <w:lang w:val="en-US" w:eastAsia="zh-CN"/>
                <w14:textFill>
                  <w14:solidFill>
                    <w14:schemeClr w14:val="tx1"/>
                  </w14:solidFill>
                </w14:textFill>
              </w:rPr>
              <w:t>500</w:t>
            </w:r>
            <w:r>
              <w:rPr>
                <w:rFonts w:hint="default" w:ascii="Times New Roman" w:hAnsi="Times New Roman" w:eastAsia="宋体" w:cs="Times New Roman"/>
                <w:color w:val="000000" w:themeColor="text1"/>
                <w:sz w:val="21"/>
                <w:szCs w:val="21"/>
                <w14:textFill>
                  <w14:solidFill>
                    <w14:schemeClr w14:val="tx1"/>
                  </w14:solidFill>
                </w14:textFill>
              </w:rPr>
              <w:t>）m</w:t>
            </w:r>
          </w:p>
        </w:tc>
      </w:tr>
      <w:tr w14:paraId="53CE3F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41" w:hRule="atLeast"/>
          <w:jc w:val="center"/>
        </w:trPr>
        <w:tc>
          <w:tcPr>
            <w:tcW w:w="540" w:type="pct"/>
            <w:vMerge w:val="continue"/>
            <w:vAlign w:val="center"/>
          </w:tcPr>
          <w:p w14:paraId="4D4D0526">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848" w:type="pct"/>
            <w:vAlign w:val="center"/>
          </w:tcPr>
          <w:p w14:paraId="1F718C1D">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污染源年排放量</w:t>
            </w:r>
          </w:p>
        </w:tc>
        <w:tc>
          <w:tcPr>
            <w:tcW w:w="3610" w:type="pct"/>
            <w:gridSpan w:val="13"/>
            <w:vAlign w:val="center"/>
          </w:tcPr>
          <w:p w14:paraId="4DA89BEA">
            <w:pPr>
              <w:keepNext w:val="0"/>
              <w:keepLines w:val="0"/>
              <w:pageBreakBefore w:val="0"/>
              <w:widowControl/>
              <w:kinsoku/>
              <w:wordWrap/>
              <w:overflowPunct/>
              <w:topLinePunct w:val="0"/>
              <w:autoSpaceDE w:val="0"/>
              <w:autoSpaceDN w:val="0"/>
              <w:bidi w:val="0"/>
              <w:adjustRightInd/>
              <w:spacing w:line="240" w:lineRule="auto"/>
              <w:ind w:right="0" w:rightChars="0" w:firstLine="0" w:firstLineChars="0"/>
              <w:jc w:val="center"/>
              <w:textAlignment w:val="auto"/>
              <w:rPr>
                <w:rFonts w:hint="default" w:ascii="Times New Roman" w:hAnsi="Times New Roman" w:eastAsia="宋体" w:cs="Times New Roman"/>
                <w:color w:val="000000" w:themeColor="text1"/>
                <w:kern w:val="0"/>
                <w:sz w:val="21"/>
                <w:szCs w:val="21"/>
                <w:lang w:val="zh-CN"/>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全厂：颗粒物（0.854）t/a、NH</w:t>
            </w:r>
            <w:r>
              <w:rPr>
                <w:rFonts w:hint="default" w:ascii="Times New Roman" w:hAnsi="Times New Roman" w:eastAsia="宋体" w:cs="Times New Roman"/>
                <w:color w:val="000000" w:themeColor="text1"/>
                <w:kern w:val="0"/>
                <w:sz w:val="21"/>
                <w:szCs w:val="21"/>
                <w:vertAlign w:val="subscript"/>
                <w:lang w:val="en-US" w:eastAsia="zh-CN"/>
                <w14:textFill>
                  <w14:solidFill>
                    <w14:schemeClr w14:val="tx1"/>
                  </w14:solidFill>
                </w14:textFill>
              </w:rPr>
              <w:t>3</w:t>
            </w: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w:t>
            </w:r>
            <w:r>
              <w:rPr>
                <w:rFonts w:hint="eastAsia" w:cs="Times New Roman"/>
                <w:color w:val="000000" w:themeColor="text1"/>
                <w:kern w:val="0"/>
                <w:sz w:val="21"/>
                <w:szCs w:val="21"/>
                <w:lang w:val="en-US" w:eastAsia="zh-CN"/>
                <w14:textFill>
                  <w14:solidFill>
                    <w14:schemeClr w14:val="tx1"/>
                  </w14:solidFill>
                </w14:textFill>
              </w:rPr>
              <w:t>0.000006</w:t>
            </w: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）t/a、H</w:t>
            </w:r>
            <w:r>
              <w:rPr>
                <w:rFonts w:hint="default" w:ascii="Times New Roman" w:hAnsi="Times New Roman" w:eastAsia="宋体" w:cs="Times New Roman"/>
                <w:color w:val="000000" w:themeColor="text1"/>
                <w:kern w:val="0"/>
                <w:sz w:val="21"/>
                <w:szCs w:val="21"/>
                <w:vertAlign w:val="subscript"/>
                <w:lang w:val="en-US" w:eastAsia="zh-CN"/>
                <w14:textFill>
                  <w14:solidFill>
                    <w14:schemeClr w14:val="tx1"/>
                  </w14:solidFill>
                </w14:textFill>
              </w:rPr>
              <w:t>2</w:t>
            </w: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S（</w:t>
            </w:r>
            <w:r>
              <w:rPr>
                <w:rFonts w:hint="eastAsia" w:cs="Times New Roman"/>
                <w:color w:val="000000" w:themeColor="text1"/>
                <w:kern w:val="0"/>
                <w:sz w:val="21"/>
                <w:szCs w:val="21"/>
                <w:lang w:val="en-US" w:eastAsia="zh-CN"/>
                <w14:textFill>
                  <w14:solidFill>
                    <w14:schemeClr w14:val="tx1"/>
                  </w14:solidFill>
                </w14:textFill>
              </w:rPr>
              <w:t>0.0000008</w:t>
            </w: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）t/a</w:t>
            </w:r>
          </w:p>
        </w:tc>
      </w:tr>
      <w:tr w14:paraId="0D685B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11" w:hRule="atLeast"/>
          <w:jc w:val="center"/>
        </w:trPr>
        <w:tc>
          <w:tcPr>
            <w:tcW w:w="5000" w:type="pct"/>
            <w:gridSpan w:val="15"/>
            <w:vAlign w:val="center"/>
          </w:tcPr>
          <w:p w14:paraId="0DCBC1F8">
            <w:pPr>
              <w:keepNext w:val="0"/>
              <w:keepLines w:val="0"/>
              <w:pageBreakBefore w:val="0"/>
              <w:widowControl/>
              <w:kinsoku/>
              <w:wordWrap/>
              <w:overflowPunct/>
              <w:topLinePunct w:val="0"/>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注：“□”为勾选项，填“√”；“（）”为内容填写项</w:t>
            </w:r>
          </w:p>
        </w:tc>
      </w:tr>
    </w:tbl>
    <w:p w14:paraId="7009CF2E">
      <w:pPr>
        <w:spacing w:line="14" w:lineRule="auto"/>
        <w:ind w:firstLine="40"/>
        <w:rPr>
          <w:rFonts w:hint="default" w:ascii="Times New Roman" w:hAnsi="Times New Roman" w:eastAsia="宋体" w:cs="Times New Roman"/>
          <w:color w:val="000000" w:themeColor="text1"/>
          <w:sz w:val="2"/>
          <w14:textFill>
            <w14:solidFill>
              <w14:schemeClr w14:val="tx1"/>
            </w14:solidFill>
          </w14:textFill>
        </w:rPr>
      </w:pPr>
    </w:p>
    <w:p w14:paraId="4419DEAD">
      <w:pPr>
        <w:spacing w:line="14" w:lineRule="auto"/>
        <w:ind w:firstLine="40"/>
        <w:rPr>
          <w:rFonts w:hint="default" w:ascii="Times New Roman" w:hAnsi="Times New Roman" w:eastAsia="宋体" w:cs="Times New Roman"/>
          <w:color w:val="000000" w:themeColor="text1"/>
          <w:sz w:val="2"/>
          <w:szCs w:val="2"/>
          <w14:textFill>
            <w14:solidFill>
              <w14:schemeClr w14:val="tx1"/>
            </w14:solidFill>
          </w14:textFill>
        </w:rPr>
        <w:sectPr>
          <w:pgSz w:w="11906" w:h="16839"/>
          <w:pgMar w:top="1431" w:right="1458" w:bottom="1259" w:left="1458" w:header="964" w:footer="794" w:gutter="0"/>
          <w:pgNumType w:fmt="decimal"/>
          <w:cols w:equalWidth="0" w:num="1">
            <w:col w:w="8990"/>
          </w:cols>
        </w:sectPr>
      </w:pPr>
    </w:p>
    <w:p w14:paraId="2A919BE8">
      <w:pPr>
        <w:ind w:firstLine="0" w:firstLineChars="0"/>
        <w:outlineLvl w:val="1"/>
        <w:rPr>
          <w:rFonts w:hint="default" w:ascii="Times New Roman" w:hAnsi="Times New Roman" w:eastAsia="宋体" w:cs="Times New Roman"/>
          <w:b/>
          <w:bCs/>
          <w:color w:val="000000" w:themeColor="text1"/>
          <w:sz w:val="28"/>
          <w:szCs w:val="28"/>
          <w14:textFill>
            <w14:solidFill>
              <w14:schemeClr w14:val="tx1"/>
            </w14:solidFill>
          </w14:textFill>
        </w:rPr>
      </w:pPr>
      <w:bookmarkStart w:id="257" w:name="_Toc26973"/>
      <w:r>
        <w:rPr>
          <w:rFonts w:hint="default" w:ascii="Times New Roman" w:hAnsi="Times New Roman" w:eastAsia="宋体" w:cs="Times New Roman"/>
          <w:b/>
          <w:bCs/>
          <w:color w:val="000000" w:themeColor="text1"/>
          <w:sz w:val="28"/>
          <w:szCs w:val="28"/>
          <w14:textFill>
            <w14:solidFill>
              <w14:schemeClr w14:val="tx1"/>
            </w14:solidFill>
          </w14:textFill>
        </w:rPr>
        <w:t>6.2地表水环境影响评价</w:t>
      </w:r>
      <w:bookmarkEnd w:id="257"/>
    </w:p>
    <w:p w14:paraId="3DF2F393">
      <w:pPr>
        <w:keepNext w:val="0"/>
        <w:keepLines w:val="0"/>
        <w:pageBreakBefore w:val="0"/>
        <w:widowControl w:val="0"/>
        <w:kinsoku/>
        <w:wordWrap/>
        <w:overflowPunct/>
        <w:topLinePunct w:val="0"/>
        <w:autoSpaceDE/>
        <w:autoSpaceDN/>
        <w:bidi w:val="0"/>
        <w:adjustRightInd/>
        <w:snapToGrid/>
        <w:spacing w:line="360" w:lineRule="auto"/>
        <w:ind w:firstLine="482"/>
        <w:textAlignment w:val="auto"/>
        <w:outlineLvl w:val="2"/>
        <w:rPr>
          <w:rFonts w:hint="default" w:ascii="Times New Roman" w:hAnsi="Times New Roman" w:eastAsia="宋体" w:cs="Times New Roman"/>
          <w:color w:val="000000" w:themeColor="text1"/>
          <w14:textFill>
            <w14:solidFill>
              <w14:schemeClr w14:val="tx1"/>
            </w14:solidFill>
          </w14:textFill>
        </w:rPr>
      </w:pPr>
      <w:bookmarkStart w:id="258" w:name="_Toc16049"/>
      <w:r>
        <w:rPr>
          <w:rFonts w:hint="default" w:ascii="Times New Roman" w:hAnsi="Times New Roman" w:eastAsia="宋体" w:cs="Times New Roman"/>
          <w:b/>
          <w:bCs/>
          <w:color w:val="000000" w:themeColor="text1"/>
          <w14:textFill>
            <w14:solidFill>
              <w14:schemeClr w14:val="tx1"/>
            </w14:solidFill>
          </w14:textFill>
        </w:rPr>
        <w:fldChar w:fldCharType="begin"/>
      </w:r>
      <w:r>
        <w:rPr>
          <w:rFonts w:hint="default" w:ascii="Times New Roman" w:hAnsi="Times New Roman" w:eastAsia="宋体" w:cs="Times New Roman"/>
          <w:b/>
          <w:bCs/>
          <w:color w:val="000000" w:themeColor="text1"/>
          <w14:textFill>
            <w14:solidFill>
              <w14:schemeClr w14:val="tx1"/>
            </w14:solidFill>
          </w14:textFill>
        </w:rPr>
        <w:instrText xml:space="preserve">HYPERLINK "C:\\Users\\Administrator\\Desktop\\科右前旗现代农牧业园区核心育种场养殖项目-修改稿\\5.2.2.1"</w:instrText>
      </w:r>
      <w:r>
        <w:rPr>
          <w:rFonts w:hint="default" w:ascii="Times New Roman" w:hAnsi="Times New Roman" w:eastAsia="宋体" w:cs="Times New Roman"/>
          <w:b/>
          <w:bCs/>
          <w:color w:val="000000" w:themeColor="text1"/>
          <w14:textFill>
            <w14:solidFill>
              <w14:schemeClr w14:val="tx1"/>
            </w14:solidFill>
          </w14:textFill>
        </w:rPr>
        <w:fldChar w:fldCharType="separate"/>
      </w:r>
      <w:r>
        <w:rPr>
          <w:rFonts w:hint="default" w:ascii="Times New Roman" w:hAnsi="Times New Roman" w:eastAsia="宋体" w:cs="Times New Roman"/>
          <w:b/>
          <w:bCs/>
          <w:color w:val="000000" w:themeColor="text1"/>
          <w14:textFill>
            <w14:solidFill>
              <w14:schemeClr w14:val="tx1"/>
            </w14:solidFill>
          </w14:textFill>
        </w:rPr>
        <w:t>6.2.1</w:t>
      </w:r>
      <w:r>
        <w:rPr>
          <w:rFonts w:hint="default" w:ascii="Times New Roman" w:hAnsi="Times New Roman" w:eastAsia="宋体" w:cs="Times New Roman"/>
          <w:b/>
          <w:bCs/>
          <w:color w:val="000000" w:themeColor="text1"/>
          <w14:textFill>
            <w14:solidFill>
              <w14:schemeClr w14:val="tx1"/>
            </w14:solidFill>
          </w14:textFill>
        </w:rPr>
        <w:fldChar w:fldCharType="end"/>
      </w:r>
      <w:r>
        <w:rPr>
          <w:rFonts w:hint="default" w:ascii="Times New Roman" w:hAnsi="Times New Roman" w:eastAsia="宋体" w:cs="Times New Roman"/>
          <w:b/>
          <w:bCs/>
          <w:color w:val="000000" w:themeColor="text1"/>
          <w14:textFill>
            <w14:solidFill>
              <w14:schemeClr w14:val="tx1"/>
            </w14:solidFill>
          </w14:textFill>
        </w:rPr>
        <w:t>项目废水排放情况</w:t>
      </w:r>
      <w:bookmarkEnd w:id="258"/>
    </w:p>
    <w:p w14:paraId="6FC142BD">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（1）养殖废水</w:t>
      </w:r>
    </w:p>
    <w:p w14:paraId="13264DE3">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本项目养殖废水主要为牛尿、挤奶厅设备</w:t>
      </w:r>
      <w:r>
        <w:rPr>
          <w:rFonts w:hint="eastAsia" w:cs="Times New Roman"/>
          <w:color w:val="000000" w:themeColor="text1"/>
          <w:lang w:eastAsia="zh-CN"/>
          <w14:textFill>
            <w14:solidFill>
              <w14:schemeClr w14:val="tx1"/>
            </w14:solidFill>
          </w14:textFill>
        </w:rPr>
        <w:t>、</w:t>
      </w:r>
      <w:r>
        <w:rPr>
          <w:rFonts w:hint="default" w:ascii="Times New Roman" w:hAnsi="Times New Roman" w:eastAsia="宋体" w:cs="Times New Roman"/>
          <w:color w:val="000000" w:themeColor="text1"/>
          <w14:textFill>
            <w14:solidFill>
              <w14:schemeClr w14:val="tx1"/>
            </w14:solidFill>
          </w14:textFill>
        </w:rPr>
        <w:t>地面冲洗废水，废水经过收集后排入固液分离车间，处理后用作液态肥，为间接排放。</w:t>
      </w:r>
    </w:p>
    <w:p w14:paraId="54F94A56">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（2）生活污水</w:t>
      </w:r>
    </w:p>
    <w:p w14:paraId="164C0F3A">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本项目生活废水排水量为1.44m</w:t>
      </w:r>
      <w:r>
        <w:rPr>
          <w:rFonts w:hint="default" w:ascii="Times New Roman" w:hAnsi="Times New Roman" w:eastAsia="宋体" w:cs="Times New Roman"/>
          <w:color w:val="000000" w:themeColor="text1"/>
          <w:vertAlign w:val="superscript"/>
          <w14:textFill>
            <w14:solidFill>
              <w14:schemeClr w14:val="tx1"/>
            </w14:solidFill>
          </w14:textFill>
        </w:rPr>
        <w:t>3</w:t>
      </w:r>
      <w:r>
        <w:rPr>
          <w:rFonts w:hint="default" w:ascii="Times New Roman" w:hAnsi="Times New Roman" w:eastAsia="宋体" w:cs="Times New Roman"/>
          <w:color w:val="000000" w:themeColor="text1"/>
          <w14:textFill>
            <w14:solidFill>
              <w14:schemeClr w14:val="tx1"/>
            </w14:solidFill>
          </w14:textFill>
        </w:rPr>
        <w:t>/d，即525.6m</w:t>
      </w:r>
      <w:r>
        <w:rPr>
          <w:rFonts w:hint="default" w:ascii="Times New Roman" w:hAnsi="Times New Roman" w:eastAsia="宋体" w:cs="Times New Roman"/>
          <w:color w:val="000000" w:themeColor="text1"/>
          <w:vertAlign w:val="superscript"/>
          <w14:textFill>
            <w14:solidFill>
              <w14:schemeClr w14:val="tx1"/>
            </w14:solidFill>
          </w14:textFill>
        </w:rPr>
        <w:t>3</w:t>
      </w:r>
      <w:r>
        <w:rPr>
          <w:rFonts w:hint="default" w:ascii="Times New Roman" w:hAnsi="Times New Roman" w:eastAsia="宋体" w:cs="Times New Roman"/>
          <w:color w:val="000000" w:themeColor="text1"/>
          <w14:textFill>
            <w14:solidFill>
              <w14:schemeClr w14:val="tx1"/>
            </w14:solidFill>
          </w14:textFill>
        </w:rPr>
        <w:t>/a，全部排至生活区的防渗化粪池，定期清掏拉运至固液分离装置处进行分离</w:t>
      </w:r>
      <w:r>
        <w:rPr>
          <w:rFonts w:hint="default" w:ascii="Times New Roman" w:hAnsi="Times New Roman" w:eastAsia="宋体" w:cs="Times New Roman"/>
          <w:color w:val="000000" w:themeColor="text1"/>
          <w:lang w:eastAsia="zh-CN"/>
          <w14:textFill>
            <w14:solidFill>
              <w14:schemeClr w14:val="tx1"/>
            </w14:solidFill>
          </w14:textFill>
        </w:rPr>
        <w:t>。</w:t>
      </w:r>
    </w:p>
    <w:p w14:paraId="4E3F95D7">
      <w:pPr>
        <w:keepNext w:val="0"/>
        <w:keepLines w:val="0"/>
        <w:pageBreakBefore w:val="0"/>
        <w:widowControl w:val="0"/>
        <w:kinsoku/>
        <w:wordWrap/>
        <w:overflowPunct/>
        <w:topLinePunct w:val="0"/>
        <w:autoSpaceDE/>
        <w:autoSpaceDN/>
        <w:bidi w:val="0"/>
        <w:adjustRightInd/>
        <w:snapToGrid/>
        <w:spacing w:line="360" w:lineRule="auto"/>
        <w:ind w:firstLine="482"/>
        <w:textAlignment w:val="auto"/>
        <w:outlineLvl w:val="2"/>
        <w:rPr>
          <w:rFonts w:hint="default" w:ascii="Times New Roman" w:hAnsi="Times New Roman" w:eastAsia="宋体" w:cs="Times New Roman"/>
          <w:color w:val="000000" w:themeColor="text1"/>
          <w14:textFill>
            <w14:solidFill>
              <w14:schemeClr w14:val="tx1"/>
            </w14:solidFill>
          </w14:textFill>
        </w:rPr>
      </w:pPr>
      <w:bookmarkStart w:id="259" w:name="_Toc14002"/>
      <w:r>
        <w:rPr>
          <w:rFonts w:hint="default" w:ascii="Times New Roman" w:hAnsi="Times New Roman" w:eastAsia="宋体" w:cs="Times New Roman"/>
          <w:b/>
          <w:bCs/>
          <w:color w:val="000000" w:themeColor="text1"/>
          <w14:textFill>
            <w14:solidFill>
              <w14:schemeClr w14:val="tx1"/>
            </w14:solidFill>
          </w14:textFill>
        </w:rPr>
        <w:fldChar w:fldCharType="begin"/>
      </w:r>
      <w:r>
        <w:rPr>
          <w:rFonts w:hint="default" w:ascii="Times New Roman" w:hAnsi="Times New Roman" w:eastAsia="宋体" w:cs="Times New Roman"/>
          <w:b/>
          <w:bCs/>
          <w:color w:val="000000" w:themeColor="text1"/>
          <w14:textFill>
            <w14:solidFill>
              <w14:schemeClr w14:val="tx1"/>
            </w14:solidFill>
          </w14:textFill>
        </w:rPr>
        <w:instrText xml:space="preserve">HYPERLINK "C:\\Users\\Administrator\\Desktop\\科右前旗现代农牧业园区核心育种场养殖项目-修改稿\\5.2.2.2"</w:instrText>
      </w:r>
      <w:r>
        <w:rPr>
          <w:rFonts w:hint="default" w:ascii="Times New Roman" w:hAnsi="Times New Roman" w:eastAsia="宋体" w:cs="Times New Roman"/>
          <w:b/>
          <w:bCs/>
          <w:color w:val="000000" w:themeColor="text1"/>
          <w14:textFill>
            <w14:solidFill>
              <w14:schemeClr w14:val="tx1"/>
            </w14:solidFill>
          </w14:textFill>
        </w:rPr>
        <w:fldChar w:fldCharType="separate"/>
      </w:r>
      <w:r>
        <w:rPr>
          <w:rFonts w:hint="default" w:ascii="Times New Roman" w:hAnsi="Times New Roman" w:eastAsia="宋体" w:cs="Times New Roman"/>
          <w:b/>
          <w:bCs/>
          <w:color w:val="000000" w:themeColor="text1"/>
          <w14:textFill>
            <w14:solidFill>
              <w14:schemeClr w14:val="tx1"/>
            </w14:solidFill>
          </w14:textFill>
        </w:rPr>
        <w:t>6.2.2</w:t>
      </w:r>
      <w:r>
        <w:rPr>
          <w:rFonts w:hint="default" w:ascii="Times New Roman" w:hAnsi="Times New Roman" w:eastAsia="宋体" w:cs="Times New Roman"/>
          <w:b/>
          <w:bCs/>
          <w:color w:val="000000" w:themeColor="text1"/>
          <w14:textFill>
            <w14:solidFill>
              <w14:schemeClr w14:val="tx1"/>
            </w14:solidFill>
          </w14:textFill>
        </w:rPr>
        <w:fldChar w:fldCharType="end"/>
      </w:r>
      <w:r>
        <w:rPr>
          <w:rFonts w:hint="default" w:ascii="Times New Roman" w:hAnsi="Times New Roman" w:eastAsia="宋体" w:cs="Times New Roman"/>
          <w:b/>
          <w:bCs/>
          <w:color w:val="000000" w:themeColor="text1"/>
          <w14:textFill>
            <w14:solidFill>
              <w14:schemeClr w14:val="tx1"/>
            </w14:solidFill>
          </w14:textFill>
        </w:rPr>
        <w:t>污水处理系统</w:t>
      </w:r>
      <w:bookmarkEnd w:id="259"/>
    </w:p>
    <w:p w14:paraId="07EE4FC9">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（1）本项目污水处理模式选择</w:t>
      </w:r>
    </w:p>
    <w:p w14:paraId="0899CD65">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本项目废水主要为</w:t>
      </w:r>
      <w:r>
        <w:rPr>
          <w:rFonts w:hint="default" w:ascii="Times New Roman" w:hAnsi="Times New Roman" w:eastAsia="宋体" w:cs="Times New Roman"/>
          <w:color w:val="000000" w:themeColor="text1"/>
          <w:spacing w:val="-7"/>
          <w14:textFill>
            <w14:solidFill>
              <w14:schemeClr w14:val="tx1"/>
            </w14:solidFill>
          </w14:textFill>
        </w:rPr>
        <w:t>牛尿、牛粪固液分离</w:t>
      </w:r>
      <w:r>
        <w:rPr>
          <w:rFonts w:hint="eastAsia" w:cs="Times New Roman"/>
          <w:color w:val="000000" w:themeColor="text1"/>
          <w:spacing w:val="-7"/>
          <w:lang w:val="en-US" w:eastAsia="zh-CN"/>
          <w14:textFill>
            <w14:solidFill>
              <w14:schemeClr w14:val="tx1"/>
            </w14:solidFill>
          </w14:textFill>
        </w:rPr>
        <w:t>液体</w:t>
      </w:r>
      <w:r>
        <w:rPr>
          <w:rFonts w:hint="default" w:ascii="Times New Roman" w:hAnsi="Times New Roman" w:eastAsia="宋体" w:cs="Times New Roman"/>
          <w:color w:val="000000" w:themeColor="text1"/>
          <w:spacing w:val="-7"/>
          <w14:textFill>
            <w14:solidFill>
              <w14:schemeClr w14:val="tx1"/>
            </w14:solidFill>
          </w14:textFill>
        </w:rPr>
        <w:t>、挤奶厅设备</w:t>
      </w:r>
      <w:r>
        <w:rPr>
          <w:rFonts w:hint="eastAsia" w:cs="Times New Roman"/>
          <w:color w:val="000000" w:themeColor="text1"/>
          <w:spacing w:val="-7"/>
          <w:lang w:eastAsia="zh-CN"/>
          <w14:textFill>
            <w14:solidFill>
              <w14:schemeClr w14:val="tx1"/>
            </w14:solidFill>
          </w14:textFill>
        </w:rPr>
        <w:t>、</w:t>
      </w:r>
      <w:r>
        <w:rPr>
          <w:rFonts w:hint="eastAsia" w:cs="Times New Roman"/>
          <w:color w:val="000000" w:themeColor="text1"/>
          <w:spacing w:val="-7"/>
          <w:lang w:val="en-US" w:eastAsia="zh-CN"/>
          <w14:textFill>
            <w14:solidFill>
              <w14:schemeClr w14:val="tx1"/>
            </w14:solidFill>
          </w14:textFill>
        </w:rPr>
        <w:t>地面</w:t>
      </w:r>
      <w:r>
        <w:rPr>
          <w:rFonts w:hint="default" w:ascii="Times New Roman" w:hAnsi="Times New Roman" w:eastAsia="宋体" w:cs="Times New Roman"/>
          <w:color w:val="000000" w:themeColor="text1"/>
          <w:spacing w:val="-7"/>
          <w14:textFill>
            <w14:solidFill>
              <w14:schemeClr w14:val="tx1"/>
            </w14:solidFill>
          </w14:textFill>
        </w:rPr>
        <w:t>清洗</w:t>
      </w:r>
      <w:r>
        <w:rPr>
          <w:rFonts w:hint="eastAsia" w:cs="Times New Roman"/>
          <w:color w:val="000000" w:themeColor="text1"/>
          <w:spacing w:val="-7"/>
          <w:lang w:val="en-US" w:eastAsia="zh-CN"/>
          <w14:textFill>
            <w14:solidFill>
              <w14:schemeClr w14:val="tx1"/>
            </w14:solidFill>
          </w14:textFill>
        </w:rPr>
        <w:t>废</w:t>
      </w:r>
      <w:r>
        <w:rPr>
          <w:rFonts w:hint="default" w:ascii="Times New Roman" w:hAnsi="Times New Roman" w:eastAsia="宋体" w:cs="Times New Roman"/>
          <w:color w:val="000000" w:themeColor="text1"/>
          <w:spacing w:val="-7"/>
          <w14:textFill>
            <w14:solidFill>
              <w14:schemeClr w14:val="tx1"/>
            </w14:solidFill>
          </w14:textFill>
        </w:rPr>
        <w:t>水及生活污水</w:t>
      </w:r>
      <w:r>
        <w:rPr>
          <w:rFonts w:hint="default" w:ascii="Times New Roman" w:hAnsi="Times New Roman" w:eastAsia="宋体" w:cs="Times New Roman"/>
          <w:color w:val="000000" w:themeColor="text1"/>
          <w14:textFill>
            <w14:solidFill>
              <w14:schemeClr w14:val="tx1"/>
            </w14:solidFill>
          </w14:textFill>
        </w:rPr>
        <w:t>，废水全部进</w:t>
      </w:r>
      <w:r>
        <w:rPr>
          <w:rFonts w:hint="eastAsia" w:cs="Times New Roman"/>
          <w:color w:val="000000" w:themeColor="text1"/>
          <w:lang w:val="en-US" w:eastAsia="zh-CN"/>
          <w14:textFill>
            <w14:solidFill>
              <w14:schemeClr w14:val="tx1"/>
            </w14:solidFill>
          </w14:textFill>
        </w:rPr>
        <w:t>氧化塘</w:t>
      </w:r>
      <w:r>
        <w:rPr>
          <w:rFonts w:hint="default" w:ascii="Times New Roman" w:hAnsi="Times New Roman" w:eastAsia="宋体" w:cs="Times New Roman"/>
          <w:color w:val="000000" w:themeColor="text1"/>
          <w14:textFill>
            <w14:solidFill>
              <w14:schemeClr w14:val="tx1"/>
            </w14:solidFill>
          </w14:textFill>
        </w:rPr>
        <w:t>，</w:t>
      </w:r>
      <w:r>
        <w:rPr>
          <w:rFonts w:hint="eastAsia" w:cs="Times New Roman"/>
          <w:color w:val="000000" w:themeColor="text1"/>
          <w:lang w:val="en-US" w:eastAsia="zh-CN"/>
          <w14:textFill>
            <w14:solidFill>
              <w14:schemeClr w14:val="tx1"/>
            </w14:solidFill>
          </w14:textFill>
        </w:rPr>
        <w:t>发酵后</w:t>
      </w:r>
      <w:r>
        <w:rPr>
          <w:rFonts w:hint="default" w:ascii="Times New Roman" w:hAnsi="Times New Roman" w:eastAsia="宋体" w:cs="Times New Roman"/>
          <w:color w:val="000000" w:themeColor="text1"/>
          <w14:textFill>
            <w14:solidFill>
              <w14:schemeClr w14:val="tx1"/>
            </w14:solidFill>
          </w14:textFill>
        </w:rPr>
        <w:t>作为农田肥料。项目废水不外排，不会对地表水产生影响。</w:t>
      </w:r>
    </w:p>
    <w:p w14:paraId="660BD9FE">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本项目采用《畜禽养殖业污染治理工程技术规范》（HJ497-2009）中推荐的模式Ⅱ对废水进行处理，污水处理站各项工艺参数按照规范的要求进行设计，污水处理效果可以得到保证，模式Ⅱ为综合利用模式，作为肥料施用于周边农田。只要确保本项目周边有与养殖规模相适应的消纳土地，并可实现土地轮作，本项目</w:t>
      </w:r>
      <w:r>
        <w:rPr>
          <w:rFonts w:hint="default" w:ascii="Times New Roman" w:hAnsi="Times New Roman" w:eastAsia="宋体" w:cs="Times New Roman"/>
          <w:color w:val="000000" w:themeColor="text1"/>
          <w:lang w:eastAsia="zh-CN"/>
          <w14:textFill>
            <w14:solidFill>
              <w14:schemeClr w14:val="tx1"/>
            </w14:solidFill>
          </w14:textFill>
        </w:rPr>
        <w:t>粪污</w:t>
      </w:r>
      <w:r>
        <w:rPr>
          <w:rFonts w:hint="default" w:ascii="Times New Roman" w:hAnsi="Times New Roman" w:eastAsia="宋体" w:cs="Times New Roman"/>
          <w:color w:val="000000" w:themeColor="text1"/>
          <w14:textFill>
            <w14:solidFill>
              <w14:schemeClr w14:val="tx1"/>
            </w14:solidFill>
          </w14:textFill>
        </w:rPr>
        <w:t>利用途径就是可行的。</w:t>
      </w:r>
    </w:p>
    <w:p w14:paraId="39A2FE78">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（2）</w:t>
      </w:r>
      <w:r>
        <w:rPr>
          <w:rFonts w:hint="default" w:ascii="Times New Roman" w:hAnsi="Times New Roman" w:eastAsia="宋体" w:cs="Times New Roman"/>
          <w:color w:val="000000" w:themeColor="text1"/>
          <w:lang w:eastAsia="zh-CN"/>
          <w14:textFill>
            <w14:solidFill>
              <w14:schemeClr w14:val="tx1"/>
            </w14:solidFill>
          </w14:textFill>
        </w:rPr>
        <w:t>粪污</w:t>
      </w:r>
      <w:r>
        <w:rPr>
          <w:rFonts w:hint="default" w:ascii="Times New Roman" w:hAnsi="Times New Roman" w:eastAsia="宋体" w:cs="Times New Roman"/>
          <w:color w:val="000000" w:themeColor="text1"/>
          <w14:textFill>
            <w14:solidFill>
              <w14:schemeClr w14:val="tx1"/>
            </w14:solidFill>
          </w14:textFill>
        </w:rPr>
        <w:t>消纳工艺</w:t>
      </w:r>
    </w:p>
    <w:p w14:paraId="21582180">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本项目年存栏700头牛，本项目有1</w:t>
      </w:r>
      <w:r>
        <w:rPr>
          <w:rFonts w:hint="eastAsia" w:cs="Times New Roman"/>
          <w:color w:val="000000" w:themeColor="text1"/>
          <w:lang w:val="en-US" w:eastAsia="zh-CN"/>
          <w14:textFill>
            <w14:solidFill>
              <w14:schemeClr w14:val="tx1"/>
            </w14:solidFill>
          </w14:textFill>
        </w:rPr>
        <w:t>0</w:t>
      </w:r>
      <w:r>
        <w:rPr>
          <w:rFonts w:hint="default" w:ascii="Times New Roman" w:hAnsi="Times New Roman" w:eastAsia="宋体" w:cs="Times New Roman"/>
          <w:color w:val="000000" w:themeColor="text1"/>
          <w14:textFill>
            <w14:solidFill>
              <w14:schemeClr w14:val="tx1"/>
            </w14:solidFill>
          </w14:textFill>
        </w:rPr>
        <w:t>00亩土地来消纳</w:t>
      </w:r>
      <w:r>
        <w:rPr>
          <w:rFonts w:hint="default" w:ascii="Times New Roman" w:hAnsi="Times New Roman" w:eastAsia="宋体" w:cs="Times New Roman"/>
          <w:color w:val="000000" w:themeColor="text1"/>
          <w:lang w:eastAsia="zh-CN"/>
          <w14:textFill>
            <w14:solidFill>
              <w14:schemeClr w14:val="tx1"/>
            </w14:solidFill>
          </w14:textFill>
        </w:rPr>
        <w:t>粪污</w:t>
      </w:r>
      <w:r>
        <w:rPr>
          <w:rFonts w:hint="default" w:ascii="Times New Roman" w:hAnsi="Times New Roman" w:eastAsia="宋体" w:cs="Times New Roman"/>
          <w:color w:val="000000" w:themeColor="text1"/>
          <w14:textFill>
            <w14:solidFill>
              <w14:schemeClr w14:val="tx1"/>
            </w14:solidFill>
          </w14:textFill>
        </w:rPr>
        <w:t>，可完全消纳本项目</w:t>
      </w:r>
      <w:r>
        <w:rPr>
          <w:rFonts w:hint="default" w:ascii="Times New Roman" w:hAnsi="Times New Roman" w:eastAsia="宋体" w:cs="Times New Roman"/>
          <w:color w:val="000000" w:themeColor="text1"/>
          <w:lang w:eastAsia="zh-CN"/>
          <w14:textFill>
            <w14:solidFill>
              <w14:schemeClr w14:val="tx1"/>
            </w14:solidFill>
          </w14:textFill>
        </w:rPr>
        <w:t>粪污</w:t>
      </w:r>
      <w:r>
        <w:rPr>
          <w:rFonts w:hint="default" w:ascii="Times New Roman" w:hAnsi="Times New Roman" w:eastAsia="宋体" w:cs="Times New Roman"/>
          <w:color w:val="000000" w:themeColor="text1"/>
          <w14:textFill>
            <w14:solidFill>
              <w14:schemeClr w14:val="tx1"/>
            </w14:solidFill>
          </w14:textFill>
        </w:rPr>
        <w:t>，不会有超过土壤负荷的情况出现。因此不会出现废水外排到周围沟壑，并最终对当地的水体产生影响的情况出现。</w:t>
      </w:r>
    </w:p>
    <w:p w14:paraId="037AC5D9">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由于每年的5月~10月，为耕作季节，因此非灌溉期为11月中旬~次年3月中旬，累计120天，按照水平衡核算的全场</w:t>
      </w:r>
      <w:r>
        <w:rPr>
          <w:rFonts w:hint="default" w:ascii="Times New Roman" w:hAnsi="Times New Roman" w:eastAsia="宋体" w:cs="Times New Roman"/>
          <w:color w:val="000000" w:themeColor="text1"/>
          <w:lang w:eastAsia="zh-CN"/>
          <w14:textFill>
            <w14:solidFill>
              <w14:schemeClr w14:val="tx1"/>
            </w14:solidFill>
          </w14:textFill>
        </w:rPr>
        <w:t>粪污</w:t>
      </w:r>
      <w:r>
        <w:rPr>
          <w:rFonts w:hint="default" w:ascii="Times New Roman" w:hAnsi="Times New Roman" w:eastAsia="宋体" w:cs="Times New Roman"/>
          <w:color w:val="000000" w:themeColor="text1"/>
          <w14:textFill>
            <w14:solidFill>
              <w14:schemeClr w14:val="tx1"/>
            </w14:solidFill>
          </w14:textFill>
        </w:rPr>
        <w:t>产量最大为</w:t>
      </w:r>
      <w:r>
        <w:rPr>
          <w:rFonts w:hint="eastAsia" w:cs="Times New Roman"/>
          <w:color w:val="000000" w:themeColor="text1"/>
          <w:lang w:val="en-US" w:eastAsia="zh-CN"/>
          <w14:textFill>
            <w14:solidFill>
              <w14:schemeClr w14:val="tx1"/>
            </w14:solidFill>
          </w14:textFill>
        </w:rPr>
        <w:t>36.9</w:t>
      </w:r>
      <w:r>
        <w:rPr>
          <w:rFonts w:hint="default" w:ascii="Times New Roman" w:hAnsi="Times New Roman" w:eastAsia="宋体" w:cs="Times New Roman"/>
          <w:color w:val="000000" w:themeColor="text1"/>
          <w14:textFill>
            <w14:solidFill>
              <w14:schemeClr w14:val="tx1"/>
            </w14:solidFill>
          </w14:textFill>
        </w:rPr>
        <w:t>m</w:t>
      </w:r>
      <w:r>
        <w:rPr>
          <w:rFonts w:hint="default" w:ascii="Times New Roman" w:hAnsi="Times New Roman" w:eastAsia="宋体" w:cs="Times New Roman"/>
          <w:color w:val="000000" w:themeColor="text1"/>
          <w:vertAlign w:val="superscript"/>
          <w14:textFill>
            <w14:solidFill>
              <w14:schemeClr w14:val="tx1"/>
            </w14:solidFill>
          </w14:textFill>
        </w:rPr>
        <w:t>3</w:t>
      </w:r>
      <w:r>
        <w:rPr>
          <w:rFonts w:hint="default" w:ascii="Times New Roman" w:hAnsi="Times New Roman" w:eastAsia="宋体" w:cs="Times New Roman"/>
          <w:color w:val="000000" w:themeColor="text1"/>
          <w14:textFill>
            <w14:solidFill>
              <w14:schemeClr w14:val="tx1"/>
            </w14:solidFill>
          </w14:textFill>
        </w:rPr>
        <w:t>/d，非灌溉期产生的</w:t>
      </w:r>
      <w:r>
        <w:rPr>
          <w:rFonts w:hint="default" w:ascii="Times New Roman" w:hAnsi="Times New Roman" w:eastAsia="宋体" w:cs="Times New Roman"/>
          <w:color w:val="000000" w:themeColor="text1"/>
          <w:lang w:eastAsia="zh-CN"/>
          <w14:textFill>
            <w14:solidFill>
              <w14:schemeClr w14:val="tx1"/>
            </w14:solidFill>
          </w14:textFill>
        </w:rPr>
        <w:t>粪污</w:t>
      </w:r>
      <w:r>
        <w:rPr>
          <w:rFonts w:hint="default" w:ascii="Times New Roman" w:hAnsi="Times New Roman" w:eastAsia="宋体" w:cs="Times New Roman"/>
          <w:color w:val="000000" w:themeColor="text1"/>
          <w14:textFill>
            <w14:solidFill>
              <w14:schemeClr w14:val="tx1"/>
            </w14:solidFill>
          </w14:textFill>
        </w:rPr>
        <w:t>总量为</w:t>
      </w:r>
      <w:r>
        <w:rPr>
          <w:rFonts w:hint="eastAsia" w:cs="Times New Roman"/>
          <w:color w:val="000000" w:themeColor="text1"/>
          <w:lang w:val="en-US" w:eastAsia="zh-CN"/>
          <w14:textFill>
            <w14:solidFill>
              <w14:schemeClr w14:val="tx1"/>
            </w14:solidFill>
          </w14:textFill>
        </w:rPr>
        <w:t>4428</w:t>
      </w:r>
      <w:r>
        <w:rPr>
          <w:rFonts w:hint="default" w:ascii="Times New Roman" w:hAnsi="Times New Roman" w:eastAsia="宋体" w:cs="Times New Roman"/>
          <w:color w:val="000000" w:themeColor="text1"/>
          <w14:textFill>
            <w14:solidFill>
              <w14:schemeClr w14:val="tx1"/>
            </w14:solidFill>
          </w14:textFill>
        </w:rPr>
        <w:t>m</w:t>
      </w:r>
      <w:r>
        <w:rPr>
          <w:rFonts w:hint="default" w:ascii="Times New Roman" w:hAnsi="Times New Roman" w:eastAsia="宋体" w:cs="Times New Roman"/>
          <w:color w:val="000000" w:themeColor="text1"/>
          <w:vertAlign w:val="superscript"/>
          <w14:textFill>
            <w14:solidFill>
              <w14:schemeClr w14:val="tx1"/>
            </w14:solidFill>
          </w14:textFill>
        </w:rPr>
        <w:t>3</w:t>
      </w:r>
      <w:r>
        <w:rPr>
          <w:rFonts w:hint="default" w:ascii="Times New Roman" w:hAnsi="Times New Roman" w:eastAsia="宋体" w:cs="Times New Roman"/>
          <w:color w:val="000000" w:themeColor="text1"/>
          <w14:textFill>
            <w14:solidFill>
              <w14:schemeClr w14:val="tx1"/>
            </w14:solidFill>
          </w14:textFill>
        </w:rPr>
        <w:t>。</w:t>
      </w:r>
    </w:p>
    <w:p w14:paraId="725EBEC4">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本项目要求氧化塘设计为能够容纳120天以上的</w:t>
      </w:r>
      <w:r>
        <w:rPr>
          <w:rFonts w:hint="default" w:ascii="Times New Roman" w:hAnsi="Times New Roman" w:eastAsia="宋体" w:cs="Times New Roman"/>
          <w:color w:val="000000" w:themeColor="text1"/>
          <w:lang w:eastAsia="zh-CN"/>
          <w14:textFill>
            <w14:solidFill>
              <w14:schemeClr w14:val="tx1"/>
            </w14:solidFill>
          </w14:textFill>
        </w:rPr>
        <w:t>粪污</w:t>
      </w:r>
      <w:r>
        <w:rPr>
          <w:rFonts w:hint="default" w:ascii="Times New Roman" w:hAnsi="Times New Roman" w:eastAsia="宋体" w:cs="Times New Roman"/>
          <w:color w:val="000000" w:themeColor="text1"/>
          <w14:textFill>
            <w14:solidFill>
              <w14:schemeClr w14:val="tx1"/>
            </w14:solidFill>
          </w14:textFill>
        </w:rPr>
        <w:t>量。根据《畜禽养殖污水贮存设施设计要求》（GB/T26624-2011）中要求，宜预留0.9m高的空间，预留体积按照设施的实际长和宽以及预留高度进行计算。本项目氧化塘3座，总容积为9000m</w:t>
      </w:r>
      <w:r>
        <w:rPr>
          <w:rFonts w:hint="default" w:ascii="Times New Roman" w:hAnsi="Times New Roman" w:eastAsia="宋体" w:cs="Times New Roman"/>
          <w:color w:val="000000" w:themeColor="text1"/>
          <w:vertAlign w:val="superscript"/>
          <w14:textFill>
            <w14:solidFill>
              <w14:schemeClr w14:val="tx1"/>
            </w14:solidFill>
          </w14:textFill>
        </w:rPr>
        <w:t>3</w:t>
      </w:r>
      <w:r>
        <w:rPr>
          <w:rFonts w:hint="default" w:ascii="Times New Roman" w:hAnsi="Times New Roman" w:eastAsia="宋体" w:cs="Times New Roman"/>
          <w:color w:val="000000" w:themeColor="text1"/>
          <w14:textFill>
            <w14:solidFill>
              <w14:schemeClr w14:val="tx1"/>
            </w14:solidFill>
          </w14:textFill>
        </w:rPr>
        <w:t>，单个容积为3000m</w:t>
      </w:r>
      <w:r>
        <w:rPr>
          <w:rFonts w:hint="default" w:ascii="Times New Roman" w:hAnsi="Times New Roman" w:eastAsia="宋体" w:cs="Times New Roman"/>
          <w:color w:val="000000" w:themeColor="text1"/>
          <w:vertAlign w:val="superscript"/>
          <w14:textFill>
            <w14:solidFill>
              <w14:schemeClr w14:val="tx1"/>
            </w14:solidFill>
          </w14:textFill>
        </w:rPr>
        <w:t>3</w:t>
      </w:r>
      <w:r>
        <w:rPr>
          <w:rFonts w:hint="default" w:ascii="Times New Roman" w:hAnsi="Times New Roman" w:eastAsia="宋体" w:cs="Times New Roman"/>
          <w:color w:val="000000" w:themeColor="text1"/>
          <w14:textFill>
            <w14:solidFill>
              <w14:schemeClr w14:val="tx1"/>
            </w14:solidFill>
          </w14:textFill>
        </w:rPr>
        <w:t>。根据水平衡，本项目</w:t>
      </w:r>
      <w:r>
        <w:rPr>
          <w:rFonts w:hint="default" w:ascii="Times New Roman" w:hAnsi="Times New Roman" w:eastAsia="宋体" w:cs="Times New Roman"/>
          <w:color w:val="000000" w:themeColor="text1"/>
          <w:lang w:eastAsia="zh-CN"/>
          <w14:textFill>
            <w14:solidFill>
              <w14:schemeClr w14:val="tx1"/>
            </w14:solidFill>
          </w14:textFill>
        </w:rPr>
        <w:t>粪污</w:t>
      </w:r>
      <w:r>
        <w:rPr>
          <w:rFonts w:hint="default" w:ascii="Times New Roman" w:hAnsi="Times New Roman" w:eastAsia="宋体" w:cs="Times New Roman"/>
          <w:color w:val="000000" w:themeColor="text1"/>
          <w14:textFill>
            <w14:solidFill>
              <w14:schemeClr w14:val="tx1"/>
            </w14:solidFill>
          </w14:textFill>
        </w:rPr>
        <w:t>非灌溉期产生量为</w:t>
      </w:r>
      <w:r>
        <w:rPr>
          <w:rFonts w:hint="eastAsia" w:cs="Times New Roman"/>
          <w:color w:val="000000" w:themeColor="text1"/>
          <w:lang w:val="en-US" w:eastAsia="zh-CN"/>
          <w14:textFill>
            <w14:solidFill>
              <w14:schemeClr w14:val="tx1"/>
            </w14:solidFill>
          </w14:textFill>
        </w:rPr>
        <w:t>4428</w:t>
      </w:r>
      <w:r>
        <w:rPr>
          <w:rFonts w:hint="default" w:ascii="Times New Roman" w:hAnsi="Times New Roman" w:eastAsia="宋体" w:cs="Times New Roman"/>
          <w:color w:val="000000" w:themeColor="text1"/>
          <w14:textFill>
            <w14:solidFill>
              <w14:schemeClr w14:val="tx1"/>
            </w14:solidFill>
          </w14:textFill>
        </w:rPr>
        <w:t>m</w:t>
      </w:r>
      <w:r>
        <w:rPr>
          <w:rFonts w:hint="default" w:ascii="Times New Roman" w:hAnsi="Times New Roman" w:eastAsia="宋体" w:cs="Times New Roman"/>
          <w:color w:val="000000" w:themeColor="text1"/>
          <w:vertAlign w:val="superscript"/>
          <w14:textFill>
            <w14:solidFill>
              <w14:schemeClr w14:val="tx1"/>
            </w14:solidFill>
          </w14:textFill>
        </w:rPr>
        <w:t>3</w:t>
      </w:r>
      <w:r>
        <w:rPr>
          <w:rFonts w:hint="default" w:ascii="Times New Roman" w:hAnsi="Times New Roman" w:eastAsia="宋体" w:cs="Times New Roman"/>
          <w:color w:val="000000" w:themeColor="text1"/>
          <w14:textFill>
            <w14:solidFill>
              <w14:schemeClr w14:val="tx1"/>
            </w14:solidFill>
          </w14:textFill>
        </w:rPr>
        <w:t>，小于9000m</w:t>
      </w:r>
      <w:r>
        <w:rPr>
          <w:rFonts w:hint="default" w:ascii="Times New Roman" w:hAnsi="Times New Roman" w:eastAsia="宋体" w:cs="Times New Roman"/>
          <w:color w:val="000000" w:themeColor="text1"/>
          <w:vertAlign w:val="superscript"/>
          <w14:textFill>
            <w14:solidFill>
              <w14:schemeClr w14:val="tx1"/>
            </w14:solidFill>
          </w14:textFill>
        </w:rPr>
        <w:t>3</w:t>
      </w:r>
      <w:r>
        <w:rPr>
          <w:rFonts w:hint="default" w:ascii="Times New Roman" w:hAnsi="Times New Roman" w:eastAsia="宋体" w:cs="Times New Roman"/>
          <w:color w:val="000000" w:themeColor="text1"/>
          <w14:textFill>
            <w14:solidFill>
              <w14:schemeClr w14:val="tx1"/>
            </w14:solidFill>
          </w14:textFill>
        </w:rPr>
        <w:t>的有效容积。氧化塘底部首先进行清场夯压，要做到池底无特殊工艺孔设置且内表面积较大，施工所在地土质情况单一，碎砖块等尖锐性杂物较少，具备防渗膜铺设的要求。其次，各废水输送管道应做到防泄漏、跑冒等。最后在此基础上铺设HDPE防渗膜，HDPE膜的厚度不应小于1.5mm，HDPE膜具有良好的断裂延伸率，能抵抗基础沉降或基础变形，正常使用情况下可以防止氧化塘内水下渗对地下水的污染。防渗系数为K≤1×10</w:t>
      </w:r>
      <w:r>
        <w:rPr>
          <w:rFonts w:hint="default" w:ascii="Times New Roman" w:hAnsi="Times New Roman" w:eastAsia="宋体" w:cs="Times New Roman"/>
          <w:color w:val="000000" w:themeColor="text1"/>
          <w:vertAlign w:val="superscript"/>
          <w14:textFill>
            <w14:solidFill>
              <w14:schemeClr w14:val="tx1"/>
            </w14:solidFill>
          </w14:textFill>
        </w:rPr>
        <w:t>-10</w:t>
      </w:r>
      <w:r>
        <w:rPr>
          <w:rFonts w:hint="default" w:ascii="Times New Roman" w:hAnsi="Times New Roman" w:eastAsia="宋体" w:cs="Times New Roman"/>
          <w:color w:val="000000" w:themeColor="text1"/>
          <w14:textFill>
            <w14:solidFill>
              <w14:schemeClr w14:val="tx1"/>
            </w14:solidFill>
          </w14:textFill>
        </w:rPr>
        <w:t>cm/s。冬季应做好溢流管、保护装置的水封、设备和管道的保温、防冻，防止结冰。</w:t>
      </w:r>
    </w:p>
    <w:p w14:paraId="7615014C">
      <w:pPr>
        <w:keepNext w:val="0"/>
        <w:keepLines w:val="0"/>
        <w:pageBreakBefore w:val="0"/>
        <w:widowControl w:val="0"/>
        <w:kinsoku/>
        <w:wordWrap/>
        <w:overflowPunct/>
        <w:topLinePunct w:val="0"/>
        <w:autoSpaceDE/>
        <w:autoSpaceDN/>
        <w:bidi w:val="0"/>
        <w:adjustRightInd/>
        <w:snapToGrid/>
        <w:spacing w:line="360" w:lineRule="auto"/>
        <w:ind w:firstLine="482"/>
        <w:textAlignment w:val="auto"/>
        <w:outlineLvl w:val="2"/>
        <w:rPr>
          <w:rFonts w:hint="default" w:ascii="Times New Roman" w:hAnsi="Times New Roman" w:eastAsia="宋体" w:cs="Times New Roman"/>
          <w:color w:val="000000" w:themeColor="text1"/>
          <w14:textFill>
            <w14:solidFill>
              <w14:schemeClr w14:val="tx1"/>
            </w14:solidFill>
          </w14:textFill>
        </w:rPr>
      </w:pPr>
      <w:bookmarkStart w:id="260" w:name="_Toc164"/>
      <w:r>
        <w:rPr>
          <w:rFonts w:hint="default" w:ascii="Times New Roman" w:hAnsi="Times New Roman" w:eastAsia="宋体" w:cs="Times New Roman"/>
          <w:b/>
          <w:bCs/>
          <w:color w:val="000000" w:themeColor="text1"/>
          <w14:textFill>
            <w14:solidFill>
              <w14:schemeClr w14:val="tx1"/>
            </w14:solidFill>
          </w14:textFill>
        </w:rPr>
        <w:fldChar w:fldCharType="begin"/>
      </w:r>
      <w:r>
        <w:rPr>
          <w:rFonts w:hint="default" w:ascii="Times New Roman" w:hAnsi="Times New Roman" w:eastAsia="宋体" w:cs="Times New Roman"/>
          <w:b/>
          <w:bCs/>
          <w:color w:val="000000" w:themeColor="text1"/>
          <w14:textFill>
            <w14:solidFill>
              <w14:schemeClr w14:val="tx1"/>
            </w14:solidFill>
          </w14:textFill>
        </w:rPr>
        <w:instrText xml:space="preserve">HYPERLINK "C:\\Users\\Administrator\\Desktop\\科右前旗现代农牧业园区核心育种场养殖项目-修改稿\\5.2.2.3"</w:instrText>
      </w:r>
      <w:r>
        <w:rPr>
          <w:rFonts w:hint="default" w:ascii="Times New Roman" w:hAnsi="Times New Roman" w:eastAsia="宋体" w:cs="Times New Roman"/>
          <w:b/>
          <w:bCs/>
          <w:color w:val="000000" w:themeColor="text1"/>
          <w14:textFill>
            <w14:solidFill>
              <w14:schemeClr w14:val="tx1"/>
            </w14:solidFill>
          </w14:textFill>
        </w:rPr>
        <w:fldChar w:fldCharType="separate"/>
      </w:r>
      <w:r>
        <w:rPr>
          <w:rFonts w:hint="default" w:ascii="Times New Roman" w:hAnsi="Times New Roman" w:eastAsia="宋体" w:cs="Times New Roman"/>
          <w:b/>
          <w:bCs/>
          <w:color w:val="000000" w:themeColor="text1"/>
          <w14:textFill>
            <w14:solidFill>
              <w14:schemeClr w14:val="tx1"/>
            </w14:solidFill>
          </w14:textFill>
        </w:rPr>
        <w:t>6.2.3</w:t>
      </w:r>
      <w:r>
        <w:rPr>
          <w:rFonts w:hint="default" w:ascii="Times New Roman" w:hAnsi="Times New Roman" w:eastAsia="宋体" w:cs="Times New Roman"/>
          <w:b/>
          <w:bCs/>
          <w:color w:val="000000" w:themeColor="text1"/>
          <w14:textFill>
            <w14:solidFill>
              <w14:schemeClr w14:val="tx1"/>
            </w14:solidFill>
          </w14:textFill>
        </w:rPr>
        <w:fldChar w:fldCharType="end"/>
      </w:r>
      <w:r>
        <w:rPr>
          <w:rFonts w:hint="default" w:ascii="Times New Roman" w:hAnsi="Times New Roman" w:eastAsia="宋体" w:cs="Times New Roman"/>
          <w:b/>
          <w:bCs/>
          <w:color w:val="000000" w:themeColor="text1"/>
          <w14:textFill>
            <w14:solidFill>
              <w14:schemeClr w14:val="tx1"/>
            </w14:solidFill>
          </w14:textFill>
        </w:rPr>
        <w:t>雨水径流排水</w:t>
      </w:r>
      <w:bookmarkEnd w:id="260"/>
    </w:p>
    <w:p w14:paraId="645D328E">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本项目全场排水体制为雨污分流制，育</w:t>
      </w:r>
      <w:r>
        <w:rPr>
          <w:rFonts w:hint="default" w:ascii="Times New Roman" w:hAnsi="Times New Roman" w:eastAsia="宋体" w:cs="Times New Roman"/>
          <w:color w:val="000000" w:themeColor="text1"/>
          <w:lang w:eastAsia="zh-CN"/>
          <w14:textFill>
            <w14:solidFill>
              <w14:schemeClr w14:val="tx1"/>
            </w14:solidFill>
          </w14:textFill>
        </w:rPr>
        <w:t>奶</w:t>
      </w:r>
      <w:r>
        <w:rPr>
          <w:rFonts w:hint="default" w:ascii="Times New Roman" w:hAnsi="Times New Roman" w:eastAsia="宋体" w:cs="Times New Roman"/>
          <w:color w:val="000000" w:themeColor="text1"/>
          <w14:textFill>
            <w14:solidFill>
              <w14:schemeClr w14:val="tx1"/>
            </w14:solidFill>
          </w14:textFill>
        </w:rPr>
        <w:t>牛舍区雨水通过雨水沟排出厂区外，繁育区雨水通过粪污收集排至收集沉淀池，同粪污水通过污水管道排往污水处理系统处理后全部实现综合利用。本项目场内污水处理构筑物均设置在厂房内，牛舍及粪污暂存池四周设置排水沟防止雨水进入，固液分离车间周边置排水沟。粪污处理区产生的地表径流不会携带污染物，地表径流对周边环境的影响较小。</w:t>
      </w:r>
    </w:p>
    <w:p w14:paraId="0EBE2DE9">
      <w:pPr>
        <w:keepNext w:val="0"/>
        <w:keepLines w:val="0"/>
        <w:pageBreakBefore w:val="0"/>
        <w:widowControl w:val="0"/>
        <w:kinsoku/>
        <w:wordWrap/>
        <w:overflowPunct/>
        <w:topLinePunct w:val="0"/>
        <w:autoSpaceDE/>
        <w:autoSpaceDN/>
        <w:bidi w:val="0"/>
        <w:adjustRightInd/>
        <w:snapToGrid/>
        <w:spacing w:line="360" w:lineRule="auto"/>
        <w:ind w:firstLine="482"/>
        <w:textAlignment w:val="auto"/>
        <w:outlineLvl w:val="2"/>
        <w:rPr>
          <w:rFonts w:hint="default" w:ascii="Times New Roman" w:hAnsi="Times New Roman" w:eastAsia="宋体" w:cs="Times New Roman"/>
          <w:b/>
          <w:bCs/>
          <w:color w:val="000000" w:themeColor="text1"/>
          <w14:textFill>
            <w14:solidFill>
              <w14:schemeClr w14:val="tx1"/>
            </w14:solidFill>
          </w14:textFill>
        </w:rPr>
      </w:pPr>
      <w:bookmarkStart w:id="261" w:name="_Toc32538"/>
      <w:r>
        <w:rPr>
          <w:rFonts w:hint="default" w:ascii="Times New Roman" w:hAnsi="Times New Roman" w:eastAsia="宋体" w:cs="Times New Roman"/>
          <w:b/>
          <w:bCs/>
          <w:color w:val="000000" w:themeColor="text1"/>
          <w14:textFill>
            <w14:solidFill>
              <w14:schemeClr w14:val="tx1"/>
            </w14:solidFill>
          </w14:textFill>
        </w:rPr>
        <w:fldChar w:fldCharType="begin"/>
      </w:r>
      <w:r>
        <w:rPr>
          <w:rFonts w:hint="default" w:ascii="Times New Roman" w:hAnsi="Times New Roman" w:eastAsia="宋体" w:cs="Times New Roman"/>
          <w:b/>
          <w:bCs/>
          <w:color w:val="000000" w:themeColor="text1"/>
          <w14:textFill>
            <w14:solidFill>
              <w14:schemeClr w14:val="tx1"/>
            </w14:solidFill>
          </w14:textFill>
        </w:rPr>
        <w:instrText xml:space="preserve">HYPERLINK "C:\\Users\\Administrator\\Desktop\\科右前旗现代农牧业园区核心育种场养殖项目-修改稿\\5.2.2.4"</w:instrText>
      </w:r>
      <w:r>
        <w:rPr>
          <w:rFonts w:hint="default" w:ascii="Times New Roman" w:hAnsi="Times New Roman" w:eastAsia="宋体" w:cs="Times New Roman"/>
          <w:b/>
          <w:bCs/>
          <w:color w:val="000000" w:themeColor="text1"/>
          <w14:textFill>
            <w14:solidFill>
              <w14:schemeClr w14:val="tx1"/>
            </w14:solidFill>
          </w14:textFill>
        </w:rPr>
        <w:fldChar w:fldCharType="separate"/>
      </w:r>
      <w:r>
        <w:rPr>
          <w:rFonts w:hint="default" w:ascii="Times New Roman" w:hAnsi="Times New Roman" w:eastAsia="宋体" w:cs="Times New Roman"/>
          <w:b/>
          <w:bCs/>
          <w:color w:val="000000" w:themeColor="text1"/>
          <w14:textFill>
            <w14:solidFill>
              <w14:schemeClr w14:val="tx1"/>
            </w14:solidFill>
          </w14:textFill>
        </w:rPr>
        <w:t>6.2.4</w:t>
      </w:r>
      <w:r>
        <w:rPr>
          <w:rFonts w:hint="default" w:ascii="Times New Roman" w:hAnsi="Times New Roman" w:eastAsia="宋体" w:cs="Times New Roman"/>
          <w:b/>
          <w:bCs/>
          <w:color w:val="000000" w:themeColor="text1"/>
          <w14:textFill>
            <w14:solidFill>
              <w14:schemeClr w14:val="tx1"/>
            </w14:solidFill>
          </w14:textFill>
        </w:rPr>
        <w:fldChar w:fldCharType="end"/>
      </w:r>
      <w:r>
        <w:rPr>
          <w:rFonts w:hint="default" w:ascii="Times New Roman" w:hAnsi="Times New Roman" w:eastAsia="宋体" w:cs="Times New Roman"/>
          <w:b/>
          <w:bCs/>
          <w:color w:val="000000" w:themeColor="text1"/>
          <w14:textFill>
            <w14:solidFill>
              <w14:schemeClr w14:val="tx1"/>
            </w14:solidFill>
          </w14:textFill>
        </w:rPr>
        <w:t>结论</w:t>
      </w:r>
      <w:bookmarkEnd w:id="261"/>
    </w:p>
    <w:p w14:paraId="314E7EC7">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根据工程分析可知，项目废水产生量大，有机物浓度高，可生化性强，且含有较高含量的病原菌数，水质比较复杂。通过场区污水收集系统统一收集至废水处理系统，经处理后用于周围农田施肥。由于厂区周边为农田及牧场，灌溉期，暂存的</w:t>
      </w:r>
      <w:r>
        <w:rPr>
          <w:rFonts w:hint="default" w:ascii="Times New Roman" w:hAnsi="Times New Roman" w:eastAsia="宋体" w:cs="Times New Roman"/>
          <w:color w:val="000000" w:themeColor="text1"/>
          <w:lang w:eastAsia="zh-CN"/>
          <w14:textFill>
            <w14:solidFill>
              <w14:schemeClr w14:val="tx1"/>
            </w14:solidFill>
          </w14:textFill>
        </w:rPr>
        <w:t>粪污</w:t>
      </w:r>
      <w:r>
        <w:rPr>
          <w:rFonts w:hint="default" w:ascii="Times New Roman" w:hAnsi="Times New Roman" w:eastAsia="宋体" w:cs="Times New Roman"/>
          <w:color w:val="000000" w:themeColor="text1"/>
          <w14:textFill>
            <w14:solidFill>
              <w14:schemeClr w14:val="tx1"/>
            </w14:solidFill>
          </w14:textFill>
        </w:rPr>
        <w:t>经</w:t>
      </w:r>
      <w:r>
        <w:rPr>
          <w:rFonts w:hint="default" w:ascii="Times New Roman" w:hAnsi="Times New Roman" w:eastAsia="宋体" w:cs="Times New Roman"/>
          <w:color w:val="000000" w:themeColor="text1"/>
          <w:lang w:eastAsia="zh-CN"/>
          <w14:textFill>
            <w14:solidFill>
              <w14:schemeClr w14:val="tx1"/>
            </w14:solidFill>
          </w14:textFill>
        </w:rPr>
        <w:t>粪污</w:t>
      </w:r>
      <w:r>
        <w:rPr>
          <w:rFonts w:hint="default" w:ascii="Times New Roman" w:hAnsi="Times New Roman" w:eastAsia="宋体" w:cs="Times New Roman"/>
          <w:color w:val="000000" w:themeColor="text1"/>
          <w14:textFill>
            <w14:solidFill>
              <w14:schemeClr w14:val="tx1"/>
            </w14:solidFill>
          </w14:textFill>
        </w:rPr>
        <w:t>输送管道至周边农作物种植地，用于施肥。</w:t>
      </w:r>
    </w:p>
    <w:p w14:paraId="6E8D2C8C">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非灌溉期或来不及利用时，暂存在氧化塘内不外排，对项目区水环境影响较小。</w:t>
      </w:r>
    </w:p>
    <w:p w14:paraId="52F549DC">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因此，本项目建成运营后，符合《畜禽养殖业污染防治技术规范》中“畜禽养殖过程中产生的污水应坚持种养结合的原则，经无害化处理后尽量充分还田，实现污水资源化利用”的要求，废水污染物实现综合利用。项目对地表水环境影响较小。</w:t>
      </w:r>
    </w:p>
    <w:p w14:paraId="7325CCA3">
      <w:pPr>
        <w:ind w:firstLine="0" w:firstLineChars="0"/>
        <w:outlineLvl w:val="1"/>
        <w:rPr>
          <w:rFonts w:hint="default" w:ascii="Times New Roman" w:hAnsi="Times New Roman" w:eastAsia="宋体" w:cs="Times New Roman"/>
          <w:b/>
          <w:bCs/>
          <w:color w:val="000000" w:themeColor="text1"/>
          <w:sz w:val="28"/>
          <w:szCs w:val="28"/>
          <w14:textFill>
            <w14:solidFill>
              <w14:schemeClr w14:val="tx1"/>
            </w14:solidFill>
          </w14:textFill>
        </w:rPr>
      </w:pPr>
      <w:bookmarkStart w:id="262" w:name="_Toc22598"/>
      <w:r>
        <w:rPr>
          <w:rFonts w:hint="default" w:ascii="Times New Roman" w:hAnsi="Times New Roman" w:eastAsia="宋体" w:cs="Times New Roman"/>
          <w:b/>
          <w:bCs/>
          <w:color w:val="000000" w:themeColor="text1"/>
          <w:sz w:val="28"/>
          <w:szCs w:val="28"/>
          <w14:textFill>
            <w14:solidFill>
              <w14:schemeClr w14:val="tx1"/>
            </w14:solidFill>
          </w14:textFill>
        </w:rPr>
        <w:t>6.3地下水环境影响评价</w:t>
      </w:r>
      <w:bookmarkEnd w:id="262"/>
    </w:p>
    <w:p w14:paraId="4E3B1E5F">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fldChar w:fldCharType="begin"/>
      </w:r>
      <w:r>
        <w:rPr>
          <w:rFonts w:hint="default" w:ascii="Times New Roman" w:hAnsi="Times New Roman" w:eastAsia="宋体" w:cs="Times New Roman"/>
          <w:b/>
          <w:bCs/>
          <w:color w:val="000000" w:themeColor="text1"/>
          <w14:textFill>
            <w14:solidFill>
              <w14:schemeClr w14:val="tx1"/>
            </w14:solidFill>
          </w14:textFill>
        </w:rPr>
        <w:instrText xml:space="preserve">HYPERLINK "C:\\Users\\Administrator\\Desktop\\科右前旗现代农牧业园区核心育种场养殖项目-修改稿\\5.2.3.1"</w:instrText>
      </w:r>
      <w:r>
        <w:rPr>
          <w:rFonts w:hint="default" w:ascii="Times New Roman" w:hAnsi="Times New Roman" w:eastAsia="宋体" w:cs="Times New Roman"/>
          <w:b/>
          <w:bCs/>
          <w:color w:val="000000" w:themeColor="text1"/>
          <w14:textFill>
            <w14:solidFill>
              <w14:schemeClr w14:val="tx1"/>
            </w14:solidFill>
          </w14:textFill>
        </w:rPr>
        <w:fldChar w:fldCharType="separate"/>
      </w:r>
      <w:r>
        <w:rPr>
          <w:rFonts w:hint="default" w:ascii="Times New Roman" w:hAnsi="Times New Roman" w:eastAsia="宋体" w:cs="Times New Roman"/>
          <w:b/>
          <w:bCs/>
          <w:color w:val="000000" w:themeColor="text1"/>
          <w14:textFill>
            <w14:solidFill>
              <w14:schemeClr w14:val="tx1"/>
            </w14:solidFill>
          </w14:textFill>
        </w:rPr>
        <w:t>6.3.1</w:t>
      </w:r>
      <w:r>
        <w:rPr>
          <w:rFonts w:hint="default" w:ascii="Times New Roman" w:hAnsi="Times New Roman" w:eastAsia="宋体" w:cs="Times New Roman"/>
          <w:b/>
          <w:bCs/>
          <w:color w:val="000000" w:themeColor="text1"/>
          <w14:textFill>
            <w14:solidFill>
              <w14:schemeClr w14:val="tx1"/>
            </w14:solidFill>
          </w14:textFill>
        </w:rPr>
        <w:fldChar w:fldCharType="end"/>
      </w:r>
      <w:r>
        <w:rPr>
          <w:rFonts w:hint="default" w:ascii="Times New Roman" w:hAnsi="Times New Roman" w:eastAsia="宋体" w:cs="Times New Roman"/>
          <w:b/>
          <w:bCs/>
          <w:color w:val="000000" w:themeColor="text1"/>
          <w:lang w:val="en-US" w:eastAsia="zh-CN"/>
          <w14:textFill>
            <w14:solidFill>
              <w14:schemeClr w14:val="tx1"/>
            </w14:solidFill>
          </w14:textFill>
        </w:rPr>
        <w:t>区域水文地质条件</w:t>
      </w:r>
    </w:p>
    <w:p w14:paraId="5C0505F4">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地下水的赋存条件和分布规律受地质构造、地层岩性、地貌形态、水文气象等诸多因素的控制和影响。</w:t>
      </w:r>
    </w:p>
    <w:p w14:paraId="5045B0DF">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（1）地下水类型及岩组富水性、补、给、径条件</w:t>
      </w:r>
    </w:p>
    <w:p w14:paraId="2DF85B4A">
      <w:pPr>
        <w:ind w:firstLine="480"/>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根据区域及场地附近资料，兴安盟地下水资源丰富，大部分地区处于大兴安岭隆起带东侧，地下水类型主要有松散层潜水、基岩裂隙水和承压水等，以第四系松散沉积层总的潜水为主，多分布在河谷和平原区，主要靠大气降水及河流和山前侧向补给。基岩裂隙水资源储量也较大，主要分布在丘陵山区的基岩风化壳内及断裂带，水质良好但不易开发利用。承压水储量较少，主要分布在地质构造较复杂的地区。</w:t>
      </w:r>
    </w:p>
    <w:p w14:paraId="1093E5FE">
      <w:pPr>
        <w:ind w:firstLine="480"/>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地下水位埋藏较深较大的地区为突泉县、科右中旗和乌兰浩特市，扎赉特旗地下水位较浅。突泉县全年地下水位在4.52~6.44米之间，科右中旗在5.25~6.00米之间，乌兰浩特市在4.93~5.72米之间，扎赉特旗在1.90~4.25米之间。全盟地下水量为14.59亿m</w:t>
      </w:r>
      <w:r>
        <w:rPr>
          <w:rFonts w:hint="default" w:ascii="Times New Roman" w:hAnsi="Times New Roman" w:eastAsia="宋体" w:cs="Times New Roman"/>
          <w:color w:val="000000" w:themeColor="text1"/>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lang w:val="en-US" w:eastAsia="zh-CN"/>
          <w14:textFill>
            <w14:solidFill>
              <w14:schemeClr w14:val="tx1"/>
            </w14:solidFill>
          </w14:textFill>
        </w:rPr>
        <w:t>，可开采量10.13亿m</w:t>
      </w:r>
      <w:r>
        <w:rPr>
          <w:rFonts w:hint="default" w:ascii="Times New Roman" w:hAnsi="Times New Roman" w:eastAsia="宋体" w:cs="Times New Roman"/>
          <w:color w:val="000000" w:themeColor="text1"/>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lang w:val="en-US" w:eastAsia="zh-CN"/>
          <w14:textFill>
            <w14:solidFill>
              <w14:schemeClr w14:val="tx1"/>
            </w14:solidFill>
          </w14:textFill>
        </w:rPr>
        <w:t>。由于本项目靠近乌兰浩特市，所以，主要调查研究乌兰浩特地区的地下水资源量见表6.3-1。</w:t>
      </w:r>
    </w:p>
    <w:p w14:paraId="32B11859">
      <w:pPr>
        <w:ind w:left="0" w:leftChars="0" w:firstLine="0" w:firstLineChars="0"/>
        <w:jc w:val="center"/>
        <w:rPr>
          <w:rFonts w:hint="default" w:ascii="Times New Roman" w:hAnsi="Times New Roman" w:eastAsia="宋体" w:cs="Times New Roman"/>
          <w:b/>
          <w:bCs/>
          <w:color w:val="000000" w:themeColor="text1"/>
          <w:lang w:val="en-US" w:eastAsia="zh-CN"/>
          <w14:textFill>
            <w14:solidFill>
              <w14:schemeClr w14:val="tx1"/>
            </w14:solidFill>
          </w14:textFill>
        </w:rPr>
      </w:pPr>
      <w:r>
        <w:rPr>
          <w:rFonts w:hint="default" w:ascii="Times New Roman" w:hAnsi="Times New Roman" w:eastAsia="宋体" w:cs="Times New Roman"/>
          <w:b/>
          <w:bCs/>
          <w:color w:val="000000" w:themeColor="text1"/>
          <w:lang w:val="en-US" w:eastAsia="zh-CN"/>
          <w14:textFill>
            <w14:solidFill>
              <w14:schemeClr w14:val="tx1"/>
            </w14:solidFill>
          </w14:textFill>
        </w:rPr>
        <w:t>表6.3-1乌兰浩特地区补给量及可采量统计104m</w:t>
      </w:r>
      <w:r>
        <w:rPr>
          <w:rFonts w:hint="default" w:ascii="Times New Roman" w:hAnsi="Times New Roman" w:eastAsia="宋体" w:cs="Times New Roman"/>
          <w:b/>
          <w:bCs/>
          <w:color w:val="000000" w:themeColor="text1"/>
          <w:vertAlign w:val="superscript"/>
          <w:lang w:val="en-US" w:eastAsia="zh-CN"/>
          <w14:textFill>
            <w14:solidFill>
              <w14:schemeClr w14:val="tx1"/>
            </w14:solidFill>
          </w14:textFill>
        </w:rPr>
        <w:t>3</w:t>
      </w:r>
      <w:r>
        <w:rPr>
          <w:rFonts w:hint="default" w:ascii="Times New Roman" w:hAnsi="Times New Roman" w:eastAsia="宋体" w:cs="Times New Roman"/>
          <w:b/>
          <w:bCs/>
          <w:color w:val="000000" w:themeColor="text1"/>
          <w:lang w:val="en-US" w:eastAsia="zh-CN"/>
          <w14:textFill>
            <w14:solidFill>
              <w14:schemeClr w14:val="tx1"/>
            </w14:solidFill>
          </w14:textFill>
        </w:rPr>
        <w:t>/年</w:t>
      </w:r>
    </w:p>
    <w:tbl>
      <w:tblPr>
        <w:tblStyle w:val="35"/>
        <w:tblW w:w="90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869"/>
        <w:gridCol w:w="1024"/>
        <w:gridCol w:w="1025"/>
        <w:gridCol w:w="1025"/>
        <w:gridCol w:w="1025"/>
        <w:gridCol w:w="1025"/>
        <w:gridCol w:w="1026"/>
        <w:gridCol w:w="1026"/>
        <w:gridCol w:w="1026"/>
      </w:tblGrid>
      <w:tr w14:paraId="48DCE0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38" w:hRule="atLeast"/>
          <w:jc w:val="center"/>
        </w:trPr>
        <w:tc>
          <w:tcPr>
            <w:tcW w:w="919" w:type="dxa"/>
            <w:vAlign w:val="center"/>
          </w:tcPr>
          <w:p w14:paraId="52CD3CB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分区</w:t>
            </w:r>
          </w:p>
        </w:tc>
        <w:tc>
          <w:tcPr>
            <w:tcW w:w="1083" w:type="dxa"/>
            <w:vAlign w:val="center"/>
          </w:tcPr>
          <w:p w14:paraId="6850B8B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降水入渗出补给量</w:t>
            </w:r>
          </w:p>
        </w:tc>
        <w:tc>
          <w:tcPr>
            <w:tcW w:w="1084" w:type="dxa"/>
            <w:vAlign w:val="center"/>
          </w:tcPr>
          <w:p w14:paraId="3F47F60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上游侧向补给量</w:t>
            </w:r>
          </w:p>
        </w:tc>
        <w:tc>
          <w:tcPr>
            <w:tcW w:w="1084" w:type="dxa"/>
            <w:vAlign w:val="center"/>
          </w:tcPr>
          <w:p w14:paraId="7862E60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山前侧向补给量</w:t>
            </w:r>
          </w:p>
        </w:tc>
        <w:tc>
          <w:tcPr>
            <w:tcW w:w="1084" w:type="dxa"/>
            <w:vAlign w:val="center"/>
          </w:tcPr>
          <w:p w14:paraId="50BF5F5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灌溉入渗出补给量</w:t>
            </w:r>
          </w:p>
        </w:tc>
        <w:tc>
          <w:tcPr>
            <w:tcW w:w="1083" w:type="dxa"/>
            <w:vAlign w:val="center"/>
          </w:tcPr>
          <w:p w14:paraId="6724342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河道入渗补给量</w:t>
            </w:r>
          </w:p>
        </w:tc>
        <w:tc>
          <w:tcPr>
            <w:tcW w:w="1084" w:type="dxa"/>
            <w:vAlign w:val="center"/>
          </w:tcPr>
          <w:p w14:paraId="02DE55C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综合补给量</w:t>
            </w:r>
          </w:p>
        </w:tc>
        <w:tc>
          <w:tcPr>
            <w:tcW w:w="1084" w:type="dxa"/>
            <w:vAlign w:val="center"/>
          </w:tcPr>
          <w:p w14:paraId="066FA8B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可开采系数</w:t>
            </w:r>
          </w:p>
        </w:tc>
        <w:tc>
          <w:tcPr>
            <w:tcW w:w="1084" w:type="dxa"/>
            <w:vAlign w:val="center"/>
          </w:tcPr>
          <w:p w14:paraId="25157CA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地下水可开采量</w:t>
            </w:r>
          </w:p>
        </w:tc>
      </w:tr>
      <w:tr w14:paraId="74CBD0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09" w:hRule="atLeast"/>
          <w:jc w:val="center"/>
        </w:trPr>
        <w:tc>
          <w:tcPr>
            <w:tcW w:w="919" w:type="dxa"/>
            <w:vAlign w:val="center"/>
          </w:tcPr>
          <w:p w14:paraId="23E7DDB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洮儿河</w:t>
            </w:r>
          </w:p>
        </w:tc>
        <w:tc>
          <w:tcPr>
            <w:tcW w:w="1083" w:type="dxa"/>
            <w:vAlign w:val="center"/>
          </w:tcPr>
          <w:p w14:paraId="4A0D284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548.56</w:t>
            </w:r>
          </w:p>
        </w:tc>
        <w:tc>
          <w:tcPr>
            <w:tcW w:w="1084" w:type="dxa"/>
            <w:vAlign w:val="center"/>
          </w:tcPr>
          <w:p w14:paraId="346F236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1470.08</w:t>
            </w:r>
          </w:p>
        </w:tc>
        <w:tc>
          <w:tcPr>
            <w:tcW w:w="1084" w:type="dxa"/>
            <w:vAlign w:val="center"/>
          </w:tcPr>
          <w:p w14:paraId="39DAFEA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197.78</w:t>
            </w:r>
          </w:p>
        </w:tc>
        <w:tc>
          <w:tcPr>
            <w:tcW w:w="1084" w:type="dxa"/>
            <w:vAlign w:val="center"/>
          </w:tcPr>
          <w:p w14:paraId="7F17381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1503.72</w:t>
            </w:r>
          </w:p>
        </w:tc>
        <w:tc>
          <w:tcPr>
            <w:tcW w:w="1083" w:type="dxa"/>
            <w:vAlign w:val="center"/>
          </w:tcPr>
          <w:p w14:paraId="7D39ACD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7747.72</w:t>
            </w:r>
          </w:p>
        </w:tc>
        <w:tc>
          <w:tcPr>
            <w:tcW w:w="1084" w:type="dxa"/>
            <w:vAlign w:val="center"/>
          </w:tcPr>
          <w:p w14:paraId="2B6C71C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11467.86</w:t>
            </w:r>
          </w:p>
        </w:tc>
        <w:tc>
          <w:tcPr>
            <w:tcW w:w="1084" w:type="dxa"/>
            <w:vAlign w:val="center"/>
          </w:tcPr>
          <w:p w14:paraId="339B20C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0.65</w:t>
            </w:r>
          </w:p>
        </w:tc>
        <w:tc>
          <w:tcPr>
            <w:tcW w:w="1084" w:type="dxa"/>
            <w:vAlign w:val="center"/>
          </w:tcPr>
          <w:p w14:paraId="13BDC9A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7454.11</w:t>
            </w:r>
          </w:p>
        </w:tc>
      </w:tr>
      <w:tr w14:paraId="267717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00" w:hRule="atLeast"/>
          <w:jc w:val="center"/>
        </w:trPr>
        <w:tc>
          <w:tcPr>
            <w:tcW w:w="919" w:type="dxa"/>
            <w:vAlign w:val="center"/>
          </w:tcPr>
          <w:p w14:paraId="7D5C1B3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归流河</w:t>
            </w:r>
          </w:p>
        </w:tc>
        <w:tc>
          <w:tcPr>
            <w:tcW w:w="1083" w:type="dxa"/>
            <w:vAlign w:val="center"/>
          </w:tcPr>
          <w:p w14:paraId="1F063AD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437.90</w:t>
            </w:r>
          </w:p>
        </w:tc>
        <w:tc>
          <w:tcPr>
            <w:tcW w:w="1084" w:type="dxa"/>
            <w:vAlign w:val="center"/>
          </w:tcPr>
          <w:p w14:paraId="62284EF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1303.97</w:t>
            </w:r>
          </w:p>
        </w:tc>
        <w:tc>
          <w:tcPr>
            <w:tcW w:w="1084" w:type="dxa"/>
            <w:vAlign w:val="center"/>
          </w:tcPr>
          <w:p w14:paraId="617DF5C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280.66</w:t>
            </w:r>
          </w:p>
        </w:tc>
        <w:tc>
          <w:tcPr>
            <w:tcW w:w="1084" w:type="dxa"/>
            <w:vAlign w:val="center"/>
          </w:tcPr>
          <w:p w14:paraId="59CD49D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968.02</w:t>
            </w:r>
          </w:p>
        </w:tc>
        <w:tc>
          <w:tcPr>
            <w:tcW w:w="1083" w:type="dxa"/>
            <w:vAlign w:val="center"/>
          </w:tcPr>
          <w:p w14:paraId="1D7B6E7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2240.18</w:t>
            </w:r>
          </w:p>
        </w:tc>
        <w:tc>
          <w:tcPr>
            <w:tcW w:w="1084" w:type="dxa"/>
            <w:vAlign w:val="center"/>
          </w:tcPr>
          <w:p w14:paraId="63D97AB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5230.73</w:t>
            </w:r>
          </w:p>
        </w:tc>
        <w:tc>
          <w:tcPr>
            <w:tcW w:w="1084" w:type="dxa"/>
            <w:vAlign w:val="center"/>
          </w:tcPr>
          <w:p w14:paraId="2A1C33D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0.65</w:t>
            </w:r>
          </w:p>
        </w:tc>
        <w:tc>
          <w:tcPr>
            <w:tcW w:w="1084" w:type="dxa"/>
            <w:vAlign w:val="center"/>
          </w:tcPr>
          <w:p w14:paraId="346F0DC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3399.97</w:t>
            </w:r>
          </w:p>
        </w:tc>
      </w:tr>
      <w:tr w14:paraId="77A3BA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30" w:hRule="atLeast"/>
          <w:jc w:val="center"/>
        </w:trPr>
        <w:tc>
          <w:tcPr>
            <w:tcW w:w="919" w:type="dxa"/>
            <w:vAlign w:val="center"/>
          </w:tcPr>
          <w:p w14:paraId="138EFB7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合计</w:t>
            </w:r>
          </w:p>
        </w:tc>
        <w:tc>
          <w:tcPr>
            <w:tcW w:w="1083" w:type="dxa"/>
            <w:vAlign w:val="center"/>
          </w:tcPr>
          <w:p w14:paraId="117BF29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986.46</w:t>
            </w:r>
          </w:p>
        </w:tc>
        <w:tc>
          <w:tcPr>
            <w:tcW w:w="1084" w:type="dxa"/>
            <w:vAlign w:val="center"/>
          </w:tcPr>
          <w:p w14:paraId="6ADC356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2774.05</w:t>
            </w:r>
          </w:p>
        </w:tc>
        <w:tc>
          <w:tcPr>
            <w:tcW w:w="1084" w:type="dxa"/>
            <w:vAlign w:val="center"/>
          </w:tcPr>
          <w:p w14:paraId="755FDBF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478.44</w:t>
            </w:r>
          </w:p>
        </w:tc>
        <w:tc>
          <w:tcPr>
            <w:tcW w:w="1084" w:type="dxa"/>
            <w:vAlign w:val="center"/>
          </w:tcPr>
          <w:p w14:paraId="44FBFF9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2471.74</w:t>
            </w:r>
          </w:p>
        </w:tc>
        <w:tc>
          <w:tcPr>
            <w:tcW w:w="1083" w:type="dxa"/>
            <w:vAlign w:val="center"/>
          </w:tcPr>
          <w:p w14:paraId="4A40DF6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9987.90</w:t>
            </w:r>
          </w:p>
        </w:tc>
        <w:tc>
          <w:tcPr>
            <w:tcW w:w="1084" w:type="dxa"/>
            <w:vAlign w:val="center"/>
          </w:tcPr>
          <w:p w14:paraId="58C784B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16698.59</w:t>
            </w:r>
          </w:p>
        </w:tc>
        <w:tc>
          <w:tcPr>
            <w:tcW w:w="1084" w:type="dxa"/>
            <w:vAlign w:val="center"/>
          </w:tcPr>
          <w:p w14:paraId="542723B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0.65</w:t>
            </w:r>
          </w:p>
        </w:tc>
        <w:tc>
          <w:tcPr>
            <w:tcW w:w="1084" w:type="dxa"/>
            <w:vAlign w:val="center"/>
          </w:tcPr>
          <w:p w14:paraId="5088C7F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10854.08</w:t>
            </w:r>
          </w:p>
        </w:tc>
      </w:tr>
    </w:tbl>
    <w:p w14:paraId="330E1505">
      <w:pPr>
        <w:bidi w:val="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（2）地下水水质</w:t>
      </w:r>
    </w:p>
    <w:p w14:paraId="593CE2DD">
      <w:pPr>
        <w:bidi w:val="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根据区域资料，地下水为潜水承压水，第四系孔隙水，基岩裂隙水。</w:t>
      </w:r>
    </w:p>
    <w:p w14:paraId="716CEB3E">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fldChar w:fldCharType="begin"/>
      </w:r>
      <w:r>
        <w:rPr>
          <w:rFonts w:hint="default" w:ascii="Times New Roman" w:hAnsi="Times New Roman" w:eastAsia="宋体" w:cs="Times New Roman"/>
          <w:b/>
          <w:bCs/>
          <w:color w:val="000000" w:themeColor="text1"/>
          <w14:textFill>
            <w14:solidFill>
              <w14:schemeClr w14:val="tx1"/>
            </w14:solidFill>
          </w14:textFill>
        </w:rPr>
        <w:instrText xml:space="preserve">HYPERLINK "C:\\Users\\Administrator\\Desktop\\科右前旗现代农牧业园区核心育种场养殖项目-修改稿\\5.2.3.2"</w:instrText>
      </w:r>
      <w:r>
        <w:rPr>
          <w:rFonts w:hint="default" w:ascii="Times New Roman" w:hAnsi="Times New Roman" w:eastAsia="宋体" w:cs="Times New Roman"/>
          <w:b/>
          <w:bCs/>
          <w:color w:val="000000" w:themeColor="text1"/>
          <w14:textFill>
            <w14:solidFill>
              <w14:schemeClr w14:val="tx1"/>
            </w14:solidFill>
          </w14:textFill>
        </w:rPr>
        <w:fldChar w:fldCharType="separate"/>
      </w:r>
      <w:r>
        <w:rPr>
          <w:rFonts w:hint="default" w:ascii="Times New Roman" w:hAnsi="Times New Roman" w:eastAsia="宋体" w:cs="Times New Roman"/>
          <w:b/>
          <w:bCs/>
          <w:color w:val="000000" w:themeColor="text1"/>
          <w14:textFill>
            <w14:solidFill>
              <w14:schemeClr w14:val="tx1"/>
            </w14:solidFill>
          </w14:textFill>
        </w:rPr>
        <w:t>6.3.2</w:t>
      </w:r>
      <w:r>
        <w:rPr>
          <w:rFonts w:hint="default" w:ascii="Times New Roman" w:hAnsi="Times New Roman" w:eastAsia="宋体" w:cs="Times New Roman"/>
          <w:b/>
          <w:bCs/>
          <w:color w:val="000000" w:themeColor="text1"/>
          <w14:textFill>
            <w14:solidFill>
              <w14:schemeClr w14:val="tx1"/>
            </w14:solidFill>
          </w14:textFill>
        </w:rPr>
        <w:fldChar w:fldCharType="end"/>
      </w:r>
      <w:r>
        <w:rPr>
          <w:rFonts w:hint="default" w:ascii="Times New Roman" w:hAnsi="Times New Roman" w:eastAsia="宋体" w:cs="Times New Roman"/>
          <w:b/>
          <w:bCs/>
          <w:color w:val="000000" w:themeColor="text1"/>
          <w:lang w:val="en-US" w:eastAsia="zh-CN"/>
          <w14:textFill>
            <w14:solidFill>
              <w14:schemeClr w14:val="tx1"/>
            </w14:solidFill>
          </w14:textFill>
        </w:rPr>
        <w:t>地下水影响分析</w:t>
      </w:r>
    </w:p>
    <w:p w14:paraId="78274F79">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1</w:t>
      </w:r>
      <w:r>
        <w:rPr>
          <w:rFonts w:hint="eastAsia" w:cs="Times New Roman"/>
          <w:color w:val="000000" w:themeColor="text1"/>
          <w:lang w:val="en-US" w:eastAsia="zh-CN"/>
          <w14:textFill>
            <w14:solidFill>
              <w14:schemeClr w14:val="tx1"/>
            </w14:solidFill>
          </w14:textFill>
        </w:rPr>
        <w:t>）</w:t>
      </w:r>
      <w:r>
        <w:rPr>
          <w:rFonts w:hint="default" w:ascii="Times New Roman" w:hAnsi="Times New Roman" w:eastAsia="宋体" w:cs="Times New Roman"/>
          <w:color w:val="000000" w:themeColor="text1"/>
          <w:lang w:val="en-US" w:eastAsia="zh-CN"/>
          <w14:textFill>
            <w14:solidFill>
              <w14:schemeClr w14:val="tx1"/>
            </w14:solidFill>
          </w14:textFill>
        </w:rPr>
        <w:t>影响途径</w:t>
      </w:r>
    </w:p>
    <w:p w14:paraId="3D7FEFFB">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（1）地下水质量现状</w:t>
      </w:r>
    </w:p>
    <w:p w14:paraId="7035890E">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根据地下水环境质量监测结果，项目所在区域地下水监测井各项因子均达到《地下水质量标准》（GB/T14848-2017）中Ⅲ类标准，说明区域地下水环境质量较好。</w:t>
      </w:r>
    </w:p>
    <w:p w14:paraId="111CE27D">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（2）地下水污染途径分析</w:t>
      </w:r>
    </w:p>
    <w:p w14:paraId="1328A76D">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针对本项目各生产工序，项目生产过程中生产的废水经氧化塘处理后，出水可作为液肥用于周边农田施肥，可达到零排放，因此对区域地下水环境影响较小。</w:t>
      </w:r>
    </w:p>
    <w:p w14:paraId="390E809D">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本项目可能造成地下水污染的环节主要是：废水收集排放系统防渗措施不当造成污水直接下渗，影响厂址周围地区浅层地下水；氧化塘、排污管道下渗或漏水污染管道附近的浅层地下水，原料及固体废物对土壤、地下水水质的影响。由于本项目生产用水水质简单且使用量较少，因此，仅对本项目地下水进行简单的环境影响分析。</w:t>
      </w:r>
    </w:p>
    <w:p w14:paraId="01BDF27B">
      <w:pPr>
        <w:ind w:firstLine="480"/>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废水对地下水的影响主要是由于降雨或废水排放等通过垂直渗透进入包气带，进入包气带的污染物在物理、化学和生物作用下经吸附、转化、迁移和分解后输入地下水。因此，包气带是联接地面污染物与地下含水层的主要通道和过渡带，既是污染物媒介体，又是污染物的净化场所和防护层。一般说来，土壤粒细而紧密，渗透性差，则污染程度较轻；反之，颗粒大松散，渗透性能良好则会加重地下水污染。</w:t>
      </w:r>
    </w:p>
    <w:p w14:paraId="296F1604">
      <w:pPr>
        <w:ind w:firstLine="480"/>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（3）对地下水水质的影响</w:t>
      </w:r>
    </w:p>
    <w:p w14:paraId="5E841CF2">
      <w:pPr>
        <w:ind w:firstLine="480"/>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本项目废水不直接排向外环境，对地下水环境的影响主要表现为对地下水水质的影响，分别从以下角度进行分析：</w:t>
      </w:r>
    </w:p>
    <w:p w14:paraId="71201266">
      <w:pPr>
        <w:ind w:firstLine="480"/>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a、废水</w:t>
      </w:r>
    </w:p>
    <w:p w14:paraId="1D28C75D">
      <w:pPr>
        <w:ind w:firstLine="480"/>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生活污水、生产废水通过各自管道排入厂内氧化塘处理后，出水水质能够达到《畜禽粪便无害化处理技术规范》（GB/T36195-2018）表2相关限值要求，处理后作为液肥用于周边农田施肥。</w:t>
      </w:r>
    </w:p>
    <w:p w14:paraId="2704AF04">
      <w:pPr>
        <w:ind w:firstLine="480"/>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在建设过程中，环评要求对于养殖区、排粪沟以及输送管线等均进行防渗处理，采取等渗黏土层防渗，粘土层厚度≥1.5m，渗透系数≤10</w:t>
      </w:r>
      <w:r>
        <w:rPr>
          <w:rFonts w:hint="default" w:ascii="Times New Roman" w:hAnsi="Times New Roman" w:eastAsia="宋体" w:cs="Times New Roman"/>
          <w:color w:val="000000" w:themeColor="text1"/>
          <w:vertAlign w:val="superscript"/>
          <w:lang w:val="en-US" w:eastAsia="zh-CN"/>
          <w14:textFill>
            <w14:solidFill>
              <w14:schemeClr w14:val="tx1"/>
            </w14:solidFill>
          </w14:textFill>
        </w:rPr>
        <w:t>-7</w:t>
      </w:r>
      <w:r>
        <w:rPr>
          <w:rFonts w:hint="default" w:ascii="Times New Roman" w:hAnsi="Times New Roman" w:eastAsia="宋体" w:cs="Times New Roman"/>
          <w:color w:val="000000" w:themeColor="text1"/>
          <w:lang w:val="en-US" w:eastAsia="zh-CN"/>
          <w14:textFill>
            <w14:solidFill>
              <w14:schemeClr w14:val="tx1"/>
            </w14:solidFill>
          </w14:textFill>
        </w:rPr>
        <w:t>cm/s，氧化塘、</w:t>
      </w:r>
      <w:r>
        <w:rPr>
          <w:rFonts w:hint="eastAsia" w:cs="Times New Roman"/>
          <w:color w:val="000000" w:themeColor="text1"/>
          <w:lang w:val="en-US" w:eastAsia="zh-CN"/>
          <w14:textFill>
            <w14:solidFill>
              <w14:schemeClr w14:val="tx1"/>
            </w14:solidFill>
          </w14:textFill>
        </w:rPr>
        <w:t>医废间、</w:t>
      </w:r>
      <w:r>
        <w:rPr>
          <w:rFonts w:hint="default" w:ascii="Times New Roman" w:hAnsi="Times New Roman" w:eastAsia="宋体" w:cs="Times New Roman"/>
          <w:color w:val="000000" w:themeColor="text1"/>
          <w:lang w:val="en-US" w:eastAsia="zh-CN"/>
          <w14:textFill>
            <w14:solidFill>
              <w14:schemeClr w14:val="tx1"/>
            </w14:solidFill>
          </w14:textFill>
        </w:rPr>
        <w:t>危险废物暂存间确保渗透系数≤10</w:t>
      </w:r>
      <w:r>
        <w:rPr>
          <w:rFonts w:hint="default" w:ascii="Times New Roman" w:hAnsi="Times New Roman" w:eastAsia="宋体" w:cs="Times New Roman"/>
          <w:color w:val="000000" w:themeColor="text1"/>
          <w:vertAlign w:val="superscript"/>
          <w:lang w:val="en-US" w:eastAsia="zh-CN"/>
          <w14:textFill>
            <w14:solidFill>
              <w14:schemeClr w14:val="tx1"/>
            </w14:solidFill>
          </w14:textFill>
        </w:rPr>
        <w:t>-10</w:t>
      </w:r>
      <w:r>
        <w:rPr>
          <w:rFonts w:hint="default" w:ascii="Times New Roman" w:hAnsi="Times New Roman" w:eastAsia="宋体" w:cs="Times New Roman"/>
          <w:color w:val="000000" w:themeColor="text1"/>
          <w:lang w:val="en-US" w:eastAsia="zh-CN"/>
          <w14:textFill>
            <w14:solidFill>
              <w14:schemeClr w14:val="tx1"/>
            </w14:solidFill>
          </w14:textFill>
        </w:rPr>
        <w:t>cm/s，并且具有耐腐蚀性。可防止污水的下渗对当地的地下水产生污染。</w:t>
      </w:r>
    </w:p>
    <w:p w14:paraId="2B93E262">
      <w:pPr>
        <w:ind w:firstLine="480"/>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b、固废</w:t>
      </w:r>
    </w:p>
    <w:p w14:paraId="6F1E004B">
      <w:pPr>
        <w:ind w:firstLine="480"/>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生产固废：本项目产生的</w:t>
      </w:r>
      <w:r>
        <w:rPr>
          <w:rFonts w:hint="eastAsia" w:cs="Times New Roman"/>
          <w:color w:val="000000" w:themeColor="text1"/>
          <w:lang w:val="en-US" w:eastAsia="zh-CN"/>
          <w14:textFill>
            <w14:solidFill>
              <w14:schemeClr w14:val="tx1"/>
            </w14:solidFill>
          </w14:textFill>
        </w:rPr>
        <w:t>牛</w:t>
      </w:r>
      <w:r>
        <w:rPr>
          <w:rFonts w:hint="default" w:ascii="Times New Roman" w:hAnsi="Times New Roman" w:eastAsia="宋体" w:cs="Times New Roman"/>
          <w:color w:val="000000" w:themeColor="text1"/>
          <w:lang w:val="en-US" w:eastAsia="zh-CN"/>
          <w14:textFill>
            <w14:solidFill>
              <w14:schemeClr w14:val="tx1"/>
            </w14:solidFill>
          </w14:textFill>
        </w:rPr>
        <w:t>粪，氧化塘，沉淀池不断蓄积污泥需定期清理，粪及污泥中无有毒有害物质，均送</w:t>
      </w:r>
      <w:r>
        <w:rPr>
          <w:rFonts w:hint="eastAsia" w:cs="Times New Roman"/>
          <w:color w:val="000000" w:themeColor="text1"/>
          <w:lang w:val="en-US" w:eastAsia="zh-CN"/>
          <w14:textFill>
            <w14:solidFill>
              <w14:schemeClr w14:val="tx1"/>
            </w14:solidFill>
          </w14:textFill>
        </w:rPr>
        <w:t>固液分离车</w:t>
      </w:r>
      <w:r>
        <w:rPr>
          <w:rFonts w:hint="default" w:ascii="Times New Roman" w:hAnsi="Times New Roman" w:eastAsia="宋体" w:cs="Times New Roman"/>
          <w:color w:val="000000" w:themeColor="text1"/>
          <w:lang w:val="en-US" w:eastAsia="zh-CN"/>
          <w14:textFill>
            <w14:solidFill>
              <w14:schemeClr w14:val="tx1"/>
            </w14:solidFill>
          </w14:textFill>
        </w:rPr>
        <w:t>间进行</w:t>
      </w:r>
      <w:r>
        <w:rPr>
          <w:rFonts w:hint="eastAsia" w:cs="Times New Roman"/>
          <w:color w:val="000000" w:themeColor="text1"/>
          <w:lang w:val="en-US" w:eastAsia="zh-CN"/>
          <w14:textFill>
            <w14:solidFill>
              <w14:schemeClr w14:val="tx1"/>
            </w14:solidFill>
          </w14:textFill>
        </w:rPr>
        <w:t>发酵后，还田</w:t>
      </w:r>
      <w:r>
        <w:rPr>
          <w:rFonts w:hint="default" w:ascii="Times New Roman" w:hAnsi="Times New Roman" w:eastAsia="宋体" w:cs="Times New Roman"/>
          <w:color w:val="000000" w:themeColor="text1"/>
          <w:lang w:val="en-US" w:eastAsia="zh-CN"/>
          <w14:textFill>
            <w14:solidFill>
              <w14:schemeClr w14:val="tx1"/>
            </w14:solidFill>
          </w14:textFill>
        </w:rPr>
        <w:t>。</w:t>
      </w:r>
    </w:p>
    <w:p w14:paraId="1CC7DDE9">
      <w:pPr>
        <w:ind w:firstLine="480"/>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医疗废物：暂存于兽医室后交由有医疗废物处置资质的单位进行集中清运处理。</w:t>
      </w:r>
    </w:p>
    <w:p w14:paraId="548B6E48">
      <w:pPr>
        <w:ind w:firstLine="480"/>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病死</w:t>
      </w:r>
      <w:r>
        <w:rPr>
          <w:rFonts w:hint="eastAsia" w:cs="Times New Roman"/>
          <w:color w:val="000000" w:themeColor="text1"/>
          <w:lang w:val="en-US" w:eastAsia="zh-CN"/>
          <w14:textFill>
            <w14:solidFill>
              <w14:schemeClr w14:val="tx1"/>
            </w14:solidFill>
          </w14:textFill>
        </w:rPr>
        <w:t>牛</w:t>
      </w:r>
      <w:r>
        <w:rPr>
          <w:rFonts w:hint="default" w:ascii="Times New Roman" w:hAnsi="Times New Roman" w:eastAsia="宋体" w:cs="Times New Roman"/>
          <w:color w:val="000000" w:themeColor="text1"/>
          <w:lang w:val="en-US" w:eastAsia="zh-CN"/>
          <w14:textFill>
            <w14:solidFill>
              <w14:schemeClr w14:val="tx1"/>
            </w14:solidFill>
          </w14:textFill>
        </w:rPr>
        <w:t>：依照管理部门要求，食药监部门的为了加强管理规定养殖单位将病死羊全部委托有资质单位进行处理，不得私自处理。</w:t>
      </w:r>
    </w:p>
    <w:p w14:paraId="1F2AADD2">
      <w:pPr>
        <w:ind w:firstLine="480"/>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养殖场产生的废机油经桶装后暂存于废机油库内，定期送往有资质的单位处理。</w:t>
      </w:r>
    </w:p>
    <w:p w14:paraId="709614B3">
      <w:pPr>
        <w:ind w:firstLine="480"/>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生活垃圾：本项目人员较少，产生的生活垃圾经厂区内垃圾桶收集后，定期由牧场专用车辆拉运至当地指定的最近的生活垃圾集中处置场。</w:t>
      </w:r>
    </w:p>
    <w:p w14:paraId="4BE4E2C9">
      <w:pPr>
        <w:ind w:firstLine="480"/>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（4）污染防治措施与对策</w:t>
      </w:r>
    </w:p>
    <w:p w14:paraId="0C7BBBD0">
      <w:pPr>
        <w:ind w:firstLine="480"/>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地下水保护与污染防治按照“源头控制、分区防治、污染监控、应急响应”的原则。工程生产运行过程中要建立健全地下水保护与污染防治的措施与方法；必须采取必要监测制度，一旦发现泄漏，就应及时采取措施，尽量减少污染物进入地下含水层的机会和数量。</w:t>
      </w:r>
    </w:p>
    <w:p w14:paraId="262F147E">
      <w:pPr>
        <w:ind w:firstLine="480"/>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地表污染物进入地下水途径可分为以下几种形式，本工程针对不同的地下水的污染途径，采取了相应的措施。</w:t>
      </w:r>
    </w:p>
    <w:p w14:paraId="11DF2189">
      <w:pPr>
        <w:ind w:firstLine="480"/>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a、通过包气带连续渗入</w:t>
      </w:r>
    </w:p>
    <w:p w14:paraId="55D7EFF8">
      <w:pPr>
        <w:ind w:firstLine="480"/>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这种途径是污染物从具体的污染源不断地通过包气带地下水面渗透。本项目有机肥车间、氧化塘、沉淀池、化粪池以及排污管道污水下渗是主要的地下水污染源，对其采取有效的防渗处理，可以有效防止污染物通过包气带连续渗入地下水。</w:t>
      </w:r>
    </w:p>
    <w:p w14:paraId="4DB72838">
      <w:pPr>
        <w:ind w:firstLine="480"/>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b、通过包气带断续渗入</w:t>
      </w:r>
    </w:p>
    <w:p w14:paraId="0214C180">
      <w:pPr>
        <w:ind w:firstLine="480"/>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这种途径是指地表的污染物经降水淋滤，通过包气带进入地下水。</w:t>
      </w:r>
    </w:p>
    <w:p w14:paraId="2A81D89F">
      <w:pPr>
        <w:ind w:firstLine="480"/>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本工程采取以下措施防止污染物断续渗入地下水：</w:t>
      </w:r>
    </w:p>
    <w:p w14:paraId="3839A984">
      <w:pPr>
        <w:ind w:firstLine="480"/>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一般防渗区（养殖区羊舍、干草棚、青贮酵）内等效粘土防渗层Mb≥1.5m处理，防渗系数达到1×10</w:t>
      </w:r>
      <w:r>
        <w:rPr>
          <w:rFonts w:hint="default" w:ascii="Times New Roman" w:hAnsi="Times New Roman" w:eastAsia="宋体" w:cs="Times New Roman"/>
          <w:color w:val="000000" w:themeColor="text1"/>
          <w:vertAlign w:val="superscript"/>
          <w:lang w:val="en-US" w:eastAsia="zh-CN"/>
          <w14:textFill>
            <w14:solidFill>
              <w14:schemeClr w14:val="tx1"/>
            </w14:solidFill>
          </w14:textFill>
        </w:rPr>
        <w:t>-7</w:t>
      </w:r>
      <w:r>
        <w:rPr>
          <w:rFonts w:hint="default" w:ascii="Times New Roman" w:hAnsi="Times New Roman" w:eastAsia="宋体" w:cs="Times New Roman"/>
          <w:color w:val="000000" w:themeColor="text1"/>
          <w:lang w:val="en-US" w:eastAsia="zh-CN"/>
          <w14:textFill>
            <w14:solidFill>
              <w14:schemeClr w14:val="tx1"/>
            </w14:solidFill>
          </w14:textFill>
        </w:rPr>
        <w:t>cm/s以下。</w:t>
      </w:r>
    </w:p>
    <w:p w14:paraId="53EBEE47">
      <w:pPr>
        <w:ind w:firstLine="480"/>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重点防渗区（沉淀池车间以及氧化塘、危险废物暂存间）均防渗层为至少6m厚粘土层，或2mm厚高密度聚乙烯，或至少2mm厚的其它人工材料，确保防渗系数达到1×10</w:t>
      </w:r>
      <w:r>
        <w:rPr>
          <w:rFonts w:hint="default" w:ascii="Times New Roman" w:hAnsi="Times New Roman" w:eastAsia="宋体" w:cs="Times New Roman"/>
          <w:color w:val="000000" w:themeColor="text1"/>
          <w:vertAlign w:val="superscript"/>
          <w:lang w:val="en-US" w:eastAsia="zh-CN"/>
          <w14:textFill>
            <w14:solidFill>
              <w14:schemeClr w14:val="tx1"/>
            </w14:solidFill>
          </w14:textFill>
        </w:rPr>
        <w:t>-10</w:t>
      </w:r>
      <w:r>
        <w:rPr>
          <w:rFonts w:hint="default" w:ascii="Times New Roman" w:hAnsi="Times New Roman" w:eastAsia="宋体" w:cs="Times New Roman"/>
          <w:color w:val="000000" w:themeColor="text1"/>
          <w:lang w:val="en-US" w:eastAsia="zh-CN"/>
          <w14:textFill>
            <w14:solidFill>
              <w14:schemeClr w14:val="tx1"/>
            </w14:solidFill>
          </w14:textFill>
        </w:rPr>
        <w:t>cm/s以下，并且具有耐腐蚀性。</w:t>
      </w:r>
    </w:p>
    <w:p w14:paraId="08048F5A">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项目防渗分区划分及防渗等级见表6.3-</w:t>
      </w:r>
      <w:r>
        <w:rPr>
          <w:rFonts w:hint="eastAsia" w:cs="Times New Roman"/>
          <w:color w:val="000000" w:themeColor="text1"/>
          <w:lang w:val="en-US" w:eastAsia="zh-CN"/>
          <w14:textFill>
            <w14:solidFill>
              <w14:schemeClr w14:val="tx1"/>
            </w14:solidFill>
          </w14:textFill>
        </w:rPr>
        <w:t>2</w:t>
      </w:r>
      <w:r>
        <w:rPr>
          <w:rFonts w:hint="default" w:ascii="Times New Roman" w:hAnsi="Times New Roman" w:eastAsia="宋体" w:cs="Times New Roman"/>
          <w:color w:val="000000" w:themeColor="text1"/>
          <w14:textFill>
            <w14:solidFill>
              <w14:schemeClr w14:val="tx1"/>
            </w14:solidFill>
          </w14:textFill>
        </w:rPr>
        <w:t>。</w:t>
      </w:r>
    </w:p>
    <w:p w14:paraId="6C337A3F">
      <w:pPr>
        <w:ind w:firstLine="0" w:firstLineChars="0"/>
        <w:jc w:val="center"/>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表6.3-</w:t>
      </w:r>
      <w:r>
        <w:rPr>
          <w:rFonts w:hint="eastAsia" w:cs="Times New Roman"/>
          <w:b/>
          <w:bCs/>
          <w:color w:val="000000" w:themeColor="text1"/>
          <w:lang w:val="en-US" w:eastAsia="zh-CN"/>
          <w14:textFill>
            <w14:solidFill>
              <w14:schemeClr w14:val="tx1"/>
            </w14:solidFill>
          </w14:textFill>
        </w:rPr>
        <w:t>2</w:t>
      </w:r>
      <w:r>
        <w:rPr>
          <w:rFonts w:hint="default" w:ascii="Times New Roman" w:hAnsi="Times New Roman" w:eastAsia="宋体" w:cs="Times New Roman"/>
          <w:b/>
          <w:bCs/>
          <w:color w:val="000000" w:themeColor="text1"/>
          <w14:textFill>
            <w14:solidFill>
              <w14:schemeClr w14:val="tx1"/>
            </w14:solidFill>
          </w14:textFill>
        </w:rPr>
        <w:t>项目防渗分区划分及防渗等级表</w:t>
      </w:r>
    </w:p>
    <w:tbl>
      <w:tblPr>
        <w:tblStyle w:val="29"/>
        <w:tblW w:w="83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2770"/>
        <w:gridCol w:w="1042"/>
        <w:gridCol w:w="4569"/>
      </w:tblGrid>
      <w:tr w14:paraId="62AAD5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3" w:hRule="atLeast"/>
          <w:jc w:val="center"/>
        </w:trPr>
        <w:tc>
          <w:tcPr>
            <w:tcW w:w="2770" w:type="dxa"/>
            <w:tcBorders>
              <w:tl2br w:val="nil"/>
              <w:tr2bl w:val="nil"/>
            </w:tcBorders>
            <w:vAlign w:val="center"/>
          </w:tcPr>
          <w:p w14:paraId="0D57A313">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区域名称</w:t>
            </w:r>
          </w:p>
        </w:tc>
        <w:tc>
          <w:tcPr>
            <w:tcW w:w="1042" w:type="dxa"/>
            <w:tcBorders>
              <w:tl2br w:val="nil"/>
              <w:tr2bl w:val="nil"/>
            </w:tcBorders>
            <w:vAlign w:val="center"/>
          </w:tcPr>
          <w:p w14:paraId="4C8BF55E">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分区类别</w:t>
            </w:r>
          </w:p>
        </w:tc>
        <w:tc>
          <w:tcPr>
            <w:tcW w:w="4569" w:type="dxa"/>
            <w:tcBorders>
              <w:tl2br w:val="nil"/>
              <w:tr2bl w:val="nil"/>
            </w:tcBorders>
            <w:vAlign w:val="center"/>
          </w:tcPr>
          <w:p w14:paraId="4249EF4A">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防渗要求</w:t>
            </w:r>
          </w:p>
        </w:tc>
      </w:tr>
      <w:tr w14:paraId="15202B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914" w:hRule="atLeast"/>
          <w:jc w:val="center"/>
        </w:trPr>
        <w:tc>
          <w:tcPr>
            <w:tcW w:w="2770" w:type="dxa"/>
            <w:tcBorders>
              <w:tl2br w:val="nil"/>
              <w:tr2bl w:val="nil"/>
            </w:tcBorders>
            <w:vAlign w:val="center"/>
          </w:tcPr>
          <w:p w14:paraId="70EECE5F">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医废间、</w:t>
            </w:r>
            <w:r>
              <w:rPr>
                <w:rFonts w:hint="default" w:ascii="Times New Roman" w:hAnsi="Times New Roman" w:eastAsia="宋体" w:cs="Times New Roman"/>
                <w:color w:val="000000" w:themeColor="text1"/>
                <w:sz w:val="21"/>
                <w:szCs w:val="21"/>
                <w14:textFill>
                  <w14:solidFill>
                    <w14:schemeClr w14:val="tx1"/>
                  </w14:solidFill>
                </w14:textFill>
              </w:rPr>
              <w:t>危废间、粪污处理区（</w:t>
            </w:r>
            <w:r>
              <w:rPr>
                <w:rFonts w:hint="eastAsia" w:cs="Times New Roman"/>
                <w:color w:val="000000" w:themeColor="text1"/>
                <w:sz w:val="21"/>
                <w:szCs w:val="21"/>
                <w:lang w:val="en-US" w:eastAsia="zh-CN"/>
                <w14:textFill>
                  <w14:solidFill>
                    <w14:schemeClr w14:val="tx1"/>
                  </w14:solidFill>
                </w14:textFill>
              </w:rPr>
              <w:t>固液分离车间、</w:t>
            </w:r>
            <w:r>
              <w:rPr>
                <w:rFonts w:hint="default" w:ascii="Times New Roman" w:hAnsi="Times New Roman" w:eastAsia="宋体" w:cs="Times New Roman"/>
                <w:color w:val="000000" w:themeColor="text1"/>
                <w:sz w:val="21"/>
                <w:szCs w:val="21"/>
                <w14:textFill>
                  <w14:solidFill>
                    <w14:schemeClr w14:val="tx1"/>
                  </w14:solidFill>
                </w14:textFill>
              </w:rPr>
              <w:t>氧化塘）</w:t>
            </w:r>
          </w:p>
        </w:tc>
        <w:tc>
          <w:tcPr>
            <w:tcW w:w="1042" w:type="dxa"/>
            <w:tcBorders>
              <w:tl2br w:val="nil"/>
              <w:tr2bl w:val="nil"/>
            </w:tcBorders>
            <w:vAlign w:val="center"/>
          </w:tcPr>
          <w:p w14:paraId="3DE4895D">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重点防渗</w:t>
            </w:r>
          </w:p>
        </w:tc>
        <w:tc>
          <w:tcPr>
            <w:tcW w:w="4569" w:type="dxa"/>
            <w:tcBorders>
              <w:tl2br w:val="nil"/>
              <w:tr2bl w:val="nil"/>
            </w:tcBorders>
            <w:vAlign w:val="center"/>
          </w:tcPr>
          <w:p w14:paraId="3E86E955">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基础防渗，防渗层材料为2mm后高密度聚乙烯，渗透系数≤10</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-10</w:t>
            </w:r>
            <w:r>
              <w:rPr>
                <w:rFonts w:hint="default" w:ascii="Times New Roman" w:hAnsi="Times New Roman" w:eastAsia="宋体" w:cs="Times New Roman"/>
                <w:color w:val="000000" w:themeColor="text1"/>
                <w:sz w:val="21"/>
                <w:szCs w:val="21"/>
                <w14:textFill>
                  <w14:solidFill>
                    <w14:schemeClr w14:val="tx1"/>
                  </w14:solidFill>
                </w14:textFill>
              </w:rPr>
              <w:t>cm/s</w:t>
            </w:r>
          </w:p>
        </w:tc>
      </w:tr>
      <w:tr w14:paraId="471A6B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906" w:hRule="atLeast"/>
          <w:jc w:val="center"/>
        </w:trPr>
        <w:tc>
          <w:tcPr>
            <w:tcW w:w="2770" w:type="dxa"/>
            <w:tcBorders>
              <w:tl2br w:val="nil"/>
              <w:tr2bl w:val="nil"/>
            </w:tcBorders>
            <w:vAlign w:val="center"/>
          </w:tcPr>
          <w:p w14:paraId="6A681218">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挤奶厅、牛舍过道、化粪池、青储窖、初期雨水池</w:t>
            </w:r>
          </w:p>
        </w:tc>
        <w:tc>
          <w:tcPr>
            <w:tcW w:w="1042" w:type="dxa"/>
            <w:tcBorders>
              <w:tl2br w:val="nil"/>
              <w:tr2bl w:val="nil"/>
            </w:tcBorders>
            <w:vAlign w:val="center"/>
          </w:tcPr>
          <w:p w14:paraId="221E81B4">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一般防渗</w:t>
            </w:r>
          </w:p>
        </w:tc>
        <w:tc>
          <w:tcPr>
            <w:tcW w:w="4569" w:type="dxa"/>
            <w:tcBorders>
              <w:tl2br w:val="nil"/>
              <w:tr2bl w:val="nil"/>
            </w:tcBorders>
            <w:vAlign w:val="center"/>
          </w:tcPr>
          <w:p w14:paraId="11F8B79C">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应采用天然或人工材料构筑防渗层，防渗层的厚度应相当于防渗系数≤10</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-7</w:t>
            </w:r>
            <w:r>
              <w:rPr>
                <w:rFonts w:hint="default" w:ascii="Times New Roman" w:hAnsi="Times New Roman" w:eastAsia="宋体" w:cs="Times New Roman"/>
                <w:color w:val="000000" w:themeColor="text1"/>
                <w:sz w:val="21"/>
                <w:szCs w:val="21"/>
                <w14:textFill>
                  <w14:solidFill>
                    <w14:schemeClr w14:val="tx1"/>
                  </w14:solidFill>
                </w14:textFill>
              </w:rPr>
              <w:t>cm/s和厚度为1.5m的黏土层防渗性能</w:t>
            </w:r>
          </w:p>
        </w:tc>
      </w:tr>
      <w:tr w14:paraId="14B943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2770" w:type="dxa"/>
            <w:tcBorders>
              <w:tl2br w:val="nil"/>
              <w:tr2bl w:val="nil"/>
            </w:tcBorders>
            <w:vAlign w:val="center"/>
          </w:tcPr>
          <w:p w14:paraId="3DD53E3B">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办公室、宿舍、干草棚、精料库</w:t>
            </w:r>
          </w:p>
        </w:tc>
        <w:tc>
          <w:tcPr>
            <w:tcW w:w="1042" w:type="dxa"/>
            <w:tcBorders>
              <w:tl2br w:val="nil"/>
              <w:tr2bl w:val="nil"/>
            </w:tcBorders>
            <w:vAlign w:val="center"/>
          </w:tcPr>
          <w:p w14:paraId="3A8A81CA">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简单防渗</w:t>
            </w:r>
          </w:p>
        </w:tc>
        <w:tc>
          <w:tcPr>
            <w:tcW w:w="4569" w:type="dxa"/>
            <w:tcBorders>
              <w:tl2br w:val="nil"/>
              <w:tr2bl w:val="nil"/>
            </w:tcBorders>
            <w:vAlign w:val="center"/>
          </w:tcPr>
          <w:p w14:paraId="32E9853E">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简单硬化</w:t>
            </w:r>
          </w:p>
        </w:tc>
      </w:tr>
    </w:tbl>
    <w:p w14:paraId="4946BCF4">
      <w:pPr>
        <w:ind w:firstLine="480"/>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综上所述，企业在加强管理，强化防渗措施的前提下，绝大部分污染物得到有控制，污染物渗入地下的量极其轻微，对区域地下水环境造成影响的可能性较小。</w:t>
      </w:r>
    </w:p>
    <w:p w14:paraId="07F9518E">
      <w:pPr>
        <w:ind w:firstLine="480"/>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（5）非正常状况下废水排放对地下水的影响分析</w:t>
      </w:r>
    </w:p>
    <w:p w14:paraId="028B08B6">
      <w:pPr>
        <w:ind w:firstLine="480"/>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本项目正常生产情况下，厂区废水经项目氧化塘处理后还田，生活污水经化粪池处理后混入氧化塘处理。若污水储存及处理系统发生故障，长时间排放条件下将使污水渗入地下，从而造成厂区及下游区地下水污染。当本项目废水主要污染物为COD、BOD</w:t>
      </w:r>
      <w:r>
        <w:rPr>
          <w:rFonts w:hint="default" w:ascii="Times New Roman" w:hAnsi="Times New Roman" w:eastAsia="宋体" w:cs="Times New Roman"/>
          <w:color w:val="000000" w:themeColor="text1"/>
          <w:vertAlign w:val="subscript"/>
          <w:lang w:val="en-US" w:eastAsia="zh-CN"/>
          <w14:textFill>
            <w14:solidFill>
              <w14:schemeClr w14:val="tx1"/>
            </w14:solidFill>
          </w14:textFill>
        </w:rPr>
        <w:t>5</w:t>
      </w:r>
      <w:r>
        <w:rPr>
          <w:rFonts w:hint="default" w:ascii="Times New Roman" w:hAnsi="Times New Roman" w:eastAsia="宋体" w:cs="Times New Roman"/>
          <w:color w:val="000000" w:themeColor="text1"/>
          <w:lang w:val="en-US" w:eastAsia="zh-CN"/>
          <w14:textFill>
            <w14:solidFill>
              <w14:schemeClr w14:val="tx1"/>
            </w14:solidFill>
          </w14:textFill>
        </w:rPr>
        <w:t>、SS、NH</w:t>
      </w:r>
      <w:r>
        <w:rPr>
          <w:rFonts w:hint="default" w:ascii="Times New Roman" w:hAnsi="Times New Roman" w:eastAsia="宋体" w:cs="Times New Roman"/>
          <w:color w:val="000000" w:themeColor="text1"/>
          <w:vertAlign w:val="subscript"/>
          <w:lang w:val="en-US" w:eastAsia="zh-CN"/>
          <w14:textFill>
            <w14:solidFill>
              <w14:schemeClr w14:val="tx1"/>
            </w14:solidFill>
          </w14:textFill>
        </w:rPr>
        <w:t>3</w:t>
      </w:r>
      <w:r>
        <w:rPr>
          <w:rFonts w:hint="default" w:ascii="Times New Roman" w:hAnsi="Times New Roman" w:eastAsia="宋体" w:cs="Times New Roman"/>
          <w:color w:val="000000" w:themeColor="text1"/>
          <w:lang w:val="en-US" w:eastAsia="zh-CN"/>
          <w14:textFill>
            <w14:solidFill>
              <w14:schemeClr w14:val="tx1"/>
            </w14:solidFill>
          </w14:textFill>
        </w:rPr>
        <w:t>-N等易降解的污染物，通过包气带对污染物的吸附和降解，事故工况下渗出液进入地下水系统后对区域地下水影响程度和范围均较小。</w:t>
      </w:r>
    </w:p>
    <w:p w14:paraId="4DD2F076">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综上所处，通过采取上述有效防治措施后，本项目运营期对地下水环境影响较小</w:t>
      </w:r>
      <w:r>
        <w:rPr>
          <w:rFonts w:hint="default" w:ascii="Times New Roman" w:hAnsi="Times New Roman" w:eastAsia="宋体" w:cs="Times New Roman"/>
          <w:color w:val="000000" w:themeColor="text1"/>
          <w14:textFill>
            <w14:solidFill>
              <w14:schemeClr w14:val="tx1"/>
            </w14:solidFill>
          </w14:textFill>
        </w:rPr>
        <w:t>。</w:t>
      </w:r>
    </w:p>
    <w:p w14:paraId="09E2B30C">
      <w:pPr>
        <w:keepNext w:val="0"/>
        <w:keepLines w:val="0"/>
        <w:pageBreakBefore w:val="0"/>
        <w:widowControl w:val="0"/>
        <w:kinsoku/>
        <w:wordWrap/>
        <w:overflowPunct/>
        <w:topLinePunct w:val="0"/>
        <w:autoSpaceDE/>
        <w:autoSpaceDN/>
        <w:bidi w:val="0"/>
        <w:adjustRightInd/>
        <w:snapToGrid/>
        <w:ind w:left="0" w:leftChars="0" w:firstLine="0" w:firstLineChars="0"/>
        <w:textAlignment w:val="auto"/>
        <w:outlineLvl w:val="1"/>
        <w:rPr>
          <w:rFonts w:hint="default" w:ascii="Times New Roman" w:hAnsi="Times New Roman" w:eastAsia="宋体" w:cs="Times New Roman"/>
          <w:b/>
          <w:bCs/>
          <w:color w:val="000000" w:themeColor="text1"/>
          <w:sz w:val="28"/>
          <w:szCs w:val="28"/>
          <w14:textFill>
            <w14:solidFill>
              <w14:schemeClr w14:val="tx1"/>
            </w14:solidFill>
          </w14:textFill>
        </w:rPr>
      </w:pPr>
      <w:bookmarkStart w:id="263" w:name="_Toc21193"/>
      <w:r>
        <w:rPr>
          <w:rFonts w:hint="default" w:ascii="Times New Roman" w:hAnsi="Times New Roman" w:eastAsia="宋体" w:cs="Times New Roman"/>
          <w:b/>
          <w:bCs/>
          <w:color w:val="000000" w:themeColor="text1"/>
          <w:sz w:val="28"/>
          <w:szCs w:val="28"/>
          <w14:textFill>
            <w14:solidFill>
              <w14:schemeClr w14:val="tx1"/>
            </w14:solidFill>
          </w14:textFill>
        </w:rPr>
        <w:t>6.4声环境影响评价</w:t>
      </w:r>
      <w:bookmarkEnd w:id="263"/>
    </w:p>
    <w:p w14:paraId="40ABAF85">
      <w:pPr>
        <w:ind w:firstLine="482"/>
        <w:outlineLvl w:val="2"/>
        <w:rPr>
          <w:rFonts w:hint="default" w:ascii="Times New Roman" w:hAnsi="Times New Roman" w:eastAsia="宋体" w:cs="Times New Roman"/>
          <w:color w:val="000000" w:themeColor="text1"/>
          <w14:textFill>
            <w14:solidFill>
              <w14:schemeClr w14:val="tx1"/>
            </w14:solidFill>
          </w14:textFill>
        </w:rPr>
      </w:pPr>
      <w:bookmarkStart w:id="264" w:name="_Toc1559"/>
      <w:r>
        <w:rPr>
          <w:rFonts w:hint="default" w:ascii="Times New Roman" w:hAnsi="Times New Roman" w:eastAsia="宋体" w:cs="Times New Roman"/>
          <w:b/>
          <w:bCs/>
          <w:color w:val="000000" w:themeColor="text1"/>
          <w14:textFill>
            <w14:solidFill>
              <w14:schemeClr w14:val="tx1"/>
            </w14:solidFill>
          </w14:textFill>
        </w:rPr>
        <w:fldChar w:fldCharType="begin"/>
      </w:r>
      <w:r>
        <w:rPr>
          <w:rFonts w:hint="default" w:ascii="Times New Roman" w:hAnsi="Times New Roman" w:eastAsia="宋体" w:cs="Times New Roman"/>
          <w:b/>
          <w:bCs/>
          <w:color w:val="000000" w:themeColor="text1"/>
          <w14:textFill>
            <w14:solidFill>
              <w14:schemeClr w14:val="tx1"/>
            </w14:solidFill>
          </w14:textFill>
        </w:rPr>
        <w:instrText xml:space="preserve">HYPERLINK "C:\\Users\\Administrator\\Desktop\\科右前旗现代农牧业园区核心育种场养殖项目-修改稿\\5.2.4.1"</w:instrText>
      </w:r>
      <w:r>
        <w:rPr>
          <w:rFonts w:hint="default" w:ascii="Times New Roman" w:hAnsi="Times New Roman" w:eastAsia="宋体" w:cs="Times New Roman"/>
          <w:b/>
          <w:bCs/>
          <w:color w:val="000000" w:themeColor="text1"/>
          <w14:textFill>
            <w14:solidFill>
              <w14:schemeClr w14:val="tx1"/>
            </w14:solidFill>
          </w14:textFill>
        </w:rPr>
        <w:fldChar w:fldCharType="separate"/>
      </w:r>
      <w:r>
        <w:rPr>
          <w:rFonts w:hint="default" w:ascii="Times New Roman" w:hAnsi="Times New Roman" w:eastAsia="宋体" w:cs="Times New Roman"/>
          <w:b/>
          <w:bCs/>
          <w:color w:val="000000" w:themeColor="text1"/>
          <w14:textFill>
            <w14:solidFill>
              <w14:schemeClr w14:val="tx1"/>
            </w14:solidFill>
          </w14:textFill>
        </w:rPr>
        <w:t>6.4.1</w:t>
      </w:r>
      <w:r>
        <w:rPr>
          <w:rFonts w:hint="default" w:ascii="Times New Roman" w:hAnsi="Times New Roman" w:eastAsia="宋体" w:cs="Times New Roman"/>
          <w:b/>
          <w:bCs/>
          <w:color w:val="000000" w:themeColor="text1"/>
          <w14:textFill>
            <w14:solidFill>
              <w14:schemeClr w14:val="tx1"/>
            </w14:solidFill>
          </w14:textFill>
        </w:rPr>
        <w:fldChar w:fldCharType="end"/>
      </w:r>
      <w:r>
        <w:rPr>
          <w:rFonts w:hint="default" w:ascii="Times New Roman" w:hAnsi="Times New Roman" w:eastAsia="宋体" w:cs="Times New Roman"/>
          <w:b/>
          <w:bCs/>
          <w:color w:val="000000" w:themeColor="text1"/>
          <w14:textFill>
            <w14:solidFill>
              <w14:schemeClr w14:val="tx1"/>
            </w14:solidFill>
          </w14:textFill>
        </w:rPr>
        <w:t>预测模式介绍</w:t>
      </w:r>
      <w:bookmarkEnd w:id="264"/>
    </w:p>
    <w:p w14:paraId="786DCC62">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根据《环境影响评价技术导则-声环境》（HJ24-2021）中有关规定，本次环境影响预测评价采用《声环境导则》推荐的具体模式进行预测分析。</w:t>
      </w:r>
    </w:p>
    <w:p w14:paraId="1DA53CD7">
      <w:pPr>
        <w:ind w:firstLine="482"/>
        <w:outlineLvl w:val="2"/>
        <w:rPr>
          <w:rFonts w:hint="default" w:ascii="Times New Roman" w:hAnsi="Times New Roman" w:eastAsia="宋体" w:cs="Times New Roman"/>
          <w:color w:val="000000" w:themeColor="text1"/>
          <w14:textFill>
            <w14:solidFill>
              <w14:schemeClr w14:val="tx1"/>
            </w14:solidFill>
          </w14:textFill>
        </w:rPr>
      </w:pPr>
      <w:bookmarkStart w:id="265" w:name="_Toc9433"/>
      <w:r>
        <w:rPr>
          <w:rFonts w:hint="default" w:ascii="Times New Roman" w:hAnsi="Times New Roman" w:eastAsia="宋体" w:cs="Times New Roman"/>
          <w:b/>
          <w:bCs/>
          <w:color w:val="000000" w:themeColor="text1"/>
          <w14:textFill>
            <w14:solidFill>
              <w14:schemeClr w14:val="tx1"/>
            </w14:solidFill>
          </w14:textFill>
        </w:rPr>
        <w:fldChar w:fldCharType="begin"/>
      </w:r>
      <w:r>
        <w:rPr>
          <w:rFonts w:hint="default" w:ascii="Times New Roman" w:hAnsi="Times New Roman" w:eastAsia="宋体" w:cs="Times New Roman"/>
          <w:b/>
          <w:bCs/>
          <w:color w:val="000000" w:themeColor="text1"/>
          <w14:textFill>
            <w14:solidFill>
              <w14:schemeClr w14:val="tx1"/>
            </w14:solidFill>
          </w14:textFill>
        </w:rPr>
        <w:instrText xml:space="preserve">HYPERLINK "C:\\Users\\Administrator\\Desktop\\科右前旗现代农牧业园区核心育种场养殖项目-修改稿\\5.2.4.2"</w:instrText>
      </w:r>
      <w:r>
        <w:rPr>
          <w:rFonts w:hint="default" w:ascii="Times New Roman" w:hAnsi="Times New Roman" w:eastAsia="宋体" w:cs="Times New Roman"/>
          <w:b/>
          <w:bCs/>
          <w:color w:val="000000" w:themeColor="text1"/>
          <w14:textFill>
            <w14:solidFill>
              <w14:schemeClr w14:val="tx1"/>
            </w14:solidFill>
          </w14:textFill>
        </w:rPr>
        <w:fldChar w:fldCharType="separate"/>
      </w:r>
      <w:r>
        <w:rPr>
          <w:rFonts w:hint="default" w:ascii="Times New Roman" w:hAnsi="Times New Roman" w:eastAsia="宋体" w:cs="Times New Roman"/>
          <w:b/>
          <w:bCs/>
          <w:color w:val="000000" w:themeColor="text1"/>
          <w14:textFill>
            <w14:solidFill>
              <w14:schemeClr w14:val="tx1"/>
            </w14:solidFill>
          </w14:textFill>
        </w:rPr>
        <w:t>6.4.2</w:t>
      </w:r>
      <w:r>
        <w:rPr>
          <w:rFonts w:hint="default" w:ascii="Times New Roman" w:hAnsi="Times New Roman" w:eastAsia="宋体" w:cs="Times New Roman"/>
          <w:b/>
          <w:bCs/>
          <w:color w:val="000000" w:themeColor="text1"/>
          <w14:textFill>
            <w14:solidFill>
              <w14:schemeClr w14:val="tx1"/>
            </w14:solidFill>
          </w14:textFill>
        </w:rPr>
        <w:fldChar w:fldCharType="end"/>
      </w:r>
      <w:r>
        <w:rPr>
          <w:rFonts w:hint="default" w:ascii="Times New Roman" w:hAnsi="Times New Roman" w:eastAsia="宋体" w:cs="Times New Roman"/>
          <w:b/>
          <w:bCs/>
          <w:color w:val="000000" w:themeColor="text1"/>
          <w14:textFill>
            <w14:solidFill>
              <w14:schemeClr w14:val="tx1"/>
            </w14:solidFill>
          </w14:textFill>
        </w:rPr>
        <w:t>声波传播路径分析</w:t>
      </w:r>
      <w:bookmarkEnd w:id="265"/>
    </w:p>
    <w:p w14:paraId="7246BC27">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列表给出主要声源和声环境保护目标的坐标或相互间的距离、高差，分析主要声源和声环境保护目标之间声波的传播途径，给出影响声波传播的地面状况、障碍物、树林等。</w:t>
      </w:r>
    </w:p>
    <w:p w14:paraId="0BA595D1">
      <w:pPr>
        <w:ind w:firstLine="482"/>
        <w:outlineLvl w:val="2"/>
        <w:rPr>
          <w:rFonts w:hint="default" w:ascii="Times New Roman" w:hAnsi="Times New Roman" w:eastAsia="宋体" w:cs="Times New Roman"/>
          <w:color w:val="000000" w:themeColor="text1"/>
          <w14:textFill>
            <w14:solidFill>
              <w14:schemeClr w14:val="tx1"/>
            </w14:solidFill>
          </w14:textFill>
        </w:rPr>
      </w:pPr>
      <w:bookmarkStart w:id="266" w:name="_Toc31486"/>
      <w:r>
        <w:rPr>
          <w:rFonts w:hint="default" w:ascii="Times New Roman" w:hAnsi="Times New Roman" w:eastAsia="宋体" w:cs="Times New Roman"/>
          <w:b/>
          <w:bCs/>
          <w:color w:val="000000" w:themeColor="text1"/>
          <w14:textFill>
            <w14:solidFill>
              <w14:schemeClr w14:val="tx1"/>
            </w14:solidFill>
          </w14:textFill>
        </w:rPr>
        <w:fldChar w:fldCharType="begin"/>
      </w:r>
      <w:r>
        <w:rPr>
          <w:rFonts w:hint="default" w:ascii="Times New Roman" w:hAnsi="Times New Roman" w:eastAsia="宋体" w:cs="Times New Roman"/>
          <w:b/>
          <w:bCs/>
          <w:color w:val="000000" w:themeColor="text1"/>
          <w14:textFill>
            <w14:solidFill>
              <w14:schemeClr w14:val="tx1"/>
            </w14:solidFill>
          </w14:textFill>
        </w:rPr>
        <w:instrText xml:space="preserve">HYPERLINK "C:\\Users\\Administrator\\Desktop\\科右前旗现代农牧业园区核心育种场养殖项目-修改稿\\5.2.4.3"</w:instrText>
      </w:r>
      <w:r>
        <w:rPr>
          <w:rFonts w:hint="default" w:ascii="Times New Roman" w:hAnsi="Times New Roman" w:eastAsia="宋体" w:cs="Times New Roman"/>
          <w:b/>
          <w:bCs/>
          <w:color w:val="000000" w:themeColor="text1"/>
          <w14:textFill>
            <w14:solidFill>
              <w14:schemeClr w14:val="tx1"/>
            </w14:solidFill>
          </w14:textFill>
        </w:rPr>
        <w:fldChar w:fldCharType="separate"/>
      </w:r>
      <w:r>
        <w:rPr>
          <w:rFonts w:hint="default" w:ascii="Times New Roman" w:hAnsi="Times New Roman" w:eastAsia="宋体" w:cs="Times New Roman"/>
          <w:b/>
          <w:bCs/>
          <w:color w:val="000000" w:themeColor="text1"/>
          <w14:textFill>
            <w14:solidFill>
              <w14:schemeClr w14:val="tx1"/>
            </w14:solidFill>
          </w14:textFill>
        </w:rPr>
        <w:t>6.4.3</w:t>
      </w:r>
      <w:r>
        <w:rPr>
          <w:rFonts w:hint="default" w:ascii="Times New Roman" w:hAnsi="Times New Roman" w:eastAsia="宋体" w:cs="Times New Roman"/>
          <w:b/>
          <w:bCs/>
          <w:color w:val="000000" w:themeColor="text1"/>
          <w14:textFill>
            <w14:solidFill>
              <w14:schemeClr w14:val="tx1"/>
            </w14:solidFill>
          </w14:textFill>
        </w:rPr>
        <w:fldChar w:fldCharType="end"/>
      </w:r>
      <w:r>
        <w:rPr>
          <w:rFonts w:hint="default" w:ascii="Times New Roman" w:hAnsi="Times New Roman" w:eastAsia="宋体" w:cs="Times New Roman"/>
          <w:b/>
          <w:bCs/>
          <w:color w:val="000000" w:themeColor="text1"/>
          <w14:textFill>
            <w14:solidFill>
              <w14:schemeClr w14:val="tx1"/>
            </w14:solidFill>
          </w14:textFill>
        </w:rPr>
        <w:t>预测内容</w:t>
      </w:r>
      <w:bookmarkEnd w:id="266"/>
    </w:p>
    <w:p w14:paraId="4647B2DF">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（1）厂界噪声预测</w:t>
      </w:r>
    </w:p>
    <w:p w14:paraId="0B569A4E">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（2）预测厂界噪声，给出厂界噪声的最大值及位置。</w:t>
      </w:r>
    </w:p>
    <w:p w14:paraId="3E5D5620">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（3）声环境保护目标噪声预测</w:t>
      </w:r>
    </w:p>
    <w:p w14:paraId="1C23479B">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预测声环境保护目标处的贡献值、预测值以及预测值与现状噪声值的差值，声环境保护目标所处声环境功能区的声环境质量变化，声环境保护目标所受噪声影响的程度，确定噪声影响的范围，并说明受影响人口分布情况。</w:t>
      </w:r>
    </w:p>
    <w:p w14:paraId="15832C1F">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当声环境保护目标高于（含）三层建筑时，还应预测有代表性的不同楼层噪声。</w:t>
      </w:r>
    </w:p>
    <w:p w14:paraId="575FF597">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（4）分析噪声超标原因</w:t>
      </w:r>
    </w:p>
    <w:p w14:paraId="57830336">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根据厂界和声环境保护目标受影响的情况，明确影响厂界和周围声环境功能区声环境质量的主要声源，分析厂界和声环境保护目标的超标原因。</w:t>
      </w:r>
    </w:p>
    <w:p w14:paraId="34E6D19F">
      <w:pPr>
        <w:ind w:firstLine="482"/>
        <w:outlineLvl w:val="2"/>
        <w:rPr>
          <w:rFonts w:hint="default" w:ascii="Times New Roman" w:hAnsi="Times New Roman" w:eastAsia="宋体" w:cs="Times New Roman"/>
          <w:color w:val="000000" w:themeColor="text1"/>
          <w14:textFill>
            <w14:solidFill>
              <w14:schemeClr w14:val="tx1"/>
            </w14:solidFill>
          </w14:textFill>
        </w:rPr>
      </w:pPr>
      <w:bookmarkStart w:id="267" w:name="_Toc3070"/>
      <w:r>
        <w:rPr>
          <w:rFonts w:hint="default" w:ascii="Times New Roman" w:hAnsi="Times New Roman" w:eastAsia="宋体" w:cs="Times New Roman"/>
          <w:b/>
          <w:bCs/>
          <w:color w:val="000000" w:themeColor="text1"/>
          <w14:textFill>
            <w14:solidFill>
              <w14:schemeClr w14:val="tx1"/>
            </w14:solidFill>
          </w14:textFill>
        </w:rPr>
        <w:fldChar w:fldCharType="begin"/>
      </w:r>
      <w:r>
        <w:rPr>
          <w:rFonts w:hint="default" w:ascii="Times New Roman" w:hAnsi="Times New Roman" w:eastAsia="宋体" w:cs="Times New Roman"/>
          <w:b/>
          <w:bCs/>
          <w:color w:val="000000" w:themeColor="text1"/>
          <w14:textFill>
            <w14:solidFill>
              <w14:schemeClr w14:val="tx1"/>
            </w14:solidFill>
          </w14:textFill>
        </w:rPr>
        <w:instrText xml:space="preserve">HYPERLINK "C:\\Users\\Administrator\\Desktop\\科右前旗现代农牧业园区核心育种场养殖项目-修改稿\\5.2.4.4"</w:instrText>
      </w:r>
      <w:r>
        <w:rPr>
          <w:rFonts w:hint="default" w:ascii="Times New Roman" w:hAnsi="Times New Roman" w:eastAsia="宋体" w:cs="Times New Roman"/>
          <w:b/>
          <w:bCs/>
          <w:color w:val="000000" w:themeColor="text1"/>
          <w14:textFill>
            <w14:solidFill>
              <w14:schemeClr w14:val="tx1"/>
            </w14:solidFill>
          </w14:textFill>
        </w:rPr>
        <w:fldChar w:fldCharType="separate"/>
      </w:r>
      <w:r>
        <w:rPr>
          <w:rFonts w:hint="default" w:ascii="Times New Roman" w:hAnsi="Times New Roman" w:eastAsia="宋体" w:cs="Times New Roman"/>
          <w:b/>
          <w:bCs/>
          <w:color w:val="000000" w:themeColor="text1"/>
          <w14:textFill>
            <w14:solidFill>
              <w14:schemeClr w14:val="tx1"/>
            </w14:solidFill>
          </w14:textFill>
        </w:rPr>
        <w:t>6.4.4</w:t>
      </w:r>
      <w:r>
        <w:rPr>
          <w:rFonts w:hint="default" w:ascii="Times New Roman" w:hAnsi="Times New Roman" w:eastAsia="宋体" w:cs="Times New Roman"/>
          <w:b/>
          <w:bCs/>
          <w:color w:val="000000" w:themeColor="text1"/>
          <w14:textFill>
            <w14:solidFill>
              <w14:schemeClr w14:val="tx1"/>
            </w14:solidFill>
          </w14:textFill>
        </w:rPr>
        <w:fldChar w:fldCharType="end"/>
      </w:r>
      <w:r>
        <w:rPr>
          <w:rFonts w:hint="default" w:ascii="Times New Roman" w:hAnsi="Times New Roman" w:eastAsia="宋体" w:cs="Times New Roman"/>
          <w:b/>
          <w:bCs/>
          <w:color w:val="000000" w:themeColor="text1"/>
          <w14:textFill>
            <w14:solidFill>
              <w14:schemeClr w14:val="tx1"/>
            </w14:solidFill>
          </w14:textFill>
        </w:rPr>
        <w:t>噪声源强</w:t>
      </w:r>
      <w:bookmarkEnd w:id="267"/>
    </w:p>
    <w:p w14:paraId="03CD37F5">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本项目生产工序噪声主要为生产设备运行噪声。根据类比调查，其源强为80~90dB（A），见下表。项目选择先进可靠的低噪声设备，从根本上减少噪声污染，同时风机采用隔声室进行密闭、减振材料支撑，可降低声压级至10-25dB（A）。</w:t>
      </w:r>
    </w:p>
    <w:p w14:paraId="0D048D37">
      <w:pPr>
        <w:ind w:firstLine="0" w:firstLineChars="0"/>
        <w:jc w:val="center"/>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表6.4-1本项目主要噪声源一览表</w:t>
      </w:r>
    </w:p>
    <w:tbl>
      <w:tblPr>
        <w:tblStyle w:val="35"/>
        <w:tblW w:w="8128"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302"/>
        <w:gridCol w:w="1113"/>
        <w:gridCol w:w="1017"/>
        <w:gridCol w:w="1419"/>
        <w:gridCol w:w="901"/>
        <w:gridCol w:w="1273"/>
        <w:gridCol w:w="1103"/>
      </w:tblGrid>
      <w:tr w14:paraId="2235017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302" w:type="dxa"/>
            <w:tcBorders>
              <w:top w:val="single" w:color="000000" w:sz="6" w:space="0"/>
              <w:left w:val="single" w:color="000000" w:sz="6" w:space="0"/>
            </w:tcBorders>
            <w:vAlign w:val="center"/>
          </w:tcPr>
          <w:p w14:paraId="3D1A1911">
            <w:pPr>
              <w:ind w:firstLine="0" w:firstLineChars="0"/>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噪声源</w:t>
            </w:r>
          </w:p>
        </w:tc>
        <w:tc>
          <w:tcPr>
            <w:tcW w:w="1113" w:type="dxa"/>
            <w:tcBorders>
              <w:top w:val="single" w:color="000000" w:sz="6" w:space="0"/>
            </w:tcBorders>
            <w:vAlign w:val="center"/>
          </w:tcPr>
          <w:p w14:paraId="244DF3AD">
            <w:pPr>
              <w:ind w:firstLine="0" w:firstLineChars="0"/>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声源种类</w:t>
            </w:r>
          </w:p>
        </w:tc>
        <w:tc>
          <w:tcPr>
            <w:tcW w:w="1017" w:type="dxa"/>
            <w:tcBorders>
              <w:top w:val="single" w:color="000000" w:sz="6" w:space="0"/>
            </w:tcBorders>
            <w:vAlign w:val="center"/>
          </w:tcPr>
          <w:p w14:paraId="199F3A84">
            <w:pPr>
              <w:ind w:firstLine="0" w:firstLineChars="0"/>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产生方式</w:t>
            </w:r>
          </w:p>
        </w:tc>
        <w:tc>
          <w:tcPr>
            <w:tcW w:w="1419" w:type="dxa"/>
            <w:tcBorders>
              <w:top w:val="single" w:color="000000" w:sz="6" w:space="0"/>
            </w:tcBorders>
            <w:vAlign w:val="center"/>
          </w:tcPr>
          <w:p w14:paraId="617B4D32">
            <w:pPr>
              <w:ind w:firstLine="0" w:firstLineChars="0"/>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位置</w:t>
            </w:r>
          </w:p>
        </w:tc>
        <w:tc>
          <w:tcPr>
            <w:tcW w:w="901" w:type="dxa"/>
            <w:tcBorders>
              <w:top w:val="single" w:color="000000" w:sz="6" w:space="0"/>
            </w:tcBorders>
            <w:vAlign w:val="center"/>
          </w:tcPr>
          <w:p w14:paraId="68462339">
            <w:pPr>
              <w:ind w:firstLine="0" w:firstLineChars="0"/>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源强dB（A）</w:t>
            </w:r>
          </w:p>
        </w:tc>
        <w:tc>
          <w:tcPr>
            <w:tcW w:w="1273" w:type="dxa"/>
            <w:tcBorders>
              <w:top w:val="single" w:color="000000" w:sz="6" w:space="0"/>
            </w:tcBorders>
            <w:vAlign w:val="center"/>
          </w:tcPr>
          <w:p w14:paraId="5C183441">
            <w:pPr>
              <w:ind w:firstLine="0" w:firstLineChars="0"/>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拟采取措施</w:t>
            </w:r>
          </w:p>
        </w:tc>
        <w:tc>
          <w:tcPr>
            <w:tcW w:w="1103" w:type="dxa"/>
            <w:tcBorders>
              <w:top w:val="single" w:color="000000" w:sz="6" w:space="0"/>
              <w:right w:val="single" w:color="000000" w:sz="6" w:space="0"/>
            </w:tcBorders>
            <w:vAlign w:val="center"/>
          </w:tcPr>
          <w:p w14:paraId="4280BD9F">
            <w:pPr>
              <w:ind w:firstLine="0" w:firstLineChars="0"/>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采取措施后dB（A）</w:t>
            </w:r>
          </w:p>
        </w:tc>
      </w:tr>
      <w:tr w14:paraId="74A0868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302" w:type="dxa"/>
            <w:tcBorders>
              <w:left w:val="single" w:color="000000" w:sz="6" w:space="0"/>
            </w:tcBorders>
            <w:vAlign w:val="center"/>
          </w:tcPr>
          <w:p w14:paraId="50C5CCE2">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牛叫声</w:t>
            </w:r>
          </w:p>
        </w:tc>
        <w:tc>
          <w:tcPr>
            <w:tcW w:w="1113" w:type="dxa"/>
            <w:vAlign w:val="center"/>
          </w:tcPr>
          <w:p w14:paraId="237CA176">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不固定</w:t>
            </w:r>
          </w:p>
        </w:tc>
        <w:tc>
          <w:tcPr>
            <w:tcW w:w="1017" w:type="dxa"/>
            <w:vAlign w:val="center"/>
          </w:tcPr>
          <w:p w14:paraId="5EC8E3AB">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间断</w:t>
            </w:r>
          </w:p>
        </w:tc>
        <w:tc>
          <w:tcPr>
            <w:tcW w:w="1419" w:type="dxa"/>
            <w:vAlign w:val="center"/>
          </w:tcPr>
          <w:p w14:paraId="0A895D16">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牛舍</w:t>
            </w:r>
          </w:p>
        </w:tc>
        <w:tc>
          <w:tcPr>
            <w:tcW w:w="901" w:type="dxa"/>
            <w:vAlign w:val="center"/>
          </w:tcPr>
          <w:p w14:paraId="7806FF0F">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70</w:t>
            </w:r>
          </w:p>
        </w:tc>
        <w:tc>
          <w:tcPr>
            <w:tcW w:w="1273" w:type="dxa"/>
            <w:vAlign w:val="center"/>
          </w:tcPr>
          <w:p w14:paraId="2AF85E3A">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墙壁阻隔</w:t>
            </w:r>
          </w:p>
        </w:tc>
        <w:tc>
          <w:tcPr>
            <w:tcW w:w="1103" w:type="dxa"/>
            <w:tcBorders>
              <w:right w:val="single" w:color="000000" w:sz="6" w:space="0"/>
            </w:tcBorders>
            <w:vAlign w:val="center"/>
          </w:tcPr>
          <w:p w14:paraId="79428D6F">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65</w:t>
            </w:r>
          </w:p>
        </w:tc>
      </w:tr>
      <w:tr w14:paraId="5354983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302" w:type="dxa"/>
            <w:tcBorders>
              <w:left w:val="single" w:color="000000" w:sz="6" w:space="0"/>
            </w:tcBorders>
            <w:vAlign w:val="center"/>
          </w:tcPr>
          <w:p w14:paraId="6A7B7588">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饲料搅拌车</w:t>
            </w:r>
          </w:p>
        </w:tc>
        <w:tc>
          <w:tcPr>
            <w:tcW w:w="1113" w:type="dxa"/>
            <w:vAlign w:val="center"/>
          </w:tcPr>
          <w:p w14:paraId="6AFBCF13">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固定声源</w:t>
            </w:r>
          </w:p>
        </w:tc>
        <w:tc>
          <w:tcPr>
            <w:tcW w:w="1017" w:type="dxa"/>
            <w:vAlign w:val="center"/>
          </w:tcPr>
          <w:p w14:paraId="7BAB6950">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间断</w:t>
            </w:r>
          </w:p>
        </w:tc>
        <w:tc>
          <w:tcPr>
            <w:tcW w:w="1419" w:type="dxa"/>
            <w:vAlign w:val="center"/>
          </w:tcPr>
          <w:p w14:paraId="63564CCC">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草料库</w:t>
            </w:r>
          </w:p>
        </w:tc>
        <w:tc>
          <w:tcPr>
            <w:tcW w:w="901" w:type="dxa"/>
            <w:vAlign w:val="center"/>
          </w:tcPr>
          <w:p w14:paraId="1A23450A">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90</w:t>
            </w:r>
          </w:p>
        </w:tc>
        <w:tc>
          <w:tcPr>
            <w:tcW w:w="1273" w:type="dxa"/>
            <w:vAlign w:val="center"/>
          </w:tcPr>
          <w:p w14:paraId="1507044C">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墙壁阻隔</w:t>
            </w:r>
          </w:p>
        </w:tc>
        <w:tc>
          <w:tcPr>
            <w:tcW w:w="1103" w:type="dxa"/>
            <w:tcBorders>
              <w:right w:val="single" w:color="000000" w:sz="6" w:space="0"/>
            </w:tcBorders>
            <w:vAlign w:val="center"/>
          </w:tcPr>
          <w:p w14:paraId="7D2A7BE6">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60</w:t>
            </w:r>
          </w:p>
        </w:tc>
      </w:tr>
      <w:tr w14:paraId="5225019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302" w:type="dxa"/>
            <w:tcBorders>
              <w:left w:val="single" w:color="000000" w:sz="6" w:space="0"/>
            </w:tcBorders>
            <w:vAlign w:val="center"/>
          </w:tcPr>
          <w:p w14:paraId="355B1783">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清粪车</w:t>
            </w:r>
          </w:p>
        </w:tc>
        <w:tc>
          <w:tcPr>
            <w:tcW w:w="1113" w:type="dxa"/>
            <w:vAlign w:val="center"/>
          </w:tcPr>
          <w:p w14:paraId="775A3637">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不固定</w:t>
            </w:r>
          </w:p>
        </w:tc>
        <w:tc>
          <w:tcPr>
            <w:tcW w:w="1017" w:type="dxa"/>
            <w:vAlign w:val="center"/>
          </w:tcPr>
          <w:p w14:paraId="223974ED">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间断</w:t>
            </w:r>
          </w:p>
        </w:tc>
        <w:tc>
          <w:tcPr>
            <w:tcW w:w="1419" w:type="dxa"/>
            <w:vAlign w:val="center"/>
          </w:tcPr>
          <w:p w14:paraId="12F2DDB3">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牛舍</w:t>
            </w:r>
          </w:p>
        </w:tc>
        <w:tc>
          <w:tcPr>
            <w:tcW w:w="901" w:type="dxa"/>
            <w:vAlign w:val="center"/>
          </w:tcPr>
          <w:p w14:paraId="6E6FC7B2">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85</w:t>
            </w:r>
          </w:p>
        </w:tc>
        <w:tc>
          <w:tcPr>
            <w:tcW w:w="1273" w:type="dxa"/>
            <w:vAlign w:val="center"/>
          </w:tcPr>
          <w:p w14:paraId="3B136EAB">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墙壁阻隔</w:t>
            </w:r>
          </w:p>
        </w:tc>
        <w:tc>
          <w:tcPr>
            <w:tcW w:w="1103" w:type="dxa"/>
            <w:tcBorders>
              <w:right w:val="single" w:color="000000" w:sz="6" w:space="0"/>
            </w:tcBorders>
            <w:vAlign w:val="center"/>
          </w:tcPr>
          <w:p w14:paraId="014875D3">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60</w:t>
            </w:r>
          </w:p>
        </w:tc>
      </w:tr>
      <w:tr w14:paraId="6850554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302" w:type="dxa"/>
            <w:tcBorders>
              <w:left w:val="single" w:color="000000" w:sz="6" w:space="0"/>
            </w:tcBorders>
            <w:vAlign w:val="center"/>
          </w:tcPr>
          <w:p w14:paraId="4792CD3C">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TMR日粮搅拌车</w:t>
            </w:r>
          </w:p>
        </w:tc>
        <w:tc>
          <w:tcPr>
            <w:tcW w:w="1113" w:type="dxa"/>
            <w:vAlign w:val="center"/>
          </w:tcPr>
          <w:p w14:paraId="2A984F67">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固定声源</w:t>
            </w:r>
          </w:p>
        </w:tc>
        <w:tc>
          <w:tcPr>
            <w:tcW w:w="1017" w:type="dxa"/>
            <w:vAlign w:val="center"/>
          </w:tcPr>
          <w:p w14:paraId="6CFF4AFD">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间断</w:t>
            </w:r>
          </w:p>
        </w:tc>
        <w:tc>
          <w:tcPr>
            <w:tcW w:w="1419" w:type="dxa"/>
            <w:vAlign w:val="center"/>
          </w:tcPr>
          <w:p w14:paraId="52DC5405">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牛舍</w:t>
            </w:r>
          </w:p>
        </w:tc>
        <w:tc>
          <w:tcPr>
            <w:tcW w:w="901" w:type="dxa"/>
            <w:vAlign w:val="center"/>
          </w:tcPr>
          <w:p w14:paraId="6BDDA3B3">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85</w:t>
            </w:r>
          </w:p>
        </w:tc>
        <w:tc>
          <w:tcPr>
            <w:tcW w:w="1273" w:type="dxa"/>
            <w:vAlign w:val="center"/>
          </w:tcPr>
          <w:p w14:paraId="763F49C1">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墙壁阻隔</w:t>
            </w:r>
          </w:p>
        </w:tc>
        <w:tc>
          <w:tcPr>
            <w:tcW w:w="1103" w:type="dxa"/>
            <w:tcBorders>
              <w:right w:val="single" w:color="000000" w:sz="6" w:space="0"/>
            </w:tcBorders>
            <w:vAlign w:val="center"/>
          </w:tcPr>
          <w:p w14:paraId="773168A0">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55</w:t>
            </w:r>
          </w:p>
        </w:tc>
      </w:tr>
      <w:tr w14:paraId="362121B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302" w:type="dxa"/>
            <w:tcBorders>
              <w:left w:val="single" w:color="000000" w:sz="6" w:space="0"/>
            </w:tcBorders>
            <w:vAlign w:val="center"/>
          </w:tcPr>
          <w:p w14:paraId="1393210D">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水泵</w:t>
            </w:r>
          </w:p>
        </w:tc>
        <w:tc>
          <w:tcPr>
            <w:tcW w:w="1113" w:type="dxa"/>
            <w:vAlign w:val="center"/>
          </w:tcPr>
          <w:p w14:paraId="713E3332">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固定声源</w:t>
            </w:r>
          </w:p>
        </w:tc>
        <w:tc>
          <w:tcPr>
            <w:tcW w:w="1017" w:type="dxa"/>
            <w:vAlign w:val="center"/>
          </w:tcPr>
          <w:p w14:paraId="22A4E760">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间断</w:t>
            </w:r>
          </w:p>
        </w:tc>
        <w:tc>
          <w:tcPr>
            <w:tcW w:w="1419" w:type="dxa"/>
            <w:vAlign w:val="center"/>
          </w:tcPr>
          <w:p w14:paraId="107665F1">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蓄水池</w:t>
            </w:r>
          </w:p>
        </w:tc>
        <w:tc>
          <w:tcPr>
            <w:tcW w:w="901" w:type="dxa"/>
            <w:vAlign w:val="center"/>
          </w:tcPr>
          <w:p w14:paraId="1EDEA28C">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85</w:t>
            </w:r>
          </w:p>
        </w:tc>
        <w:tc>
          <w:tcPr>
            <w:tcW w:w="1273" w:type="dxa"/>
            <w:vAlign w:val="center"/>
          </w:tcPr>
          <w:p w14:paraId="3668D0C8">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墙壁阻隔</w:t>
            </w:r>
          </w:p>
        </w:tc>
        <w:tc>
          <w:tcPr>
            <w:tcW w:w="1103" w:type="dxa"/>
            <w:tcBorders>
              <w:right w:val="single" w:color="000000" w:sz="6" w:space="0"/>
            </w:tcBorders>
            <w:vAlign w:val="center"/>
          </w:tcPr>
          <w:p w14:paraId="45635849">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50</w:t>
            </w:r>
          </w:p>
        </w:tc>
      </w:tr>
      <w:tr w14:paraId="28678C9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302" w:type="dxa"/>
            <w:tcBorders>
              <w:left w:val="single" w:color="000000" w:sz="6" w:space="0"/>
            </w:tcBorders>
            <w:vAlign w:val="center"/>
          </w:tcPr>
          <w:p w14:paraId="75CF64CE">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空气能泵</w:t>
            </w:r>
          </w:p>
        </w:tc>
        <w:tc>
          <w:tcPr>
            <w:tcW w:w="1113" w:type="dxa"/>
            <w:vAlign w:val="center"/>
          </w:tcPr>
          <w:p w14:paraId="5A3C7B75">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固定声源</w:t>
            </w:r>
          </w:p>
        </w:tc>
        <w:tc>
          <w:tcPr>
            <w:tcW w:w="1017" w:type="dxa"/>
            <w:vAlign w:val="center"/>
          </w:tcPr>
          <w:p w14:paraId="607C796A">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连续</w:t>
            </w:r>
          </w:p>
        </w:tc>
        <w:tc>
          <w:tcPr>
            <w:tcW w:w="1419" w:type="dxa"/>
            <w:vAlign w:val="center"/>
          </w:tcPr>
          <w:p w14:paraId="2D383709">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空气能泵房</w:t>
            </w:r>
          </w:p>
        </w:tc>
        <w:tc>
          <w:tcPr>
            <w:tcW w:w="901" w:type="dxa"/>
            <w:vAlign w:val="center"/>
          </w:tcPr>
          <w:p w14:paraId="011E82E7">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90</w:t>
            </w:r>
          </w:p>
        </w:tc>
        <w:tc>
          <w:tcPr>
            <w:tcW w:w="1273" w:type="dxa"/>
            <w:vAlign w:val="center"/>
          </w:tcPr>
          <w:p w14:paraId="29F4614F">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基础减震、墙壁阻隔</w:t>
            </w:r>
          </w:p>
        </w:tc>
        <w:tc>
          <w:tcPr>
            <w:tcW w:w="1103" w:type="dxa"/>
            <w:tcBorders>
              <w:right w:val="single" w:color="000000" w:sz="6" w:space="0"/>
            </w:tcBorders>
            <w:vAlign w:val="center"/>
          </w:tcPr>
          <w:p w14:paraId="07E30DF0">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60</w:t>
            </w:r>
          </w:p>
        </w:tc>
      </w:tr>
      <w:tr w14:paraId="2EE38F8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302" w:type="dxa"/>
            <w:tcBorders>
              <w:left w:val="single" w:color="000000" w:sz="6" w:space="0"/>
              <w:bottom w:val="single" w:color="000000" w:sz="6" w:space="0"/>
            </w:tcBorders>
            <w:vAlign w:val="center"/>
          </w:tcPr>
          <w:p w14:paraId="527A942A">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车辆行驶</w:t>
            </w:r>
          </w:p>
        </w:tc>
        <w:tc>
          <w:tcPr>
            <w:tcW w:w="1113" w:type="dxa"/>
            <w:tcBorders>
              <w:bottom w:val="single" w:color="000000" w:sz="6" w:space="0"/>
            </w:tcBorders>
            <w:vAlign w:val="center"/>
          </w:tcPr>
          <w:p w14:paraId="53C8B8DC">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流动声源</w:t>
            </w:r>
          </w:p>
        </w:tc>
        <w:tc>
          <w:tcPr>
            <w:tcW w:w="1017" w:type="dxa"/>
            <w:tcBorders>
              <w:bottom w:val="single" w:color="000000" w:sz="6" w:space="0"/>
            </w:tcBorders>
            <w:vAlign w:val="center"/>
          </w:tcPr>
          <w:p w14:paraId="57A0D2C4">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间断</w:t>
            </w:r>
          </w:p>
        </w:tc>
        <w:tc>
          <w:tcPr>
            <w:tcW w:w="1419" w:type="dxa"/>
            <w:tcBorders>
              <w:bottom w:val="single" w:color="000000" w:sz="6" w:space="0"/>
            </w:tcBorders>
            <w:vAlign w:val="center"/>
          </w:tcPr>
          <w:p w14:paraId="086D5D20">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道路</w:t>
            </w:r>
          </w:p>
        </w:tc>
        <w:tc>
          <w:tcPr>
            <w:tcW w:w="901" w:type="dxa"/>
            <w:tcBorders>
              <w:bottom w:val="single" w:color="000000" w:sz="6" w:space="0"/>
            </w:tcBorders>
            <w:vAlign w:val="center"/>
          </w:tcPr>
          <w:p w14:paraId="23612045">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70</w:t>
            </w:r>
          </w:p>
        </w:tc>
        <w:tc>
          <w:tcPr>
            <w:tcW w:w="1273" w:type="dxa"/>
            <w:tcBorders>
              <w:bottom w:val="single" w:color="000000" w:sz="6" w:space="0"/>
            </w:tcBorders>
            <w:vAlign w:val="center"/>
          </w:tcPr>
          <w:p w14:paraId="56AD8A9B">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p>
        </w:tc>
        <w:tc>
          <w:tcPr>
            <w:tcW w:w="1103" w:type="dxa"/>
            <w:tcBorders>
              <w:bottom w:val="single" w:color="000000" w:sz="6" w:space="0"/>
              <w:right w:val="single" w:color="000000" w:sz="6" w:space="0"/>
            </w:tcBorders>
            <w:vAlign w:val="center"/>
          </w:tcPr>
          <w:p w14:paraId="09251025">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70</w:t>
            </w:r>
          </w:p>
        </w:tc>
      </w:tr>
    </w:tbl>
    <w:p w14:paraId="17ED63FC">
      <w:pPr>
        <w:ind w:firstLine="482"/>
        <w:outlineLvl w:val="2"/>
        <w:rPr>
          <w:rFonts w:hint="default" w:ascii="Times New Roman" w:hAnsi="Times New Roman" w:eastAsia="宋体" w:cs="Times New Roman"/>
          <w:color w:val="000000" w:themeColor="text1"/>
          <w14:textFill>
            <w14:solidFill>
              <w14:schemeClr w14:val="tx1"/>
            </w14:solidFill>
          </w14:textFill>
        </w:rPr>
      </w:pPr>
      <w:bookmarkStart w:id="268" w:name="_Toc24226"/>
      <w:r>
        <w:rPr>
          <w:rFonts w:hint="default" w:ascii="Times New Roman" w:hAnsi="Times New Roman" w:eastAsia="宋体" w:cs="Times New Roman"/>
          <w:b/>
          <w:bCs/>
          <w:color w:val="000000" w:themeColor="text1"/>
          <w14:textFill>
            <w14:solidFill>
              <w14:schemeClr w14:val="tx1"/>
            </w14:solidFill>
          </w14:textFill>
        </w:rPr>
        <w:fldChar w:fldCharType="begin"/>
      </w:r>
      <w:r>
        <w:rPr>
          <w:rFonts w:hint="default" w:ascii="Times New Roman" w:hAnsi="Times New Roman" w:eastAsia="宋体" w:cs="Times New Roman"/>
          <w:b/>
          <w:bCs/>
          <w:color w:val="000000" w:themeColor="text1"/>
          <w14:textFill>
            <w14:solidFill>
              <w14:schemeClr w14:val="tx1"/>
            </w14:solidFill>
          </w14:textFill>
        </w:rPr>
        <w:instrText xml:space="preserve">HYPERLINK "C:\\Users\\Administrator\\Desktop\\科右前旗现代农牧业园区核心育种场养殖项目-修改稿\\5.2.4.5"</w:instrText>
      </w:r>
      <w:r>
        <w:rPr>
          <w:rFonts w:hint="default" w:ascii="Times New Roman" w:hAnsi="Times New Roman" w:eastAsia="宋体" w:cs="Times New Roman"/>
          <w:b/>
          <w:bCs/>
          <w:color w:val="000000" w:themeColor="text1"/>
          <w14:textFill>
            <w14:solidFill>
              <w14:schemeClr w14:val="tx1"/>
            </w14:solidFill>
          </w14:textFill>
        </w:rPr>
        <w:fldChar w:fldCharType="separate"/>
      </w:r>
      <w:r>
        <w:rPr>
          <w:rFonts w:hint="default" w:ascii="Times New Roman" w:hAnsi="Times New Roman" w:eastAsia="宋体" w:cs="Times New Roman"/>
          <w:b/>
          <w:bCs/>
          <w:color w:val="000000" w:themeColor="text1"/>
          <w14:textFill>
            <w14:solidFill>
              <w14:schemeClr w14:val="tx1"/>
            </w14:solidFill>
          </w14:textFill>
        </w:rPr>
        <w:t>6.4.5</w:t>
      </w:r>
      <w:r>
        <w:rPr>
          <w:rFonts w:hint="default" w:ascii="Times New Roman" w:hAnsi="Times New Roman" w:eastAsia="宋体" w:cs="Times New Roman"/>
          <w:b/>
          <w:bCs/>
          <w:color w:val="000000" w:themeColor="text1"/>
          <w14:textFill>
            <w14:solidFill>
              <w14:schemeClr w14:val="tx1"/>
            </w14:solidFill>
          </w14:textFill>
        </w:rPr>
        <w:fldChar w:fldCharType="end"/>
      </w:r>
      <w:r>
        <w:rPr>
          <w:rFonts w:hint="default" w:ascii="Times New Roman" w:hAnsi="Times New Roman" w:eastAsia="宋体" w:cs="Times New Roman"/>
          <w:b/>
          <w:bCs/>
          <w:color w:val="000000" w:themeColor="text1"/>
          <w14:textFill>
            <w14:solidFill>
              <w14:schemeClr w14:val="tx1"/>
            </w14:solidFill>
          </w14:textFill>
        </w:rPr>
        <w:t>预测模型</w:t>
      </w:r>
      <w:bookmarkEnd w:id="268"/>
    </w:p>
    <w:p w14:paraId="1F06629D">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根据项目建设内容及《环境影响评价技术导则声环境》（HJ2.4-2021）的要求，项目环评采用的模型为《环境影响评价技术导则声环境》（HJ2.4-2021）附录A（规范性附录）户外声传播的衰减和附录B（规范性附录）中“B.1工业噪声预测计算模型”。</w:t>
      </w:r>
    </w:p>
    <w:p w14:paraId="127B0758">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①室内声源等效室外声功率级计算方法</w:t>
      </w:r>
    </w:p>
    <w:p w14:paraId="408A96F4">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声源位于室内，室内声源可采用等效室外声源声功率级法进行计算。设靠近开口处（或窗口）室内、室外某倍频带的声压级或A声级分别为Lp1和Lp2。若声源所在室内声场为近似扩散声场，则室外的倍频带声压级可按式（B.1）近似求出：</w:t>
      </w:r>
    </w:p>
    <w:p w14:paraId="743F2038">
      <w:pPr>
        <w:ind w:firstLine="0" w:firstLineChars="0"/>
        <w:jc w:val="center"/>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drawing>
          <wp:inline distT="0" distB="0" distL="114300" distR="114300">
            <wp:extent cx="2238375" cy="371475"/>
            <wp:effectExtent l="0" t="0" r="9525" b="9525"/>
            <wp:docPr id="1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9"/>
                    <pic:cNvPicPr>
                      <a:picLocks noChangeAspect="1"/>
                    </pic:cNvPicPr>
                  </pic:nvPicPr>
                  <pic:blipFill>
                    <a:blip r:embed="rId63"/>
                    <a:stretch>
                      <a:fillRect/>
                    </a:stretch>
                  </pic:blipFill>
                  <pic:spPr>
                    <a:xfrm>
                      <a:off x="0" y="0"/>
                      <a:ext cx="2238375" cy="371475"/>
                    </a:xfrm>
                    <a:prstGeom prst="rect">
                      <a:avLst/>
                    </a:prstGeom>
                    <a:noFill/>
                    <a:ln>
                      <a:noFill/>
                    </a:ln>
                  </pic:spPr>
                </pic:pic>
              </a:graphicData>
            </a:graphic>
          </wp:inline>
        </w:drawing>
      </w:r>
      <w:r>
        <w:rPr>
          <w:rFonts w:hint="default" w:ascii="Times New Roman" w:hAnsi="Times New Roman" w:eastAsia="宋体" w:cs="Times New Roman"/>
          <w:color w:val="000000" w:themeColor="text1"/>
          <w14:textFill>
            <w14:solidFill>
              <w14:schemeClr w14:val="tx1"/>
            </w14:solidFill>
          </w14:textFill>
        </w:rPr>
        <w:t>（B.1）</w:t>
      </w:r>
    </w:p>
    <w:p w14:paraId="2F798B98">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式中：Lp1-靠近开口处（或窗户）室内某倍频带的声压级或A声级，dB；Lp2-靠近开口处（或窗户）室外某倍频带的声压级或A声级，dB；</w:t>
      </w:r>
    </w:p>
    <w:p w14:paraId="5CDBE218">
      <w:pPr>
        <w:ind w:firstLine="1200" w:firstLineChars="50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TL-隔墙（或窗户）倍频带或A声级的隔声量，dB。</w:t>
      </w:r>
    </w:p>
    <w:p w14:paraId="36A21C6D">
      <w:pPr>
        <w:pStyle w:val="33"/>
        <w:jc w:val="center"/>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drawing>
          <wp:inline distT="0" distB="0" distL="114300" distR="114300">
            <wp:extent cx="3876675" cy="1791335"/>
            <wp:effectExtent l="0" t="0" r="9525" b="18415"/>
            <wp:docPr id="1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0"/>
                    <pic:cNvPicPr>
                      <a:picLocks noChangeAspect="1"/>
                    </pic:cNvPicPr>
                  </pic:nvPicPr>
                  <pic:blipFill>
                    <a:blip r:embed="rId64"/>
                    <a:stretch>
                      <a:fillRect/>
                    </a:stretch>
                  </pic:blipFill>
                  <pic:spPr>
                    <a:xfrm>
                      <a:off x="0" y="0"/>
                      <a:ext cx="3876675" cy="1791335"/>
                    </a:xfrm>
                    <a:prstGeom prst="rect">
                      <a:avLst/>
                    </a:prstGeom>
                    <a:noFill/>
                    <a:ln>
                      <a:noFill/>
                    </a:ln>
                  </pic:spPr>
                </pic:pic>
              </a:graphicData>
            </a:graphic>
          </wp:inline>
        </w:drawing>
      </w:r>
    </w:p>
    <w:p w14:paraId="1B5DA8D0">
      <w:pPr>
        <w:ind w:firstLine="0" w:firstLineChars="0"/>
        <w:jc w:val="center"/>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图B.1室内声源等效为室外声源图例</w:t>
      </w:r>
    </w:p>
    <w:p w14:paraId="0F5C9DE0">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也可按式（B.2）计算某一室内声源靠近围护结构处产生的倍频带声压级或A声级。</w:t>
      </w:r>
    </w:p>
    <w:p w14:paraId="5B7A4036">
      <w:pPr>
        <w:pStyle w:val="33"/>
        <w:jc w:val="center"/>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drawing>
          <wp:inline distT="0" distB="0" distL="114300" distR="114300">
            <wp:extent cx="2712720" cy="619125"/>
            <wp:effectExtent l="0" t="0" r="0" b="0"/>
            <wp:docPr id="1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1"/>
                    <pic:cNvPicPr>
                      <a:picLocks noChangeAspect="1"/>
                    </pic:cNvPicPr>
                  </pic:nvPicPr>
                  <pic:blipFill>
                    <a:blip r:embed="rId65"/>
                    <a:srcRect r="56069"/>
                    <a:stretch>
                      <a:fillRect/>
                    </a:stretch>
                  </pic:blipFill>
                  <pic:spPr>
                    <a:xfrm>
                      <a:off x="0" y="0"/>
                      <a:ext cx="2712720" cy="619125"/>
                    </a:xfrm>
                    <a:prstGeom prst="rect">
                      <a:avLst/>
                    </a:prstGeom>
                    <a:noFill/>
                    <a:ln>
                      <a:noFill/>
                    </a:ln>
                  </pic:spPr>
                </pic:pic>
              </a:graphicData>
            </a:graphic>
          </wp:inline>
        </w:drawing>
      </w:r>
      <w:r>
        <w:rPr>
          <w:rFonts w:hint="default" w:ascii="Times New Roman" w:hAnsi="Times New Roman" w:eastAsia="宋体" w:cs="Times New Roman"/>
          <w:color w:val="000000" w:themeColor="text1"/>
          <w:w w:val="100"/>
          <w:sz w:val="24"/>
          <w:szCs w:val="24"/>
          <w14:textFill>
            <w14:solidFill>
              <w14:schemeClr w14:val="tx1"/>
            </w14:solidFill>
          </w14:textFill>
        </w:rPr>
        <w:t>（B.2）</w:t>
      </w:r>
    </w:p>
    <w:p w14:paraId="67BC4461">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式中：Lp1-靠近开口处（或窗户）室内某倍频带的声压级或A声级，dB；</w:t>
      </w:r>
    </w:p>
    <w:p w14:paraId="371D2082">
      <w:pPr>
        <w:ind w:firstLine="1200" w:firstLineChars="50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Lw-点声源声功率级（A计权或倍频带），dB；</w:t>
      </w:r>
    </w:p>
    <w:p w14:paraId="6D20DECC">
      <w:pPr>
        <w:ind w:firstLine="1200" w:firstLineChars="50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Q-指向性因数；通常对无指向性声源，当声源放在房间中心时，Q=1；当放在一面墙的中心时，Q=2；当放在两面墙夹角处时，Q=4；当放在三面墙夹角处时，Q=8；</w:t>
      </w:r>
    </w:p>
    <w:p w14:paraId="49F3BFC7">
      <w:pPr>
        <w:ind w:firstLine="1200" w:firstLineChars="50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R-房间常数；RS/1，S为房间内表面面积，m</w:t>
      </w:r>
      <w:r>
        <w:rPr>
          <w:rFonts w:hint="default" w:ascii="Times New Roman" w:hAnsi="Times New Roman" w:eastAsia="宋体" w:cs="Times New Roman"/>
          <w:color w:val="000000" w:themeColor="text1"/>
          <w:vertAlign w:val="superscript"/>
          <w14:textFill>
            <w14:solidFill>
              <w14:schemeClr w14:val="tx1"/>
            </w14:solidFill>
          </w14:textFill>
        </w:rPr>
        <w:t>2</w:t>
      </w:r>
      <w:r>
        <w:rPr>
          <w:rFonts w:hint="default" w:ascii="Times New Roman" w:hAnsi="Times New Roman" w:eastAsia="宋体" w:cs="Times New Roman"/>
          <w:color w:val="000000" w:themeColor="text1"/>
          <w14:textFill>
            <w14:solidFill>
              <w14:schemeClr w14:val="tx1"/>
            </w14:solidFill>
          </w14:textFill>
        </w:rPr>
        <w:t>；α为平均吸声系数；</w:t>
      </w:r>
    </w:p>
    <w:p w14:paraId="73E56E10">
      <w:pPr>
        <w:ind w:firstLine="1200" w:firstLineChars="50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r-声源到靠近围护结构某点处的距离，m。</w:t>
      </w:r>
    </w:p>
    <w:p w14:paraId="3BDFB0AB">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然后按下式（B.3）计算出所有室内声源在围护结构处产生的i倍频带叠加声压级：</w:t>
      </w:r>
    </w:p>
    <w:p w14:paraId="615CC6EA">
      <w:pPr>
        <w:pStyle w:val="33"/>
        <w:jc w:val="center"/>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drawing>
          <wp:inline distT="0" distB="0" distL="114300" distR="114300">
            <wp:extent cx="2676525" cy="704850"/>
            <wp:effectExtent l="0" t="0" r="9525" b="0"/>
            <wp:docPr id="1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2"/>
                    <pic:cNvPicPr>
                      <a:picLocks noChangeAspect="1"/>
                    </pic:cNvPicPr>
                  </pic:nvPicPr>
                  <pic:blipFill>
                    <a:blip r:embed="rId66"/>
                    <a:stretch>
                      <a:fillRect/>
                    </a:stretch>
                  </pic:blipFill>
                  <pic:spPr>
                    <a:xfrm>
                      <a:off x="0" y="0"/>
                      <a:ext cx="2676525" cy="704850"/>
                    </a:xfrm>
                    <a:prstGeom prst="rect">
                      <a:avLst/>
                    </a:prstGeom>
                    <a:noFill/>
                    <a:ln>
                      <a:noFill/>
                    </a:ln>
                  </pic:spPr>
                </pic:pic>
              </a:graphicData>
            </a:graphic>
          </wp:inline>
        </w:drawing>
      </w:r>
      <w:r>
        <w:rPr>
          <w:rFonts w:hint="default" w:ascii="Times New Roman" w:hAnsi="Times New Roman" w:eastAsia="宋体" w:cs="Times New Roman"/>
          <w:color w:val="000000" w:themeColor="text1"/>
          <w:w w:val="100"/>
          <w:sz w:val="24"/>
          <w:szCs w:val="24"/>
          <w14:textFill>
            <w14:solidFill>
              <w14:schemeClr w14:val="tx1"/>
            </w14:solidFill>
          </w14:textFill>
        </w:rPr>
        <w:t>（B.3）</w:t>
      </w:r>
    </w:p>
    <w:p w14:paraId="2C710083">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式中：Lp1i-靠近围护结构处室内N个声源i倍频带的叠加声压级，dB；</w:t>
      </w:r>
    </w:p>
    <w:p w14:paraId="46C721F4">
      <w:pPr>
        <w:ind w:firstLine="1200" w:firstLineChars="50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Lp1ij-室内j声源i倍频带的声压级，dB；</w:t>
      </w:r>
    </w:p>
    <w:p w14:paraId="6C7626BF">
      <w:pPr>
        <w:ind w:firstLine="1200" w:firstLineChars="50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N-室内声源总数。</w:t>
      </w:r>
    </w:p>
    <w:p w14:paraId="12E7B97B">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在室内近似为扩散声场时，按下式（B.4）计算出靠近室外围护结构处的声压级：</w:t>
      </w:r>
    </w:p>
    <w:p w14:paraId="673F6540">
      <w:pPr>
        <w:ind w:firstLine="0" w:firstLineChars="0"/>
        <w:jc w:val="center"/>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drawing>
          <wp:inline distT="0" distB="0" distL="114300" distR="114300">
            <wp:extent cx="2581275" cy="419100"/>
            <wp:effectExtent l="0" t="0" r="9525" b="0"/>
            <wp:docPr id="3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3"/>
                    <pic:cNvPicPr>
                      <a:picLocks noChangeAspect="1"/>
                    </pic:cNvPicPr>
                  </pic:nvPicPr>
                  <pic:blipFill>
                    <a:blip r:embed="rId67"/>
                    <a:stretch>
                      <a:fillRect/>
                    </a:stretch>
                  </pic:blipFill>
                  <pic:spPr>
                    <a:xfrm>
                      <a:off x="0" y="0"/>
                      <a:ext cx="2581275" cy="419100"/>
                    </a:xfrm>
                    <a:prstGeom prst="rect">
                      <a:avLst/>
                    </a:prstGeom>
                    <a:noFill/>
                    <a:ln>
                      <a:noFill/>
                    </a:ln>
                  </pic:spPr>
                </pic:pic>
              </a:graphicData>
            </a:graphic>
          </wp:inline>
        </w:drawing>
      </w:r>
      <w:r>
        <w:rPr>
          <w:rFonts w:hint="default" w:ascii="Times New Roman" w:hAnsi="Times New Roman" w:eastAsia="宋体" w:cs="Times New Roman"/>
          <w:color w:val="000000" w:themeColor="text1"/>
          <w14:textFill>
            <w14:solidFill>
              <w14:schemeClr w14:val="tx1"/>
            </w14:solidFill>
          </w14:textFill>
        </w:rPr>
        <w:t>（B.4）</w:t>
      </w:r>
    </w:p>
    <w:p w14:paraId="2CEA39FB">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式中：Lp1i（T）-靠近围护结构处室外N个声源i倍频带的叠加声压级，dB；</w:t>
      </w:r>
    </w:p>
    <w:p w14:paraId="35CC056F">
      <w:pPr>
        <w:ind w:firstLine="1200" w:firstLineChars="50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TLi-围护结构i倍频带的隔声量，dB。</w:t>
      </w:r>
    </w:p>
    <w:p w14:paraId="03AAA02A">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然后按下式（B.5）将室外声源的声压级和透过面积换算成等效的室外声源，计算出中心位置位于透声面积（S）处的等效声源的倍频带声功率级。</w:t>
      </w:r>
    </w:p>
    <w:p w14:paraId="7978A34E">
      <w:pPr>
        <w:ind w:firstLine="0" w:firstLineChars="0"/>
        <w:jc w:val="center"/>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drawing>
          <wp:inline distT="0" distB="0" distL="114300" distR="114300">
            <wp:extent cx="2076450" cy="323850"/>
            <wp:effectExtent l="0" t="0" r="0" b="0"/>
            <wp:docPr id="3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4"/>
                    <pic:cNvPicPr>
                      <a:picLocks noChangeAspect="1"/>
                    </pic:cNvPicPr>
                  </pic:nvPicPr>
                  <pic:blipFill>
                    <a:blip r:embed="rId68"/>
                    <a:stretch>
                      <a:fillRect/>
                    </a:stretch>
                  </pic:blipFill>
                  <pic:spPr>
                    <a:xfrm>
                      <a:off x="0" y="0"/>
                      <a:ext cx="2076450" cy="323850"/>
                    </a:xfrm>
                    <a:prstGeom prst="rect">
                      <a:avLst/>
                    </a:prstGeom>
                    <a:noFill/>
                    <a:ln>
                      <a:noFill/>
                    </a:ln>
                  </pic:spPr>
                </pic:pic>
              </a:graphicData>
            </a:graphic>
          </wp:inline>
        </w:drawing>
      </w:r>
      <w:r>
        <w:rPr>
          <w:rFonts w:hint="default" w:ascii="Times New Roman" w:hAnsi="Times New Roman" w:eastAsia="宋体" w:cs="Times New Roman"/>
          <w:color w:val="000000" w:themeColor="text1"/>
          <w14:textFill>
            <w14:solidFill>
              <w14:schemeClr w14:val="tx1"/>
            </w14:solidFill>
          </w14:textFill>
        </w:rPr>
        <w:t>（B.5）</w:t>
      </w:r>
    </w:p>
    <w:p w14:paraId="06B6FECE">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然后按室外声源预测方法计算预测点处的A声级。</w:t>
      </w:r>
    </w:p>
    <w:p w14:paraId="47E3593B">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②工业企业噪声计算</w:t>
      </w:r>
    </w:p>
    <w:p w14:paraId="045F5622">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设第i个室外声源在预测点产生的A声级为LAi，在T时间内该声源工作时间为ti；第j个等效室外声源在预测点产生的A声级为LAj，在T时间内该声源工作时间为tj，则工程声源对预测点产生的贡献值（Leqg）为：</w:t>
      </w:r>
    </w:p>
    <w:p w14:paraId="4D3ABC47">
      <w:pPr>
        <w:ind w:firstLine="0" w:firstLineChars="0"/>
        <w:jc w:val="center"/>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drawing>
          <wp:inline distT="0" distB="0" distL="114300" distR="114300">
            <wp:extent cx="3800475" cy="715645"/>
            <wp:effectExtent l="0" t="0" r="0" b="0"/>
            <wp:docPr id="3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5"/>
                    <pic:cNvPicPr>
                      <a:picLocks noChangeAspect="1"/>
                    </pic:cNvPicPr>
                  </pic:nvPicPr>
                  <pic:blipFill>
                    <a:blip r:embed="rId69"/>
                    <a:srcRect b="6083"/>
                    <a:stretch>
                      <a:fillRect/>
                    </a:stretch>
                  </pic:blipFill>
                  <pic:spPr>
                    <a:xfrm>
                      <a:off x="0" y="0"/>
                      <a:ext cx="3800475" cy="715645"/>
                    </a:xfrm>
                    <a:prstGeom prst="rect">
                      <a:avLst/>
                    </a:prstGeom>
                    <a:noFill/>
                    <a:ln>
                      <a:noFill/>
                    </a:ln>
                  </pic:spPr>
                </pic:pic>
              </a:graphicData>
            </a:graphic>
          </wp:inline>
        </w:drawing>
      </w:r>
      <w:r>
        <w:rPr>
          <w:rFonts w:hint="default" w:ascii="Times New Roman" w:hAnsi="Times New Roman" w:eastAsia="宋体" w:cs="Times New Roman"/>
          <w:color w:val="000000" w:themeColor="text1"/>
          <w14:textFill>
            <w14:solidFill>
              <w14:schemeClr w14:val="tx1"/>
            </w14:solidFill>
          </w14:textFill>
        </w:rPr>
        <w:t>（B.6）</w:t>
      </w:r>
    </w:p>
    <w:p w14:paraId="03173EB5">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式中：Leqg-建设项目声源在预测点产生的噪声贡献值，dB；</w:t>
      </w:r>
    </w:p>
    <w:p w14:paraId="24068237">
      <w:pPr>
        <w:ind w:firstLine="1200" w:firstLineChars="50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T-用于计算等效声级的时间，s；</w:t>
      </w:r>
    </w:p>
    <w:p w14:paraId="6125AEE8">
      <w:pPr>
        <w:ind w:firstLine="1200" w:firstLineChars="50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N-室外声源个数；</w:t>
      </w:r>
    </w:p>
    <w:p w14:paraId="2CBABDD3">
      <w:pPr>
        <w:ind w:firstLine="1200" w:firstLineChars="50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ti-在T时间内i声源工作时间，s；</w:t>
      </w:r>
    </w:p>
    <w:p w14:paraId="02335F6B">
      <w:pPr>
        <w:ind w:firstLine="1200" w:firstLineChars="50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M-等效室外声源个数；</w:t>
      </w:r>
    </w:p>
    <w:p w14:paraId="5A9A83FE">
      <w:pPr>
        <w:ind w:firstLine="1200" w:firstLineChars="50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tj-在T时间内j声源工作时间，s。</w:t>
      </w:r>
    </w:p>
    <w:p w14:paraId="455C5882">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③噪声贡献值计算</w:t>
      </w:r>
    </w:p>
    <w:p w14:paraId="2898D9B5">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由建设项目自身声源在预测点产生的声级。噪声贡献值（Leqg）计算公式为：</w:t>
      </w:r>
    </w:p>
    <w:p w14:paraId="11A5E278">
      <w:pPr>
        <w:pStyle w:val="33"/>
        <w:jc w:val="center"/>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drawing>
          <wp:inline distT="0" distB="0" distL="114300" distR="114300">
            <wp:extent cx="2647950" cy="733425"/>
            <wp:effectExtent l="0" t="0" r="0" b="9525"/>
            <wp:docPr id="3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6"/>
                    <pic:cNvPicPr>
                      <a:picLocks noChangeAspect="1"/>
                    </pic:cNvPicPr>
                  </pic:nvPicPr>
                  <pic:blipFill>
                    <a:blip r:embed="rId70"/>
                    <a:stretch>
                      <a:fillRect/>
                    </a:stretch>
                  </pic:blipFill>
                  <pic:spPr>
                    <a:xfrm>
                      <a:off x="0" y="0"/>
                      <a:ext cx="2647950" cy="733425"/>
                    </a:xfrm>
                    <a:prstGeom prst="rect">
                      <a:avLst/>
                    </a:prstGeom>
                    <a:noFill/>
                    <a:ln>
                      <a:noFill/>
                    </a:ln>
                  </pic:spPr>
                </pic:pic>
              </a:graphicData>
            </a:graphic>
          </wp:inline>
        </w:drawing>
      </w:r>
    </w:p>
    <w:p w14:paraId="0C0B6D83">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式中：Leqg-噪声贡献值，dB；</w:t>
      </w:r>
    </w:p>
    <w:p w14:paraId="4020B87C">
      <w:pPr>
        <w:ind w:firstLine="1200" w:firstLineChars="50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T-预测计算的时间段，s；</w:t>
      </w:r>
    </w:p>
    <w:p w14:paraId="1D1D6905">
      <w:pPr>
        <w:ind w:firstLine="1200" w:firstLineChars="50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Ti-i声源在T时间段内的运行时间，s；</w:t>
      </w:r>
    </w:p>
    <w:p w14:paraId="5A7912F8">
      <w:pPr>
        <w:ind w:firstLine="1200" w:firstLineChars="50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LAi-i声源在预测点产生的等效连续A声级，dB。</w:t>
      </w:r>
    </w:p>
    <w:p w14:paraId="746937FA">
      <w:pPr>
        <w:ind w:firstLine="482"/>
        <w:outlineLvl w:val="2"/>
        <w:rPr>
          <w:rFonts w:hint="default" w:ascii="Times New Roman" w:hAnsi="Times New Roman" w:eastAsia="宋体" w:cs="Times New Roman"/>
          <w:color w:val="000000" w:themeColor="text1"/>
          <w14:textFill>
            <w14:solidFill>
              <w14:schemeClr w14:val="tx1"/>
            </w14:solidFill>
          </w14:textFill>
        </w:rPr>
      </w:pPr>
      <w:bookmarkStart w:id="269" w:name="_Toc22016"/>
      <w:r>
        <w:rPr>
          <w:rFonts w:hint="default" w:ascii="Times New Roman" w:hAnsi="Times New Roman" w:eastAsia="宋体" w:cs="Times New Roman"/>
          <w:b/>
          <w:bCs/>
          <w:color w:val="000000" w:themeColor="text1"/>
          <w14:textFill>
            <w14:solidFill>
              <w14:schemeClr w14:val="tx1"/>
            </w14:solidFill>
          </w14:textFill>
        </w:rPr>
        <w:fldChar w:fldCharType="begin"/>
      </w:r>
      <w:r>
        <w:rPr>
          <w:rFonts w:hint="default" w:ascii="Times New Roman" w:hAnsi="Times New Roman" w:eastAsia="宋体" w:cs="Times New Roman"/>
          <w:b/>
          <w:bCs/>
          <w:color w:val="000000" w:themeColor="text1"/>
          <w14:textFill>
            <w14:solidFill>
              <w14:schemeClr w14:val="tx1"/>
            </w14:solidFill>
          </w14:textFill>
        </w:rPr>
        <w:instrText xml:space="preserve">HYPERLINK "C:\\Users\\Administrator\\Desktop\\科右前旗现代农牧业园区核心育种场养殖项目-修改稿\\5.2.4.6"</w:instrText>
      </w:r>
      <w:r>
        <w:rPr>
          <w:rFonts w:hint="default" w:ascii="Times New Roman" w:hAnsi="Times New Roman" w:eastAsia="宋体" w:cs="Times New Roman"/>
          <w:b/>
          <w:bCs/>
          <w:color w:val="000000" w:themeColor="text1"/>
          <w14:textFill>
            <w14:solidFill>
              <w14:schemeClr w14:val="tx1"/>
            </w14:solidFill>
          </w14:textFill>
        </w:rPr>
        <w:fldChar w:fldCharType="separate"/>
      </w:r>
      <w:r>
        <w:rPr>
          <w:rFonts w:hint="default" w:ascii="Times New Roman" w:hAnsi="Times New Roman" w:eastAsia="宋体" w:cs="Times New Roman"/>
          <w:b/>
          <w:bCs/>
          <w:color w:val="000000" w:themeColor="text1"/>
          <w14:textFill>
            <w14:solidFill>
              <w14:schemeClr w14:val="tx1"/>
            </w14:solidFill>
          </w14:textFill>
        </w:rPr>
        <w:t>6.4.6</w:t>
      </w:r>
      <w:r>
        <w:rPr>
          <w:rFonts w:hint="default" w:ascii="Times New Roman" w:hAnsi="Times New Roman" w:eastAsia="宋体" w:cs="Times New Roman"/>
          <w:b/>
          <w:bCs/>
          <w:color w:val="000000" w:themeColor="text1"/>
          <w14:textFill>
            <w14:solidFill>
              <w14:schemeClr w14:val="tx1"/>
            </w14:solidFill>
          </w14:textFill>
        </w:rPr>
        <w:fldChar w:fldCharType="end"/>
      </w:r>
      <w:r>
        <w:rPr>
          <w:rFonts w:hint="default" w:ascii="Times New Roman" w:hAnsi="Times New Roman" w:eastAsia="宋体" w:cs="Times New Roman"/>
          <w:b/>
          <w:bCs/>
          <w:color w:val="000000" w:themeColor="text1"/>
          <w14:textFill>
            <w14:solidFill>
              <w14:schemeClr w14:val="tx1"/>
            </w14:solidFill>
          </w14:textFill>
        </w:rPr>
        <w:t>.预测结果</w:t>
      </w:r>
      <w:bookmarkEnd w:id="269"/>
    </w:p>
    <w:p w14:paraId="2CBF2F60">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根据项目运行后主要噪声源情况，利用以上预测模式计算得各预测点的噪声预测值，见表6.4-2。</w:t>
      </w:r>
    </w:p>
    <w:p w14:paraId="5604052E">
      <w:pPr>
        <w:ind w:firstLine="0" w:firstLineChars="0"/>
        <w:jc w:val="center"/>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表6.4-2厂界声环境预测（dB（A））</w:t>
      </w:r>
    </w:p>
    <w:tbl>
      <w:tblPr>
        <w:tblStyle w:val="35"/>
        <w:tblW w:w="8561"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076"/>
        <w:gridCol w:w="1664"/>
        <w:gridCol w:w="1318"/>
        <w:gridCol w:w="1533"/>
        <w:gridCol w:w="1485"/>
        <w:gridCol w:w="1485"/>
      </w:tblGrid>
      <w:tr w14:paraId="6A7734D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76" w:type="dxa"/>
            <w:vAlign w:val="center"/>
          </w:tcPr>
          <w:p w14:paraId="173C1156">
            <w:pPr>
              <w:ind w:firstLine="0" w:firstLineChars="0"/>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位置</w:t>
            </w:r>
          </w:p>
        </w:tc>
        <w:tc>
          <w:tcPr>
            <w:tcW w:w="1664" w:type="dxa"/>
            <w:vAlign w:val="center"/>
          </w:tcPr>
          <w:p w14:paraId="7FCF3809">
            <w:pPr>
              <w:ind w:firstLine="0" w:firstLineChars="0"/>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距厂界距离（m）</w:t>
            </w:r>
          </w:p>
        </w:tc>
        <w:tc>
          <w:tcPr>
            <w:tcW w:w="1318" w:type="dxa"/>
            <w:vAlign w:val="center"/>
          </w:tcPr>
          <w:p w14:paraId="31050B69">
            <w:pPr>
              <w:ind w:firstLine="0" w:firstLineChars="0"/>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时段</w:t>
            </w:r>
          </w:p>
        </w:tc>
        <w:tc>
          <w:tcPr>
            <w:tcW w:w="1533" w:type="dxa"/>
            <w:vAlign w:val="center"/>
          </w:tcPr>
          <w:p w14:paraId="58CF0781">
            <w:pPr>
              <w:ind w:firstLine="0" w:firstLineChars="0"/>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贡献值</w:t>
            </w:r>
          </w:p>
        </w:tc>
        <w:tc>
          <w:tcPr>
            <w:tcW w:w="1485" w:type="dxa"/>
            <w:vAlign w:val="center"/>
          </w:tcPr>
          <w:p w14:paraId="6A720150">
            <w:pPr>
              <w:ind w:firstLine="0" w:firstLineChars="0"/>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标准限值</w:t>
            </w:r>
          </w:p>
        </w:tc>
        <w:tc>
          <w:tcPr>
            <w:tcW w:w="1485" w:type="dxa"/>
            <w:vAlign w:val="center"/>
          </w:tcPr>
          <w:p w14:paraId="2C3E8C16">
            <w:pPr>
              <w:ind w:firstLine="0" w:firstLineChars="0"/>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达标情况</w:t>
            </w:r>
          </w:p>
        </w:tc>
      </w:tr>
      <w:tr w14:paraId="20CBFAB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76" w:type="dxa"/>
            <w:vMerge w:val="restart"/>
            <w:tcBorders>
              <w:bottom w:val="nil"/>
            </w:tcBorders>
            <w:vAlign w:val="center"/>
          </w:tcPr>
          <w:p w14:paraId="1D1939A4">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厂界东</w:t>
            </w:r>
          </w:p>
        </w:tc>
        <w:tc>
          <w:tcPr>
            <w:tcW w:w="1664" w:type="dxa"/>
            <w:vMerge w:val="restart"/>
            <w:tcBorders>
              <w:bottom w:val="nil"/>
            </w:tcBorders>
            <w:vAlign w:val="center"/>
          </w:tcPr>
          <w:p w14:paraId="29D5D650">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23.2</w:t>
            </w:r>
          </w:p>
        </w:tc>
        <w:tc>
          <w:tcPr>
            <w:tcW w:w="1318" w:type="dxa"/>
            <w:vAlign w:val="center"/>
          </w:tcPr>
          <w:p w14:paraId="4FA00C05">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昼间</w:t>
            </w:r>
          </w:p>
        </w:tc>
        <w:tc>
          <w:tcPr>
            <w:tcW w:w="1533" w:type="dxa"/>
            <w:vAlign w:val="center"/>
          </w:tcPr>
          <w:p w14:paraId="17E3FAC4">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42.69</w:t>
            </w:r>
          </w:p>
        </w:tc>
        <w:tc>
          <w:tcPr>
            <w:tcW w:w="1485" w:type="dxa"/>
            <w:vAlign w:val="center"/>
          </w:tcPr>
          <w:p w14:paraId="11A2A84A">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60</w:t>
            </w:r>
          </w:p>
        </w:tc>
        <w:tc>
          <w:tcPr>
            <w:tcW w:w="1485" w:type="dxa"/>
            <w:vAlign w:val="center"/>
          </w:tcPr>
          <w:p w14:paraId="0800C0D5">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达标</w:t>
            </w:r>
          </w:p>
        </w:tc>
      </w:tr>
      <w:tr w14:paraId="3748601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76" w:type="dxa"/>
            <w:vMerge w:val="continue"/>
            <w:tcBorders>
              <w:top w:val="nil"/>
            </w:tcBorders>
            <w:vAlign w:val="center"/>
          </w:tcPr>
          <w:p w14:paraId="7F122697">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664" w:type="dxa"/>
            <w:vMerge w:val="continue"/>
            <w:tcBorders>
              <w:top w:val="nil"/>
            </w:tcBorders>
            <w:vAlign w:val="center"/>
          </w:tcPr>
          <w:p w14:paraId="013D8821">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318" w:type="dxa"/>
            <w:vAlign w:val="center"/>
          </w:tcPr>
          <w:p w14:paraId="1A4F2B87">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夜间</w:t>
            </w:r>
          </w:p>
        </w:tc>
        <w:tc>
          <w:tcPr>
            <w:tcW w:w="1533" w:type="dxa"/>
            <w:vAlign w:val="center"/>
          </w:tcPr>
          <w:p w14:paraId="3D095FE6">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42.69</w:t>
            </w:r>
          </w:p>
        </w:tc>
        <w:tc>
          <w:tcPr>
            <w:tcW w:w="1485" w:type="dxa"/>
            <w:vAlign w:val="center"/>
          </w:tcPr>
          <w:p w14:paraId="5DF27BBA">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50</w:t>
            </w:r>
          </w:p>
        </w:tc>
        <w:tc>
          <w:tcPr>
            <w:tcW w:w="1485" w:type="dxa"/>
            <w:vAlign w:val="center"/>
          </w:tcPr>
          <w:p w14:paraId="302D208B">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达标</w:t>
            </w:r>
          </w:p>
        </w:tc>
      </w:tr>
      <w:tr w14:paraId="762A1EE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76" w:type="dxa"/>
            <w:vMerge w:val="restart"/>
            <w:tcBorders>
              <w:bottom w:val="nil"/>
            </w:tcBorders>
            <w:vAlign w:val="center"/>
          </w:tcPr>
          <w:p w14:paraId="09E2908C">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厂界南</w:t>
            </w:r>
          </w:p>
        </w:tc>
        <w:tc>
          <w:tcPr>
            <w:tcW w:w="1664" w:type="dxa"/>
            <w:vMerge w:val="restart"/>
            <w:tcBorders>
              <w:bottom w:val="nil"/>
            </w:tcBorders>
            <w:vAlign w:val="center"/>
          </w:tcPr>
          <w:p w14:paraId="7D252F43">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17.9</w:t>
            </w:r>
          </w:p>
        </w:tc>
        <w:tc>
          <w:tcPr>
            <w:tcW w:w="1318" w:type="dxa"/>
            <w:vAlign w:val="center"/>
          </w:tcPr>
          <w:p w14:paraId="2F320537">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昼间</w:t>
            </w:r>
          </w:p>
        </w:tc>
        <w:tc>
          <w:tcPr>
            <w:tcW w:w="1533" w:type="dxa"/>
            <w:vAlign w:val="center"/>
          </w:tcPr>
          <w:p w14:paraId="2C201420">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44.94</w:t>
            </w:r>
          </w:p>
        </w:tc>
        <w:tc>
          <w:tcPr>
            <w:tcW w:w="1485" w:type="dxa"/>
            <w:vAlign w:val="center"/>
          </w:tcPr>
          <w:p w14:paraId="7C85DF62">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60</w:t>
            </w:r>
          </w:p>
        </w:tc>
        <w:tc>
          <w:tcPr>
            <w:tcW w:w="1485" w:type="dxa"/>
            <w:vAlign w:val="center"/>
          </w:tcPr>
          <w:p w14:paraId="134F3A09">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达标</w:t>
            </w:r>
          </w:p>
        </w:tc>
      </w:tr>
      <w:tr w14:paraId="04C7715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76" w:type="dxa"/>
            <w:vMerge w:val="continue"/>
            <w:tcBorders>
              <w:top w:val="nil"/>
            </w:tcBorders>
            <w:vAlign w:val="center"/>
          </w:tcPr>
          <w:p w14:paraId="12A123E3">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664" w:type="dxa"/>
            <w:vMerge w:val="continue"/>
            <w:tcBorders>
              <w:top w:val="nil"/>
            </w:tcBorders>
            <w:vAlign w:val="center"/>
          </w:tcPr>
          <w:p w14:paraId="4FEBDC70">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318" w:type="dxa"/>
            <w:vAlign w:val="center"/>
          </w:tcPr>
          <w:p w14:paraId="0C3CF85C">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夜间</w:t>
            </w:r>
          </w:p>
        </w:tc>
        <w:tc>
          <w:tcPr>
            <w:tcW w:w="1533" w:type="dxa"/>
            <w:vAlign w:val="center"/>
          </w:tcPr>
          <w:p w14:paraId="67699B6E">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44.94</w:t>
            </w:r>
          </w:p>
        </w:tc>
        <w:tc>
          <w:tcPr>
            <w:tcW w:w="1485" w:type="dxa"/>
            <w:vAlign w:val="center"/>
          </w:tcPr>
          <w:p w14:paraId="53ABE8CD">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50</w:t>
            </w:r>
          </w:p>
        </w:tc>
        <w:tc>
          <w:tcPr>
            <w:tcW w:w="1485" w:type="dxa"/>
            <w:vAlign w:val="center"/>
          </w:tcPr>
          <w:p w14:paraId="030CF9FE">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达标</w:t>
            </w:r>
          </w:p>
        </w:tc>
      </w:tr>
      <w:tr w14:paraId="6E24D6F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76" w:type="dxa"/>
            <w:vMerge w:val="restart"/>
            <w:tcBorders>
              <w:bottom w:val="nil"/>
            </w:tcBorders>
            <w:vAlign w:val="center"/>
          </w:tcPr>
          <w:p w14:paraId="04DE312D">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厂界西</w:t>
            </w:r>
          </w:p>
        </w:tc>
        <w:tc>
          <w:tcPr>
            <w:tcW w:w="1664" w:type="dxa"/>
            <w:vMerge w:val="restart"/>
            <w:tcBorders>
              <w:bottom w:val="nil"/>
            </w:tcBorders>
            <w:vAlign w:val="center"/>
          </w:tcPr>
          <w:p w14:paraId="04992C05">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19.5</w:t>
            </w:r>
          </w:p>
        </w:tc>
        <w:tc>
          <w:tcPr>
            <w:tcW w:w="1318" w:type="dxa"/>
            <w:vAlign w:val="center"/>
          </w:tcPr>
          <w:p w14:paraId="46DDC30B">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昼间</w:t>
            </w:r>
          </w:p>
        </w:tc>
        <w:tc>
          <w:tcPr>
            <w:tcW w:w="1533" w:type="dxa"/>
            <w:vAlign w:val="center"/>
          </w:tcPr>
          <w:p w14:paraId="296FA24F">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44.20</w:t>
            </w:r>
          </w:p>
        </w:tc>
        <w:tc>
          <w:tcPr>
            <w:tcW w:w="1485" w:type="dxa"/>
            <w:vAlign w:val="center"/>
          </w:tcPr>
          <w:p w14:paraId="67E47A82">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60</w:t>
            </w:r>
          </w:p>
        </w:tc>
        <w:tc>
          <w:tcPr>
            <w:tcW w:w="1485" w:type="dxa"/>
            <w:vAlign w:val="center"/>
          </w:tcPr>
          <w:p w14:paraId="57AC7E74">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达标</w:t>
            </w:r>
          </w:p>
        </w:tc>
      </w:tr>
      <w:tr w14:paraId="6011B01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76" w:type="dxa"/>
            <w:vMerge w:val="continue"/>
            <w:tcBorders>
              <w:top w:val="nil"/>
            </w:tcBorders>
            <w:vAlign w:val="center"/>
          </w:tcPr>
          <w:p w14:paraId="4F673EDA">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664" w:type="dxa"/>
            <w:vMerge w:val="continue"/>
            <w:tcBorders>
              <w:top w:val="nil"/>
            </w:tcBorders>
            <w:vAlign w:val="center"/>
          </w:tcPr>
          <w:p w14:paraId="4B003E4B">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318" w:type="dxa"/>
            <w:vAlign w:val="center"/>
          </w:tcPr>
          <w:p w14:paraId="298E7FD3">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夜间</w:t>
            </w:r>
          </w:p>
        </w:tc>
        <w:tc>
          <w:tcPr>
            <w:tcW w:w="1533" w:type="dxa"/>
            <w:vAlign w:val="center"/>
          </w:tcPr>
          <w:p w14:paraId="23CA387E">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44.2</w:t>
            </w:r>
          </w:p>
        </w:tc>
        <w:tc>
          <w:tcPr>
            <w:tcW w:w="1485" w:type="dxa"/>
            <w:vAlign w:val="center"/>
          </w:tcPr>
          <w:p w14:paraId="549CB32D">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50</w:t>
            </w:r>
          </w:p>
        </w:tc>
        <w:tc>
          <w:tcPr>
            <w:tcW w:w="1485" w:type="dxa"/>
            <w:vAlign w:val="center"/>
          </w:tcPr>
          <w:p w14:paraId="1E82C2B2">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达标</w:t>
            </w:r>
          </w:p>
        </w:tc>
      </w:tr>
      <w:tr w14:paraId="4124914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76" w:type="dxa"/>
            <w:vMerge w:val="restart"/>
            <w:tcBorders>
              <w:bottom w:val="nil"/>
            </w:tcBorders>
            <w:vAlign w:val="center"/>
          </w:tcPr>
          <w:p w14:paraId="0EF6B783">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厂界北</w:t>
            </w:r>
          </w:p>
        </w:tc>
        <w:tc>
          <w:tcPr>
            <w:tcW w:w="1664" w:type="dxa"/>
            <w:vMerge w:val="restart"/>
            <w:tcBorders>
              <w:bottom w:val="nil"/>
            </w:tcBorders>
            <w:vAlign w:val="center"/>
          </w:tcPr>
          <w:p w14:paraId="7FB4A12A">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25.3</w:t>
            </w:r>
          </w:p>
        </w:tc>
        <w:tc>
          <w:tcPr>
            <w:tcW w:w="1318" w:type="dxa"/>
            <w:vAlign w:val="center"/>
          </w:tcPr>
          <w:p w14:paraId="3E8754C1">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昼间</w:t>
            </w:r>
          </w:p>
        </w:tc>
        <w:tc>
          <w:tcPr>
            <w:tcW w:w="1533" w:type="dxa"/>
            <w:vAlign w:val="center"/>
          </w:tcPr>
          <w:p w14:paraId="78C984B2">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41.94</w:t>
            </w:r>
          </w:p>
        </w:tc>
        <w:tc>
          <w:tcPr>
            <w:tcW w:w="1485" w:type="dxa"/>
            <w:vAlign w:val="center"/>
          </w:tcPr>
          <w:p w14:paraId="18239C24">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60</w:t>
            </w:r>
          </w:p>
        </w:tc>
        <w:tc>
          <w:tcPr>
            <w:tcW w:w="1485" w:type="dxa"/>
            <w:vAlign w:val="center"/>
          </w:tcPr>
          <w:p w14:paraId="7DB01F6B">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达标</w:t>
            </w:r>
          </w:p>
        </w:tc>
      </w:tr>
      <w:tr w14:paraId="0E7E713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76" w:type="dxa"/>
            <w:vMerge w:val="continue"/>
            <w:tcBorders>
              <w:top w:val="nil"/>
            </w:tcBorders>
            <w:vAlign w:val="center"/>
          </w:tcPr>
          <w:p w14:paraId="4D8DE781">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664" w:type="dxa"/>
            <w:vMerge w:val="continue"/>
            <w:tcBorders>
              <w:top w:val="nil"/>
            </w:tcBorders>
            <w:vAlign w:val="center"/>
          </w:tcPr>
          <w:p w14:paraId="40F46B31">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318" w:type="dxa"/>
            <w:vAlign w:val="center"/>
          </w:tcPr>
          <w:p w14:paraId="20B834AE">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夜间</w:t>
            </w:r>
          </w:p>
        </w:tc>
        <w:tc>
          <w:tcPr>
            <w:tcW w:w="1533" w:type="dxa"/>
            <w:vAlign w:val="center"/>
          </w:tcPr>
          <w:p w14:paraId="25949407">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41.94</w:t>
            </w:r>
          </w:p>
        </w:tc>
        <w:tc>
          <w:tcPr>
            <w:tcW w:w="1485" w:type="dxa"/>
            <w:vAlign w:val="center"/>
          </w:tcPr>
          <w:p w14:paraId="6AA3FDD5">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50</w:t>
            </w:r>
          </w:p>
        </w:tc>
        <w:tc>
          <w:tcPr>
            <w:tcW w:w="1485" w:type="dxa"/>
            <w:vAlign w:val="center"/>
          </w:tcPr>
          <w:p w14:paraId="314742E7">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达标</w:t>
            </w:r>
          </w:p>
        </w:tc>
      </w:tr>
    </w:tbl>
    <w:p w14:paraId="4DAEF667">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厂区周围加强绿化，使噪声最大限度随距离自然衰减。本项目噪声源设置在车间内、经过距离衰减以及项目区的绿化衰减后。由预测结果可以看出项目厂界各方位的噪声贡献值均符合GB12348-2008《工业企业厂界环境噪声排放标准》的2类标准。因此项目的噪声对周围环境的影响较小。</w:t>
      </w:r>
    </w:p>
    <w:p w14:paraId="19AA032C">
      <w:pPr>
        <w:ind w:firstLine="482"/>
        <w:outlineLvl w:val="2"/>
        <w:rPr>
          <w:rFonts w:hint="default" w:ascii="Times New Roman" w:hAnsi="Times New Roman" w:eastAsia="宋体" w:cs="Times New Roman"/>
          <w:color w:val="000000" w:themeColor="text1"/>
          <w14:textFill>
            <w14:solidFill>
              <w14:schemeClr w14:val="tx1"/>
            </w14:solidFill>
          </w14:textFill>
        </w:rPr>
      </w:pPr>
      <w:bookmarkStart w:id="270" w:name="_Toc24954"/>
      <w:r>
        <w:rPr>
          <w:rFonts w:hint="default" w:ascii="Times New Roman" w:hAnsi="Times New Roman" w:eastAsia="宋体" w:cs="Times New Roman"/>
          <w:b/>
          <w:bCs/>
          <w:color w:val="000000" w:themeColor="text1"/>
          <w14:textFill>
            <w14:solidFill>
              <w14:schemeClr w14:val="tx1"/>
            </w14:solidFill>
          </w14:textFill>
        </w:rPr>
        <w:fldChar w:fldCharType="begin"/>
      </w:r>
      <w:r>
        <w:rPr>
          <w:rFonts w:hint="default" w:ascii="Times New Roman" w:hAnsi="Times New Roman" w:eastAsia="宋体" w:cs="Times New Roman"/>
          <w:b/>
          <w:bCs/>
          <w:color w:val="000000" w:themeColor="text1"/>
          <w14:textFill>
            <w14:solidFill>
              <w14:schemeClr w14:val="tx1"/>
            </w14:solidFill>
          </w14:textFill>
        </w:rPr>
        <w:instrText xml:space="preserve">HYPERLINK "C:\\Users\\Administrator\\Desktop\\科右前旗现代农牧业园区核心育种场养殖项目-修改稿\\5.2.4.7"</w:instrText>
      </w:r>
      <w:r>
        <w:rPr>
          <w:rFonts w:hint="default" w:ascii="Times New Roman" w:hAnsi="Times New Roman" w:eastAsia="宋体" w:cs="Times New Roman"/>
          <w:b/>
          <w:bCs/>
          <w:color w:val="000000" w:themeColor="text1"/>
          <w14:textFill>
            <w14:solidFill>
              <w14:schemeClr w14:val="tx1"/>
            </w14:solidFill>
          </w14:textFill>
        </w:rPr>
        <w:fldChar w:fldCharType="separate"/>
      </w:r>
      <w:r>
        <w:rPr>
          <w:rFonts w:hint="default" w:ascii="Times New Roman" w:hAnsi="Times New Roman" w:eastAsia="宋体" w:cs="Times New Roman"/>
          <w:b/>
          <w:bCs/>
          <w:color w:val="000000" w:themeColor="text1"/>
          <w14:textFill>
            <w14:solidFill>
              <w14:schemeClr w14:val="tx1"/>
            </w14:solidFill>
          </w14:textFill>
        </w:rPr>
        <w:t>6.4.7</w:t>
      </w:r>
      <w:r>
        <w:rPr>
          <w:rFonts w:hint="default" w:ascii="Times New Roman" w:hAnsi="Times New Roman" w:eastAsia="宋体" w:cs="Times New Roman"/>
          <w:b/>
          <w:bCs/>
          <w:color w:val="000000" w:themeColor="text1"/>
          <w14:textFill>
            <w14:solidFill>
              <w14:schemeClr w14:val="tx1"/>
            </w14:solidFill>
          </w14:textFill>
        </w:rPr>
        <w:fldChar w:fldCharType="end"/>
      </w:r>
      <w:r>
        <w:rPr>
          <w:rFonts w:hint="default" w:ascii="Times New Roman" w:hAnsi="Times New Roman" w:eastAsia="宋体" w:cs="Times New Roman"/>
          <w:b/>
          <w:bCs/>
          <w:color w:val="000000" w:themeColor="text1"/>
          <w14:textFill>
            <w14:solidFill>
              <w14:schemeClr w14:val="tx1"/>
            </w14:solidFill>
          </w14:textFill>
        </w:rPr>
        <w:t>运输噪声影响分析</w:t>
      </w:r>
      <w:bookmarkEnd w:id="270"/>
    </w:p>
    <w:p w14:paraId="429DA461">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对饲料和奶牛的大量运输，首选尽量避开居民密集区的道路，尽量避开当地上下班高峰时间。在运输过程中若途经居住区等噪声敏感点应减速慢行、禁止鸣笛。运输应避开人员高峰期，且要求运输车辆不得在夜间和中午休息时间运输，企业应根据生产实际情况，合理调度汽车运输，减少夜间运输量，以防止车辆运输等引起噪声和周围交通堵塞。采取以上措施后可最大限度地减轻运输过程对沿线的噪声干扰，对周围的声环境影响较小。</w:t>
      </w:r>
    </w:p>
    <w:p w14:paraId="7252AB4E">
      <w:pPr>
        <w:ind w:firstLine="482"/>
        <w:outlineLvl w:val="2"/>
        <w:rPr>
          <w:rFonts w:hint="default" w:ascii="Times New Roman" w:hAnsi="Times New Roman" w:eastAsia="宋体" w:cs="Times New Roman"/>
          <w:color w:val="000000" w:themeColor="text1"/>
          <w14:textFill>
            <w14:solidFill>
              <w14:schemeClr w14:val="tx1"/>
            </w14:solidFill>
          </w14:textFill>
        </w:rPr>
      </w:pPr>
      <w:bookmarkStart w:id="271" w:name="_Toc27645"/>
      <w:r>
        <w:rPr>
          <w:rFonts w:hint="default" w:ascii="Times New Roman" w:hAnsi="Times New Roman" w:eastAsia="宋体" w:cs="Times New Roman"/>
          <w:b/>
          <w:bCs/>
          <w:color w:val="000000" w:themeColor="text1"/>
          <w14:textFill>
            <w14:solidFill>
              <w14:schemeClr w14:val="tx1"/>
            </w14:solidFill>
          </w14:textFill>
        </w:rPr>
        <w:fldChar w:fldCharType="begin"/>
      </w:r>
      <w:r>
        <w:rPr>
          <w:rFonts w:hint="default" w:ascii="Times New Roman" w:hAnsi="Times New Roman" w:eastAsia="宋体" w:cs="Times New Roman"/>
          <w:b/>
          <w:bCs/>
          <w:color w:val="000000" w:themeColor="text1"/>
          <w14:textFill>
            <w14:solidFill>
              <w14:schemeClr w14:val="tx1"/>
            </w14:solidFill>
          </w14:textFill>
        </w:rPr>
        <w:instrText xml:space="preserve">HYPERLINK "C:\\Users\\Administrator\\Desktop\\科右前旗现代农牧业园区核心育种场养殖项目-修改稿\\5.2.4.8"</w:instrText>
      </w:r>
      <w:r>
        <w:rPr>
          <w:rFonts w:hint="default" w:ascii="Times New Roman" w:hAnsi="Times New Roman" w:eastAsia="宋体" w:cs="Times New Roman"/>
          <w:b/>
          <w:bCs/>
          <w:color w:val="000000" w:themeColor="text1"/>
          <w14:textFill>
            <w14:solidFill>
              <w14:schemeClr w14:val="tx1"/>
            </w14:solidFill>
          </w14:textFill>
        </w:rPr>
        <w:fldChar w:fldCharType="separate"/>
      </w:r>
      <w:r>
        <w:rPr>
          <w:rFonts w:hint="default" w:ascii="Times New Roman" w:hAnsi="Times New Roman" w:eastAsia="宋体" w:cs="Times New Roman"/>
          <w:b/>
          <w:bCs/>
          <w:color w:val="000000" w:themeColor="text1"/>
          <w14:textFill>
            <w14:solidFill>
              <w14:schemeClr w14:val="tx1"/>
            </w14:solidFill>
          </w14:textFill>
        </w:rPr>
        <w:t>6.4.8</w:t>
      </w:r>
      <w:r>
        <w:rPr>
          <w:rFonts w:hint="default" w:ascii="Times New Roman" w:hAnsi="Times New Roman" w:eastAsia="宋体" w:cs="Times New Roman"/>
          <w:b/>
          <w:bCs/>
          <w:color w:val="000000" w:themeColor="text1"/>
          <w14:textFill>
            <w14:solidFill>
              <w14:schemeClr w14:val="tx1"/>
            </w14:solidFill>
          </w14:textFill>
        </w:rPr>
        <w:fldChar w:fldCharType="end"/>
      </w:r>
      <w:r>
        <w:rPr>
          <w:rFonts w:hint="default" w:ascii="Times New Roman" w:hAnsi="Times New Roman" w:eastAsia="宋体" w:cs="Times New Roman"/>
          <w:b/>
          <w:bCs/>
          <w:color w:val="000000" w:themeColor="text1"/>
          <w14:textFill>
            <w14:solidFill>
              <w14:schemeClr w14:val="tx1"/>
            </w14:solidFill>
          </w14:textFill>
        </w:rPr>
        <w:t>.声环境影响评价自查表</w:t>
      </w:r>
      <w:bookmarkEnd w:id="271"/>
    </w:p>
    <w:p w14:paraId="53CC172D">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本项目声环境影响评价自查表见表6.4-3。</w:t>
      </w:r>
    </w:p>
    <w:p w14:paraId="3B9C7593">
      <w:pPr>
        <w:ind w:firstLine="0" w:firstLineChars="0"/>
        <w:jc w:val="center"/>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表6.4-3声环境影响评价自查表</w:t>
      </w:r>
    </w:p>
    <w:tbl>
      <w:tblPr>
        <w:tblStyle w:val="35"/>
        <w:tblW w:w="8974"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087"/>
        <w:gridCol w:w="1253"/>
        <w:gridCol w:w="1014"/>
        <w:gridCol w:w="561"/>
        <w:gridCol w:w="557"/>
        <w:gridCol w:w="1127"/>
        <w:gridCol w:w="1117"/>
        <w:gridCol w:w="566"/>
        <w:gridCol w:w="559"/>
        <w:gridCol w:w="1133"/>
      </w:tblGrid>
      <w:tr w14:paraId="5ED9C67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2340" w:type="dxa"/>
            <w:gridSpan w:val="2"/>
            <w:vAlign w:val="center"/>
          </w:tcPr>
          <w:p w14:paraId="7DD9D45D">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工作内容</w:t>
            </w:r>
          </w:p>
        </w:tc>
        <w:tc>
          <w:tcPr>
            <w:tcW w:w="6634" w:type="dxa"/>
            <w:gridSpan w:val="8"/>
            <w:vAlign w:val="center"/>
          </w:tcPr>
          <w:p w14:paraId="3F20E88C">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自查项目</w:t>
            </w:r>
          </w:p>
        </w:tc>
      </w:tr>
      <w:tr w14:paraId="36E8DA7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87" w:type="dxa"/>
            <w:vMerge w:val="restart"/>
            <w:tcBorders>
              <w:bottom w:val="nil"/>
            </w:tcBorders>
            <w:vAlign w:val="center"/>
          </w:tcPr>
          <w:p w14:paraId="00740700">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评级等级与范围</w:t>
            </w:r>
          </w:p>
        </w:tc>
        <w:tc>
          <w:tcPr>
            <w:tcW w:w="1253" w:type="dxa"/>
            <w:vAlign w:val="center"/>
          </w:tcPr>
          <w:p w14:paraId="08D7D61B">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评价等级</w:t>
            </w:r>
          </w:p>
        </w:tc>
        <w:tc>
          <w:tcPr>
            <w:tcW w:w="6634" w:type="dxa"/>
            <w:gridSpan w:val="8"/>
            <w:vAlign w:val="center"/>
          </w:tcPr>
          <w:p w14:paraId="479ED300">
            <w:pPr>
              <w:ind w:firstLine="0" w:firstLineChars="0"/>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一级</w:t>
            </w:r>
            <w:r>
              <w:rPr>
                <w:rFonts w:hint="eastAsia" w:cs="Times New Roman"/>
                <w:color w:val="000000" w:themeColor="text1"/>
                <w:sz w:val="21"/>
                <w:szCs w:val="21"/>
                <w:lang w:eastAsia="zh-CN"/>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二级</w:t>
            </w:r>
            <w:r>
              <w:rPr>
                <w:rFonts w:hint="eastAsia" w:cs="Times New Roman"/>
                <w:color w:val="000000" w:themeColor="text1"/>
                <w:sz w:val="21"/>
                <w:szCs w:val="21"/>
                <w:lang w:eastAsia="zh-CN"/>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三级</w:t>
            </w:r>
            <w:r>
              <w:rPr>
                <w:rFonts w:hint="eastAsia" w:cs="Times New Roman"/>
                <w:color w:val="000000" w:themeColor="text1"/>
                <w:sz w:val="21"/>
                <w:szCs w:val="21"/>
                <w:lang w:eastAsia="zh-CN"/>
                <w14:textFill>
                  <w14:solidFill>
                    <w14:schemeClr w14:val="tx1"/>
                  </w14:solidFill>
                </w14:textFill>
              </w:rPr>
              <w:t>☑</w:t>
            </w:r>
          </w:p>
        </w:tc>
      </w:tr>
      <w:tr w14:paraId="1019065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87" w:type="dxa"/>
            <w:vMerge w:val="continue"/>
            <w:tcBorders>
              <w:top w:val="nil"/>
            </w:tcBorders>
            <w:vAlign w:val="center"/>
          </w:tcPr>
          <w:p w14:paraId="1666EFDE">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253" w:type="dxa"/>
            <w:vAlign w:val="center"/>
          </w:tcPr>
          <w:p w14:paraId="24A61146">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评价范围</w:t>
            </w:r>
          </w:p>
        </w:tc>
        <w:tc>
          <w:tcPr>
            <w:tcW w:w="6634" w:type="dxa"/>
            <w:gridSpan w:val="8"/>
            <w:vAlign w:val="center"/>
          </w:tcPr>
          <w:p w14:paraId="002DFD14">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200m</w:t>
            </w:r>
            <w:r>
              <w:rPr>
                <w:rFonts w:hint="eastAsia" w:cs="Times New Roman"/>
                <w:color w:val="000000" w:themeColor="text1"/>
                <w:sz w:val="21"/>
                <w:szCs w:val="21"/>
                <w:lang w:eastAsia="zh-CN"/>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大于200m□小于200m□</w:t>
            </w:r>
          </w:p>
        </w:tc>
      </w:tr>
      <w:tr w14:paraId="50D6B11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87" w:type="dxa"/>
            <w:vAlign w:val="center"/>
          </w:tcPr>
          <w:p w14:paraId="0741F7A0">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评价因子</w:t>
            </w:r>
          </w:p>
        </w:tc>
        <w:tc>
          <w:tcPr>
            <w:tcW w:w="1253" w:type="dxa"/>
            <w:vAlign w:val="center"/>
          </w:tcPr>
          <w:p w14:paraId="2A3D92C4">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评价因子</w:t>
            </w:r>
          </w:p>
        </w:tc>
        <w:tc>
          <w:tcPr>
            <w:tcW w:w="6634" w:type="dxa"/>
            <w:gridSpan w:val="8"/>
            <w:vAlign w:val="center"/>
          </w:tcPr>
          <w:p w14:paraId="53542049">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等效连续A声级</w:t>
            </w:r>
            <w:r>
              <w:rPr>
                <w:rFonts w:hint="eastAsia" w:cs="Times New Roman"/>
                <w:color w:val="000000" w:themeColor="text1"/>
                <w:sz w:val="21"/>
                <w:szCs w:val="21"/>
                <w:lang w:eastAsia="zh-CN"/>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最大A声级□计权等效连续感觉噪声级□</w:t>
            </w:r>
          </w:p>
        </w:tc>
      </w:tr>
      <w:tr w14:paraId="2ABDCB1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87" w:type="dxa"/>
            <w:vAlign w:val="center"/>
          </w:tcPr>
          <w:p w14:paraId="3A468241">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评价标准</w:t>
            </w:r>
          </w:p>
        </w:tc>
        <w:tc>
          <w:tcPr>
            <w:tcW w:w="1253" w:type="dxa"/>
            <w:vAlign w:val="center"/>
          </w:tcPr>
          <w:p w14:paraId="30384A82">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评价标准</w:t>
            </w:r>
          </w:p>
        </w:tc>
        <w:tc>
          <w:tcPr>
            <w:tcW w:w="6634" w:type="dxa"/>
            <w:gridSpan w:val="8"/>
            <w:vAlign w:val="center"/>
          </w:tcPr>
          <w:p w14:paraId="3BB90C29">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国家标准</w:t>
            </w:r>
            <w:r>
              <w:rPr>
                <w:rFonts w:hint="eastAsia" w:cs="Times New Roman"/>
                <w:color w:val="000000" w:themeColor="text1"/>
                <w:sz w:val="21"/>
                <w:szCs w:val="21"/>
                <w:lang w:eastAsia="zh-CN"/>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地方标准□国外标准□</w:t>
            </w:r>
          </w:p>
        </w:tc>
      </w:tr>
      <w:tr w14:paraId="55DCBFD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87" w:type="dxa"/>
            <w:vMerge w:val="restart"/>
            <w:tcBorders>
              <w:bottom w:val="nil"/>
            </w:tcBorders>
            <w:vAlign w:val="center"/>
          </w:tcPr>
          <w:p w14:paraId="7CFD0848">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现状评价</w:t>
            </w:r>
          </w:p>
        </w:tc>
        <w:tc>
          <w:tcPr>
            <w:tcW w:w="1253" w:type="dxa"/>
            <w:vAlign w:val="center"/>
          </w:tcPr>
          <w:p w14:paraId="2CD78EDA">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环境功能区</w:t>
            </w:r>
          </w:p>
        </w:tc>
        <w:tc>
          <w:tcPr>
            <w:tcW w:w="1014" w:type="dxa"/>
            <w:vAlign w:val="center"/>
          </w:tcPr>
          <w:p w14:paraId="506F8E8A">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0类区□</w:t>
            </w:r>
          </w:p>
        </w:tc>
        <w:tc>
          <w:tcPr>
            <w:tcW w:w="1118" w:type="dxa"/>
            <w:gridSpan w:val="2"/>
            <w:vAlign w:val="center"/>
          </w:tcPr>
          <w:p w14:paraId="2679C4AF">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1类区</w:t>
            </w:r>
          </w:p>
        </w:tc>
        <w:tc>
          <w:tcPr>
            <w:tcW w:w="1127" w:type="dxa"/>
            <w:vAlign w:val="center"/>
          </w:tcPr>
          <w:p w14:paraId="53EA8D45">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2类区☑</w:t>
            </w:r>
          </w:p>
        </w:tc>
        <w:tc>
          <w:tcPr>
            <w:tcW w:w="1117" w:type="dxa"/>
            <w:vAlign w:val="center"/>
          </w:tcPr>
          <w:p w14:paraId="1BD87542">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3类区</w:t>
            </w:r>
          </w:p>
        </w:tc>
        <w:tc>
          <w:tcPr>
            <w:tcW w:w="1125" w:type="dxa"/>
            <w:gridSpan w:val="2"/>
            <w:vAlign w:val="center"/>
          </w:tcPr>
          <w:p w14:paraId="61766247">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4a类区□</w:t>
            </w:r>
          </w:p>
        </w:tc>
        <w:tc>
          <w:tcPr>
            <w:tcW w:w="1133" w:type="dxa"/>
            <w:vAlign w:val="center"/>
          </w:tcPr>
          <w:p w14:paraId="4E7338CE">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4b类区□</w:t>
            </w:r>
          </w:p>
        </w:tc>
      </w:tr>
      <w:tr w14:paraId="15FE453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87" w:type="dxa"/>
            <w:vMerge w:val="continue"/>
            <w:tcBorders>
              <w:top w:val="nil"/>
              <w:bottom w:val="nil"/>
            </w:tcBorders>
            <w:vAlign w:val="center"/>
          </w:tcPr>
          <w:p w14:paraId="609FAED6">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253" w:type="dxa"/>
            <w:vAlign w:val="center"/>
          </w:tcPr>
          <w:p w14:paraId="0D6BD280">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评价年度</w:t>
            </w:r>
          </w:p>
        </w:tc>
        <w:tc>
          <w:tcPr>
            <w:tcW w:w="1575" w:type="dxa"/>
            <w:gridSpan w:val="2"/>
            <w:vAlign w:val="center"/>
          </w:tcPr>
          <w:p w14:paraId="7CB9BA97">
            <w:pPr>
              <w:ind w:firstLine="0" w:firstLineChars="0"/>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初期</w:t>
            </w:r>
            <w:r>
              <w:rPr>
                <w:rFonts w:hint="eastAsia" w:cs="Times New Roman"/>
                <w:color w:val="000000" w:themeColor="text1"/>
                <w:sz w:val="21"/>
                <w:szCs w:val="21"/>
                <w:lang w:eastAsia="zh-CN"/>
                <w14:textFill>
                  <w14:solidFill>
                    <w14:schemeClr w14:val="tx1"/>
                  </w14:solidFill>
                </w14:textFill>
              </w:rPr>
              <w:t>☑</w:t>
            </w:r>
          </w:p>
        </w:tc>
        <w:tc>
          <w:tcPr>
            <w:tcW w:w="1684" w:type="dxa"/>
            <w:gridSpan w:val="2"/>
            <w:vAlign w:val="center"/>
          </w:tcPr>
          <w:p w14:paraId="6317B65C">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近期□</w:t>
            </w:r>
          </w:p>
        </w:tc>
        <w:tc>
          <w:tcPr>
            <w:tcW w:w="1683" w:type="dxa"/>
            <w:gridSpan w:val="2"/>
            <w:vAlign w:val="center"/>
          </w:tcPr>
          <w:p w14:paraId="313F35D3">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中期□</w:t>
            </w:r>
          </w:p>
        </w:tc>
        <w:tc>
          <w:tcPr>
            <w:tcW w:w="1692" w:type="dxa"/>
            <w:gridSpan w:val="2"/>
            <w:vAlign w:val="center"/>
          </w:tcPr>
          <w:p w14:paraId="16B3AFD6">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远期□</w:t>
            </w:r>
          </w:p>
        </w:tc>
      </w:tr>
      <w:tr w14:paraId="775F955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87" w:type="dxa"/>
            <w:vMerge w:val="continue"/>
            <w:tcBorders>
              <w:top w:val="nil"/>
              <w:bottom w:val="nil"/>
            </w:tcBorders>
            <w:vAlign w:val="center"/>
          </w:tcPr>
          <w:p w14:paraId="7C420AB9">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253" w:type="dxa"/>
            <w:vAlign w:val="center"/>
          </w:tcPr>
          <w:p w14:paraId="1342A700">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现状调查方法</w:t>
            </w:r>
          </w:p>
        </w:tc>
        <w:tc>
          <w:tcPr>
            <w:tcW w:w="6634" w:type="dxa"/>
            <w:gridSpan w:val="8"/>
            <w:vAlign w:val="center"/>
          </w:tcPr>
          <w:p w14:paraId="2D45E53D">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现场实测法</w:t>
            </w:r>
            <w:r>
              <w:rPr>
                <w:rFonts w:hint="eastAsia" w:cs="Times New Roman"/>
                <w:color w:val="000000" w:themeColor="text1"/>
                <w:sz w:val="21"/>
                <w:szCs w:val="21"/>
                <w:lang w:eastAsia="zh-CN"/>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；现场实测加模型计算法□；收集资料□</w:t>
            </w:r>
          </w:p>
        </w:tc>
      </w:tr>
      <w:tr w14:paraId="5883643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87" w:type="dxa"/>
            <w:vMerge w:val="continue"/>
            <w:tcBorders>
              <w:top w:val="nil"/>
            </w:tcBorders>
            <w:vAlign w:val="center"/>
          </w:tcPr>
          <w:p w14:paraId="309F0058">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253" w:type="dxa"/>
            <w:vAlign w:val="center"/>
          </w:tcPr>
          <w:p w14:paraId="1D9E7EFA">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现状评价</w:t>
            </w:r>
          </w:p>
        </w:tc>
        <w:tc>
          <w:tcPr>
            <w:tcW w:w="3259" w:type="dxa"/>
            <w:gridSpan w:val="4"/>
            <w:vAlign w:val="center"/>
          </w:tcPr>
          <w:p w14:paraId="612C9E73">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达标百分比</w:t>
            </w:r>
          </w:p>
        </w:tc>
        <w:tc>
          <w:tcPr>
            <w:tcW w:w="3375" w:type="dxa"/>
            <w:gridSpan w:val="4"/>
            <w:vAlign w:val="center"/>
          </w:tcPr>
          <w:p w14:paraId="6D38C3E1">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100%</w:t>
            </w:r>
          </w:p>
        </w:tc>
      </w:tr>
      <w:tr w14:paraId="0AF7749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87" w:type="dxa"/>
            <w:vAlign w:val="center"/>
          </w:tcPr>
          <w:p w14:paraId="4CB2B496">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噪声源调查</w:t>
            </w:r>
          </w:p>
        </w:tc>
        <w:tc>
          <w:tcPr>
            <w:tcW w:w="1253" w:type="dxa"/>
            <w:vAlign w:val="center"/>
          </w:tcPr>
          <w:p w14:paraId="7FBFE236">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噪声源调查方法</w:t>
            </w:r>
          </w:p>
        </w:tc>
        <w:tc>
          <w:tcPr>
            <w:tcW w:w="6634" w:type="dxa"/>
            <w:gridSpan w:val="8"/>
            <w:vAlign w:val="center"/>
          </w:tcPr>
          <w:p w14:paraId="0849EF77">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现场实测</w:t>
            </w:r>
            <w:r>
              <w:rPr>
                <w:rFonts w:hint="eastAsia" w:cs="Times New Roman"/>
                <w:color w:val="000000" w:themeColor="text1"/>
                <w:sz w:val="21"/>
                <w:szCs w:val="21"/>
                <w:lang w:eastAsia="zh-CN"/>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已有资料□研究成果□</w:t>
            </w:r>
          </w:p>
        </w:tc>
      </w:tr>
      <w:tr w14:paraId="4C9F2F9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87" w:type="dxa"/>
            <w:vMerge w:val="restart"/>
            <w:tcBorders>
              <w:bottom w:val="nil"/>
            </w:tcBorders>
            <w:vAlign w:val="center"/>
          </w:tcPr>
          <w:p w14:paraId="0FD1531B">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声环境影响预测与评价</w:t>
            </w:r>
          </w:p>
        </w:tc>
        <w:tc>
          <w:tcPr>
            <w:tcW w:w="1253" w:type="dxa"/>
            <w:vAlign w:val="center"/>
          </w:tcPr>
          <w:p w14:paraId="1373EE53">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预测模型</w:t>
            </w:r>
          </w:p>
        </w:tc>
        <w:tc>
          <w:tcPr>
            <w:tcW w:w="6634" w:type="dxa"/>
            <w:gridSpan w:val="8"/>
            <w:vAlign w:val="center"/>
          </w:tcPr>
          <w:p w14:paraId="0D9B79AA">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导则推荐模型</w:t>
            </w:r>
            <w:r>
              <w:rPr>
                <w:rFonts w:hint="eastAsia" w:cs="Times New Roman"/>
                <w:color w:val="000000" w:themeColor="text1"/>
                <w:sz w:val="21"/>
                <w:szCs w:val="21"/>
                <w:lang w:eastAsia="zh-CN"/>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其他□</w:t>
            </w:r>
          </w:p>
        </w:tc>
      </w:tr>
      <w:tr w14:paraId="64813B4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87" w:type="dxa"/>
            <w:vMerge w:val="continue"/>
            <w:tcBorders>
              <w:top w:val="nil"/>
              <w:bottom w:val="nil"/>
            </w:tcBorders>
            <w:vAlign w:val="center"/>
          </w:tcPr>
          <w:p w14:paraId="45592649">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253" w:type="dxa"/>
            <w:vAlign w:val="center"/>
          </w:tcPr>
          <w:p w14:paraId="3D7E0969">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预测范围</w:t>
            </w:r>
          </w:p>
        </w:tc>
        <w:tc>
          <w:tcPr>
            <w:tcW w:w="6634" w:type="dxa"/>
            <w:gridSpan w:val="8"/>
            <w:vAlign w:val="center"/>
          </w:tcPr>
          <w:p w14:paraId="1A513307">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200m</w:t>
            </w:r>
            <w:r>
              <w:rPr>
                <w:rFonts w:hint="eastAsia" w:cs="Times New Roman"/>
                <w:color w:val="000000" w:themeColor="text1"/>
                <w:sz w:val="21"/>
                <w:szCs w:val="21"/>
                <w:lang w:eastAsia="zh-CN"/>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大于200m□小于200m□</w:t>
            </w:r>
          </w:p>
        </w:tc>
      </w:tr>
      <w:tr w14:paraId="458D6FF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87" w:type="dxa"/>
            <w:vMerge w:val="continue"/>
            <w:tcBorders>
              <w:top w:val="nil"/>
              <w:bottom w:val="nil"/>
            </w:tcBorders>
            <w:vAlign w:val="center"/>
          </w:tcPr>
          <w:p w14:paraId="340800CC">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253" w:type="dxa"/>
            <w:vAlign w:val="center"/>
          </w:tcPr>
          <w:p w14:paraId="082492FE">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预测因子</w:t>
            </w:r>
          </w:p>
        </w:tc>
        <w:tc>
          <w:tcPr>
            <w:tcW w:w="6634" w:type="dxa"/>
            <w:gridSpan w:val="8"/>
            <w:vAlign w:val="center"/>
          </w:tcPr>
          <w:p w14:paraId="3D8EDCD8">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等效连续A声级</w:t>
            </w:r>
            <w:r>
              <w:rPr>
                <w:rFonts w:hint="eastAsia" w:cs="Times New Roman"/>
                <w:color w:val="000000" w:themeColor="text1"/>
                <w:sz w:val="21"/>
                <w:szCs w:val="21"/>
                <w:lang w:eastAsia="zh-CN"/>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最大A声级□计权等效连续感觉噪声级□</w:t>
            </w:r>
          </w:p>
        </w:tc>
      </w:tr>
      <w:tr w14:paraId="49F95ED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87" w:type="dxa"/>
            <w:vMerge w:val="continue"/>
            <w:tcBorders>
              <w:top w:val="nil"/>
              <w:bottom w:val="nil"/>
            </w:tcBorders>
            <w:vAlign w:val="center"/>
          </w:tcPr>
          <w:p w14:paraId="5750B88B">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253" w:type="dxa"/>
            <w:vAlign w:val="center"/>
          </w:tcPr>
          <w:p w14:paraId="2DDB796C">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厂界噪声</w:t>
            </w:r>
          </w:p>
          <w:p w14:paraId="3B646695">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贡献值</w:t>
            </w:r>
          </w:p>
        </w:tc>
        <w:tc>
          <w:tcPr>
            <w:tcW w:w="6634" w:type="dxa"/>
            <w:gridSpan w:val="8"/>
            <w:vAlign w:val="center"/>
          </w:tcPr>
          <w:p w14:paraId="7329E2EA">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达标</w:t>
            </w:r>
            <w:r>
              <w:rPr>
                <w:rFonts w:hint="eastAsia" w:cs="Times New Roman"/>
                <w:color w:val="000000" w:themeColor="text1"/>
                <w:sz w:val="21"/>
                <w:szCs w:val="21"/>
                <w:lang w:eastAsia="zh-CN"/>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不达标□</w:t>
            </w:r>
          </w:p>
        </w:tc>
      </w:tr>
      <w:tr w14:paraId="15325A8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87" w:type="dxa"/>
            <w:vMerge w:val="continue"/>
            <w:tcBorders>
              <w:top w:val="nil"/>
            </w:tcBorders>
            <w:vAlign w:val="center"/>
          </w:tcPr>
          <w:p w14:paraId="7D394768">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253" w:type="dxa"/>
            <w:vAlign w:val="center"/>
          </w:tcPr>
          <w:p w14:paraId="4ED779A0">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声环境保</w:t>
            </w:r>
          </w:p>
          <w:p w14:paraId="3D85915A">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护目标处</w:t>
            </w:r>
          </w:p>
          <w:p w14:paraId="641FEA35">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噪声值</w:t>
            </w:r>
          </w:p>
        </w:tc>
        <w:tc>
          <w:tcPr>
            <w:tcW w:w="6634" w:type="dxa"/>
            <w:gridSpan w:val="8"/>
            <w:vAlign w:val="center"/>
          </w:tcPr>
          <w:p w14:paraId="484F664F">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达标□不达标□</w:t>
            </w:r>
          </w:p>
        </w:tc>
      </w:tr>
      <w:tr w14:paraId="77D337A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87" w:type="dxa"/>
            <w:vMerge w:val="restart"/>
            <w:tcBorders>
              <w:bottom w:val="nil"/>
            </w:tcBorders>
            <w:vAlign w:val="center"/>
          </w:tcPr>
          <w:p w14:paraId="63987A59">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环境监测</w:t>
            </w:r>
          </w:p>
          <w:p w14:paraId="473D9D42">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计划</w:t>
            </w:r>
          </w:p>
        </w:tc>
        <w:tc>
          <w:tcPr>
            <w:tcW w:w="1253" w:type="dxa"/>
            <w:vAlign w:val="center"/>
          </w:tcPr>
          <w:p w14:paraId="7FA8DE9D">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排放监测</w:t>
            </w:r>
          </w:p>
        </w:tc>
        <w:tc>
          <w:tcPr>
            <w:tcW w:w="6634" w:type="dxa"/>
            <w:gridSpan w:val="8"/>
            <w:vAlign w:val="center"/>
          </w:tcPr>
          <w:p w14:paraId="4D8C45C8">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厂界监测</w:t>
            </w:r>
            <w:r>
              <w:rPr>
                <w:rFonts w:hint="eastAsia" w:cs="Times New Roman"/>
                <w:color w:val="000000" w:themeColor="text1"/>
                <w:sz w:val="21"/>
                <w:szCs w:val="21"/>
                <w:lang w:eastAsia="zh-CN"/>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固定位置监测□自动监测□手动监测</w:t>
            </w:r>
            <w:r>
              <w:rPr>
                <w:rFonts w:hint="eastAsia" w:cs="Times New Roman"/>
                <w:color w:val="000000" w:themeColor="text1"/>
                <w:sz w:val="21"/>
                <w:szCs w:val="21"/>
                <w:lang w:eastAsia="zh-CN"/>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无监测□</w:t>
            </w:r>
          </w:p>
        </w:tc>
      </w:tr>
      <w:tr w14:paraId="172EC0F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87" w:type="dxa"/>
            <w:vMerge w:val="continue"/>
            <w:tcBorders>
              <w:top w:val="nil"/>
            </w:tcBorders>
            <w:vAlign w:val="center"/>
          </w:tcPr>
          <w:p w14:paraId="6CFB75FB">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253" w:type="dxa"/>
            <w:vAlign w:val="center"/>
          </w:tcPr>
          <w:p w14:paraId="0378B9CC">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声环境保护目标处噪声监测</w:t>
            </w:r>
          </w:p>
        </w:tc>
        <w:tc>
          <w:tcPr>
            <w:tcW w:w="2132" w:type="dxa"/>
            <w:gridSpan w:val="3"/>
            <w:vAlign w:val="center"/>
          </w:tcPr>
          <w:p w14:paraId="073458FC">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监测因子：（）</w:t>
            </w:r>
          </w:p>
        </w:tc>
        <w:tc>
          <w:tcPr>
            <w:tcW w:w="2244" w:type="dxa"/>
            <w:gridSpan w:val="2"/>
            <w:vAlign w:val="center"/>
          </w:tcPr>
          <w:p w14:paraId="66450B1C">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监测点位数（）</w:t>
            </w:r>
          </w:p>
        </w:tc>
        <w:tc>
          <w:tcPr>
            <w:tcW w:w="2258" w:type="dxa"/>
            <w:gridSpan w:val="3"/>
            <w:vAlign w:val="center"/>
          </w:tcPr>
          <w:p w14:paraId="13B91EB4">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无监测□</w:t>
            </w:r>
          </w:p>
        </w:tc>
      </w:tr>
      <w:tr w14:paraId="7EC0B6C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87" w:type="dxa"/>
            <w:vAlign w:val="center"/>
          </w:tcPr>
          <w:p w14:paraId="6549AD21">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评价结论</w:t>
            </w:r>
          </w:p>
        </w:tc>
        <w:tc>
          <w:tcPr>
            <w:tcW w:w="1253" w:type="dxa"/>
            <w:vAlign w:val="center"/>
          </w:tcPr>
          <w:p w14:paraId="7A386620">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环境影响</w:t>
            </w:r>
          </w:p>
        </w:tc>
        <w:tc>
          <w:tcPr>
            <w:tcW w:w="6634" w:type="dxa"/>
            <w:gridSpan w:val="8"/>
            <w:vAlign w:val="center"/>
          </w:tcPr>
          <w:p w14:paraId="11BAF257">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可行</w:t>
            </w:r>
            <w:r>
              <w:rPr>
                <w:rFonts w:hint="eastAsia" w:cs="Times New Roman"/>
                <w:color w:val="000000" w:themeColor="text1"/>
                <w:sz w:val="21"/>
                <w:szCs w:val="21"/>
                <w:lang w:eastAsia="zh-CN"/>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；不可行□</w:t>
            </w:r>
          </w:p>
        </w:tc>
      </w:tr>
      <w:tr w14:paraId="10CDB98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8974" w:type="dxa"/>
            <w:gridSpan w:val="10"/>
            <w:vAlign w:val="center"/>
          </w:tcPr>
          <w:p w14:paraId="1A23C0C0">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注：“□”为勾选项，可；“（）”为内容填写项</w:t>
            </w:r>
          </w:p>
        </w:tc>
      </w:tr>
    </w:tbl>
    <w:p w14:paraId="5A03B3DA">
      <w:pPr>
        <w:bidi w:val="0"/>
        <w:rPr>
          <w:rFonts w:hint="default"/>
        </w:rPr>
      </w:pPr>
    </w:p>
    <w:p w14:paraId="173676B3">
      <w:pPr>
        <w:bidi w:val="0"/>
        <w:rPr>
          <w:rFonts w:hint="default"/>
        </w:rPr>
      </w:pPr>
    </w:p>
    <w:p w14:paraId="0A3B3FAE">
      <w:pPr>
        <w:ind w:firstLine="0" w:firstLineChars="0"/>
        <w:outlineLvl w:val="1"/>
        <w:rPr>
          <w:rFonts w:hint="default" w:ascii="Times New Roman" w:hAnsi="Times New Roman" w:eastAsia="宋体" w:cs="Times New Roman"/>
          <w:b/>
          <w:bCs/>
          <w:color w:val="000000" w:themeColor="text1"/>
          <w:sz w:val="28"/>
          <w:szCs w:val="28"/>
          <w14:textFill>
            <w14:solidFill>
              <w14:schemeClr w14:val="tx1"/>
            </w14:solidFill>
          </w14:textFill>
        </w:rPr>
      </w:pPr>
      <w:bookmarkStart w:id="272" w:name="_Toc141"/>
      <w:r>
        <w:rPr>
          <w:rFonts w:hint="default" w:ascii="Times New Roman" w:hAnsi="Times New Roman" w:eastAsia="宋体" w:cs="Times New Roman"/>
          <w:b/>
          <w:bCs/>
          <w:color w:val="000000" w:themeColor="text1"/>
          <w:sz w:val="28"/>
          <w:szCs w:val="28"/>
          <w14:textFill>
            <w14:solidFill>
              <w14:schemeClr w14:val="tx1"/>
            </w14:solidFill>
          </w14:textFill>
        </w:rPr>
        <w:t>6.5固体废物环境影响评价</w:t>
      </w:r>
      <w:bookmarkEnd w:id="272"/>
    </w:p>
    <w:p w14:paraId="38F38000">
      <w:pPr>
        <w:ind w:firstLine="482"/>
        <w:outlineLvl w:val="2"/>
        <w:rPr>
          <w:rFonts w:hint="default" w:ascii="Times New Roman" w:hAnsi="Times New Roman" w:eastAsia="宋体" w:cs="Times New Roman"/>
          <w:b/>
          <w:bCs/>
          <w:color w:val="000000" w:themeColor="text1"/>
          <w14:textFill>
            <w14:solidFill>
              <w14:schemeClr w14:val="tx1"/>
            </w14:solidFill>
          </w14:textFill>
        </w:rPr>
      </w:pPr>
      <w:bookmarkStart w:id="273" w:name="_Toc13759"/>
      <w:r>
        <w:rPr>
          <w:rFonts w:hint="default" w:ascii="Times New Roman" w:hAnsi="Times New Roman" w:eastAsia="宋体" w:cs="Times New Roman"/>
          <w:b/>
          <w:bCs/>
          <w:color w:val="000000" w:themeColor="text1"/>
          <w14:textFill>
            <w14:solidFill>
              <w14:schemeClr w14:val="tx1"/>
            </w14:solidFill>
          </w14:textFill>
        </w:rPr>
        <w:t>6.5.1处理方式及影响分析</w:t>
      </w:r>
      <w:bookmarkEnd w:id="273"/>
    </w:p>
    <w:p w14:paraId="0010D8B8">
      <w:pPr>
        <w:ind w:firstLine="480"/>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eastAsia="宋体" w:cs="Times New Roman"/>
          <w:color w:val="000000" w:themeColor="text1"/>
          <w:lang w:eastAsia="zh-CN"/>
          <w14:textFill>
            <w14:solidFill>
              <w14:schemeClr w14:val="tx1"/>
            </w14:solidFill>
          </w14:textFill>
        </w:rPr>
        <w:t>本项目运营后，固体废物主要有牛粪、病死牛尸体、医疗废物、废机油、</w:t>
      </w:r>
      <w:r>
        <w:rPr>
          <w:rFonts w:hint="default" w:ascii="Times New Roman" w:hAnsi="Times New Roman" w:eastAsia="宋体" w:cs="Times New Roman"/>
          <w:color w:val="000000" w:themeColor="text1"/>
          <w:lang w:val="en-US" w:eastAsia="zh-CN"/>
          <w14:textFill>
            <w14:solidFill>
              <w14:schemeClr w14:val="tx1"/>
            </w14:solidFill>
          </w14:textFill>
        </w:rPr>
        <w:t>废酸碱洗剂包装桶</w:t>
      </w:r>
      <w:r>
        <w:rPr>
          <w:rFonts w:hint="default" w:ascii="Times New Roman" w:hAnsi="Times New Roman" w:eastAsia="宋体" w:cs="Times New Roman"/>
          <w:color w:val="000000" w:themeColor="text1"/>
          <w:lang w:eastAsia="zh-CN"/>
          <w14:textFill>
            <w14:solidFill>
              <w14:schemeClr w14:val="tx1"/>
            </w14:solidFill>
          </w14:textFill>
        </w:rPr>
        <w:t>及生活垃圾。</w:t>
      </w:r>
    </w:p>
    <w:p w14:paraId="0D2CBF22">
      <w:pPr>
        <w:numPr>
          <w:ilvl w:val="0"/>
          <w:numId w:val="0"/>
        </w:numPr>
        <w:ind w:firstLine="480" w:firstLineChars="20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（1）牛粪</w:t>
      </w:r>
    </w:p>
    <w:p w14:paraId="1C738A5B">
      <w:pPr>
        <w:ind w:firstLine="480"/>
        <w:rPr>
          <w:rFonts w:hint="default" w:ascii="Times New Roman" w:hAnsi="Times New Roman" w:eastAsia="宋体" w:cs="Times New Roman"/>
          <w:color w:val="0000FF"/>
        </w:rPr>
      </w:pPr>
      <w:r>
        <w:rPr>
          <w:rFonts w:hint="default" w:ascii="Times New Roman" w:hAnsi="Times New Roman" w:eastAsia="宋体" w:cs="Times New Roman"/>
          <w:color w:val="0000FF"/>
        </w:rPr>
        <w:t>项目牛粪产生量为</w:t>
      </w:r>
      <w:r>
        <w:rPr>
          <w:rFonts w:hint="eastAsia" w:cs="Times New Roman"/>
          <w:color w:val="0000FF"/>
          <w:lang w:val="en-US" w:eastAsia="zh-CN"/>
        </w:rPr>
        <w:t>18</w:t>
      </w:r>
      <w:r>
        <w:rPr>
          <w:rFonts w:hint="default" w:ascii="Times New Roman" w:hAnsi="Times New Roman" w:eastAsia="宋体" w:cs="Times New Roman"/>
          <w:color w:val="0000FF"/>
        </w:rPr>
        <w:t>t/a，</w:t>
      </w:r>
      <w:r>
        <w:rPr>
          <w:rFonts w:hint="eastAsia" w:cs="Times New Roman"/>
          <w:color w:val="0000FF"/>
          <w:lang w:val="en-US" w:eastAsia="zh-CN"/>
        </w:rPr>
        <w:t>发酵后还田</w:t>
      </w:r>
      <w:r>
        <w:rPr>
          <w:rFonts w:hint="default" w:ascii="Times New Roman" w:hAnsi="Times New Roman" w:eastAsia="宋体" w:cs="Times New Roman"/>
          <w:color w:val="0000FF"/>
        </w:rPr>
        <w:t>，根据《畜禽养殖场（户）粪污处理设施建设技术指南》中设施设备总体要求：畜禽养殖场应根据养殖污染防治要求和当地环境承载力配备与设计生产能力、粪污处理利用方式相匹配的畜禽粪污处理设施设备，满足防雨、防渗、防溢流和安全防护要求，并确保正常运行。畜禽养殖户应当采取措施对畜禽粪污进行科学处理，防止污染环境。本项目设置封闭固液分离车间，堆粪区按照堆高1.0米，</w:t>
      </w:r>
      <w:r>
        <w:rPr>
          <w:rFonts w:hint="default" w:ascii="Times New Roman" w:hAnsi="Times New Roman" w:eastAsia="宋体" w:cs="Times New Roman"/>
          <w:color w:val="0000FF"/>
          <w:lang w:eastAsia="zh-CN"/>
        </w:rPr>
        <w:t>面</w:t>
      </w:r>
      <w:r>
        <w:rPr>
          <w:rFonts w:hint="default" w:ascii="Times New Roman" w:hAnsi="Times New Roman" w:eastAsia="宋体" w:cs="Times New Roman"/>
          <w:color w:val="0000FF"/>
        </w:rPr>
        <w:t>积</w:t>
      </w:r>
      <w:r>
        <w:rPr>
          <w:rFonts w:hint="eastAsia" w:cs="Times New Roman"/>
          <w:color w:val="0000FF"/>
          <w:lang w:val="en-US" w:eastAsia="zh-CN"/>
        </w:rPr>
        <w:t>5</w:t>
      </w:r>
      <w:r>
        <w:rPr>
          <w:rFonts w:hint="default" w:ascii="Times New Roman" w:hAnsi="Times New Roman" w:eastAsia="宋体" w:cs="Times New Roman"/>
          <w:color w:val="0000FF"/>
        </w:rPr>
        <w:t>25</w:t>
      </w:r>
      <w:r>
        <w:rPr>
          <w:rFonts w:hint="eastAsia" w:cs="Times New Roman"/>
          <w:color w:val="0000FF"/>
          <w:lang w:val="en-US" w:eastAsia="zh-CN"/>
        </w:rPr>
        <w:t>m</w:t>
      </w:r>
      <w:r>
        <w:rPr>
          <w:rFonts w:hint="eastAsia" w:cs="Times New Roman"/>
          <w:color w:val="0000FF"/>
          <w:vertAlign w:val="superscript"/>
          <w:lang w:val="en-US" w:eastAsia="zh-CN"/>
        </w:rPr>
        <w:t>2</w:t>
      </w:r>
      <w:r>
        <w:rPr>
          <w:rFonts w:hint="default" w:ascii="Times New Roman" w:hAnsi="Times New Roman" w:eastAsia="宋体" w:cs="Times New Roman"/>
          <w:color w:val="0000FF"/>
        </w:rPr>
        <w:t>，既能防止雨水进入，又能保证牛粪污的暂存容积。</w:t>
      </w:r>
    </w:p>
    <w:p w14:paraId="728446B1">
      <w:pPr>
        <w:ind w:firstLine="480"/>
        <w:rPr>
          <w:rFonts w:hint="default" w:ascii="Times New Roman" w:hAnsi="Times New Roman" w:eastAsia="宋体" w:cs="Times New Roman"/>
          <w:color w:val="000000" w:themeColor="text1"/>
          <w14:textFill>
            <w14:solidFill>
              <w14:schemeClr w14:val="tx1"/>
            </w14:solidFill>
          </w14:textFill>
        </w:rPr>
      </w:pPr>
      <w:r>
        <w:rPr>
          <w:rFonts w:hint="eastAsia" w:cs="Times New Roman"/>
          <w:color w:val="000000" w:themeColor="text1"/>
          <w:lang w:eastAsia="zh-CN"/>
          <w14:textFill>
            <w14:solidFill>
              <w14:schemeClr w14:val="tx1"/>
            </w14:solidFill>
          </w14:textFill>
        </w:rPr>
        <w:t>（</w:t>
      </w:r>
      <w:r>
        <w:rPr>
          <w:rFonts w:hint="eastAsia" w:cs="Times New Roman"/>
          <w:color w:val="000000" w:themeColor="text1"/>
          <w:lang w:val="en-US" w:eastAsia="zh-CN"/>
          <w14:textFill>
            <w14:solidFill>
              <w14:schemeClr w14:val="tx1"/>
            </w14:solidFill>
          </w14:textFill>
        </w:rPr>
        <w:t>2</w:t>
      </w:r>
      <w:r>
        <w:rPr>
          <w:rFonts w:hint="eastAsia" w:cs="Times New Roman"/>
          <w:color w:val="000000" w:themeColor="text1"/>
          <w:lang w:eastAsia="zh-CN"/>
          <w14:textFill>
            <w14:solidFill>
              <w14:schemeClr w14:val="tx1"/>
            </w14:solidFill>
          </w14:textFill>
        </w:rPr>
        <w:t>）</w:t>
      </w:r>
      <w:r>
        <w:rPr>
          <w:rFonts w:hint="default" w:ascii="Times New Roman" w:hAnsi="Times New Roman" w:eastAsia="宋体" w:cs="Times New Roman"/>
          <w:color w:val="000000" w:themeColor="text1"/>
          <w14:textFill>
            <w14:solidFill>
              <w14:schemeClr w14:val="tx1"/>
            </w14:solidFill>
          </w14:textFill>
        </w:rPr>
        <w:t>沉渣</w:t>
      </w:r>
    </w:p>
    <w:p w14:paraId="0FE03A75">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项目养殖废水（尿污）、生活污水、粪便分离水通过粪污资源化处理设施后首先经沉淀池沉淀，会产生沉渣，污水处理沉淀池沉渣产生量为610.4t/a，沉渣运至固液分离车间暂存，</w:t>
      </w:r>
      <w:r>
        <w:rPr>
          <w:rFonts w:hint="eastAsia" w:cs="Times New Roman"/>
          <w:color w:val="000000" w:themeColor="text1"/>
          <w:lang w:val="en-US" w:eastAsia="zh-CN"/>
          <w14:textFill>
            <w14:solidFill>
              <w14:schemeClr w14:val="tx1"/>
            </w14:solidFill>
          </w14:textFill>
        </w:rPr>
        <w:t>同固废一起还田处置</w:t>
      </w:r>
      <w:r>
        <w:rPr>
          <w:rFonts w:hint="default" w:ascii="Times New Roman" w:hAnsi="Times New Roman" w:eastAsia="宋体" w:cs="Times New Roman"/>
          <w:color w:val="000000" w:themeColor="text1"/>
          <w14:textFill>
            <w14:solidFill>
              <w14:schemeClr w14:val="tx1"/>
            </w14:solidFill>
          </w14:textFill>
        </w:rPr>
        <w:t>。</w:t>
      </w:r>
    </w:p>
    <w:p w14:paraId="37C44E36">
      <w:pPr>
        <w:ind w:firstLine="480"/>
        <w:rPr>
          <w:rFonts w:hint="default" w:ascii="Times New Roman" w:hAnsi="Times New Roman" w:eastAsia="宋体" w:cs="Times New Roman"/>
          <w:color w:val="000000" w:themeColor="text1"/>
          <w14:textFill>
            <w14:solidFill>
              <w14:schemeClr w14:val="tx1"/>
            </w14:solidFill>
          </w14:textFill>
        </w:rPr>
      </w:pPr>
      <w:r>
        <w:rPr>
          <w:rFonts w:hint="eastAsia" w:cs="Times New Roman"/>
          <w:color w:val="000000" w:themeColor="text1"/>
          <w:lang w:eastAsia="zh-CN"/>
          <w14:textFill>
            <w14:solidFill>
              <w14:schemeClr w14:val="tx1"/>
            </w14:solidFill>
          </w14:textFill>
        </w:rPr>
        <w:t>（</w:t>
      </w:r>
      <w:r>
        <w:rPr>
          <w:rFonts w:hint="eastAsia" w:cs="Times New Roman"/>
          <w:color w:val="000000" w:themeColor="text1"/>
          <w:lang w:val="en-US" w:eastAsia="zh-CN"/>
          <w14:textFill>
            <w14:solidFill>
              <w14:schemeClr w14:val="tx1"/>
            </w14:solidFill>
          </w14:textFill>
        </w:rPr>
        <w:t>3</w:t>
      </w:r>
      <w:r>
        <w:rPr>
          <w:rFonts w:hint="eastAsia" w:cs="Times New Roman"/>
          <w:color w:val="000000" w:themeColor="text1"/>
          <w:lang w:eastAsia="zh-CN"/>
          <w14:textFill>
            <w14:solidFill>
              <w14:schemeClr w14:val="tx1"/>
            </w14:solidFill>
          </w14:textFill>
        </w:rPr>
        <w:t>）</w:t>
      </w:r>
      <w:r>
        <w:rPr>
          <w:rFonts w:hint="default" w:ascii="Times New Roman" w:hAnsi="Times New Roman" w:eastAsia="宋体" w:cs="Times New Roman"/>
          <w:color w:val="000000" w:themeColor="text1"/>
          <w14:textFill>
            <w14:solidFill>
              <w14:schemeClr w14:val="tx1"/>
            </w14:solidFill>
          </w14:textFill>
        </w:rPr>
        <w:t>病死牛及胎衣</w:t>
      </w:r>
    </w:p>
    <w:p w14:paraId="43C90B8B">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根据污染源源强核算，本项目病死牛只、胎衣产生量26.4t/a，委托畜禽无害化处理企业处置。</w:t>
      </w:r>
    </w:p>
    <w:p w14:paraId="27ADC737">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对被传染病感染的病死牛应及时送至厂区隔离室经兽医检查，若不能救治，要及时上报卫生检疫部门，委托有资质单位按《病死及病害动物无害化处理技术规范》（农医发[2017]25号）进行无害化处理。</w:t>
      </w:r>
    </w:p>
    <w:p w14:paraId="253F6E59">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w:t>
      </w:r>
      <w:r>
        <w:rPr>
          <w:rFonts w:hint="eastAsia" w:cs="Times New Roman"/>
          <w:color w:val="000000" w:themeColor="text1"/>
          <w:lang w:val="en-US" w:eastAsia="zh-CN"/>
          <w14:textFill>
            <w14:solidFill>
              <w14:schemeClr w14:val="tx1"/>
            </w14:solidFill>
          </w14:textFill>
        </w:rPr>
        <w:t>4</w:t>
      </w:r>
      <w:r>
        <w:rPr>
          <w:rFonts w:hint="default" w:ascii="Times New Roman" w:hAnsi="Times New Roman" w:eastAsia="宋体" w:cs="Times New Roman"/>
          <w:color w:val="000000" w:themeColor="text1"/>
          <w14:textFill>
            <w14:solidFill>
              <w14:schemeClr w14:val="tx1"/>
            </w14:solidFill>
          </w14:textFill>
        </w:rPr>
        <w:t>）消毒、防疫废物</w:t>
      </w:r>
    </w:p>
    <w:p w14:paraId="6AD10517">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项目牛只防疫和病牛在治疗、检疫过程中会产生一定量的医疗垃圾，主要为注射器、消毒棉、药品包装物等；牛舍消毒过程中会产生废消毒液。根据同类企业运营经验，估算医疗防疫废物约为3.0t/a。对照《国家危险废物名录（2021版）》，本项目医疗废物属于“HW01医疗废物”中“841-001-01为防治动物传染病而需要收集和处置的废物”类废物危险废物，分类收集、贮存在厂内</w:t>
      </w:r>
      <w:r>
        <w:rPr>
          <w:rFonts w:hint="eastAsia" w:cs="Times New Roman"/>
          <w:color w:val="000000" w:themeColor="text1"/>
          <w:lang w:val="en-US" w:eastAsia="zh-CN"/>
          <w14:textFill>
            <w14:solidFill>
              <w14:schemeClr w14:val="tx1"/>
            </w14:solidFill>
          </w14:textFill>
        </w:rPr>
        <w:t>医疗废物</w:t>
      </w:r>
      <w:r>
        <w:rPr>
          <w:rFonts w:hint="default" w:ascii="Times New Roman" w:hAnsi="Times New Roman" w:eastAsia="宋体" w:cs="Times New Roman"/>
          <w:color w:val="000000" w:themeColor="text1"/>
          <w14:textFill>
            <w14:solidFill>
              <w14:schemeClr w14:val="tx1"/>
            </w14:solidFill>
          </w14:textFill>
        </w:rPr>
        <w:t>暂存</w:t>
      </w:r>
      <w:r>
        <w:rPr>
          <w:rFonts w:hint="eastAsia" w:cs="Times New Roman"/>
          <w:color w:val="000000" w:themeColor="text1"/>
          <w:lang w:val="en-US" w:eastAsia="zh-CN"/>
          <w14:textFill>
            <w14:solidFill>
              <w14:schemeClr w14:val="tx1"/>
            </w14:solidFill>
          </w14:textFill>
        </w:rPr>
        <w:t>间</w:t>
      </w:r>
      <w:r>
        <w:rPr>
          <w:rFonts w:hint="default" w:ascii="Times New Roman" w:hAnsi="Times New Roman" w:eastAsia="宋体" w:cs="Times New Roman"/>
          <w:color w:val="000000" w:themeColor="text1"/>
          <w14:textFill>
            <w14:solidFill>
              <w14:schemeClr w14:val="tx1"/>
            </w14:solidFill>
          </w14:textFill>
        </w:rPr>
        <w:t>专用容器内，定期委托当地有资质单位处理。</w:t>
      </w:r>
    </w:p>
    <w:p w14:paraId="4DDE81B1">
      <w:pPr>
        <w:numPr>
          <w:ilvl w:val="0"/>
          <w:numId w:val="0"/>
        </w:numPr>
        <w:ind w:firstLine="480" w:firstLineChars="200"/>
        <w:rPr>
          <w:rFonts w:hint="default" w:ascii="Times New Roman" w:hAnsi="Times New Roman" w:eastAsia="宋体" w:cs="Times New Roman"/>
          <w:color w:val="000000" w:themeColor="text1"/>
          <w:lang w:val="zh-CN" w:eastAsia="zh-CN"/>
          <w14:textFill>
            <w14:solidFill>
              <w14:schemeClr w14:val="tx1"/>
            </w14:solidFill>
          </w14:textFill>
        </w:rPr>
      </w:pPr>
      <w:r>
        <w:rPr>
          <w:rFonts w:hint="eastAsia" w:cs="Times New Roman"/>
          <w:color w:val="000000" w:themeColor="text1"/>
          <w:lang w:eastAsia="zh-CN"/>
          <w14:textFill>
            <w14:solidFill>
              <w14:schemeClr w14:val="tx1"/>
            </w14:solidFill>
          </w14:textFill>
        </w:rPr>
        <w:t>（</w:t>
      </w:r>
      <w:r>
        <w:rPr>
          <w:rFonts w:hint="eastAsia" w:cs="Times New Roman"/>
          <w:color w:val="000000" w:themeColor="text1"/>
          <w:lang w:val="en-US" w:eastAsia="zh-CN"/>
          <w14:textFill>
            <w14:solidFill>
              <w14:schemeClr w14:val="tx1"/>
            </w14:solidFill>
          </w14:textFill>
        </w:rPr>
        <w:t>5</w:t>
      </w:r>
      <w:r>
        <w:rPr>
          <w:rFonts w:hint="eastAsia" w:cs="Times New Roman"/>
          <w:color w:val="000000" w:themeColor="text1"/>
          <w:lang w:eastAsia="zh-CN"/>
          <w14:textFill>
            <w14:solidFill>
              <w14:schemeClr w14:val="tx1"/>
            </w14:solidFill>
          </w14:textFill>
        </w:rPr>
        <w:t>）</w:t>
      </w:r>
      <w:r>
        <w:rPr>
          <w:rFonts w:hint="default" w:ascii="Times New Roman" w:hAnsi="Times New Roman" w:eastAsia="宋体" w:cs="Times New Roman"/>
          <w:color w:val="000000" w:themeColor="text1"/>
          <w:lang w:val="zh-CN" w:eastAsia="zh-CN"/>
          <w14:textFill>
            <w14:solidFill>
              <w14:schemeClr w14:val="tx1"/>
            </w14:solidFill>
          </w14:textFill>
        </w:rPr>
        <w:t>酸碱液桶</w:t>
      </w:r>
    </w:p>
    <w:p w14:paraId="05771FFB">
      <w:pPr>
        <w:ind w:firstLine="480"/>
        <w:rPr>
          <w:rFonts w:hint="eastAsia" w:cs="Times New Roman"/>
          <w:color w:val="000000" w:themeColor="text1"/>
          <w:lang w:eastAsia="zh-CN"/>
          <w14:textFill>
            <w14:solidFill>
              <w14:schemeClr w14:val="tx1"/>
            </w14:solidFill>
          </w14:textFill>
        </w:rPr>
      </w:pPr>
      <w:r>
        <w:rPr>
          <w:rFonts w:hint="default" w:ascii="Times New Roman" w:hAnsi="Times New Roman" w:eastAsia="宋体" w:cs="Times New Roman"/>
          <w:color w:val="000000" w:themeColor="text1"/>
          <w:lang w:eastAsia="zh-CN"/>
          <w14:textFill>
            <w14:solidFill>
              <w14:schemeClr w14:val="tx1"/>
            </w14:solidFill>
          </w14:textFill>
        </w:rPr>
        <w:t>根据《国家危险废物名录》（20</w:t>
      </w:r>
      <w:r>
        <w:rPr>
          <w:rFonts w:hint="default" w:ascii="Times New Roman" w:hAnsi="Times New Roman" w:eastAsia="宋体" w:cs="Times New Roman"/>
          <w:color w:val="000000" w:themeColor="text1"/>
          <w:lang w:val="en-US" w:eastAsia="zh-CN"/>
          <w14:textFill>
            <w14:solidFill>
              <w14:schemeClr w14:val="tx1"/>
            </w14:solidFill>
          </w14:textFill>
        </w:rPr>
        <w:t>21</w:t>
      </w:r>
      <w:r>
        <w:rPr>
          <w:rFonts w:hint="default" w:ascii="Times New Roman" w:hAnsi="Times New Roman" w:eastAsia="宋体" w:cs="Times New Roman"/>
          <w:color w:val="000000" w:themeColor="text1"/>
          <w:lang w:eastAsia="zh-CN"/>
          <w14:textFill>
            <w14:solidFill>
              <w14:schemeClr w14:val="tx1"/>
            </w14:solidFill>
          </w14:textFill>
        </w:rPr>
        <w:t>版），含有或沾染毒性、感染性危险废物的废弃包装物、容器、过滤吸附介质为危险废物，归类HW49，废物代码：900-041-49。</w:t>
      </w:r>
      <w:r>
        <w:rPr>
          <w:rFonts w:hint="default" w:ascii="Times New Roman" w:hAnsi="Times New Roman" w:eastAsia="宋体" w:cs="Times New Roman"/>
          <w:color w:val="000000" w:themeColor="text1"/>
          <w:lang w:val="en-US" w:eastAsia="zh-CN"/>
          <w14:textFill>
            <w14:solidFill>
              <w14:schemeClr w14:val="tx1"/>
            </w14:solidFill>
          </w14:textFill>
        </w:rPr>
        <w:t>本项目酸碱液年用量为0.3t，采用塑料桶装，每桶50kg，共6桶。废桶暂存于危废暂存间内，定期送往有资质的单位处理。</w:t>
      </w:r>
    </w:p>
    <w:p w14:paraId="48EA3AA6">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（6）废矿物油</w:t>
      </w:r>
    </w:p>
    <w:p w14:paraId="4521BB2A">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项目需对生产设备进行定期检修，检修过程中产生废机油，根据建设单位提供资料，废机油产生量约2.0t/a。</w:t>
      </w:r>
    </w:p>
    <w:p w14:paraId="61E67110">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根据《国家危险废物名录（2021年版）》，废机油属于危险废物（废物类别及代码：HW08900-249-08其他生产、销售、使用过程中产生的废矿物油及沾染矿物油的废弃包装物），集中收集后暂存至危险废物暂存间，定期由有危险废物处置资质的单位处理处置。</w:t>
      </w:r>
    </w:p>
    <w:p w14:paraId="24389B81">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w:t>
      </w:r>
      <w:r>
        <w:rPr>
          <w:rFonts w:hint="eastAsia" w:cs="Times New Roman"/>
          <w:color w:val="000000" w:themeColor="text1"/>
          <w:lang w:val="en-US" w:eastAsia="zh-CN"/>
          <w14:textFill>
            <w14:solidFill>
              <w14:schemeClr w14:val="tx1"/>
            </w14:solidFill>
          </w14:textFill>
        </w:rPr>
        <w:t>7</w:t>
      </w:r>
      <w:r>
        <w:rPr>
          <w:rFonts w:hint="default" w:ascii="Times New Roman" w:hAnsi="Times New Roman" w:eastAsia="宋体" w:cs="Times New Roman"/>
          <w:color w:val="000000" w:themeColor="text1"/>
          <w14:textFill>
            <w14:solidFill>
              <w14:schemeClr w14:val="tx1"/>
            </w14:solidFill>
          </w14:textFill>
        </w:rPr>
        <w:t>）员工生活垃圾</w:t>
      </w:r>
    </w:p>
    <w:p w14:paraId="1797204D">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根据“营运期污染源源强核算”可知，生活垃圾产生量27.375t/a，养殖场办公生活区设置垃圾箱用于集中收集生活垃圾，生活垃圾集中收集后定期运至政府指定生活垃圾转运地点。</w:t>
      </w:r>
    </w:p>
    <w:p w14:paraId="01C7F837">
      <w:pPr>
        <w:ind w:firstLine="482"/>
        <w:outlineLvl w:val="2"/>
        <w:rPr>
          <w:rFonts w:hint="default" w:ascii="Times New Roman" w:hAnsi="Times New Roman" w:eastAsia="宋体" w:cs="Times New Roman"/>
          <w:b/>
          <w:bCs/>
          <w:color w:val="000000" w:themeColor="text1"/>
          <w14:textFill>
            <w14:solidFill>
              <w14:schemeClr w14:val="tx1"/>
            </w14:solidFill>
          </w14:textFill>
        </w:rPr>
      </w:pPr>
      <w:bookmarkStart w:id="274" w:name="_Toc20469"/>
      <w:r>
        <w:rPr>
          <w:rFonts w:hint="default" w:ascii="Times New Roman" w:hAnsi="Times New Roman" w:eastAsia="宋体" w:cs="Times New Roman"/>
          <w:b/>
          <w:bCs/>
          <w:color w:val="000000" w:themeColor="text1"/>
          <w14:textFill>
            <w14:solidFill>
              <w14:schemeClr w14:val="tx1"/>
            </w14:solidFill>
          </w14:textFill>
        </w:rPr>
        <w:t>6.5.2固废临时存放处的影响分析</w:t>
      </w:r>
      <w:bookmarkEnd w:id="274"/>
    </w:p>
    <w:p w14:paraId="694656BA">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本项目建成后，废矿物油、</w:t>
      </w:r>
      <w:r>
        <w:rPr>
          <w:rFonts w:hint="default" w:ascii="Times New Roman" w:hAnsi="Times New Roman" w:eastAsia="宋体" w:cs="Times New Roman"/>
          <w:color w:val="000000" w:themeColor="text1"/>
          <w:lang w:val="zh-CN" w:eastAsia="zh-CN"/>
          <w14:textFill>
            <w14:solidFill>
              <w14:schemeClr w14:val="tx1"/>
            </w14:solidFill>
          </w14:textFill>
        </w:rPr>
        <w:t>酸碱液桶</w:t>
      </w:r>
      <w:r>
        <w:rPr>
          <w:rFonts w:hint="eastAsia" w:cs="Times New Roman"/>
          <w:color w:val="000000" w:themeColor="text1"/>
          <w:lang w:val="zh-CN" w:eastAsia="zh-CN"/>
          <w14:textFill>
            <w14:solidFill>
              <w14:schemeClr w14:val="tx1"/>
            </w14:solidFill>
          </w14:textFill>
        </w:rPr>
        <w:t>、</w:t>
      </w:r>
      <w:r>
        <w:rPr>
          <w:rFonts w:hint="default" w:ascii="Times New Roman" w:hAnsi="Times New Roman" w:eastAsia="宋体" w:cs="Times New Roman"/>
          <w:color w:val="000000" w:themeColor="text1"/>
          <w14:textFill>
            <w14:solidFill>
              <w14:schemeClr w14:val="tx1"/>
            </w14:solidFill>
          </w14:textFill>
        </w:rPr>
        <w:t>消毒、防疫、医疗废物分类收集后存放于危废暂存场所内。在危险废物堆放的过程中为了防治对地下水产生污染，本次环评要求其存放库应严格按照《危险废物贮存污染控制标准》（GB18597-2023）的要求规范建设和维护，厂内暂存场所应设置室内储存区，并设置危险废物识别标志，做好防雨、防渗、防漏等工作。堆放处防渗层至少1米厚粘土层（渗透系数≤10</w:t>
      </w:r>
      <w:r>
        <w:rPr>
          <w:rFonts w:hint="default" w:ascii="Times New Roman" w:hAnsi="Times New Roman" w:eastAsia="宋体" w:cs="Times New Roman"/>
          <w:color w:val="000000" w:themeColor="text1"/>
          <w:vertAlign w:val="superscript"/>
          <w14:textFill>
            <w14:solidFill>
              <w14:schemeClr w14:val="tx1"/>
            </w14:solidFill>
          </w14:textFill>
        </w:rPr>
        <w:t>-7</w:t>
      </w:r>
      <w:r>
        <w:rPr>
          <w:rFonts w:hint="default" w:ascii="Times New Roman" w:hAnsi="Times New Roman" w:eastAsia="宋体" w:cs="Times New Roman"/>
          <w:color w:val="000000" w:themeColor="text1"/>
          <w14:textFill>
            <w14:solidFill>
              <w14:schemeClr w14:val="tx1"/>
            </w14:solidFill>
          </w14:textFill>
        </w:rPr>
        <w:t>厘米/秒），或2毫米厚高密度聚乙烯，或至少2毫米厚的其它人工材料，渗透系数≤10</w:t>
      </w:r>
      <w:r>
        <w:rPr>
          <w:rFonts w:hint="default" w:ascii="Times New Roman" w:hAnsi="Times New Roman" w:eastAsia="宋体" w:cs="Times New Roman"/>
          <w:color w:val="000000" w:themeColor="text1"/>
          <w:vertAlign w:val="superscript"/>
          <w14:textFill>
            <w14:solidFill>
              <w14:schemeClr w14:val="tx1"/>
            </w14:solidFill>
          </w14:textFill>
        </w:rPr>
        <w:t>-10</w:t>
      </w:r>
      <w:r>
        <w:rPr>
          <w:rFonts w:hint="default" w:ascii="Times New Roman" w:hAnsi="Times New Roman" w:eastAsia="宋体" w:cs="Times New Roman"/>
          <w:color w:val="000000" w:themeColor="text1"/>
          <w14:textFill>
            <w14:solidFill>
              <w14:schemeClr w14:val="tx1"/>
            </w14:solidFill>
          </w14:textFill>
        </w:rPr>
        <w:t>厘米/秒。防止固废渗漏污染土壤环境。同时做好防雨工作避免下雨的时候渣随雨水外流，对地下水造成污染。总之，只要严格管理，并进行安全处置，采取以上措施该项目产生的固体废物对环境和人体健康的影响较小。</w:t>
      </w:r>
    </w:p>
    <w:p w14:paraId="5991948F">
      <w:pPr>
        <w:ind w:firstLine="482"/>
        <w:outlineLvl w:val="2"/>
        <w:rPr>
          <w:rFonts w:hint="default" w:ascii="Times New Roman" w:hAnsi="Times New Roman" w:eastAsia="宋体" w:cs="Times New Roman"/>
          <w:b/>
          <w:bCs/>
          <w:color w:val="000000" w:themeColor="text1"/>
          <w14:textFill>
            <w14:solidFill>
              <w14:schemeClr w14:val="tx1"/>
            </w14:solidFill>
          </w14:textFill>
        </w:rPr>
      </w:pPr>
      <w:bookmarkStart w:id="275" w:name="_Toc23714"/>
      <w:r>
        <w:rPr>
          <w:rFonts w:hint="default" w:ascii="Times New Roman" w:hAnsi="Times New Roman" w:eastAsia="宋体" w:cs="Times New Roman"/>
          <w:b/>
          <w:bCs/>
          <w:color w:val="000000" w:themeColor="text1"/>
          <w14:textFill>
            <w14:solidFill>
              <w14:schemeClr w14:val="tx1"/>
            </w14:solidFill>
          </w14:textFill>
        </w:rPr>
        <w:t>6.5.3临时贮存设施建设要求</w:t>
      </w:r>
      <w:bookmarkEnd w:id="275"/>
    </w:p>
    <w:p w14:paraId="6F9836E1">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固液分离车间设置防雨、防渗措施，项目牛粪污暂存于固液分离车间，及时清运，日产日清；</w:t>
      </w:r>
    </w:p>
    <w:p w14:paraId="5C9D5A4D">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病死牛及胎衣委托畜禽无害化处理企业处理，满足《畜禽养殖业污染防治技术规范》（HJ/T81-2001）的要求；防疫医疗废物暂存于全封闭医疗废物暂存间，根据</w:t>
      </w:r>
      <w:r>
        <w:rPr>
          <w:rFonts w:hint="default" w:ascii="Times New Roman" w:hAnsi="Times New Roman" w:eastAsia="宋体" w:cs="Times New Roman"/>
          <w:color w:val="000000" w:themeColor="text1"/>
          <w14:textFill>
            <w14:solidFill>
              <w14:schemeClr w14:val="tx1"/>
            </w14:solidFill>
          </w14:textFill>
        </w:rPr>
        <w:fldChar w:fldCharType="begin"/>
      </w:r>
      <w:r>
        <w:rPr>
          <w:rFonts w:hint="default" w:ascii="Times New Roman" w:hAnsi="Times New Roman" w:eastAsia="宋体" w:cs="Times New Roman"/>
          <w:color w:val="000000" w:themeColor="text1"/>
          <w14:textFill>
            <w14:solidFill>
              <w14:schemeClr w14:val="tx1"/>
            </w14:solidFill>
          </w14:textFill>
        </w:rPr>
        <w:instrText xml:space="preserve"> HYPERLINK "https://www.baidu.com/s?wd=%E3%80%8A%E5%8C%BB%E7%96%97%E5%BA%9F%E7%89%A9%E7%AE%A1%E7%90%86%E6%9D%A1%E4%BE%8B%E3%80%8B&amp;tn=SE_PcZhidaonwhc_ngpagmjz&amp;rsv_dl=gh_pc_zhidao" </w:instrText>
      </w:r>
      <w:r>
        <w:rPr>
          <w:rFonts w:hint="default" w:ascii="Times New Roman" w:hAnsi="Times New Roman" w:eastAsia="宋体" w:cs="Times New Roman"/>
          <w:color w:val="000000" w:themeColor="text1"/>
          <w14:textFill>
            <w14:solidFill>
              <w14:schemeClr w14:val="tx1"/>
            </w14:solidFill>
          </w14:textFill>
        </w:rPr>
        <w:fldChar w:fldCharType="separate"/>
      </w:r>
      <w:r>
        <w:rPr>
          <w:rFonts w:hint="default" w:ascii="Times New Roman" w:hAnsi="Times New Roman" w:eastAsia="宋体" w:cs="Times New Roman"/>
          <w:color w:val="000000" w:themeColor="text1"/>
          <w14:textFill>
            <w14:solidFill>
              <w14:schemeClr w14:val="tx1"/>
            </w14:solidFill>
          </w14:textFill>
        </w:rPr>
        <w:t>《医疗废物管理条例》</w:t>
      </w:r>
      <w:r>
        <w:rPr>
          <w:rFonts w:hint="default" w:ascii="Times New Roman" w:hAnsi="Times New Roman" w:eastAsia="宋体" w:cs="Times New Roman"/>
          <w:color w:val="000000" w:themeColor="text1"/>
          <w14:textFill>
            <w14:solidFill>
              <w14:schemeClr w14:val="tx1"/>
            </w14:solidFill>
          </w14:textFill>
        </w:rPr>
        <w:fldChar w:fldCharType="end"/>
      </w:r>
      <w:r>
        <w:rPr>
          <w:rFonts w:hint="default" w:ascii="Times New Roman" w:hAnsi="Times New Roman" w:eastAsia="宋体" w:cs="Times New Roman"/>
          <w:color w:val="000000" w:themeColor="text1"/>
          <w14:textFill>
            <w14:solidFill>
              <w14:schemeClr w14:val="tx1"/>
            </w14:solidFill>
          </w14:textFill>
        </w:rPr>
        <w:t>、《医疗卫生机构医疗废物管理办法》（中华人民共和国卫生部令第36号）、《危险废物贮存污染控制标准》（</w:t>
      </w:r>
      <w:r>
        <w:rPr>
          <w:rFonts w:hint="eastAsia" w:cs="Times New Roman"/>
          <w:color w:val="000000" w:themeColor="text1"/>
          <w:lang w:eastAsia="zh-CN"/>
          <w14:textFill>
            <w14:solidFill>
              <w14:schemeClr w14:val="tx1"/>
            </w14:solidFill>
          </w14:textFill>
        </w:rPr>
        <w:t>GB18597-2023</w:t>
      </w:r>
      <w:r>
        <w:rPr>
          <w:rFonts w:hint="default" w:ascii="Times New Roman" w:hAnsi="Times New Roman" w:eastAsia="宋体" w:cs="Times New Roman"/>
          <w:color w:val="000000" w:themeColor="text1"/>
          <w14:textFill>
            <w14:solidFill>
              <w14:schemeClr w14:val="tx1"/>
            </w14:solidFill>
          </w14:textFill>
        </w:rPr>
        <w:t>），主要要求如下：</w:t>
      </w:r>
    </w:p>
    <w:p w14:paraId="56B25A77">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医疗废物收集、暂存要求：</w:t>
      </w:r>
    </w:p>
    <w:p w14:paraId="28A1CE7A">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根据《医疗卫生机构医疗废物管理办法》（中华人民共和国卫生部令第36号）第十一条医疗卫生机构应当按照以下要求，及时分类收集医疗废物：</w:t>
      </w:r>
    </w:p>
    <w:p w14:paraId="7E2989E5">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（一）根据医疗废物的类别，将医疗废物分置于符合《医疗废物专用包装物、容器的标准和警示标识的规定》的包装物或者容器内；</w:t>
      </w:r>
    </w:p>
    <w:p w14:paraId="443A70FD">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（二）在盛装医疗废物前，应当对医疗废物包装物或者容器进行认真检查，确保无破损、渗漏和其他缺陷；</w:t>
      </w:r>
    </w:p>
    <w:p w14:paraId="4C1A4A11">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（三）感染性废物、病理性废物、损伤性废物、药物性废物及化学性废物不能混合收集。少量的药物性废物可以混入感染性废物，但应当在标签上注明；</w:t>
      </w:r>
    </w:p>
    <w:p w14:paraId="1930038B">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（四）医疗废物中病原体的培养基、标本和菌种、毒种保存液等高危险废物，应当首先在产生地点进行压力蒸汽灭菌或者化学消毒处理，然后按感染性废物收集处理；</w:t>
      </w:r>
    </w:p>
    <w:p w14:paraId="6CF4D930">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（五）放入包装物或者容器内的感染性废物、病理性废物、损伤性废物不得取出。</w:t>
      </w:r>
    </w:p>
    <w:p w14:paraId="6A61A536">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根据《医疗卫生机构医疗废物管理办法》（中华人民共和国卫生部令第36号）第二十二条：暂时贮存病理性废物，应当具备低温贮存或者防腐条件。</w:t>
      </w:r>
    </w:p>
    <w:p w14:paraId="66BA6423">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医疗废物暂存间建设要求：</w:t>
      </w:r>
    </w:p>
    <w:p w14:paraId="1045DDF7">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根据</w:t>
      </w:r>
      <w:r>
        <w:rPr>
          <w:rFonts w:hint="default" w:ascii="Times New Roman" w:hAnsi="Times New Roman" w:eastAsia="宋体" w:cs="Times New Roman"/>
          <w:color w:val="000000" w:themeColor="text1"/>
          <w14:textFill>
            <w14:solidFill>
              <w14:schemeClr w14:val="tx1"/>
            </w14:solidFill>
          </w14:textFill>
        </w:rPr>
        <w:fldChar w:fldCharType="begin"/>
      </w:r>
      <w:r>
        <w:rPr>
          <w:rFonts w:hint="default" w:ascii="Times New Roman" w:hAnsi="Times New Roman" w:eastAsia="宋体" w:cs="Times New Roman"/>
          <w:color w:val="000000" w:themeColor="text1"/>
          <w14:textFill>
            <w14:solidFill>
              <w14:schemeClr w14:val="tx1"/>
            </w14:solidFill>
          </w14:textFill>
        </w:rPr>
        <w:instrText xml:space="preserve"> HYPERLINK "https://www.baidu.com/s?wd=%E3%80%8A%E5%8C%BB%E7%96%97%E5%BA%9F%E7%89%A9%E7%AE%A1%E7%90%86%E6%9D%A1%E4%BE%8B%E3%80%8B&amp;tn=SE_PcZhidaonwhc_ngpagmjz&amp;rsv_dl=gh_pc_zhidao" </w:instrText>
      </w:r>
      <w:r>
        <w:rPr>
          <w:rFonts w:hint="default" w:ascii="Times New Roman" w:hAnsi="Times New Roman" w:eastAsia="宋体" w:cs="Times New Roman"/>
          <w:color w:val="000000" w:themeColor="text1"/>
          <w14:textFill>
            <w14:solidFill>
              <w14:schemeClr w14:val="tx1"/>
            </w14:solidFill>
          </w14:textFill>
        </w:rPr>
        <w:fldChar w:fldCharType="separate"/>
      </w:r>
      <w:r>
        <w:rPr>
          <w:rFonts w:hint="default" w:ascii="Times New Roman" w:hAnsi="Times New Roman" w:eastAsia="宋体" w:cs="Times New Roman"/>
          <w:color w:val="000000" w:themeColor="text1"/>
          <w14:textFill>
            <w14:solidFill>
              <w14:schemeClr w14:val="tx1"/>
            </w14:solidFill>
          </w14:textFill>
        </w:rPr>
        <w:t>《医疗废物管理条例》</w:t>
      </w:r>
      <w:r>
        <w:rPr>
          <w:rFonts w:hint="default" w:ascii="Times New Roman" w:hAnsi="Times New Roman" w:eastAsia="宋体" w:cs="Times New Roman"/>
          <w:color w:val="000000" w:themeColor="text1"/>
          <w14:textFill>
            <w14:solidFill>
              <w14:schemeClr w14:val="tx1"/>
            </w14:solidFill>
          </w14:textFill>
        </w:rPr>
        <w:fldChar w:fldCharType="end"/>
      </w:r>
      <w:r>
        <w:rPr>
          <w:rFonts w:hint="default" w:ascii="Times New Roman" w:hAnsi="Times New Roman" w:eastAsia="宋体" w:cs="Times New Roman"/>
          <w:color w:val="000000" w:themeColor="text1"/>
          <w14:textFill>
            <w14:solidFill>
              <w14:schemeClr w14:val="tx1"/>
            </w14:solidFill>
          </w14:textFill>
        </w:rPr>
        <w:t>第十七条：医疗卫生机构应当建立医疗废物的暂时贮存设施、设备，不得露天存放医疗废物；医疗废物暂时贮存的时间不得超过2天；医疗废物的暂时贮存设施、设备，应当远离医疗区、食品加工区和人员活动区以及生活垃圾存放场所，并设置明显的警示标识和防渗漏、防鼠、防蚊蝇、防蟑螂、防盗以及预防儿童接触等安全措施；医疗废物的暂时贮存设施、设备应当定期消毒和清洁。</w:t>
      </w:r>
    </w:p>
    <w:p w14:paraId="5EFC58CA">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fldChar w:fldCharType="begin"/>
      </w:r>
      <w:r>
        <w:rPr>
          <w:rFonts w:hint="default" w:ascii="Times New Roman" w:hAnsi="Times New Roman" w:eastAsia="宋体" w:cs="Times New Roman"/>
          <w:color w:val="000000" w:themeColor="text1"/>
          <w14:textFill>
            <w14:solidFill>
              <w14:schemeClr w14:val="tx1"/>
            </w14:solidFill>
          </w14:textFill>
        </w:rPr>
        <w:instrText xml:space="preserve"> HYPERLINK "https://www.baidu.com/s?wd=%E3%80%8A%E5%8C%BB%E7%96%97%E5%BA%9F%E7%89%A9%E7%AE%A1%E7%90%86%E6%9D%A1%E4%BE%8B%E3%80%8B&amp;tn=SE_PcZhidaonwhc_ngpagmjz&amp;rsv_dl=gh_pc_zhidao" </w:instrText>
      </w:r>
      <w:r>
        <w:rPr>
          <w:rFonts w:hint="default" w:ascii="Times New Roman" w:hAnsi="Times New Roman" w:eastAsia="宋体" w:cs="Times New Roman"/>
          <w:color w:val="000000" w:themeColor="text1"/>
          <w14:textFill>
            <w14:solidFill>
              <w14:schemeClr w14:val="tx1"/>
            </w14:solidFill>
          </w14:textFill>
        </w:rPr>
        <w:fldChar w:fldCharType="separate"/>
      </w:r>
      <w:r>
        <w:rPr>
          <w:rFonts w:hint="default" w:ascii="Times New Roman" w:hAnsi="Times New Roman" w:eastAsia="宋体" w:cs="Times New Roman"/>
          <w:color w:val="000000" w:themeColor="text1"/>
          <w14:textFill>
            <w14:solidFill>
              <w14:schemeClr w14:val="tx1"/>
            </w14:solidFill>
          </w14:textFill>
        </w:rPr>
        <w:t>根据《医疗废物管理条例》</w:t>
      </w:r>
      <w:r>
        <w:rPr>
          <w:rFonts w:hint="default" w:ascii="Times New Roman" w:hAnsi="Times New Roman" w:eastAsia="宋体" w:cs="Times New Roman"/>
          <w:color w:val="000000" w:themeColor="text1"/>
          <w14:textFill>
            <w14:solidFill>
              <w14:schemeClr w14:val="tx1"/>
            </w14:solidFill>
          </w14:textFill>
        </w:rPr>
        <w:fldChar w:fldCharType="end"/>
      </w:r>
      <w:r>
        <w:rPr>
          <w:rFonts w:hint="default" w:ascii="Times New Roman" w:hAnsi="Times New Roman" w:eastAsia="宋体" w:cs="Times New Roman"/>
          <w:color w:val="000000" w:themeColor="text1"/>
          <w14:textFill>
            <w14:solidFill>
              <w14:schemeClr w14:val="tx1"/>
            </w14:solidFill>
          </w14:textFill>
        </w:rPr>
        <w:t>第十八条：医疗废物医疗卫生机构应当使用防渗漏、防遗撒的专用运送工具，按照本单位确定的内部医疗废物运送时间、路线，将医疗废物收集、运送至暂时贮存地点。</w:t>
      </w:r>
    </w:p>
    <w:p w14:paraId="7E5D7645">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医疗废物暂存间防渗要求：</w:t>
      </w:r>
    </w:p>
    <w:p w14:paraId="443440EA">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fldChar w:fldCharType="begin"/>
      </w:r>
      <w:r>
        <w:rPr>
          <w:rFonts w:hint="default" w:ascii="Times New Roman" w:hAnsi="Times New Roman" w:eastAsia="宋体" w:cs="Times New Roman"/>
          <w:color w:val="000000" w:themeColor="text1"/>
          <w14:textFill>
            <w14:solidFill>
              <w14:schemeClr w14:val="tx1"/>
            </w14:solidFill>
          </w14:textFill>
        </w:rPr>
        <w:instrText xml:space="preserve"> HYPERLINK "https://www.baidu.com/s?wd=%E3%80%8A%E5%8C%BB%E7%96%97%E5%BA%9F%E7%89%A9%E7%AE%A1%E7%90%86%E6%9D%A1%E4%BE%8B%E3%80%8B&amp;tn=SE_PcZhidaonwhc_ngpagmjz&amp;rsv_dl=gh_pc_zhidao" </w:instrText>
      </w:r>
      <w:r>
        <w:rPr>
          <w:rFonts w:hint="default" w:ascii="Times New Roman" w:hAnsi="Times New Roman" w:eastAsia="宋体" w:cs="Times New Roman"/>
          <w:color w:val="000000" w:themeColor="text1"/>
          <w14:textFill>
            <w14:solidFill>
              <w14:schemeClr w14:val="tx1"/>
            </w14:solidFill>
          </w14:textFill>
        </w:rPr>
        <w:fldChar w:fldCharType="separate"/>
      </w:r>
      <w:r>
        <w:rPr>
          <w:rFonts w:hint="default" w:ascii="Times New Roman" w:hAnsi="Times New Roman" w:eastAsia="宋体" w:cs="Times New Roman"/>
          <w:color w:val="000000" w:themeColor="text1"/>
          <w14:textFill>
            <w14:solidFill>
              <w14:schemeClr w14:val="tx1"/>
            </w14:solidFill>
          </w14:textFill>
        </w:rPr>
        <w:t>根据《医疗废物管理条例》</w:t>
      </w:r>
      <w:r>
        <w:rPr>
          <w:rFonts w:hint="default" w:ascii="Times New Roman" w:hAnsi="Times New Roman" w:eastAsia="宋体" w:cs="Times New Roman"/>
          <w:color w:val="000000" w:themeColor="text1"/>
          <w14:textFill>
            <w14:solidFill>
              <w14:schemeClr w14:val="tx1"/>
            </w14:solidFill>
          </w14:textFill>
        </w:rPr>
        <w:fldChar w:fldCharType="end"/>
      </w:r>
      <w:r>
        <w:rPr>
          <w:rFonts w:hint="default" w:ascii="Times New Roman" w:hAnsi="Times New Roman" w:eastAsia="宋体" w:cs="Times New Roman"/>
          <w:color w:val="000000" w:themeColor="text1"/>
          <w14:textFill>
            <w14:solidFill>
              <w14:schemeClr w14:val="tx1"/>
            </w14:solidFill>
          </w14:textFill>
        </w:rPr>
        <w:t>和《危险废物贮存污染控制标准》（GB18597-20</w:t>
      </w:r>
      <w:r>
        <w:rPr>
          <w:rFonts w:hint="default" w:ascii="Times New Roman" w:hAnsi="Times New Roman" w:eastAsia="宋体" w:cs="Times New Roman"/>
          <w:color w:val="000000" w:themeColor="text1"/>
          <w:lang w:val="en-US" w:eastAsia="zh-CN"/>
          <w14:textFill>
            <w14:solidFill>
              <w14:schemeClr w14:val="tx1"/>
            </w14:solidFill>
          </w14:textFill>
        </w:rPr>
        <w:t>23</w:t>
      </w:r>
      <w:r>
        <w:rPr>
          <w:rFonts w:hint="default" w:ascii="Times New Roman" w:hAnsi="Times New Roman" w:eastAsia="宋体" w:cs="Times New Roman"/>
          <w:color w:val="000000" w:themeColor="text1"/>
          <w14:textFill>
            <w14:solidFill>
              <w14:schemeClr w14:val="tx1"/>
            </w14:solidFill>
          </w14:textFill>
        </w:rPr>
        <w:t>）要求，医疗废物暂存间地面和1m高墙裙进行防渗处理，渗透系数＜10</w:t>
      </w:r>
      <w:r>
        <w:rPr>
          <w:rFonts w:hint="default" w:ascii="Times New Roman" w:hAnsi="Times New Roman" w:eastAsia="宋体" w:cs="Times New Roman"/>
          <w:color w:val="000000" w:themeColor="text1"/>
          <w:vertAlign w:val="superscript"/>
          <w14:textFill>
            <w14:solidFill>
              <w14:schemeClr w14:val="tx1"/>
            </w14:solidFill>
          </w14:textFill>
        </w:rPr>
        <w:t>-10</w:t>
      </w:r>
      <w:r>
        <w:rPr>
          <w:rFonts w:hint="default" w:ascii="Times New Roman" w:hAnsi="Times New Roman" w:eastAsia="宋体" w:cs="Times New Roman"/>
          <w:color w:val="000000" w:themeColor="text1"/>
          <w14:textFill>
            <w14:solidFill>
              <w14:schemeClr w14:val="tx1"/>
            </w14:solidFill>
          </w14:textFill>
        </w:rPr>
        <w:t>cm/s。</w:t>
      </w:r>
    </w:p>
    <w:p w14:paraId="4DC0CCA7">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危险废物记录要求：</w:t>
      </w:r>
    </w:p>
    <w:p w14:paraId="21A2147B">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根据《医疗废物管理条例》第十一、十二条：医疗卫生机构要建立完善的医疗废物登记台账，登记内容应当包括医疗废物的来源、种类、重量或者数量、交接时间、处置方法、最终去向以及经办人签名等项目，登记资料至少保存3年；医疗卫生机构各科室产生的医疗废物集中转运至医疗废物暂存间后，统一交由有资质的医疗废物处置单位集中处理，医疗废物转移联单至少保存五年。</w:t>
      </w:r>
    </w:p>
    <w:p w14:paraId="0717C650">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废矿物油暂存于全封闭危险废物暂存间，危废暂存间按照《危险废物贮存污染控制标准》（GB18597-2023）的要求进行建设和管理，防渗系数不大于1.0×10</w:t>
      </w:r>
      <w:r>
        <w:rPr>
          <w:rFonts w:hint="default" w:ascii="Times New Roman" w:hAnsi="Times New Roman" w:eastAsia="宋体" w:cs="Times New Roman"/>
          <w:color w:val="000000" w:themeColor="text1"/>
          <w:vertAlign w:val="superscript"/>
          <w14:textFill>
            <w14:solidFill>
              <w14:schemeClr w14:val="tx1"/>
            </w14:solidFill>
          </w14:textFill>
        </w:rPr>
        <w:t>-10</w:t>
      </w:r>
      <w:r>
        <w:rPr>
          <w:rFonts w:hint="default" w:ascii="Times New Roman" w:hAnsi="Times New Roman" w:eastAsia="宋体" w:cs="Times New Roman"/>
          <w:color w:val="000000" w:themeColor="text1"/>
          <w14:textFill>
            <w14:solidFill>
              <w14:schemeClr w14:val="tx1"/>
            </w14:solidFill>
          </w14:textFill>
        </w:rPr>
        <w:t>cm/s。</w:t>
      </w:r>
    </w:p>
    <w:p w14:paraId="42732444">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项目危废暂存间1间，建筑面积</w:t>
      </w:r>
      <w:r>
        <w:rPr>
          <w:rFonts w:hint="default" w:ascii="Times New Roman" w:hAnsi="Times New Roman" w:eastAsia="宋体" w:cs="Times New Roman"/>
          <w:color w:val="000000" w:themeColor="text1"/>
          <w:lang w:val="en-US" w:eastAsia="zh-CN"/>
          <w14:textFill>
            <w14:solidFill>
              <w14:schemeClr w14:val="tx1"/>
            </w14:solidFill>
          </w14:textFill>
        </w:rPr>
        <w:t>9</w:t>
      </w:r>
      <w:r>
        <w:rPr>
          <w:rFonts w:hint="default" w:ascii="Times New Roman" w:hAnsi="Times New Roman" w:eastAsia="宋体" w:cs="Times New Roman"/>
          <w:color w:val="000000" w:themeColor="text1"/>
          <w14:textFill>
            <w14:solidFill>
              <w14:schemeClr w14:val="tx1"/>
            </w14:solidFill>
          </w14:textFill>
        </w:rPr>
        <w:t>平方米，主要贮存设备检修过程产生的废矿物油，危险废物暂存间按照《危险废物贮存污染控制标准》（GB18597-2023）要求建设：</w:t>
      </w:r>
    </w:p>
    <w:p w14:paraId="0FC044E6">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（1）危险废物必须进行分类收集，临时贮存场所应按照《危险废物贮存污染控制标准》（GB18597-2023）进行设置，并设立危险废物标志，贮存期限不得超过国家规定，并办理相应的许可证，按有关规定进行管理。</w:t>
      </w:r>
    </w:p>
    <w:p w14:paraId="493A7475">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（2）环评要求危险废物厂内临时贮存、运输、最终处置，均应严格按照《危险废物贮存污染物控制标准》（GB18597-2023）的有关要求进行，其中危废贮存设施设计原则和危险废物的堆放应严格按照</w:t>
      </w:r>
      <w:r>
        <w:rPr>
          <w:rFonts w:hint="eastAsia" w:cs="Times New Roman"/>
          <w:color w:val="000000" w:themeColor="text1"/>
          <w:lang w:eastAsia="zh-CN"/>
          <w14:textFill>
            <w14:solidFill>
              <w14:schemeClr w14:val="tx1"/>
            </w14:solidFill>
          </w14:textFill>
        </w:rPr>
        <w:t>GB18597-2023</w:t>
      </w:r>
      <w:r>
        <w:rPr>
          <w:rFonts w:hint="default" w:ascii="Times New Roman" w:hAnsi="Times New Roman" w:eastAsia="宋体" w:cs="Times New Roman"/>
          <w:color w:val="000000" w:themeColor="text1"/>
          <w14:textFill>
            <w14:solidFill>
              <w14:schemeClr w14:val="tx1"/>
            </w14:solidFill>
          </w14:textFill>
        </w:rPr>
        <w:t>中相关规定要求进行。危废库应设置具有防渗、防风、防雨、防晒等措施，各种危险废物应分别装入适宜容器内，容器材质应满足强度要求及应与危险废物相容（不相互反应）。</w:t>
      </w:r>
    </w:p>
    <w:p w14:paraId="7D70BA94">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（3）严格按照《危险废物贮存污染控制标准》中提出的防渗要求进行设计，基础必须防渗，防渗层为至少1m厚粘土（渗透系数≤10</w:t>
      </w:r>
      <w:r>
        <w:rPr>
          <w:rFonts w:hint="default" w:ascii="Times New Roman" w:hAnsi="Times New Roman" w:eastAsia="宋体" w:cs="Times New Roman"/>
          <w:color w:val="000000" w:themeColor="text1"/>
          <w:vertAlign w:val="superscript"/>
          <w14:textFill>
            <w14:solidFill>
              <w14:schemeClr w14:val="tx1"/>
            </w14:solidFill>
          </w14:textFill>
        </w:rPr>
        <w:t>-7</w:t>
      </w:r>
      <w:r>
        <w:rPr>
          <w:rFonts w:hint="default" w:ascii="Times New Roman" w:hAnsi="Times New Roman" w:eastAsia="宋体" w:cs="Times New Roman"/>
          <w:color w:val="000000" w:themeColor="text1"/>
          <w14:textFill>
            <w14:solidFill>
              <w14:schemeClr w14:val="tx1"/>
            </w14:solidFill>
          </w14:textFill>
        </w:rPr>
        <w:t>cm/s），或2mm厚的高密度聚乙烯，或至少2mm厚的其他人工材料（渗透系数≤10</w:t>
      </w:r>
      <w:r>
        <w:rPr>
          <w:rFonts w:hint="default" w:ascii="Times New Roman" w:hAnsi="Times New Roman" w:eastAsia="宋体" w:cs="Times New Roman"/>
          <w:color w:val="000000" w:themeColor="text1"/>
          <w:vertAlign w:val="superscript"/>
          <w14:textFill>
            <w14:solidFill>
              <w14:schemeClr w14:val="tx1"/>
            </w14:solidFill>
          </w14:textFill>
        </w:rPr>
        <w:t>-10</w:t>
      </w:r>
      <w:r>
        <w:rPr>
          <w:rFonts w:hint="default" w:ascii="Times New Roman" w:hAnsi="Times New Roman" w:eastAsia="宋体" w:cs="Times New Roman"/>
          <w:color w:val="000000" w:themeColor="text1"/>
          <w14:textFill>
            <w14:solidFill>
              <w14:schemeClr w14:val="tx1"/>
            </w14:solidFill>
          </w14:textFill>
        </w:rPr>
        <w:t>cm/s）。</w:t>
      </w:r>
    </w:p>
    <w:p w14:paraId="5C5BD7BC">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4）国家对危险废物的处理采取严格的管理制度，无论是转移到固废处置中心还是销售给其他企业综合利用，均应遵从《危险废物转移联单管理办法》及其他有关规定的要求，以便管理部门对危险废物的流向进行有效控制，防止在转移过程中将危险废物排放至环境中。对于危险固废，企业不能随意处理，也不能乱堆乱放，必须密闭转移，及时清运，在生产过程中要注意对这些废渣的收集和储运。必须切实做好固废的分类工作，尽可能回收其中可以再利用的部分，减少危险固废的产生量。</w:t>
      </w:r>
    </w:p>
    <w:p w14:paraId="16136CC3">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5）根据环发[2001]199号《危险废物污染防治技术政策》，国家技术政策的总原则是危险废物的减量化、资源化和无害化。即首先通过清洁生产减少废弃物的产生，在无法减量化的情况下进行废物资源化利用，最终对不可利用废物进行无害化处置。</w:t>
      </w:r>
    </w:p>
    <w:p w14:paraId="47A42501">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（6）危废暂存库建设要求</w:t>
      </w:r>
    </w:p>
    <w:p w14:paraId="1392774F">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&gt;危废暂存库内部各类危废划区堆放；同时应建有堵截泄漏的裙脚；地面与裙脚要用坚固防渗的材料建造；应有隔离设施、报警装置和防雨、防火、防雷、防风、防晒、防扬尘等设施。</w:t>
      </w:r>
    </w:p>
    <w:p w14:paraId="1B984DF3">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&gt;各类危废干湿分区，不同属性的固废间采用实体墙隔离，不同种类危废存放区域贴/挂标示标牌。</w:t>
      </w:r>
    </w:p>
    <w:p w14:paraId="50D3A029">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&gt;危废暂存库内地面硬化，进行防腐、防渗处理，参照《危险废物贮存污染控制标准》（GB18597-2023）要求设置防渗基础或防渗层。</w:t>
      </w:r>
    </w:p>
    <w:p w14:paraId="6A8D0F5B">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&gt;危废暂存库出入口设置围挡，内部地面四周设渗滤液收集沟并汇流于一处收集池，内置空桶，用于收集可能产生的渗滤液，收集后做危废处置。</w:t>
      </w:r>
    </w:p>
    <w:p w14:paraId="3FA8EB72">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&gt;暂存区外围周边贴挂明显的标示标牌，注明主要暂存危废的种类、数量、危废编号等信息。</w:t>
      </w:r>
    </w:p>
    <w:p w14:paraId="76CECFA5">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厂区内设垃圾箱，用以收集生活垃圾，收集后的垃圾委托环卫部门清运处理。</w:t>
      </w:r>
    </w:p>
    <w:p w14:paraId="02759354">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本项目根据固体废物的不同类型，分别采用不同的切实可行的处理、处置方案，处置率100%。只要加强管理，本项目固废对环境基本不造成影响。</w:t>
      </w:r>
    </w:p>
    <w:p w14:paraId="76E8E50A">
      <w:pPr>
        <w:ind w:firstLine="0" w:firstLineChars="0"/>
        <w:outlineLvl w:val="1"/>
        <w:rPr>
          <w:rFonts w:hint="default" w:ascii="Times New Roman" w:hAnsi="Times New Roman" w:eastAsia="宋体" w:cs="Times New Roman"/>
          <w:b/>
          <w:bCs/>
          <w:color w:val="000000" w:themeColor="text1"/>
          <w:sz w:val="28"/>
          <w:szCs w:val="28"/>
          <w14:textFill>
            <w14:solidFill>
              <w14:schemeClr w14:val="tx1"/>
            </w14:solidFill>
          </w14:textFill>
        </w:rPr>
      </w:pPr>
      <w:bookmarkStart w:id="276" w:name="_Toc19098"/>
      <w:r>
        <w:rPr>
          <w:rFonts w:hint="default" w:ascii="Times New Roman" w:hAnsi="Times New Roman" w:eastAsia="宋体" w:cs="Times New Roman"/>
          <w:b/>
          <w:bCs/>
          <w:color w:val="000000" w:themeColor="text1"/>
          <w:sz w:val="28"/>
          <w:szCs w:val="28"/>
          <w14:textFill>
            <w14:solidFill>
              <w14:schemeClr w14:val="tx1"/>
            </w14:solidFill>
          </w14:textFill>
        </w:rPr>
        <w:t>6.6生态环境影响分析及评价</w:t>
      </w:r>
      <w:bookmarkEnd w:id="276"/>
    </w:p>
    <w:p w14:paraId="5E3C42CB">
      <w:pPr>
        <w:ind w:firstLine="482"/>
        <w:outlineLvl w:val="2"/>
        <w:rPr>
          <w:rFonts w:hint="default" w:ascii="Times New Roman" w:hAnsi="Times New Roman" w:eastAsia="宋体" w:cs="Times New Roman"/>
          <w:b/>
          <w:bCs/>
          <w:color w:val="000000" w:themeColor="text1"/>
          <w14:textFill>
            <w14:solidFill>
              <w14:schemeClr w14:val="tx1"/>
            </w14:solidFill>
          </w14:textFill>
        </w:rPr>
      </w:pPr>
      <w:bookmarkStart w:id="277" w:name="_Toc4839"/>
      <w:r>
        <w:rPr>
          <w:rFonts w:hint="default" w:ascii="Times New Roman" w:hAnsi="Times New Roman" w:eastAsia="宋体" w:cs="Times New Roman"/>
          <w:b/>
          <w:bCs/>
          <w:color w:val="000000" w:themeColor="text1"/>
          <w14:textFill>
            <w14:solidFill>
              <w14:schemeClr w14:val="tx1"/>
            </w14:solidFill>
          </w14:textFill>
        </w:rPr>
        <w:t>6.6.1对生态环境的影响分析</w:t>
      </w:r>
      <w:bookmarkEnd w:id="277"/>
    </w:p>
    <w:p w14:paraId="3CC3D46E">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项目</w:t>
      </w:r>
      <w:r>
        <w:rPr>
          <w:rFonts w:hint="eastAsia" w:cs="Times New Roman"/>
          <w:color w:val="000000" w:themeColor="text1"/>
          <w:lang w:val="en-US" w:eastAsia="zh-CN"/>
          <w14:textFill>
            <w14:solidFill>
              <w14:schemeClr w14:val="tx1"/>
            </w14:solidFill>
          </w14:textFill>
        </w:rPr>
        <w:t>总</w:t>
      </w:r>
      <w:r>
        <w:rPr>
          <w:rFonts w:hint="default" w:ascii="Times New Roman" w:hAnsi="Times New Roman" w:eastAsia="宋体" w:cs="Times New Roman"/>
          <w:color w:val="000000" w:themeColor="text1"/>
          <w14:textFill>
            <w14:solidFill>
              <w14:schemeClr w14:val="tx1"/>
            </w14:solidFill>
          </w14:textFill>
        </w:rPr>
        <w:t>占地面积为</w:t>
      </w:r>
      <w:r>
        <w:rPr>
          <w:rFonts w:hint="default" w:ascii="Times New Roman" w:hAnsi="Times New Roman" w:eastAsia="宋体" w:cs="Times New Roman"/>
          <w:color w:val="000000" w:themeColor="text1"/>
          <w:kern w:val="0"/>
          <w:lang w:val="en-US" w:eastAsia="zh-CN" w:bidi="ar"/>
          <w14:textFill>
            <w14:solidFill>
              <w14:schemeClr w14:val="tx1"/>
            </w14:solidFill>
          </w14:textFill>
        </w:rPr>
        <w:t>10.48</w:t>
      </w:r>
      <w:r>
        <w:rPr>
          <w:rFonts w:hint="default" w:ascii="Times New Roman" w:hAnsi="Times New Roman" w:eastAsia="宋体" w:cs="Times New Roman"/>
          <w:color w:val="000000" w:themeColor="text1"/>
          <w14:textFill>
            <w14:solidFill>
              <w14:schemeClr w14:val="tx1"/>
            </w14:solidFill>
          </w14:textFill>
        </w:rPr>
        <w:t>hm</w:t>
      </w:r>
      <w:r>
        <w:rPr>
          <w:rFonts w:hint="default" w:ascii="Times New Roman" w:hAnsi="Times New Roman" w:eastAsia="宋体" w:cs="Times New Roman"/>
          <w:color w:val="000000" w:themeColor="text1"/>
          <w:vertAlign w:val="superscript"/>
          <w14:textFill>
            <w14:solidFill>
              <w14:schemeClr w14:val="tx1"/>
            </w14:solidFill>
          </w14:textFill>
        </w:rPr>
        <w:t>2</w:t>
      </w:r>
      <w:r>
        <w:rPr>
          <w:rFonts w:hint="default" w:ascii="Times New Roman" w:hAnsi="Times New Roman" w:eastAsia="宋体" w:cs="Times New Roman"/>
          <w:color w:val="000000" w:themeColor="text1"/>
          <w14:textFill>
            <w14:solidFill>
              <w14:schemeClr w14:val="tx1"/>
            </w14:solidFill>
          </w14:textFill>
        </w:rPr>
        <w:t>，</w:t>
      </w:r>
      <w:r>
        <w:rPr>
          <w:rFonts w:hint="default" w:ascii="Times New Roman" w:hAnsi="Times New Roman" w:eastAsia="宋体" w:cs="Times New Roman"/>
          <w:color w:val="000000" w:themeColor="text1"/>
          <w:lang w:val="en-US" w:eastAsia="zh-CN"/>
          <w14:textFill>
            <w14:solidFill>
              <w14:schemeClr w14:val="tx1"/>
            </w14:solidFill>
          </w14:textFill>
        </w:rPr>
        <w:t>其中</w:t>
      </w:r>
      <w:r>
        <w:rPr>
          <w:rFonts w:hint="eastAsia" w:cs="Times New Roman"/>
          <w:color w:val="000000" w:themeColor="text1"/>
          <w:lang w:val="en-US" w:eastAsia="zh-CN"/>
          <w14:textFill>
            <w14:solidFill>
              <w14:schemeClr w14:val="tx1"/>
            </w14:solidFill>
          </w14:textFill>
        </w:rPr>
        <w:t>占</w:t>
      </w:r>
      <w:r>
        <w:rPr>
          <w:rFonts w:hint="default" w:ascii="Times New Roman" w:hAnsi="Times New Roman" w:eastAsia="宋体" w:cs="Times New Roman"/>
          <w:color w:val="000000" w:themeColor="text1"/>
          <w:lang w:val="en-US" w:eastAsia="zh-CN"/>
          <w14:textFill>
            <w14:solidFill>
              <w14:schemeClr w14:val="tx1"/>
            </w14:solidFill>
          </w14:textFill>
        </w:rPr>
        <w:t>人工种植的</w:t>
      </w:r>
      <w:r>
        <w:rPr>
          <w:rFonts w:hint="default" w:ascii="Times New Roman" w:hAnsi="Times New Roman" w:eastAsia="宋体" w:cs="Times New Roman"/>
          <w:color w:val="000000" w:themeColor="text1"/>
          <w14:textFill>
            <w14:solidFill>
              <w14:schemeClr w14:val="tx1"/>
            </w14:solidFill>
          </w14:textFill>
        </w:rPr>
        <w:t>用材林地</w:t>
      </w:r>
      <w:r>
        <w:rPr>
          <w:rFonts w:hint="default" w:ascii="Times New Roman" w:hAnsi="Times New Roman" w:eastAsia="宋体" w:cs="Times New Roman"/>
          <w:color w:val="000000" w:themeColor="text1"/>
          <w:lang w:val="en-US" w:eastAsia="zh-CN"/>
          <w14:textFill>
            <w14:solidFill>
              <w14:schemeClr w14:val="tx1"/>
            </w14:solidFill>
          </w14:textFill>
        </w:rPr>
        <w:t>为1.2969</w:t>
      </w:r>
      <w:r>
        <w:rPr>
          <w:rFonts w:hint="eastAsia" w:cs="Times New Roman"/>
          <w:color w:val="000000" w:themeColor="text1"/>
          <w:lang w:val="en-US" w:eastAsia="zh-CN"/>
          <w14:textFill>
            <w14:solidFill>
              <w14:schemeClr w14:val="tx1"/>
            </w14:solidFill>
          </w14:textFill>
        </w:rPr>
        <w:t>hm</w:t>
      </w:r>
      <w:r>
        <w:rPr>
          <w:rFonts w:hint="eastAsia" w:cs="Times New Roman"/>
          <w:color w:val="000000" w:themeColor="text1"/>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14:textFill>
            <w14:solidFill>
              <w14:schemeClr w14:val="tx1"/>
            </w14:solidFill>
          </w14:textFill>
        </w:rPr>
        <w:t>，</w:t>
      </w:r>
      <w:r>
        <w:rPr>
          <w:rFonts w:hint="eastAsia" w:cs="Times New Roman"/>
          <w:color w:val="000000" w:themeColor="text1"/>
          <w:lang w:val="en-US" w:eastAsia="zh-CN"/>
          <w14:textFill>
            <w14:solidFill>
              <w14:schemeClr w14:val="tx1"/>
            </w14:solidFill>
          </w14:textFill>
        </w:rPr>
        <w:t>其余均为农用地，总占地面积</w:t>
      </w:r>
      <w:r>
        <w:rPr>
          <w:rFonts w:hint="default" w:ascii="Times New Roman" w:hAnsi="Times New Roman" w:eastAsia="宋体" w:cs="Times New Roman"/>
          <w:color w:val="000000" w:themeColor="text1"/>
          <w14:textFill>
            <w14:solidFill>
              <w14:schemeClr w14:val="tx1"/>
            </w14:solidFill>
          </w14:textFill>
        </w:rPr>
        <w:t>为项目全部扰动面积，扰动的面积将破坏和改变原有地貌，占压和破坏地表植被和土壤结构，永久占地使土地失去原有的生物生产功能和生态功能。企业在当地政府的协调下正在积极办理相关用地的使用及补偿手续，使项目的占地符合相关法律法规要求，符合地区土地利用规划，同时项目占地面积较小，不占用自然保护区等环境敏感区，工程占地对项目区整体生态环境影响较小。</w:t>
      </w:r>
    </w:p>
    <w:p w14:paraId="77F5C12F">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运行期后，各项施工活动已结束。工程建设期的大部分开挖面已由建筑（构）物所取代，工程施工对生态环境的影响降到最低程度。项目建成后，随着运营期的延长，项目周边的生境受人为活动的影响将会增加，会导致厂址附近的原有生态环境结构发生一定调整。项目采取了有效的防护措施，减少对周围环境的影响。</w:t>
      </w:r>
    </w:p>
    <w:p w14:paraId="17CE2A51">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1）运营期外排废气各项污染物的排放在严格的控制措施下，均为达标排放，并且根据环境空气的污染预测结果，各项污染物对区域污染的贡献量均较小，因此，本项目对区域生态及农业生产不会产生较明显的影响，其对生态环境的影响不大。</w:t>
      </w:r>
    </w:p>
    <w:p w14:paraId="0811DA49">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2）运营期间生产、生活污水经过妥善处理，不直接外排到水体环境中，因此不会对区域地表水环境产生明显影响，同时，工程设置了相应的事故防范措施，在企业严格按照操作规程进行的情况下，也不会对区域的生态环境造成影响。</w:t>
      </w:r>
    </w:p>
    <w:p w14:paraId="3A77CB10">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（3）运营期的固废采用了相应的治理措施，可保证全部的固体废物均能得到妥善处置，因此不会对区域的生态环境造成影响。</w:t>
      </w:r>
    </w:p>
    <w:p w14:paraId="37BF5958">
      <w:pPr>
        <w:ind w:firstLine="482"/>
        <w:outlineLvl w:val="2"/>
        <w:rPr>
          <w:rFonts w:hint="default" w:ascii="Times New Roman" w:hAnsi="Times New Roman" w:eastAsia="宋体" w:cs="Times New Roman"/>
          <w:b/>
          <w:bCs/>
          <w:color w:val="000000" w:themeColor="text1"/>
          <w14:textFill>
            <w14:solidFill>
              <w14:schemeClr w14:val="tx1"/>
            </w14:solidFill>
          </w14:textFill>
        </w:rPr>
      </w:pPr>
      <w:bookmarkStart w:id="278" w:name="bookmark21"/>
      <w:bookmarkEnd w:id="278"/>
      <w:bookmarkStart w:id="279" w:name="_Toc22733"/>
      <w:r>
        <w:rPr>
          <w:rFonts w:hint="default" w:ascii="Times New Roman" w:hAnsi="Times New Roman" w:eastAsia="宋体" w:cs="Times New Roman"/>
          <w:b/>
          <w:bCs/>
          <w:color w:val="000000" w:themeColor="text1"/>
          <w14:textFill>
            <w14:solidFill>
              <w14:schemeClr w14:val="tx1"/>
            </w14:solidFill>
          </w14:textFill>
        </w:rPr>
        <w:t>6.6.2对动植物的影响评价</w:t>
      </w:r>
      <w:bookmarkEnd w:id="279"/>
    </w:p>
    <w:p w14:paraId="2750AD73">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项目</w:t>
      </w:r>
      <w:r>
        <w:rPr>
          <w:rFonts w:hint="eastAsia" w:cs="Times New Roman"/>
          <w:color w:val="000000" w:themeColor="text1"/>
          <w:lang w:val="en-US" w:eastAsia="zh-CN"/>
          <w14:textFill>
            <w14:solidFill>
              <w14:schemeClr w14:val="tx1"/>
            </w14:solidFill>
          </w14:textFill>
        </w:rPr>
        <w:t>总占地面积</w:t>
      </w:r>
      <w:r>
        <w:rPr>
          <w:rFonts w:hint="default" w:ascii="Times New Roman" w:hAnsi="Times New Roman" w:eastAsia="宋体" w:cs="Times New Roman"/>
          <w:color w:val="000000" w:themeColor="text1"/>
          <w:kern w:val="0"/>
          <w:lang w:val="en-US" w:eastAsia="zh-CN" w:bidi="ar"/>
          <w14:textFill>
            <w14:solidFill>
              <w14:schemeClr w14:val="tx1"/>
            </w14:solidFill>
          </w14:textFill>
        </w:rPr>
        <w:t>10.48</w:t>
      </w:r>
      <w:r>
        <w:rPr>
          <w:rFonts w:hint="default" w:ascii="Times New Roman" w:hAnsi="Times New Roman" w:eastAsia="宋体" w:cs="Times New Roman"/>
          <w:color w:val="000000" w:themeColor="text1"/>
          <w14:textFill>
            <w14:solidFill>
              <w14:schemeClr w14:val="tx1"/>
            </w14:solidFill>
          </w14:textFill>
        </w:rPr>
        <w:t>hm</w:t>
      </w:r>
      <w:r>
        <w:rPr>
          <w:rFonts w:hint="default" w:ascii="Times New Roman" w:hAnsi="Times New Roman" w:eastAsia="宋体" w:cs="Times New Roman"/>
          <w:color w:val="000000" w:themeColor="text1"/>
          <w:vertAlign w:val="superscript"/>
          <w14:textFill>
            <w14:solidFill>
              <w14:schemeClr w14:val="tx1"/>
            </w14:solidFill>
          </w14:textFill>
        </w:rPr>
        <w:t>2</w:t>
      </w:r>
      <w:r>
        <w:rPr>
          <w:rFonts w:hint="default" w:ascii="Times New Roman" w:hAnsi="Times New Roman" w:eastAsia="宋体" w:cs="Times New Roman"/>
          <w:color w:val="000000" w:themeColor="text1"/>
          <w14:textFill>
            <w14:solidFill>
              <w14:schemeClr w14:val="tx1"/>
            </w14:solidFill>
          </w14:textFill>
        </w:rPr>
        <w:t>，</w:t>
      </w:r>
      <w:r>
        <w:rPr>
          <w:rFonts w:hint="default" w:ascii="Times New Roman" w:hAnsi="Times New Roman" w:eastAsia="宋体" w:cs="Times New Roman"/>
          <w:color w:val="000000" w:themeColor="text1"/>
          <w:lang w:val="en-US" w:eastAsia="zh-CN"/>
          <w14:textFill>
            <w14:solidFill>
              <w14:schemeClr w14:val="tx1"/>
            </w14:solidFill>
          </w14:textFill>
        </w:rPr>
        <w:t>其中</w:t>
      </w:r>
      <w:r>
        <w:rPr>
          <w:rFonts w:hint="eastAsia" w:cs="Times New Roman"/>
          <w:color w:val="000000" w:themeColor="text1"/>
          <w:lang w:val="en-US" w:eastAsia="zh-CN"/>
          <w14:textFill>
            <w14:solidFill>
              <w14:schemeClr w14:val="tx1"/>
            </w14:solidFill>
          </w14:textFill>
        </w:rPr>
        <w:t>占</w:t>
      </w:r>
      <w:r>
        <w:rPr>
          <w:rFonts w:hint="default" w:ascii="Times New Roman" w:hAnsi="Times New Roman" w:eastAsia="宋体" w:cs="Times New Roman"/>
          <w:color w:val="000000" w:themeColor="text1"/>
          <w:lang w:val="en-US" w:eastAsia="zh-CN"/>
          <w14:textFill>
            <w14:solidFill>
              <w14:schemeClr w14:val="tx1"/>
            </w14:solidFill>
          </w14:textFill>
        </w:rPr>
        <w:t>人工种植的</w:t>
      </w:r>
      <w:r>
        <w:rPr>
          <w:rFonts w:hint="default" w:ascii="Times New Roman" w:hAnsi="Times New Roman" w:eastAsia="宋体" w:cs="Times New Roman"/>
          <w:color w:val="000000" w:themeColor="text1"/>
          <w14:textFill>
            <w14:solidFill>
              <w14:schemeClr w14:val="tx1"/>
            </w14:solidFill>
          </w14:textFill>
        </w:rPr>
        <w:t>用材林地</w:t>
      </w:r>
      <w:r>
        <w:rPr>
          <w:rFonts w:hint="default" w:ascii="Times New Roman" w:hAnsi="Times New Roman" w:eastAsia="宋体" w:cs="Times New Roman"/>
          <w:color w:val="000000" w:themeColor="text1"/>
          <w:lang w:val="en-US" w:eastAsia="zh-CN"/>
          <w14:textFill>
            <w14:solidFill>
              <w14:schemeClr w14:val="tx1"/>
            </w14:solidFill>
          </w14:textFill>
        </w:rPr>
        <w:t>为1.2969</w:t>
      </w:r>
      <w:r>
        <w:rPr>
          <w:rFonts w:hint="eastAsia" w:cs="Times New Roman"/>
          <w:color w:val="000000" w:themeColor="text1"/>
          <w:lang w:val="en-US" w:eastAsia="zh-CN"/>
          <w14:textFill>
            <w14:solidFill>
              <w14:schemeClr w14:val="tx1"/>
            </w14:solidFill>
          </w14:textFill>
        </w:rPr>
        <w:t>hm</w:t>
      </w:r>
      <w:r>
        <w:rPr>
          <w:rFonts w:hint="eastAsia" w:cs="Times New Roman"/>
          <w:color w:val="000000" w:themeColor="text1"/>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14:textFill>
            <w14:solidFill>
              <w14:schemeClr w14:val="tx1"/>
            </w14:solidFill>
          </w14:textFill>
        </w:rPr>
        <w:t>，</w:t>
      </w:r>
      <w:r>
        <w:rPr>
          <w:rFonts w:hint="eastAsia" w:cs="Times New Roman"/>
          <w:color w:val="000000" w:themeColor="text1"/>
          <w:lang w:val="en-US" w:eastAsia="zh-CN"/>
          <w14:textFill>
            <w14:solidFill>
              <w14:schemeClr w14:val="tx1"/>
            </w14:solidFill>
          </w14:textFill>
        </w:rPr>
        <w:t>其余均为农用地，</w:t>
      </w:r>
      <w:r>
        <w:rPr>
          <w:rFonts w:hint="default" w:ascii="Times New Roman" w:hAnsi="Times New Roman" w:eastAsia="宋体" w:cs="Times New Roman"/>
          <w:color w:val="000000" w:themeColor="text1"/>
          <w14:textFill>
            <w14:solidFill>
              <w14:schemeClr w14:val="tx1"/>
            </w14:solidFill>
          </w14:textFill>
        </w:rPr>
        <w:t>占地范围内的草本植物属一般常见种，生长范围较广，适应性强，不存在因局部植被破坏而导致植物种群消失或灭绝。项目经过地区没有珍稀濒危植物物种的分布，项目排放污染物类型较少，同时均采取相应的防治措施，能够达标排放，对周边农作物影响较小。运营期如果缺乏规范和约束，过往车辆和工作人员会对项目区内的植被随意碾压和践踏，造成土壤板结、物种多样性降低、植被盖度降低。因此运营期在加强绿化和规范运行的条件下对项目区及周边植被影响较小。</w:t>
      </w:r>
    </w:p>
    <w:p w14:paraId="7E01E1CB">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项目评价区野生动物数量较少，主要为常见鸟类，啮齿类及昆虫等，因此，项目运营后运输车辆进出等虽会对这些野生动物的栖息、觅食、活动区域等造成干扰，但绝不会使野生动物种数和种群数量等发生大的变化，总体影响较少。</w:t>
      </w:r>
    </w:p>
    <w:p w14:paraId="1B751504">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因此，项目建设对动植物的影响很小。</w:t>
      </w:r>
    </w:p>
    <w:p w14:paraId="5CD686E2">
      <w:pPr>
        <w:ind w:firstLine="0" w:firstLineChars="0"/>
        <w:outlineLvl w:val="1"/>
        <w:rPr>
          <w:rFonts w:hint="default" w:ascii="Times New Roman" w:hAnsi="Times New Roman" w:eastAsia="宋体" w:cs="Times New Roman"/>
          <w:b/>
          <w:bCs/>
          <w:color w:val="000000" w:themeColor="text1"/>
          <w:sz w:val="28"/>
          <w:szCs w:val="28"/>
          <w14:textFill>
            <w14:solidFill>
              <w14:schemeClr w14:val="tx1"/>
            </w14:solidFill>
          </w14:textFill>
        </w:rPr>
      </w:pPr>
      <w:bookmarkStart w:id="280" w:name="_Toc27241"/>
      <w:r>
        <w:rPr>
          <w:rFonts w:hint="default" w:ascii="Times New Roman" w:hAnsi="Times New Roman" w:eastAsia="宋体" w:cs="Times New Roman"/>
          <w:b/>
          <w:bCs/>
          <w:color w:val="000000" w:themeColor="text1"/>
          <w:sz w:val="28"/>
          <w:szCs w:val="28"/>
          <w14:textFill>
            <w14:solidFill>
              <w14:schemeClr w14:val="tx1"/>
            </w14:solidFill>
          </w14:textFill>
        </w:rPr>
        <w:t>6.7土壤环境影响评价</w:t>
      </w:r>
      <w:bookmarkEnd w:id="280"/>
    </w:p>
    <w:p w14:paraId="394EB429">
      <w:pPr>
        <w:ind w:firstLine="482"/>
        <w:outlineLvl w:val="2"/>
        <w:rPr>
          <w:rFonts w:hint="default" w:ascii="Times New Roman" w:hAnsi="Times New Roman" w:eastAsia="宋体" w:cs="Times New Roman"/>
          <w:color w:val="000000" w:themeColor="text1"/>
          <w14:textFill>
            <w14:solidFill>
              <w14:schemeClr w14:val="tx1"/>
            </w14:solidFill>
          </w14:textFill>
        </w:rPr>
      </w:pPr>
      <w:bookmarkStart w:id="281" w:name="_Toc3233"/>
      <w:r>
        <w:rPr>
          <w:rFonts w:hint="default" w:ascii="Times New Roman" w:hAnsi="Times New Roman" w:eastAsia="宋体" w:cs="Times New Roman"/>
          <w:b/>
          <w:bCs/>
          <w:color w:val="000000" w:themeColor="text1"/>
          <w14:textFill>
            <w14:solidFill>
              <w14:schemeClr w14:val="tx1"/>
            </w14:solidFill>
          </w14:textFill>
        </w:rPr>
        <w:fldChar w:fldCharType="begin"/>
      </w:r>
      <w:r>
        <w:rPr>
          <w:rFonts w:hint="default" w:ascii="Times New Roman" w:hAnsi="Times New Roman" w:eastAsia="宋体" w:cs="Times New Roman"/>
          <w:b/>
          <w:bCs/>
          <w:color w:val="000000" w:themeColor="text1"/>
          <w14:textFill>
            <w14:solidFill>
              <w14:schemeClr w14:val="tx1"/>
            </w14:solidFill>
          </w14:textFill>
        </w:rPr>
        <w:instrText xml:space="preserve">HYPERLINK "C:\\Users\\Administrator\\Desktop\\科右前旗现代农牧业园区核心育种场养殖项目-修改稿\\5.2.6.1"</w:instrText>
      </w:r>
      <w:r>
        <w:rPr>
          <w:rFonts w:hint="default" w:ascii="Times New Roman" w:hAnsi="Times New Roman" w:eastAsia="宋体" w:cs="Times New Roman"/>
          <w:b/>
          <w:bCs/>
          <w:color w:val="000000" w:themeColor="text1"/>
          <w14:textFill>
            <w14:solidFill>
              <w14:schemeClr w14:val="tx1"/>
            </w14:solidFill>
          </w14:textFill>
        </w:rPr>
        <w:fldChar w:fldCharType="separate"/>
      </w:r>
      <w:r>
        <w:rPr>
          <w:rFonts w:hint="default" w:ascii="Times New Roman" w:hAnsi="Times New Roman" w:eastAsia="宋体" w:cs="Times New Roman"/>
          <w:b/>
          <w:bCs/>
          <w:color w:val="000000" w:themeColor="text1"/>
          <w14:textFill>
            <w14:solidFill>
              <w14:schemeClr w14:val="tx1"/>
            </w14:solidFill>
          </w14:textFill>
        </w:rPr>
        <w:t>6.7.1</w:t>
      </w:r>
      <w:r>
        <w:rPr>
          <w:rFonts w:hint="default" w:ascii="Times New Roman" w:hAnsi="Times New Roman" w:eastAsia="宋体" w:cs="Times New Roman"/>
          <w:b/>
          <w:bCs/>
          <w:color w:val="000000" w:themeColor="text1"/>
          <w14:textFill>
            <w14:solidFill>
              <w14:schemeClr w14:val="tx1"/>
            </w14:solidFill>
          </w14:textFill>
        </w:rPr>
        <w:fldChar w:fldCharType="end"/>
      </w:r>
      <w:r>
        <w:rPr>
          <w:rFonts w:hint="default" w:ascii="Times New Roman" w:hAnsi="Times New Roman" w:eastAsia="宋体" w:cs="Times New Roman"/>
          <w:b/>
          <w:bCs/>
          <w:color w:val="000000" w:themeColor="text1"/>
          <w14:textFill>
            <w14:solidFill>
              <w14:schemeClr w14:val="tx1"/>
            </w14:solidFill>
          </w14:textFill>
        </w:rPr>
        <w:t>影响识别</w:t>
      </w:r>
      <w:bookmarkEnd w:id="281"/>
    </w:p>
    <w:p w14:paraId="04C9D9C3">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根据《环境影响评价技术导则土壤环境（试行）》（HJ964-2018）附录A，本项目类别为“年出栏生猪5000头（其他畜禽种类折合猪的养殖规模）及以上的畜禽养殖场或养殖小区”，为II类项目。本项目为污染影响型项目，分别判定评价等级。</w:t>
      </w:r>
    </w:p>
    <w:p w14:paraId="4972CAA7">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项目占地规模为大型，项目所在地四周土壤为耕地、林地和草地，故敏感程度为“敏感”，污染影响型土壤环境影响评价工作等级为三级。</w:t>
      </w:r>
    </w:p>
    <w:p w14:paraId="66EAD7B2">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因此，本项目仅根据土壤污染影响型识别其影响，影响途径为大气沉降、垂直入渗、地面漫流。建设项目土壤影响类型与影响途径识别见表6.7-1，建设项目土壤环境影响源及影响因子识别见表6.7-2。</w:t>
      </w:r>
    </w:p>
    <w:p w14:paraId="13EB2861">
      <w:pPr>
        <w:ind w:left="-1" w:firstLine="0" w:firstLineChars="0"/>
        <w:jc w:val="center"/>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表6.7-1建设项目土壤环境影响类型与影响途径表</w:t>
      </w:r>
    </w:p>
    <w:tbl>
      <w:tblPr>
        <w:tblStyle w:val="35"/>
        <w:tblW w:w="8742"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165"/>
        <w:gridCol w:w="1042"/>
        <w:gridCol w:w="1132"/>
        <w:gridCol w:w="1132"/>
        <w:gridCol w:w="837"/>
        <w:gridCol w:w="889"/>
        <w:gridCol w:w="831"/>
        <w:gridCol w:w="831"/>
        <w:gridCol w:w="883"/>
      </w:tblGrid>
      <w:tr w14:paraId="240998E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8" w:hRule="atLeast"/>
          <w:jc w:val="center"/>
        </w:trPr>
        <w:tc>
          <w:tcPr>
            <w:tcW w:w="1165" w:type="dxa"/>
            <w:vAlign w:val="center"/>
          </w:tcPr>
          <w:p w14:paraId="3DCA5085">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不同时段</w:t>
            </w:r>
          </w:p>
        </w:tc>
        <w:tc>
          <w:tcPr>
            <w:tcW w:w="4143" w:type="dxa"/>
            <w:gridSpan w:val="4"/>
            <w:vAlign w:val="center"/>
          </w:tcPr>
          <w:p w14:paraId="49E828C5">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污染影响型</w:t>
            </w:r>
          </w:p>
        </w:tc>
        <w:tc>
          <w:tcPr>
            <w:tcW w:w="3434" w:type="dxa"/>
            <w:gridSpan w:val="4"/>
            <w:vAlign w:val="center"/>
          </w:tcPr>
          <w:p w14:paraId="1E4017DF">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生态影响型</w:t>
            </w:r>
          </w:p>
        </w:tc>
      </w:tr>
      <w:tr w14:paraId="4EFF583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6" w:hRule="atLeast"/>
          <w:jc w:val="center"/>
        </w:trPr>
        <w:tc>
          <w:tcPr>
            <w:tcW w:w="1165" w:type="dxa"/>
            <w:vMerge w:val="restart"/>
            <w:vAlign w:val="center"/>
          </w:tcPr>
          <w:p w14:paraId="13408925">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运营期</w:t>
            </w:r>
          </w:p>
        </w:tc>
        <w:tc>
          <w:tcPr>
            <w:tcW w:w="1042" w:type="dxa"/>
            <w:vAlign w:val="center"/>
          </w:tcPr>
          <w:p w14:paraId="6C588E85">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大气沉降</w:t>
            </w:r>
          </w:p>
        </w:tc>
        <w:tc>
          <w:tcPr>
            <w:tcW w:w="1132" w:type="dxa"/>
            <w:vAlign w:val="center"/>
          </w:tcPr>
          <w:p w14:paraId="6741A5EA">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地面漫流</w:t>
            </w:r>
          </w:p>
        </w:tc>
        <w:tc>
          <w:tcPr>
            <w:tcW w:w="1132" w:type="dxa"/>
            <w:vAlign w:val="center"/>
          </w:tcPr>
          <w:p w14:paraId="04CD6E6F">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垂直入渗</w:t>
            </w:r>
          </w:p>
        </w:tc>
        <w:tc>
          <w:tcPr>
            <w:tcW w:w="837" w:type="dxa"/>
            <w:vAlign w:val="center"/>
          </w:tcPr>
          <w:p w14:paraId="6840FD6D">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其他</w:t>
            </w:r>
          </w:p>
        </w:tc>
        <w:tc>
          <w:tcPr>
            <w:tcW w:w="889" w:type="dxa"/>
            <w:vAlign w:val="center"/>
          </w:tcPr>
          <w:p w14:paraId="5327F1B3">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盐化</w:t>
            </w:r>
          </w:p>
        </w:tc>
        <w:tc>
          <w:tcPr>
            <w:tcW w:w="831" w:type="dxa"/>
            <w:vAlign w:val="center"/>
          </w:tcPr>
          <w:p w14:paraId="629DA6D2">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碱化</w:t>
            </w:r>
          </w:p>
        </w:tc>
        <w:tc>
          <w:tcPr>
            <w:tcW w:w="831" w:type="dxa"/>
            <w:vAlign w:val="center"/>
          </w:tcPr>
          <w:p w14:paraId="51612B60">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酸化</w:t>
            </w:r>
          </w:p>
        </w:tc>
        <w:tc>
          <w:tcPr>
            <w:tcW w:w="883" w:type="dxa"/>
            <w:vAlign w:val="center"/>
          </w:tcPr>
          <w:p w14:paraId="14A0833E">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其它</w:t>
            </w:r>
          </w:p>
        </w:tc>
      </w:tr>
      <w:tr w14:paraId="2E3A2EB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6" w:hRule="atLeast"/>
          <w:jc w:val="center"/>
        </w:trPr>
        <w:tc>
          <w:tcPr>
            <w:tcW w:w="1165" w:type="dxa"/>
            <w:vMerge w:val="continue"/>
            <w:vAlign w:val="center"/>
          </w:tcPr>
          <w:p w14:paraId="5D1DB0D2">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042" w:type="dxa"/>
            <w:vAlign w:val="center"/>
          </w:tcPr>
          <w:p w14:paraId="04D9A121">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p>
        </w:tc>
        <w:tc>
          <w:tcPr>
            <w:tcW w:w="1132" w:type="dxa"/>
            <w:vAlign w:val="center"/>
          </w:tcPr>
          <w:p w14:paraId="054D6EC2">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p>
        </w:tc>
        <w:tc>
          <w:tcPr>
            <w:tcW w:w="1132" w:type="dxa"/>
            <w:vAlign w:val="center"/>
          </w:tcPr>
          <w:p w14:paraId="0B8C0E64">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p>
        </w:tc>
        <w:tc>
          <w:tcPr>
            <w:tcW w:w="837" w:type="dxa"/>
            <w:vAlign w:val="center"/>
          </w:tcPr>
          <w:p w14:paraId="092A54A9">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p>
        </w:tc>
        <w:tc>
          <w:tcPr>
            <w:tcW w:w="889" w:type="dxa"/>
            <w:vAlign w:val="center"/>
          </w:tcPr>
          <w:p w14:paraId="2A161606">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p>
        </w:tc>
        <w:tc>
          <w:tcPr>
            <w:tcW w:w="831" w:type="dxa"/>
            <w:vAlign w:val="center"/>
          </w:tcPr>
          <w:p w14:paraId="42FD8391">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p>
        </w:tc>
        <w:tc>
          <w:tcPr>
            <w:tcW w:w="831" w:type="dxa"/>
            <w:vAlign w:val="center"/>
          </w:tcPr>
          <w:p w14:paraId="5EA183A0">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p>
        </w:tc>
        <w:tc>
          <w:tcPr>
            <w:tcW w:w="883" w:type="dxa"/>
            <w:vAlign w:val="center"/>
          </w:tcPr>
          <w:p w14:paraId="4AC31653">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p>
        </w:tc>
      </w:tr>
    </w:tbl>
    <w:p w14:paraId="56F035E7">
      <w:pPr>
        <w:ind w:left="-1" w:firstLine="0" w:firstLineChars="0"/>
        <w:jc w:val="center"/>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表6.7-2建设项目土壤环境影响源及影响因子识别表</w:t>
      </w:r>
    </w:p>
    <w:tbl>
      <w:tblPr>
        <w:tblStyle w:val="35"/>
        <w:tblW w:w="8681"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875"/>
        <w:gridCol w:w="2488"/>
        <w:gridCol w:w="1461"/>
        <w:gridCol w:w="1553"/>
        <w:gridCol w:w="1295"/>
        <w:gridCol w:w="1009"/>
      </w:tblGrid>
      <w:tr w14:paraId="5DA2AAC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875" w:type="dxa"/>
            <w:vAlign w:val="center"/>
          </w:tcPr>
          <w:p w14:paraId="51A37DB6">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污染源</w:t>
            </w:r>
          </w:p>
        </w:tc>
        <w:tc>
          <w:tcPr>
            <w:tcW w:w="2488" w:type="dxa"/>
            <w:vAlign w:val="center"/>
          </w:tcPr>
          <w:p w14:paraId="43AB2F9F">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工艺流程/节点</w:t>
            </w:r>
          </w:p>
        </w:tc>
        <w:tc>
          <w:tcPr>
            <w:tcW w:w="1461" w:type="dxa"/>
            <w:vAlign w:val="center"/>
          </w:tcPr>
          <w:p w14:paraId="6DF7604E">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污染途径</w:t>
            </w:r>
          </w:p>
        </w:tc>
        <w:tc>
          <w:tcPr>
            <w:tcW w:w="1553" w:type="dxa"/>
            <w:vAlign w:val="center"/>
          </w:tcPr>
          <w:p w14:paraId="34360EBA">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全部污染物指标</w:t>
            </w:r>
          </w:p>
        </w:tc>
        <w:tc>
          <w:tcPr>
            <w:tcW w:w="1295" w:type="dxa"/>
            <w:vAlign w:val="center"/>
          </w:tcPr>
          <w:p w14:paraId="723ADBFF">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特征因子</w:t>
            </w:r>
          </w:p>
        </w:tc>
        <w:tc>
          <w:tcPr>
            <w:tcW w:w="1009" w:type="dxa"/>
            <w:vAlign w:val="center"/>
          </w:tcPr>
          <w:p w14:paraId="0669A6CD">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备注</w:t>
            </w:r>
          </w:p>
        </w:tc>
      </w:tr>
      <w:tr w14:paraId="39E520E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875" w:type="dxa"/>
            <w:vMerge w:val="restart"/>
            <w:tcBorders>
              <w:bottom w:val="nil"/>
            </w:tcBorders>
            <w:vAlign w:val="center"/>
          </w:tcPr>
          <w:p w14:paraId="38E65974">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养殖场</w:t>
            </w:r>
          </w:p>
        </w:tc>
        <w:tc>
          <w:tcPr>
            <w:tcW w:w="2488" w:type="dxa"/>
            <w:vAlign w:val="center"/>
          </w:tcPr>
          <w:p w14:paraId="3CD6FFC1">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牛舍、固液分离车间</w:t>
            </w:r>
          </w:p>
        </w:tc>
        <w:tc>
          <w:tcPr>
            <w:tcW w:w="1461" w:type="dxa"/>
            <w:vAlign w:val="center"/>
          </w:tcPr>
          <w:p w14:paraId="5279E4B2">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大气沉降</w:t>
            </w:r>
          </w:p>
        </w:tc>
        <w:tc>
          <w:tcPr>
            <w:tcW w:w="1553" w:type="dxa"/>
            <w:vAlign w:val="center"/>
          </w:tcPr>
          <w:p w14:paraId="25690F57">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NH</w:t>
            </w:r>
            <w:r>
              <w:rPr>
                <w:rFonts w:hint="default" w:ascii="Times New Roman" w:hAnsi="Times New Roman" w:eastAsia="宋体" w:cs="Times New Roman"/>
                <w:color w:val="000000" w:themeColor="text1"/>
                <w:sz w:val="21"/>
                <w:szCs w:val="21"/>
                <w:vertAlign w:val="subscript"/>
                <w14:textFill>
                  <w14:solidFill>
                    <w14:schemeClr w14:val="tx1"/>
                  </w14:solidFill>
                </w14:textFill>
              </w:rPr>
              <w:t>3</w:t>
            </w:r>
            <w:r>
              <w:rPr>
                <w:rFonts w:hint="default" w:ascii="Times New Roman" w:hAnsi="Times New Roman" w:eastAsia="宋体" w:cs="Times New Roman"/>
                <w:color w:val="000000" w:themeColor="text1"/>
                <w:sz w:val="21"/>
                <w:szCs w:val="21"/>
                <w14:textFill>
                  <w14:solidFill>
                    <w14:schemeClr w14:val="tx1"/>
                  </w14:solidFill>
                </w14:textFill>
              </w:rPr>
              <w:t>、H</w:t>
            </w:r>
            <w:r>
              <w:rPr>
                <w:rFonts w:hint="default" w:ascii="Times New Roman" w:hAnsi="Times New Roman" w:eastAsia="宋体" w:cs="Times New Roman"/>
                <w:color w:val="000000" w:themeColor="text1"/>
                <w:sz w:val="21"/>
                <w:szCs w:val="21"/>
                <w:vertAlign w:val="subscript"/>
                <w14:textFill>
                  <w14:solidFill>
                    <w14:schemeClr w14:val="tx1"/>
                  </w14:solidFill>
                </w14:textFill>
              </w:rPr>
              <w:t>2</w:t>
            </w:r>
            <w:r>
              <w:rPr>
                <w:rFonts w:hint="default" w:ascii="Times New Roman" w:hAnsi="Times New Roman" w:eastAsia="宋体" w:cs="Times New Roman"/>
                <w:color w:val="000000" w:themeColor="text1"/>
                <w:sz w:val="21"/>
                <w:szCs w:val="21"/>
                <w14:textFill>
                  <w14:solidFill>
                    <w14:schemeClr w14:val="tx1"/>
                  </w14:solidFill>
                </w14:textFill>
              </w:rPr>
              <w:t>S</w:t>
            </w:r>
          </w:p>
        </w:tc>
        <w:tc>
          <w:tcPr>
            <w:tcW w:w="1295" w:type="dxa"/>
            <w:vAlign w:val="center"/>
          </w:tcPr>
          <w:p w14:paraId="47E64BF8">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NH</w:t>
            </w:r>
            <w:r>
              <w:rPr>
                <w:rFonts w:hint="default" w:ascii="Times New Roman" w:hAnsi="Times New Roman" w:eastAsia="宋体" w:cs="Times New Roman"/>
                <w:color w:val="000000" w:themeColor="text1"/>
                <w:sz w:val="21"/>
                <w:szCs w:val="21"/>
                <w:vertAlign w:val="subscript"/>
                <w14:textFill>
                  <w14:solidFill>
                    <w14:schemeClr w14:val="tx1"/>
                  </w14:solidFill>
                </w14:textFill>
              </w:rPr>
              <w:t>3</w:t>
            </w:r>
            <w:r>
              <w:rPr>
                <w:rFonts w:hint="default" w:ascii="Times New Roman" w:hAnsi="Times New Roman" w:eastAsia="宋体" w:cs="Times New Roman"/>
                <w:color w:val="000000" w:themeColor="text1"/>
                <w:sz w:val="21"/>
                <w:szCs w:val="21"/>
                <w14:textFill>
                  <w14:solidFill>
                    <w14:schemeClr w14:val="tx1"/>
                  </w14:solidFill>
                </w14:textFill>
              </w:rPr>
              <w:t>、H</w:t>
            </w:r>
            <w:r>
              <w:rPr>
                <w:rFonts w:hint="default" w:ascii="Times New Roman" w:hAnsi="Times New Roman" w:eastAsia="宋体" w:cs="Times New Roman"/>
                <w:color w:val="000000" w:themeColor="text1"/>
                <w:sz w:val="21"/>
                <w:szCs w:val="21"/>
                <w:vertAlign w:val="subscript"/>
                <w14:textFill>
                  <w14:solidFill>
                    <w14:schemeClr w14:val="tx1"/>
                  </w14:solidFill>
                </w14:textFill>
              </w:rPr>
              <w:t>2</w:t>
            </w:r>
            <w:r>
              <w:rPr>
                <w:rFonts w:hint="default" w:ascii="Times New Roman" w:hAnsi="Times New Roman" w:eastAsia="宋体" w:cs="Times New Roman"/>
                <w:color w:val="000000" w:themeColor="text1"/>
                <w:sz w:val="21"/>
                <w:szCs w:val="21"/>
                <w14:textFill>
                  <w14:solidFill>
                    <w14:schemeClr w14:val="tx1"/>
                  </w14:solidFill>
                </w14:textFill>
              </w:rPr>
              <w:t>S</w:t>
            </w:r>
          </w:p>
        </w:tc>
        <w:tc>
          <w:tcPr>
            <w:tcW w:w="1009" w:type="dxa"/>
            <w:vAlign w:val="center"/>
          </w:tcPr>
          <w:p w14:paraId="38108FDB">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连续，正常</w:t>
            </w:r>
          </w:p>
        </w:tc>
      </w:tr>
      <w:tr w14:paraId="4C39154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875" w:type="dxa"/>
            <w:vMerge w:val="continue"/>
            <w:tcBorders>
              <w:top w:val="nil"/>
            </w:tcBorders>
            <w:vAlign w:val="center"/>
          </w:tcPr>
          <w:p w14:paraId="2BBD937B">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2488" w:type="dxa"/>
            <w:vAlign w:val="center"/>
          </w:tcPr>
          <w:p w14:paraId="08CEC7CD">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固液分离车间</w:t>
            </w:r>
          </w:p>
        </w:tc>
        <w:tc>
          <w:tcPr>
            <w:tcW w:w="1461" w:type="dxa"/>
            <w:vAlign w:val="center"/>
          </w:tcPr>
          <w:p w14:paraId="7983522A">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垂直入渗</w:t>
            </w:r>
          </w:p>
        </w:tc>
        <w:tc>
          <w:tcPr>
            <w:tcW w:w="1553" w:type="dxa"/>
            <w:vAlign w:val="center"/>
          </w:tcPr>
          <w:p w14:paraId="6274C2C6">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COD、BOD</w:t>
            </w:r>
            <w:r>
              <w:rPr>
                <w:rFonts w:hint="default" w:ascii="Times New Roman" w:hAnsi="Times New Roman" w:eastAsia="宋体" w:cs="Times New Roman"/>
                <w:color w:val="000000" w:themeColor="text1"/>
                <w:sz w:val="21"/>
                <w:szCs w:val="21"/>
                <w:vertAlign w:val="subscript"/>
                <w14:textFill>
                  <w14:solidFill>
                    <w14:schemeClr w14:val="tx1"/>
                  </w14:solidFill>
                </w14:textFill>
              </w:rPr>
              <w:t>5</w:t>
            </w:r>
            <w:r>
              <w:rPr>
                <w:rFonts w:hint="default" w:ascii="Times New Roman" w:hAnsi="Times New Roman" w:eastAsia="宋体" w:cs="Times New Roman"/>
                <w:color w:val="000000" w:themeColor="text1"/>
                <w:sz w:val="21"/>
                <w:szCs w:val="21"/>
                <w14:textFill>
                  <w14:solidFill>
                    <w14:schemeClr w14:val="tx1"/>
                  </w14:solidFill>
                </w14:textFill>
              </w:rPr>
              <w:t>、NH</w:t>
            </w:r>
            <w:r>
              <w:rPr>
                <w:rFonts w:hint="default" w:ascii="Times New Roman" w:hAnsi="Times New Roman" w:eastAsia="宋体" w:cs="Times New Roman"/>
                <w:color w:val="000000" w:themeColor="text1"/>
                <w:sz w:val="21"/>
                <w:szCs w:val="21"/>
                <w:vertAlign w:val="subscript"/>
                <w14:textFill>
                  <w14:solidFill>
                    <w14:schemeClr w14:val="tx1"/>
                  </w14:solidFill>
                </w14:textFill>
              </w:rPr>
              <w:t>3</w:t>
            </w:r>
            <w:r>
              <w:rPr>
                <w:rFonts w:hint="default" w:ascii="Times New Roman" w:hAnsi="Times New Roman" w:eastAsia="宋体" w:cs="Times New Roman"/>
                <w:color w:val="000000" w:themeColor="text1"/>
                <w:sz w:val="21"/>
                <w:szCs w:val="21"/>
                <w14:textFill>
                  <w14:solidFill>
                    <w14:schemeClr w14:val="tx1"/>
                  </w14:solidFill>
                </w14:textFill>
              </w:rPr>
              <w:t>-N</w:t>
            </w:r>
          </w:p>
        </w:tc>
        <w:tc>
          <w:tcPr>
            <w:tcW w:w="1295" w:type="dxa"/>
            <w:vAlign w:val="center"/>
          </w:tcPr>
          <w:p w14:paraId="156FC313">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COD、NH</w:t>
            </w:r>
            <w:r>
              <w:rPr>
                <w:rFonts w:hint="default" w:ascii="Times New Roman" w:hAnsi="Times New Roman" w:eastAsia="宋体" w:cs="Times New Roman"/>
                <w:color w:val="000000" w:themeColor="text1"/>
                <w:sz w:val="21"/>
                <w:szCs w:val="21"/>
                <w:vertAlign w:val="subscript"/>
                <w14:textFill>
                  <w14:solidFill>
                    <w14:schemeClr w14:val="tx1"/>
                  </w14:solidFill>
                </w14:textFill>
              </w:rPr>
              <w:t>3</w:t>
            </w:r>
            <w:r>
              <w:rPr>
                <w:rFonts w:hint="default" w:ascii="Times New Roman" w:hAnsi="Times New Roman" w:eastAsia="宋体" w:cs="Times New Roman"/>
                <w:color w:val="000000" w:themeColor="text1"/>
                <w:sz w:val="21"/>
                <w:szCs w:val="21"/>
                <w14:textFill>
                  <w14:solidFill>
                    <w14:schemeClr w14:val="tx1"/>
                  </w14:solidFill>
                </w14:textFill>
              </w:rPr>
              <w:t>-N</w:t>
            </w:r>
          </w:p>
        </w:tc>
        <w:tc>
          <w:tcPr>
            <w:tcW w:w="1009" w:type="dxa"/>
            <w:vAlign w:val="center"/>
          </w:tcPr>
          <w:p w14:paraId="16AEF784">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事故</w:t>
            </w:r>
          </w:p>
        </w:tc>
      </w:tr>
    </w:tbl>
    <w:p w14:paraId="1BE4B5D7">
      <w:pPr>
        <w:ind w:firstLine="482"/>
        <w:outlineLvl w:val="2"/>
        <w:rPr>
          <w:rFonts w:hint="default" w:ascii="Times New Roman" w:hAnsi="Times New Roman" w:eastAsia="宋体" w:cs="Times New Roman"/>
          <w:color w:val="000000" w:themeColor="text1"/>
          <w14:textFill>
            <w14:solidFill>
              <w14:schemeClr w14:val="tx1"/>
            </w14:solidFill>
          </w14:textFill>
        </w:rPr>
      </w:pPr>
      <w:bookmarkStart w:id="282" w:name="_Toc24064"/>
      <w:r>
        <w:rPr>
          <w:rFonts w:hint="default" w:ascii="Times New Roman" w:hAnsi="Times New Roman" w:eastAsia="宋体" w:cs="Times New Roman"/>
          <w:b/>
          <w:bCs/>
          <w:color w:val="000000" w:themeColor="text1"/>
          <w14:textFill>
            <w14:solidFill>
              <w14:schemeClr w14:val="tx1"/>
            </w14:solidFill>
          </w14:textFill>
        </w:rPr>
        <w:fldChar w:fldCharType="begin"/>
      </w:r>
      <w:r>
        <w:rPr>
          <w:rFonts w:hint="default" w:ascii="Times New Roman" w:hAnsi="Times New Roman" w:eastAsia="宋体" w:cs="Times New Roman"/>
          <w:b/>
          <w:bCs/>
          <w:color w:val="000000" w:themeColor="text1"/>
          <w14:textFill>
            <w14:solidFill>
              <w14:schemeClr w14:val="tx1"/>
            </w14:solidFill>
          </w14:textFill>
        </w:rPr>
        <w:instrText xml:space="preserve">HYPERLINK "C:\\Users\\Administrator\\Desktop\\科右前旗现代农牧业园区核心育种场养殖项目-修改稿\\5.2.6.2"</w:instrText>
      </w:r>
      <w:r>
        <w:rPr>
          <w:rFonts w:hint="default" w:ascii="Times New Roman" w:hAnsi="Times New Roman" w:eastAsia="宋体" w:cs="Times New Roman"/>
          <w:b/>
          <w:bCs/>
          <w:color w:val="000000" w:themeColor="text1"/>
          <w14:textFill>
            <w14:solidFill>
              <w14:schemeClr w14:val="tx1"/>
            </w14:solidFill>
          </w14:textFill>
        </w:rPr>
        <w:fldChar w:fldCharType="separate"/>
      </w:r>
      <w:r>
        <w:rPr>
          <w:rFonts w:hint="default" w:ascii="Times New Roman" w:hAnsi="Times New Roman" w:eastAsia="宋体" w:cs="Times New Roman"/>
          <w:b/>
          <w:bCs/>
          <w:color w:val="000000" w:themeColor="text1"/>
          <w14:textFill>
            <w14:solidFill>
              <w14:schemeClr w14:val="tx1"/>
            </w14:solidFill>
          </w14:textFill>
        </w:rPr>
        <w:t>6.7.2</w:t>
      </w:r>
      <w:r>
        <w:rPr>
          <w:rFonts w:hint="default" w:ascii="Times New Roman" w:hAnsi="Times New Roman" w:eastAsia="宋体" w:cs="Times New Roman"/>
          <w:b/>
          <w:bCs/>
          <w:color w:val="000000" w:themeColor="text1"/>
          <w14:textFill>
            <w14:solidFill>
              <w14:schemeClr w14:val="tx1"/>
            </w14:solidFill>
          </w14:textFill>
        </w:rPr>
        <w:fldChar w:fldCharType="end"/>
      </w:r>
      <w:r>
        <w:rPr>
          <w:rFonts w:hint="default" w:ascii="Times New Roman" w:hAnsi="Times New Roman" w:eastAsia="宋体" w:cs="Times New Roman"/>
          <w:b/>
          <w:bCs/>
          <w:color w:val="000000" w:themeColor="text1"/>
          <w14:textFill>
            <w14:solidFill>
              <w14:schemeClr w14:val="tx1"/>
            </w14:solidFill>
          </w14:textFill>
        </w:rPr>
        <w:t>影响分析</w:t>
      </w:r>
      <w:bookmarkEnd w:id="282"/>
    </w:p>
    <w:p w14:paraId="3BFA22FE">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按照《环境影响评价技术导则土壤环境（试行）》（HJ964-2018）中8.7.4的要求，采用定性描述法分析运营后的土壤环境影响。</w:t>
      </w:r>
    </w:p>
    <w:p w14:paraId="002C1C79">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（1）场区粪污、废水（渗滤液）垂直入渗影响</w:t>
      </w:r>
    </w:p>
    <w:p w14:paraId="45167B9C">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项目占地区域根据工程特点采取相应的防渗措施，满足《环境影响评价技术导则地下水环境》（HJ610-2016）及《地下水污染源防渗技术指南（试行）》等规范的要求。正常状况下，粪污全部进入有机肥车间进行好氧堆肥和深加工，堆肥设施及渗滤液收集井等均采用混凝土硬化及防身措施，初期雨水在钢筋混凝土池体、管道内或防渗地面上，不会出现渗漏至地下的情景发生。</w:t>
      </w:r>
    </w:p>
    <w:p w14:paraId="4E7E93A7">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根据本项目的实际情况分析，如果牛棚、粪污处理系统中的防渗地面等可视场所发生破损，容易及时发现，可以及时采取修复措施，即使有污液泄漏，建设单位可及时采取措施，不会任由污液漫流渗漏，任其渗入土壤。只在非可视部位发生小面积渗漏时，才可能有少量污水通过渗漏点逐渐渗入土壤。本项目对管线、池体等定期检修维护，可对破损泄漏部位及时修复，且本项目粪污、堆肥渗滤液、初期雨水等的污染物较为简单，主要为pH、COD、氨氮等，通过类比畜禽养殖场土壤污染情况调查，一般不会对场地土壤产生明显影响。</w:t>
      </w:r>
    </w:p>
    <w:p w14:paraId="005253EC">
      <w:pPr>
        <w:ind w:firstLine="480"/>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（2）粪污过量施用对农田土壤影响分析</w:t>
      </w:r>
    </w:p>
    <w:p w14:paraId="31A74117">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牛粪含有许多未消化吸收的有机物、微量元素和病原微生物。若不妥善处理，随意堆存，不仅滋生大量蚊蝇，污染土壤，还可能引起疫病传播，对人体乃至动植物危害极大，若不经处理直接施肥至农田耕地，会导致田地有机质、无机盐积累，土壤中不易移动的磷酸在土壤下层富集，导致土壤孔隙堵塞，造成土壤透气、透水性下降，引起大面积板结，破坏原有功能。如果施用量超过农用地所承受的最大负荷，便会造成土壤的富营养化，引起土壤风险。</w:t>
      </w:r>
    </w:p>
    <w:p w14:paraId="77688EA0">
      <w:pPr>
        <w:ind w:firstLine="480"/>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本项目的牛粪收集至</w:t>
      </w:r>
      <w:r>
        <w:rPr>
          <w:rFonts w:hint="eastAsia" w:cs="Times New Roman"/>
          <w:color w:val="000000" w:themeColor="text1"/>
          <w:lang w:val="en-US" w:eastAsia="zh-CN"/>
          <w14:textFill>
            <w14:solidFill>
              <w14:schemeClr w14:val="tx1"/>
            </w14:solidFill>
          </w14:textFill>
        </w:rPr>
        <w:t>堆肥场</w:t>
      </w:r>
      <w:r>
        <w:rPr>
          <w:rFonts w:hint="default" w:ascii="Times New Roman" w:hAnsi="Times New Roman" w:eastAsia="宋体" w:cs="Times New Roman"/>
          <w:color w:val="000000" w:themeColor="text1"/>
          <w:lang w:val="en-US" w:eastAsia="zh-CN"/>
          <w14:textFill>
            <w14:solidFill>
              <w14:schemeClr w14:val="tx1"/>
            </w14:solidFill>
          </w14:textFill>
        </w:rPr>
        <w:t>采用好氧堆肥工艺，于各类农用地施肥，可满足改善土壤肥力的作用，且不会超出土壤负荷，对土壤的影响可接受。</w:t>
      </w:r>
    </w:p>
    <w:p w14:paraId="5E5B4A80">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（3）饲料和兽药中重金属类微量元素对土壤环境的影响分析</w:t>
      </w:r>
    </w:p>
    <w:p w14:paraId="17A59969">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如果项目在养殖过程使用添加大量或超标重金属微量元素的饲料和兽药，可能导致重金属大量进入粪污残留，则在农田施肥过程存在土壤重金属污染风险。本项目严格按照国家有关规定合理使用兽药，严禁使用未经兽医药政部门批准的产品，饲养过程中的饲料配比符合国家《饲料添加剂安全使用规范》</w:t>
      </w:r>
      <w:r>
        <w:rPr>
          <w:rFonts w:hint="eastAsia" w:cs="Times New Roman"/>
          <w:color w:val="000000" w:themeColor="text1"/>
          <w:lang w:val="en-US" w:eastAsia="zh-CN"/>
          <w14:textFill>
            <w14:solidFill>
              <w14:schemeClr w14:val="tx1"/>
            </w14:solidFill>
          </w14:textFill>
        </w:rPr>
        <w:t>（</w:t>
      </w:r>
      <w:r>
        <w:rPr>
          <w:rFonts w:hint="default" w:ascii="Times New Roman" w:hAnsi="Times New Roman" w:eastAsia="宋体" w:cs="Times New Roman"/>
          <w:color w:val="000000" w:themeColor="text1"/>
          <w:lang w:val="en-US" w:eastAsia="zh-CN"/>
          <w14:textFill>
            <w14:solidFill>
              <w14:schemeClr w14:val="tx1"/>
            </w14:solidFill>
          </w14:textFill>
        </w:rPr>
        <w:t>农业部2625号</w:t>
      </w:r>
      <w:r>
        <w:rPr>
          <w:rFonts w:hint="eastAsia" w:cs="Times New Roman"/>
          <w:color w:val="000000" w:themeColor="text1"/>
          <w:lang w:val="en-US" w:eastAsia="zh-CN"/>
          <w14:textFill>
            <w14:solidFill>
              <w14:schemeClr w14:val="tx1"/>
            </w14:solidFill>
          </w14:textFill>
        </w:rPr>
        <w:t>）</w:t>
      </w:r>
      <w:r>
        <w:rPr>
          <w:rFonts w:hint="default" w:ascii="Times New Roman" w:hAnsi="Times New Roman" w:eastAsia="宋体" w:cs="Times New Roman"/>
          <w:color w:val="000000" w:themeColor="text1"/>
          <w:lang w:val="en-US" w:eastAsia="zh-CN"/>
          <w14:textFill>
            <w14:solidFill>
              <w14:schemeClr w14:val="tx1"/>
            </w14:solidFill>
          </w14:textFill>
        </w:rPr>
        <w:t>的要求，采用安全环保的微量元素添加剂，科学饲养，并严禁在饲料中添加含有大量重金属的微量元素，在源头上防止粪肥施用导致的土壤重金属富集和超标，防止污染土壤环境。</w:t>
      </w:r>
    </w:p>
    <w:p w14:paraId="100A4446">
      <w:pPr>
        <w:ind w:firstLine="482"/>
        <w:outlineLvl w:val="2"/>
        <w:rPr>
          <w:rFonts w:hint="eastAsia" w:ascii="Times New Roman" w:hAnsi="Times New Roman" w:eastAsia="宋体" w:cs="Times New Roman"/>
          <w:b/>
          <w:bCs/>
          <w:color w:val="000000" w:themeColor="text1"/>
          <w:lang w:val="en-US" w:eastAsia="zh-CN"/>
          <w14:textFill>
            <w14:solidFill>
              <w14:schemeClr w14:val="tx1"/>
            </w14:solidFill>
          </w14:textFill>
        </w:rPr>
      </w:pPr>
      <w:bookmarkStart w:id="283" w:name="_Toc19006"/>
      <w:r>
        <w:rPr>
          <w:rFonts w:hint="eastAsia" w:ascii="Times New Roman" w:hAnsi="Times New Roman" w:eastAsia="宋体" w:cs="Times New Roman"/>
          <w:b/>
          <w:bCs/>
          <w:color w:val="000000" w:themeColor="text1"/>
          <w:lang w:val="en-US" w:eastAsia="zh-CN"/>
          <w14:textFill>
            <w14:solidFill>
              <w14:schemeClr w14:val="tx1"/>
            </w14:solidFill>
          </w14:textFill>
        </w:rPr>
        <w:t>6.7.3土壤环境保护措施</w:t>
      </w:r>
      <w:bookmarkEnd w:id="283"/>
    </w:p>
    <w:p w14:paraId="160D6C56">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（1）现状保障措施</w:t>
      </w:r>
    </w:p>
    <w:p w14:paraId="13DCD1F9">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根据对场址区域土壤的监测，可满足《土壤环境质量</w:t>
      </w:r>
      <w:r>
        <w:rPr>
          <w:rFonts w:hint="eastAsia" w:cs="Times New Roman"/>
          <w:color w:val="000000" w:themeColor="text1"/>
          <w:lang w:val="en-US" w:eastAsia="zh-CN"/>
          <w14:textFill>
            <w14:solidFill>
              <w14:schemeClr w14:val="tx1"/>
            </w14:solidFill>
          </w14:textFill>
        </w:rPr>
        <w:t>-</w:t>
      </w:r>
      <w:r>
        <w:rPr>
          <w:rFonts w:hint="default" w:ascii="Times New Roman" w:hAnsi="Times New Roman" w:eastAsia="宋体" w:cs="Times New Roman"/>
          <w:color w:val="000000" w:themeColor="text1"/>
          <w:lang w:val="en-US" w:eastAsia="zh-CN"/>
          <w14:textFill>
            <w14:solidFill>
              <w14:schemeClr w14:val="tx1"/>
            </w14:solidFill>
          </w14:textFill>
        </w:rPr>
        <w:t>农用地土壤污染风险管控标准（试行）》（GB15618-2018）中筛选值。</w:t>
      </w:r>
    </w:p>
    <w:p w14:paraId="310936BB">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（2）源头控制措施</w:t>
      </w:r>
    </w:p>
    <w:p w14:paraId="146FA27E">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严格按照国家有关规定合理使用兽药、饲料添加剂，</w:t>
      </w:r>
      <w:r>
        <w:rPr>
          <w:rFonts w:hint="eastAsia" w:cs="Times New Roman"/>
          <w:color w:val="000000" w:themeColor="text1"/>
          <w:lang w:val="en-US" w:eastAsia="zh-CN"/>
          <w14:textFill>
            <w14:solidFill>
              <w14:schemeClr w14:val="tx1"/>
            </w14:solidFill>
          </w14:textFill>
        </w:rPr>
        <w:t>固肥</w:t>
      </w:r>
      <w:r>
        <w:rPr>
          <w:rFonts w:hint="default" w:ascii="Times New Roman" w:hAnsi="Times New Roman" w:eastAsia="宋体" w:cs="Times New Roman"/>
          <w:color w:val="000000" w:themeColor="text1"/>
          <w:lang w:val="en-US" w:eastAsia="zh-CN"/>
          <w14:textFill>
            <w14:solidFill>
              <w14:schemeClr w14:val="tx1"/>
            </w14:solidFill>
          </w14:textFill>
        </w:rPr>
        <w:t>质量严格</w:t>
      </w:r>
      <w:r>
        <w:rPr>
          <w:rFonts w:hint="eastAsia" w:cs="Times New Roman"/>
          <w:color w:val="000000" w:themeColor="text1"/>
          <w:lang w:val="en-US" w:eastAsia="zh-CN"/>
          <w14:textFill>
            <w14:solidFill>
              <w14:schemeClr w14:val="tx1"/>
            </w14:solidFill>
          </w14:textFill>
        </w:rPr>
        <w:t>把控</w:t>
      </w:r>
      <w:r>
        <w:rPr>
          <w:rFonts w:hint="default" w:ascii="Times New Roman" w:hAnsi="Times New Roman" w:eastAsia="宋体" w:cs="Times New Roman"/>
          <w:color w:val="000000" w:themeColor="text1"/>
          <w:lang w:val="en-US" w:eastAsia="zh-CN"/>
          <w14:textFill>
            <w14:solidFill>
              <w14:schemeClr w14:val="tx1"/>
            </w14:solidFill>
          </w14:textFill>
        </w:rPr>
        <w:t>，防止施肥过程因肥料中重金属微量元素富集导致的土壤污染风险。</w:t>
      </w:r>
    </w:p>
    <w:p w14:paraId="25954B48">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加强渗滤液、粪污处理及输送设施的维护和管理，防止渗滤液和粪污的跑、冒、滴、漏和非正常排放，将污染物泄漏的环境风险事故降到最低限度。</w:t>
      </w:r>
    </w:p>
    <w:p w14:paraId="7139FE74">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（3）过程防控措施</w:t>
      </w:r>
    </w:p>
    <w:p w14:paraId="4F831736">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项目根据工程特点采取相应的防渗措施，满足《环境影响评价技术导则地下水环境》</w:t>
      </w:r>
      <w:r>
        <w:rPr>
          <w:rFonts w:hint="eastAsia" w:cs="Times New Roman"/>
          <w:color w:val="000000" w:themeColor="text1"/>
          <w:lang w:val="en-US" w:eastAsia="zh-CN"/>
          <w14:textFill>
            <w14:solidFill>
              <w14:schemeClr w14:val="tx1"/>
            </w14:solidFill>
          </w14:textFill>
        </w:rPr>
        <w:t>（</w:t>
      </w:r>
      <w:r>
        <w:rPr>
          <w:rFonts w:hint="default" w:ascii="Times New Roman" w:hAnsi="Times New Roman" w:eastAsia="宋体" w:cs="Times New Roman"/>
          <w:color w:val="000000" w:themeColor="text1"/>
          <w:lang w:val="en-US" w:eastAsia="zh-CN"/>
          <w14:textFill>
            <w14:solidFill>
              <w14:schemeClr w14:val="tx1"/>
            </w14:solidFill>
          </w14:textFill>
        </w:rPr>
        <w:t>HJ610-2016</w:t>
      </w:r>
      <w:r>
        <w:rPr>
          <w:rFonts w:hint="eastAsia" w:cs="Times New Roman"/>
          <w:color w:val="000000" w:themeColor="text1"/>
          <w:lang w:val="en-US" w:eastAsia="zh-CN"/>
          <w14:textFill>
            <w14:solidFill>
              <w14:schemeClr w14:val="tx1"/>
            </w14:solidFill>
          </w14:textFill>
        </w:rPr>
        <w:t>）</w:t>
      </w:r>
      <w:r>
        <w:rPr>
          <w:rFonts w:hint="default" w:ascii="Times New Roman" w:hAnsi="Times New Roman" w:eastAsia="宋体" w:cs="Times New Roman"/>
          <w:color w:val="000000" w:themeColor="text1"/>
          <w:lang w:val="en-US" w:eastAsia="zh-CN"/>
          <w14:textFill>
            <w14:solidFill>
              <w14:schemeClr w14:val="tx1"/>
            </w14:solidFill>
          </w14:textFill>
        </w:rPr>
        <w:t>以及《地下水污染源防渗技术指南（试行）》等规范的要求。</w:t>
      </w:r>
    </w:p>
    <w:p w14:paraId="24FBA455">
      <w:pPr>
        <w:ind w:firstLine="482"/>
        <w:outlineLvl w:val="2"/>
        <w:rPr>
          <w:rFonts w:hint="default" w:ascii="Times New Roman" w:hAnsi="Times New Roman" w:eastAsia="宋体" w:cs="Times New Roman"/>
          <w:b/>
          <w:bCs/>
          <w:color w:val="000000" w:themeColor="text1"/>
          <w:lang w:val="en-US" w:eastAsia="zh-CN"/>
          <w14:textFill>
            <w14:solidFill>
              <w14:schemeClr w14:val="tx1"/>
            </w14:solidFill>
          </w14:textFill>
        </w:rPr>
      </w:pPr>
      <w:bookmarkStart w:id="284" w:name="_Toc2854"/>
      <w:r>
        <w:rPr>
          <w:rFonts w:hint="default" w:ascii="Times New Roman" w:hAnsi="Times New Roman" w:eastAsia="宋体" w:cs="Times New Roman"/>
          <w:b/>
          <w:bCs/>
          <w:color w:val="000000" w:themeColor="text1"/>
          <w:lang w:val="en-US" w:eastAsia="zh-CN"/>
          <w14:textFill>
            <w14:solidFill>
              <w14:schemeClr w14:val="tx1"/>
            </w14:solidFill>
          </w14:textFill>
        </w:rPr>
        <w:t>6.</w:t>
      </w:r>
      <w:r>
        <w:rPr>
          <w:rFonts w:hint="eastAsia" w:ascii="Times New Roman" w:hAnsi="Times New Roman" w:eastAsia="宋体" w:cs="Times New Roman"/>
          <w:b/>
          <w:bCs/>
          <w:color w:val="000000" w:themeColor="text1"/>
          <w:lang w:val="en-US" w:eastAsia="zh-CN"/>
          <w14:textFill>
            <w14:solidFill>
              <w14:schemeClr w14:val="tx1"/>
            </w14:solidFill>
          </w14:textFill>
        </w:rPr>
        <w:t>7.</w:t>
      </w:r>
      <w:r>
        <w:rPr>
          <w:rFonts w:hint="default" w:ascii="Times New Roman" w:hAnsi="Times New Roman" w:eastAsia="宋体" w:cs="Times New Roman"/>
          <w:b/>
          <w:bCs/>
          <w:color w:val="000000" w:themeColor="text1"/>
          <w:lang w:val="en-US" w:eastAsia="zh-CN"/>
          <w14:textFill>
            <w14:solidFill>
              <w14:schemeClr w14:val="tx1"/>
            </w14:solidFill>
          </w14:textFill>
        </w:rPr>
        <w:t>4土壤环境评价结论</w:t>
      </w:r>
      <w:bookmarkEnd w:id="284"/>
    </w:p>
    <w:p w14:paraId="12ED4E10">
      <w:pPr>
        <w:ind w:firstLine="480"/>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根据对场址土壤的监测，各监测点均可满足《土壤环境质量</w:t>
      </w:r>
      <w:r>
        <w:rPr>
          <w:rFonts w:hint="eastAsia" w:cs="Times New Roman"/>
          <w:color w:val="000000" w:themeColor="text1"/>
          <w:lang w:val="en-US" w:eastAsia="zh-CN"/>
          <w14:textFill>
            <w14:solidFill>
              <w14:schemeClr w14:val="tx1"/>
            </w14:solidFill>
          </w14:textFill>
        </w:rPr>
        <w:t>-</w:t>
      </w:r>
      <w:r>
        <w:rPr>
          <w:rFonts w:hint="default" w:ascii="Times New Roman" w:hAnsi="Times New Roman" w:eastAsia="宋体" w:cs="Times New Roman"/>
          <w:color w:val="000000" w:themeColor="text1"/>
          <w:lang w:val="en-US" w:eastAsia="zh-CN"/>
          <w14:textFill>
            <w14:solidFill>
              <w14:schemeClr w14:val="tx1"/>
            </w14:solidFill>
          </w14:textFill>
        </w:rPr>
        <w:t>农用地土壤污染风险管控标准（试行）》（GB15618-2018）中筛选值，项目运营后严格落实分区防渗措施，从源头和过程控制减轻项目建设及运营对土壤可能造成的影响程度和风险，从土壤环境影响的角度分析，项目建设可行。</w:t>
      </w:r>
    </w:p>
    <w:p w14:paraId="2CDAD27C">
      <w:pPr>
        <w:ind w:firstLine="480"/>
        <w:rPr>
          <w:rFonts w:hint="default" w:ascii="Times New Roman" w:hAnsi="Times New Roman" w:eastAsia="宋体" w:cs="Times New Roman"/>
          <w:color w:val="000000" w:themeColor="text1"/>
          <w:lang w:val="en-US"/>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土壤环境影响评价自查表见</w:t>
      </w:r>
      <w:r>
        <w:rPr>
          <w:rFonts w:hint="eastAsia" w:cs="Times New Roman"/>
          <w:color w:val="000000" w:themeColor="text1"/>
          <w:lang w:val="en-US" w:eastAsia="zh-CN"/>
          <w14:textFill>
            <w14:solidFill>
              <w14:schemeClr w14:val="tx1"/>
            </w14:solidFill>
          </w14:textFill>
        </w:rPr>
        <w:t>下</w:t>
      </w:r>
      <w:r>
        <w:rPr>
          <w:rFonts w:hint="default" w:ascii="Times New Roman" w:hAnsi="Times New Roman" w:eastAsia="宋体" w:cs="Times New Roman"/>
          <w:color w:val="000000" w:themeColor="text1"/>
          <w:lang w:val="en-US" w:eastAsia="zh-CN"/>
          <w14:textFill>
            <w14:solidFill>
              <w14:schemeClr w14:val="tx1"/>
            </w14:solidFill>
          </w14:textFill>
        </w:rPr>
        <w:t>表。</w:t>
      </w:r>
    </w:p>
    <w:p w14:paraId="057E2E94">
      <w:pPr>
        <w:ind w:firstLine="0" w:firstLineChars="0"/>
        <w:jc w:val="center"/>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表6.7-3土壤环境影响评价自查表</w:t>
      </w:r>
    </w:p>
    <w:tbl>
      <w:tblPr>
        <w:tblStyle w:val="35"/>
        <w:tblW w:w="9093"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513"/>
        <w:gridCol w:w="1500"/>
        <w:gridCol w:w="1521"/>
        <w:gridCol w:w="1003"/>
        <w:gridCol w:w="773"/>
        <w:gridCol w:w="1280"/>
        <w:gridCol w:w="291"/>
        <w:gridCol w:w="1340"/>
        <w:gridCol w:w="872"/>
      </w:tblGrid>
      <w:tr w14:paraId="64306B5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9" w:hRule="atLeast"/>
          <w:jc w:val="center"/>
        </w:trPr>
        <w:tc>
          <w:tcPr>
            <w:tcW w:w="2013" w:type="dxa"/>
            <w:gridSpan w:val="2"/>
            <w:tcBorders>
              <w:top w:val="single" w:color="000000" w:sz="10" w:space="0"/>
              <w:left w:val="single" w:color="000000" w:sz="10" w:space="0"/>
            </w:tcBorders>
            <w:vAlign w:val="center"/>
          </w:tcPr>
          <w:p w14:paraId="749E5884">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工作内容</w:t>
            </w:r>
          </w:p>
        </w:tc>
        <w:tc>
          <w:tcPr>
            <w:tcW w:w="6208" w:type="dxa"/>
            <w:gridSpan w:val="6"/>
            <w:tcBorders>
              <w:top w:val="single" w:color="000000" w:sz="10" w:space="0"/>
            </w:tcBorders>
            <w:vAlign w:val="center"/>
          </w:tcPr>
          <w:p w14:paraId="08F8CDE0">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完成情况</w:t>
            </w:r>
          </w:p>
        </w:tc>
        <w:tc>
          <w:tcPr>
            <w:tcW w:w="872" w:type="dxa"/>
            <w:tcBorders>
              <w:top w:val="single" w:color="000000" w:sz="10" w:space="0"/>
              <w:right w:val="single" w:color="000000" w:sz="10" w:space="0"/>
            </w:tcBorders>
            <w:vAlign w:val="center"/>
          </w:tcPr>
          <w:p w14:paraId="100CC0ED">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备注</w:t>
            </w:r>
          </w:p>
        </w:tc>
      </w:tr>
      <w:tr w14:paraId="7215A9D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4" w:hRule="atLeast"/>
          <w:jc w:val="center"/>
        </w:trPr>
        <w:tc>
          <w:tcPr>
            <w:tcW w:w="513" w:type="dxa"/>
            <w:vMerge w:val="restart"/>
            <w:tcBorders>
              <w:left w:val="single" w:color="000000" w:sz="10" w:space="0"/>
              <w:bottom w:val="nil"/>
            </w:tcBorders>
            <w:vAlign w:val="center"/>
          </w:tcPr>
          <w:p w14:paraId="70F7FD36">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影响识别</w:t>
            </w:r>
          </w:p>
        </w:tc>
        <w:tc>
          <w:tcPr>
            <w:tcW w:w="1500" w:type="dxa"/>
            <w:vAlign w:val="center"/>
          </w:tcPr>
          <w:p w14:paraId="5C9BB150">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影响类型</w:t>
            </w:r>
          </w:p>
        </w:tc>
        <w:tc>
          <w:tcPr>
            <w:tcW w:w="6208" w:type="dxa"/>
            <w:gridSpan w:val="6"/>
            <w:vAlign w:val="center"/>
          </w:tcPr>
          <w:p w14:paraId="2AA90207">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污染影响型</w:t>
            </w:r>
            <w:r>
              <w:rPr>
                <w:rFonts w:hint="eastAsia" w:cs="Times New Roman"/>
                <w:color w:val="000000" w:themeColor="text1"/>
                <w:sz w:val="21"/>
                <w:szCs w:val="21"/>
                <w:lang w:eastAsia="zh-CN"/>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；生态影响型□；两种兼有□</w:t>
            </w:r>
          </w:p>
        </w:tc>
        <w:tc>
          <w:tcPr>
            <w:tcW w:w="872" w:type="dxa"/>
            <w:tcBorders>
              <w:right w:val="single" w:color="000000" w:sz="10" w:space="0"/>
            </w:tcBorders>
            <w:vAlign w:val="center"/>
          </w:tcPr>
          <w:p w14:paraId="7F66A37E">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r>
      <w:tr w14:paraId="103C451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07" w:hRule="atLeast"/>
          <w:jc w:val="center"/>
        </w:trPr>
        <w:tc>
          <w:tcPr>
            <w:tcW w:w="513" w:type="dxa"/>
            <w:vMerge w:val="continue"/>
            <w:tcBorders>
              <w:top w:val="nil"/>
              <w:left w:val="single" w:color="000000" w:sz="10" w:space="0"/>
              <w:bottom w:val="nil"/>
            </w:tcBorders>
            <w:textDirection w:val="tbRlV"/>
            <w:vAlign w:val="center"/>
          </w:tcPr>
          <w:p w14:paraId="2C3C6F2B">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500" w:type="dxa"/>
            <w:vAlign w:val="center"/>
          </w:tcPr>
          <w:p w14:paraId="68512E39">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土地利用类型</w:t>
            </w:r>
          </w:p>
        </w:tc>
        <w:tc>
          <w:tcPr>
            <w:tcW w:w="6208" w:type="dxa"/>
            <w:gridSpan w:val="6"/>
            <w:vAlign w:val="center"/>
          </w:tcPr>
          <w:p w14:paraId="4B22329A">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建设用地□；农用地</w:t>
            </w:r>
            <w:r>
              <w:rPr>
                <w:rFonts w:hint="eastAsia" w:cs="Times New Roman"/>
                <w:color w:val="000000" w:themeColor="text1"/>
                <w:sz w:val="21"/>
                <w:szCs w:val="21"/>
                <w:lang w:eastAsia="zh-CN"/>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；未利用地□</w:t>
            </w:r>
          </w:p>
        </w:tc>
        <w:tc>
          <w:tcPr>
            <w:tcW w:w="872" w:type="dxa"/>
            <w:tcBorders>
              <w:right w:val="single" w:color="000000" w:sz="10" w:space="0"/>
            </w:tcBorders>
            <w:vAlign w:val="center"/>
          </w:tcPr>
          <w:p w14:paraId="7F15AF25">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土地利用类型图</w:t>
            </w:r>
          </w:p>
        </w:tc>
      </w:tr>
      <w:tr w14:paraId="54879A1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5" w:hRule="atLeast"/>
          <w:jc w:val="center"/>
        </w:trPr>
        <w:tc>
          <w:tcPr>
            <w:tcW w:w="513" w:type="dxa"/>
            <w:vMerge w:val="continue"/>
            <w:tcBorders>
              <w:top w:val="nil"/>
              <w:left w:val="single" w:color="000000" w:sz="10" w:space="0"/>
              <w:bottom w:val="nil"/>
            </w:tcBorders>
            <w:textDirection w:val="tbRlV"/>
            <w:vAlign w:val="center"/>
          </w:tcPr>
          <w:p w14:paraId="4E9DA298">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500" w:type="dxa"/>
            <w:vAlign w:val="center"/>
          </w:tcPr>
          <w:p w14:paraId="64253A99">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占地规模</w:t>
            </w:r>
          </w:p>
        </w:tc>
        <w:tc>
          <w:tcPr>
            <w:tcW w:w="6208" w:type="dxa"/>
            <w:gridSpan w:val="6"/>
            <w:vAlign w:val="center"/>
          </w:tcPr>
          <w:p w14:paraId="218E9A19">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（10.48）hm²</w:t>
            </w:r>
          </w:p>
        </w:tc>
        <w:tc>
          <w:tcPr>
            <w:tcW w:w="872" w:type="dxa"/>
            <w:tcBorders>
              <w:right w:val="single" w:color="000000" w:sz="10" w:space="0"/>
            </w:tcBorders>
            <w:vAlign w:val="center"/>
          </w:tcPr>
          <w:p w14:paraId="3C79A30E">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r>
      <w:tr w14:paraId="69B31F5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4" w:hRule="atLeast"/>
          <w:jc w:val="center"/>
        </w:trPr>
        <w:tc>
          <w:tcPr>
            <w:tcW w:w="513" w:type="dxa"/>
            <w:vMerge w:val="continue"/>
            <w:tcBorders>
              <w:top w:val="nil"/>
              <w:left w:val="single" w:color="000000" w:sz="10" w:space="0"/>
              <w:bottom w:val="nil"/>
            </w:tcBorders>
            <w:textDirection w:val="tbRlV"/>
            <w:vAlign w:val="center"/>
          </w:tcPr>
          <w:p w14:paraId="628AD982">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500" w:type="dxa"/>
            <w:vAlign w:val="center"/>
          </w:tcPr>
          <w:p w14:paraId="7440370B">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敏感目标信息</w:t>
            </w:r>
          </w:p>
        </w:tc>
        <w:tc>
          <w:tcPr>
            <w:tcW w:w="6208" w:type="dxa"/>
            <w:gridSpan w:val="6"/>
            <w:vAlign w:val="center"/>
          </w:tcPr>
          <w:p w14:paraId="77225AFF">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敏感目标（林地、草地）、方位（四周）、距离（紧邻）</w:t>
            </w:r>
          </w:p>
        </w:tc>
        <w:tc>
          <w:tcPr>
            <w:tcW w:w="872" w:type="dxa"/>
            <w:tcBorders>
              <w:right w:val="single" w:color="000000" w:sz="10" w:space="0"/>
            </w:tcBorders>
            <w:vAlign w:val="center"/>
          </w:tcPr>
          <w:p w14:paraId="2E8BE3A2">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r>
      <w:tr w14:paraId="44486BF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4" w:hRule="atLeast"/>
          <w:jc w:val="center"/>
        </w:trPr>
        <w:tc>
          <w:tcPr>
            <w:tcW w:w="513" w:type="dxa"/>
            <w:vMerge w:val="continue"/>
            <w:tcBorders>
              <w:top w:val="nil"/>
              <w:left w:val="single" w:color="000000" w:sz="10" w:space="0"/>
              <w:bottom w:val="nil"/>
            </w:tcBorders>
            <w:textDirection w:val="tbRlV"/>
            <w:vAlign w:val="center"/>
          </w:tcPr>
          <w:p w14:paraId="2C38457A">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500" w:type="dxa"/>
            <w:vAlign w:val="center"/>
          </w:tcPr>
          <w:p w14:paraId="754BD0A4">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影响途径</w:t>
            </w:r>
          </w:p>
        </w:tc>
        <w:tc>
          <w:tcPr>
            <w:tcW w:w="6208" w:type="dxa"/>
            <w:gridSpan w:val="6"/>
            <w:vAlign w:val="center"/>
          </w:tcPr>
          <w:p w14:paraId="68619E60">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大气沉降</w:t>
            </w:r>
            <w:r>
              <w:rPr>
                <w:rFonts w:hint="eastAsia" w:cs="Times New Roman"/>
                <w:color w:val="000000" w:themeColor="text1"/>
                <w:sz w:val="21"/>
                <w:szCs w:val="21"/>
                <w:lang w:eastAsia="zh-CN"/>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；地面漫流□；垂直入渗</w:t>
            </w:r>
            <w:r>
              <w:rPr>
                <w:rFonts w:hint="eastAsia" w:cs="Times New Roman"/>
                <w:color w:val="000000" w:themeColor="text1"/>
                <w:sz w:val="21"/>
                <w:szCs w:val="21"/>
                <w:lang w:eastAsia="zh-CN"/>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；地下水位□；其他（）</w:t>
            </w:r>
          </w:p>
        </w:tc>
        <w:tc>
          <w:tcPr>
            <w:tcW w:w="872" w:type="dxa"/>
            <w:tcBorders>
              <w:right w:val="single" w:color="000000" w:sz="10" w:space="0"/>
            </w:tcBorders>
            <w:vAlign w:val="center"/>
          </w:tcPr>
          <w:p w14:paraId="1207F7E7">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r>
      <w:tr w14:paraId="6B0EC29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5" w:hRule="atLeast"/>
          <w:jc w:val="center"/>
        </w:trPr>
        <w:tc>
          <w:tcPr>
            <w:tcW w:w="513" w:type="dxa"/>
            <w:vMerge w:val="continue"/>
            <w:tcBorders>
              <w:top w:val="nil"/>
              <w:left w:val="single" w:color="000000" w:sz="10" w:space="0"/>
              <w:bottom w:val="nil"/>
            </w:tcBorders>
            <w:textDirection w:val="tbRlV"/>
            <w:vAlign w:val="center"/>
          </w:tcPr>
          <w:p w14:paraId="606B864A">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500" w:type="dxa"/>
            <w:vAlign w:val="center"/>
          </w:tcPr>
          <w:p w14:paraId="3425EF42">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全部污染物</w:t>
            </w:r>
          </w:p>
        </w:tc>
        <w:tc>
          <w:tcPr>
            <w:tcW w:w="6208" w:type="dxa"/>
            <w:gridSpan w:val="6"/>
            <w:vAlign w:val="center"/>
          </w:tcPr>
          <w:p w14:paraId="6C93EE38">
            <w:pPr>
              <w:ind w:firstLine="0" w:firstLineChars="0"/>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w:t>
            </w:r>
          </w:p>
        </w:tc>
        <w:tc>
          <w:tcPr>
            <w:tcW w:w="872" w:type="dxa"/>
            <w:tcBorders>
              <w:right w:val="single" w:color="000000" w:sz="10" w:space="0"/>
            </w:tcBorders>
            <w:vAlign w:val="center"/>
          </w:tcPr>
          <w:p w14:paraId="2407EE04">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r>
      <w:tr w14:paraId="540812A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4" w:hRule="atLeast"/>
          <w:jc w:val="center"/>
        </w:trPr>
        <w:tc>
          <w:tcPr>
            <w:tcW w:w="513" w:type="dxa"/>
            <w:vMerge w:val="continue"/>
            <w:tcBorders>
              <w:top w:val="nil"/>
              <w:left w:val="single" w:color="000000" w:sz="10" w:space="0"/>
              <w:bottom w:val="nil"/>
            </w:tcBorders>
            <w:textDirection w:val="tbRlV"/>
            <w:vAlign w:val="center"/>
          </w:tcPr>
          <w:p w14:paraId="66AF2E33">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500" w:type="dxa"/>
            <w:vAlign w:val="center"/>
          </w:tcPr>
          <w:p w14:paraId="29E51B88">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特征因子</w:t>
            </w:r>
          </w:p>
        </w:tc>
        <w:tc>
          <w:tcPr>
            <w:tcW w:w="6208" w:type="dxa"/>
            <w:gridSpan w:val="6"/>
            <w:vAlign w:val="center"/>
          </w:tcPr>
          <w:p w14:paraId="48AA1FE9">
            <w:pPr>
              <w:ind w:firstLine="0" w:firstLineChars="0"/>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w:t>
            </w:r>
          </w:p>
        </w:tc>
        <w:tc>
          <w:tcPr>
            <w:tcW w:w="872" w:type="dxa"/>
            <w:tcBorders>
              <w:right w:val="single" w:color="000000" w:sz="10" w:space="0"/>
            </w:tcBorders>
            <w:vAlign w:val="center"/>
          </w:tcPr>
          <w:p w14:paraId="3173AA8D">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r>
      <w:tr w14:paraId="6D501DA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75" w:hRule="atLeast"/>
          <w:jc w:val="center"/>
        </w:trPr>
        <w:tc>
          <w:tcPr>
            <w:tcW w:w="513" w:type="dxa"/>
            <w:vMerge w:val="continue"/>
            <w:tcBorders>
              <w:top w:val="nil"/>
              <w:left w:val="single" w:color="000000" w:sz="10" w:space="0"/>
              <w:bottom w:val="nil"/>
            </w:tcBorders>
            <w:textDirection w:val="tbRlV"/>
            <w:vAlign w:val="center"/>
          </w:tcPr>
          <w:p w14:paraId="2D72168A">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500" w:type="dxa"/>
            <w:vAlign w:val="center"/>
          </w:tcPr>
          <w:p w14:paraId="779BC0EA">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所属土壤环境影响评价项目类别</w:t>
            </w:r>
          </w:p>
        </w:tc>
        <w:tc>
          <w:tcPr>
            <w:tcW w:w="6208" w:type="dxa"/>
            <w:gridSpan w:val="6"/>
            <w:vAlign w:val="center"/>
          </w:tcPr>
          <w:p w14:paraId="5BA0A35C">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Ⅰ类□；Ⅱ类□；Ⅲ类</w:t>
            </w:r>
            <w:r>
              <w:rPr>
                <w:rFonts w:hint="eastAsia" w:cs="Times New Roman"/>
                <w:color w:val="000000" w:themeColor="text1"/>
                <w:sz w:val="21"/>
                <w:szCs w:val="21"/>
                <w:lang w:eastAsia="zh-CN"/>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；Ⅳ类□</w:t>
            </w:r>
          </w:p>
        </w:tc>
        <w:tc>
          <w:tcPr>
            <w:tcW w:w="872" w:type="dxa"/>
            <w:tcBorders>
              <w:right w:val="single" w:color="000000" w:sz="10" w:space="0"/>
            </w:tcBorders>
            <w:vAlign w:val="center"/>
          </w:tcPr>
          <w:p w14:paraId="65B2842A">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r>
      <w:tr w14:paraId="4EFABFC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5" w:hRule="atLeast"/>
          <w:jc w:val="center"/>
        </w:trPr>
        <w:tc>
          <w:tcPr>
            <w:tcW w:w="513" w:type="dxa"/>
            <w:vMerge w:val="continue"/>
            <w:tcBorders>
              <w:top w:val="nil"/>
              <w:left w:val="single" w:color="000000" w:sz="10" w:space="0"/>
            </w:tcBorders>
            <w:textDirection w:val="tbRlV"/>
            <w:vAlign w:val="center"/>
          </w:tcPr>
          <w:p w14:paraId="15E4E264">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500" w:type="dxa"/>
            <w:vAlign w:val="center"/>
          </w:tcPr>
          <w:p w14:paraId="6EB94EE8">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敏感程度</w:t>
            </w:r>
          </w:p>
        </w:tc>
        <w:tc>
          <w:tcPr>
            <w:tcW w:w="6208" w:type="dxa"/>
            <w:gridSpan w:val="6"/>
            <w:vAlign w:val="center"/>
          </w:tcPr>
          <w:p w14:paraId="2366A21D">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敏感</w:t>
            </w:r>
            <w:r>
              <w:rPr>
                <w:rFonts w:hint="eastAsia" w:cs="Times New Roman"/>
                <w:color w:val="000000" w:themeColor="text1"/>
                <w:sz w:val="21"/>
                <w:szCs w:val="21"/>
                <w:lang w:eastAsia="zh-CN"/>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；较敏感□；不敏感□</w:t>
            </w:r>
          </w:p>
        </w:tc>
        <w:tc>
          <w:tcPr>
            <w:tcW w:w="872" w:type="dxa"/>
            <w:tcBorders>
              <w:right w:val="single" w:color="000000" w:sz="10" w:space="0"/>
            </w:tcBorders>
            <w:vAlign w:val="center"/>
          </w:tcPr>
          <w:p w14:paraId="31546CD9">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r>
      <w:tr w14:paraId="5DBEB47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4" w:hRule="atLeast"/>
          <w:jc w:val="center"/>
        </w:trPr>
        <w:tc>
          <w:tcPr>
            <w:tcW w:w="2013" w:type="dxa"/>
            <w:gridSpan w:val="2"/>
            <w:tcBorders>
              <w:left w:val="single" w:color="000000" w:sz="10" w:space="0"/>
            </w:tcBorders>
            <w:vAlign w:val="center"/>
          </w:tcPr>
          <w:p w14:paraId="2F99592E">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评价工作等级</w:t>
            </w:r>
          </w:p>
        </w:tc>
        <w:tc>
          <w:tcPr>
            <w:tcW w:w="6208" w:type="dxa"/>
            <w:gridSpan w:val="6"/>
            <w:vAlign w:val="center"/>
          </w:tcPr>
          <w:p w14:paraId="1AB48DC1">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一级□；二级□；三级□</w:t>
            </w:r>
          </w:p>
        </w:tc>
        <w:tc>
          <w:tcPr>
            <w:tcW w:w="872" w:type="dxa"/>
            <w:tcBorders>
              <w:right w:val="single" w:color="000000" w:sz="10" w:space="0"/>
            </w:tcBorders>
            <w:vAlign w:val="center"/>
          </w:tcPr>
          <w:p w14:paraId="7325B569">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r>
      <w:tr w14:paraId="0DB262C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5" w:hRule="atLeast"/>
          <w:jc w:val="center"/>
        </w:trPr>
        <w:tc>
          <w:tcPr>
            <w:tcW w:w="513" w:type="dxa"/>
            <w:vMerge w:val="restart"/>
            <w:tcBorders>
              <w:left w:val="single" w:color="000000" w:sz="10" w:space="0"/>
            </w:tcBorders>
            <w:vAlign w:val="center"/>
          </w:tcPr>
          <w:p w14:paraId="5B68146F">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现状调查内容</w:t>
            </w:r>
          </w:p>
        </w:tc>
        <w:tc>
          <w:tcPr>
            <w:tcW w:w="1500" w:type="dxa"/>
            <w:vAlign w:val="center"/>
          </w:tcPr>
          <w:p w14:paraId="6753D1E0">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资料收集</w:t>
            </w:r>
          </w:p>
        </w:tc>
        <w:tc>
          <w:tcPr>
            <w:tcW w:w="6208" w:type="dxa"/>
            <w:gridSpan w:val="6"/>
            <w:vAlign w:val="center"/>
          </w:tcPr>
          <w:p w14:paraId="6CF1AC54">
            <w:pPr>
              <w:ind w:firstLine="0" w:firstLineChars="0"/>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a）</w:t>
            </w:r>
            <w:r>
              <w:rPr>
                <w:rFonts w:hint="eastAsia" w:cs="Times New Roman"/>
                <w:color w:val="000000" w:themeColor="text1"/>
                <w:sz w:val="21"/>
                <w:szCs w:val="21"/>
                <w:lang w:eastAsia="zh-CN"/>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；b）</w:t>
            </w:r>
            <w:r>
              <w:rPr>
                <w:rFonts w:hint="eastAsia" w:cs="Times New Roman"/>
                <w:color w:val="000000" w:themeColor="text1"/>
                <w:sz w:val="21"/>
                <w:szCs w:val="21"/>
                <w:lang w:eastAsia="zh-CN"/>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；c）</w:t>
            </w:r>
            <w:r>
              <w:rPr>
                <w:rFonts w:hint="eastAsia" w:cs="Times New Roman"/>
                <w:color w:val="000000" w:themeColor="text1"/>
                <w:sz w:val="21"/>
                <w:szCs w:val="21"/>
                <w:lang w:eastAsia="zh-CN"/>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；d）</w:t>
            </w:r>
            <w:r>
              <w:rPr>
                <w:rFonts w:hint="eastAsia" w:cs="Times New Roman"/>
                <w:color w:val="000000" w:themeColor="text1"/>
                <w:sz w:val="21"/>
                <w:szCs w:val="21"/>
                <w:lang w:eastAsia="zh-CN"/>
                <w14:textFill>
                  <w14:solidFill>
                    <w14:schemeClr w14:val="tx1"/>
                  </w14:solidFill>
                </w14:textFill>
              </w:rPr>
              <w:t>☑</w:t>
            </w:r>
          </w:p>
        </w:tc>
        <w:tc>
          <w:tcPr>
            <w:tcW w:w="872" w:type="dxa"/>
            <w:tcBorders>
              <w:right w:val="single" w:color="000000" w:sz="10" w:space="0"/>
            </w:tcBorders>
            <w:vAlign w:val="center"/>
          </w:tcPr>
          <w:p w14:paraId="21339D82">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r>
      <w:tr w14:paraId="33907D5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4" w:hRule="atLeast"/>
          <w:jc w:val="center"/>
        </w:trPr>
        <w:tc>
          <w:tcPr>
            <w:tcW w:w="513" w:type="dxa"/>
            <w:vMerge w:val="continue"/>
            <w:tcBorders>
              <w:left w:val="single" w:color="000000" w:sz="10" w:space="0"/>
            </w:tcBorders>
            <w:textDirection w:val="tbRlV"/>
            <w:vAlign w:val="center"/>
          </w:tcPr>
          <w:p w14:paraId="559BF04F">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500" w:type="dxa"/>
            <w:vAlign w:val="center"/>
          </w:tcPr>
          <w:p w14:paraId="235C853D">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理化特性</w:t>
            </w:r>
          </w:p>
        </w:tc>
        <w:tc>
          <w:tcPr>
            <w:tcW w:w="6208" w:type="dxa"/>
            <w:gridSpan w:val="6"/>
            <w:vAlign w:val="center"/>
          </w:tcPr>
          <w:p w14:paraId="0BF7F6C2">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黑褐色、轻壤土、少许根系，少许砂砾</w:t>
            </w:r>
          </w:p>
        </w:tc>
        <w:tc>
          <w:tcPr>
            <w:tcW w:w="872" w:type="dxa"/>
            <w:tcBorders>
              <w:right w:val="single" w:color="000000" w:sz="10" w:space="0"/>
            </w:tcBorders>
            <w:vAlign w:val="center"/>
          </w:tcPr>
          <w:p w14:paraId="7E86C1DD">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同附录C</w:t>
            </w:r>
          </w:p>
        </w:tc>
      </w:tr>
      <w:tr w14:paraId="01A1BDD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5" w:hRule="atLeast"/>
          <w:jc w:val="center"/>
        </w:trPr>
        <w:tc>
          <w:tcPr>
            <w:tcW w:w="513" w:type="dxa"/>
            <w:vMerge w:val="continue"/>
            <w:tcBorders>
              <w:left w:val="single" w:color="000000" w:sz="10" w:space="0"/>
            </w:tcBorders>
            <w:textDirection w:val="tbRlV"/>
            <w:vAlign w:val="center"/>
          </w:tcPr>
          <w:p w14:paraId="06116BFC">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500" w:type="dxa"/>
            <w:vMerge w:val="restart"/>
            <w:tcBorders>
              <w:bottom w:val="nil"/>
            </w:tcBorders>
            <w:vAlign w:val="center"/>
          </w:tcPr>
          <w:p w14:paraId="06067C91">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现状监测点位</w:t>
            </w:r>
          </w:p>
        </w:tc>
        <w:tc>
          <w:tcPr>
            <w:tcW w:w="1521" w:type="dxa"/>
            <w:vAlign w:val="center"/>
          </w:tcPr>
          <w:p w14:paraId="176BD295">
            <w:pPr>
              <w:ind w:firstLine="0" w:firstLineChars="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w:t>
            </w:r>
          </w:p>
        </w:tc>
        <w:tc>
          <w:tcPr>
            <w:tcW w:w="1776" w:type="dxa"/>
            <w:gridSpan w:val="2"/>
            <w:vAlign w:val="center"/>
          </w:tcPr>
          <w:p w14:paraId="5D5F974A">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占地范围内</w:t>
            </w:r>
          </w:p>
        </w:tc>
        <w:tc>
          <w:tcPr>
            <w:tcW w:w="1571" w:type="dxa"/>
            <w:gridSpan w:val="2"/>
            <w:vAlign w:val="center"/>
          </w:tcPr>
          <w:p w14:paraId="4D79E49C">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占地范围外</w:t>
            </w:r>
          </w:p>
        </w:tc>
        <w:tc>
          <w:tcPr>
            <w:tcW w:w="1340" w:type="dxa"/>
            <w:vAlign w:val="center"/>
          </w:tcPr>
          <w:p w14:paraId="7D5DF2D4">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深度</w:t>
            </w:r>
          </w:p>
        </w:tc>
        <w:tc>
          <w:tcPr>
            <w:tcW w:w="872" w:type="dxa"/>
            <w:vMerge w:val="restart"/>
            <w:tcBorders>
              <w:bottom w:val="nil"/>
              <w:right w:val="single" w:color="000000" w:sz="10" w:space="0"/>
            </w:tcBorders>
            <w:vAlign w:val="center"/>
          </w:tcPr>
          <w:p w14:paraId="74A20B91">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点位布置图</w:t>
            </w:r>
          </w:p>
        </w:tc>
      </w:tr>
      <w:tr w14:paraId="6EF1745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5" w:hRule="atLeast"/>
          <w:jc w:val="center"/>
        </w:trPr>
        <w:tc>
          <w:tcPr>
            <w:tcW w:w="513" w:type="dxa"/>
            <w:vMerge w:val="continue"/>
            <w:tcBorders>
              <w:left w:val="single" w:color="000000" w:sz="10" w:space="0"/>
            </w:tcBorders>
            <w:textDirection w:val="tbRlV"/>
            <w:vAlign w:val="center"/>
          </w:tcPr>
          <w:p w14:paraId="6E00C6FE">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500" w:type="dxa"/>
            <w:vMerge w:val="continue"/>
            <w:tcBorders>
              <w:top w:val="nil"/>
              <w:bottom w:val="nil"/>
            </w:tcBorders>
            <w:vAlign w:val="center"/>
          </w:tcPr>
          <w:p w14:paraId="033A3518">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521" w:type="dxa"/>
            <w:vAlign w:val="center"/>
          </w:tcPr>
          <w:p w14:paraId="094A928E">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表层样点数</w:t>
            </w:r>
          </w:p>
        </w:tc>
        <w:tc>
          <w:tcPr>
            <w:tcW w:w="1776" w:type="dxa"/>
            <w:gridSpan w:val="2"/>
            <w:vAlign w:val="center"/>
          </w:tcPr>
          <w:p w14:paraId="0E5C38E0">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3</w:t>
            </w:r>
          </w:p>
        </w:tc>
        <w:tc>
          <w:tcPr>
            <w:tcW w:w="1571" w:type="dxa"/>
            <w:gridSpan w:val="2"/>
            <w:vAlign w:val="center"/>
          </w:tcPr>
          <w:p w14:paraId="6E0E3CFA">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0</w:t>
            </w:r>
          </w:p>
        </w:tc>
        <w:tc>
          <w:tcPr>
            <w:tcW w:w="1340" w:type="dxa"/>
            <w:vAlign w:val="center"/>
          </w:tcPr>
          <w:p w14:paraId="286EDDC4">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0-20cm</w:t>
            </w:r>
          </w:p>
        </w:tc>
        <w:tc>
          <w:tcPr>
            <w:tcW w:w="872" w:type="dxa"/>
            <w:vMerge w:val="continue"/>
            <w:tcBorders>
              <w:top w:val="nil"/>
              <w:bottom w:val="nil"/>
              <w:right w:val="single" w:color="000000" w:sz="10" w:space="0"/>
            </w:tcBorders>
            <w:vAlign w:val="center"/>
          </w:tcPr>
          <w:p w14:paraId="5C0E946E">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r>
      <w:tr w14:paraId="4975FB4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5" w:hRule="atLeast"/>
          <w:jc w:val="center"/>
        </w:trPr>
        <w:tc>
          <w:tcPr>
            <w:tcW w:w="513" w:type="dxa"/>
            <w:vMerge w:val="continue"/>
            <w:tcBorders>
              <w:left w:val="single" w:color="000000" w:sz="10" w:space="0"/>
            </w:tcBorders>
            <w:textDirection w:val="tbRlV"/>
            <w:vAlign w:val="center"/>
          </w:tcPr>
          <w:p w14:paraId="1160CFD9">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500" w:type="dxa"/>
            <w:vMerge w:val="continue"/>
            <w:tcBorders>
              <w:top w:val="nil"/>
              <w:bottom w:val="single" w:color="000000" w:sz="10" w:space="0"/>
            </w:tcBorders>
            <w:vAlign w:val="center"/>
          </w:tcPr>
          <w:p w14:paraId="7275B5E6">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521" w:type="dxa"/>
            <w:tcBorders>
              <w:bottom w:val="single" w:color="000000" w:sz="10" w:space="0"/>
            </w:tcBorders>
            <w:vAlign w:val="center"/>
          </w:tcPr>
          <w:p w14:paraId="584EDED8">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柱状样点数</w:t>
            </w:r>
          </w:p>
        </w:tc>
        <w:tc>
          <w:tcPr>
            <w:tcW w:w="1776" w:type="dxa"/>
            <w:gridSpan w:val="2"/>
            <w:tcBorders>
              <w:bottom w:val="single" w:color="000000" w:sz="10" w:space="0"/>
            </w:tcBorders>
            <w:vAlign w:val="center"/>
          </w:tcPr>
          <w:p w14:paraId="0D8CAE0B">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0</w:t>
            </w:r>
          </w:p>
        </w:tc>
        <w:tc>
          <w:tcPr>
            <w:tcW w:w="1571" w:type="dxa"/>
            <w:gridSpan w:val="2"/>
            <w:tcBorders>
              <w:bottom w:val="single" w:color="000000" w:sz="10" w:space="0"/>
            </w:tcBorders>
            <w:vAlign w:val="center"/>
          </w:tcPr>
          <w:p w14:paraId="66149E72">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0</w:t>
            </w:r>
          </w:p>
        </w:tc>
        <w:tc>
          <w:tcPr>
            <w:tcW w:w="1340" w:type="dxa"/>
            <w:tcBorders>
              <w:bottom w:val="single" w:color="000000" w:sz="10" w:space="0"/>
            </w:tcBorders>
            <w:vAlign w:val="center"/>
          </w:tcPr>
          <w:p w14:paraId="008B30F3">
            <w:pPr>
              <w:ind w:firstLine="0" w:firstLineChars="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w:t>
            </w:r>
          </w:p>
        </w:tc>
        <w:tc>
          <w:tcPr>
            <w:tcW w:w="872" w:type="dxa"/>
            <w:vMerge w:val="continue"/>
            <w:tcBorders>
              <w:top w:val="nil"/>
              <w:bottom w:val="single" w:color="000000" w:sz="10" w:space="0"/>
              <w:right w:val="single" w:color="000000" w:sz="10" w:space="0"/>
            </w:tcBorders>
            <w:vAlign w:val="center"/>
          </w:tcPr>
          <w:p w14:paraId="79423AB1">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r>
      <w:tr w14:paraId="0140989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0" w:hRule="atLeast"/>
          <w:jc w:val="center"/>
        </w:trPr>
        <w:tc>
          <w:tcPr>
            <w:tcW w:w="513" w:type="dxa"/>
            <w:vMerge w:val="continue"/>
            <w:tcBorders>
              <w:left w:val="single" w:color="000000" w:sz="10" w:space="0"/>
            </w:tcBorders>
            <w:vAlign w:val="center"/>
          </w:tcPr>
          <w:p w14:paraId="51DAF443">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500" w:type="dxa"/>
            <w:tcBorders>
              <w:top w:val="single" w:color="000000" w:sz="10" w:space="0"/>
            </w:tcBorders>
            <w:vAlign w:val="center"/>
          </w:tcPr>
          <w:p w14:paraId="0A4C027C">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现状监测因子</w:t>
            </w:r>
          </w:p>
        </w:tc>
        <w:tc>
          <w:tcPr>
            <w:tcW w:w="6208" w:type="dxa"/>
            <w:gridSpan w:val="6"/>
            <w:tcBorders>
              <w:top w:val="single" w:color="000000" w:sz="10" w:space="0"/>
            </w:tcBorders>
            <w:vAlign w:val="center"/>
          </w:tcPr>
          <w:p w14:paraId="489BD91E">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pH、砷、铅、铜、铬、锌、镍</w:t>
            </w:r>
          </w:p>
        </w:tc>
        <w:tc>
          <w:tcPr>
            <w:tcW w:w="872" w:type="dxa"/>
            <w:tcBorders>
              <w:top w:val="single" w:color="000000" w:sz="10" w:space="0"/>
              <w:right w:val="single" w:color="000000" w:sz="10" w:space="0"/>
            </w:tcBorders>
            <w:vAlign w:val="center"/>
          </w:tcPr>
          <w:p w14:paraId="0CEA6C31">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r>
      <w:tr w14:paraId="5220091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6" w:hRule="atLeast"/>
          <w:jc w:val="center"/>
        </w:trPr>
        <w:tc>
          <w:tcPr>
            <w:tcW w:w="513" w:type="dxa"/>
            <w:vMerge w:val="restart"/>
            <w:tcBorders>
              <w:left w:val="single" w:color="000000" w:sz="10" w:space="0"/>
              <w:bottom w:val="nil"/>
            </w:tcBorders>
            <w:vAlign w:val="center"/>
          </w:tcPr>
          <w:p w14:paraId="5E4E2DE8">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现状评价</w:t>
            </w:r>
          </w:p>
        </w:tc>
        <w:tc>
          <w:tcPr>
            <w:tcW w:w="1500" w:type="dxa"/>
            <w:vAlign w:val="center"/>
          </w:tcPr>
          <w:p w14:paraId="34BD5758">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评价因子</w:t>
            </w:r>
          </w:p>
        </w:tc>
        <w:tc>
          <w:tcPr>
            <w:tcW w:w="6208" w:type="dxa"/>
            <w:gridSpan w:val="6"/>
            <w:vAlign w:val="center"/>
          </w:tcPr>
          <w:p w14:paraId="239992E3">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pH、砷、铅、铜、铬、锌、镍</w:t>
            </w:r>
          </w:p>
        </w:tc>
        <w:tc>
          <w:tcPr>
            <w:tcW w:w="872" w:type="dxa"/>
            <w:tcBorders>
              <w:right w:val="single" w:color="000000" w:sz="10" w:space="0"/>
            </w:tcBorders>
            <w:vAlign w:val="center"/>
          </w:tcPr>
          <w:p w14:paraId="0B944FB9">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r>
      <w:tr w14:paraId="2C2740F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4" w:hRule="atLeast"/>
          <w:jc w:val="center"/>
        </w:trPr>
        <w:tc>
          <w:tcPr>
            <w:tcW w:w="513" w:type="dxa"/>
            <w:vMerge w:val="continue"/>
            <w:tcBorders>
              <w:top w:val="nil"/>
              <w:left w:val="single" w:color="000000" w:sz="10" w:space="0"/>
              <w:bottom w:val="nil"/>
            </w:tcBorders>
            <w:vAlign w:val="center"/>
          </w:tcPr>
          <w:p w14:paraId="1143B414">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500" w:type="dxa"/>
            <w:vAlign w:val="center"/>
          </w:tcPr>
          <w:p w14:paraId="3C1D7ED7">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评价标准</w:t>
            </w:r>
          </w:p>
        </w:tc>
        <w:tc>
          <w:tcPr>
            <w:tcW w:w="6208" w:type="dxa"/>
            <w:gridSpan w:val="6"/>
            <w:vAlign w:val="center"/>
          </w:tcPr>
          <w:p w14:paraId="6C421107">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GB15618</w:t>
            </w:r>
            <w:r>
              <w:rPr>
                <w:rFonts w:hint="eastAsia" w:cs="Times New Roman"/>
                <w:color w:val="000000" w:themeColor="text1"/>
                <w:sz w:val="21"/>
                <w:szCs w:val="21"/>
                <w:lang w:eastAsia="zh-CN"/>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；GB36600□；表D.1□；表D.2□；其他（）</w:t>
            </w:r>
          </w:p>
        </w:tc>
        <w:tc>
          <w:tcPr>
            <w:tcW w:w="872" w:type="dxa"/>
            <w:tcBorders>
              <w:right w:val="single" w:color="000000" w:sz="10" w:space="0"/>
            </w:tcBorders>
            <w:vAlign w:val="center"/>
          </w:tcPr>
          <w:p w14:paraId="1E19A05C">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r>
      <w:tr w14:paraId="750D7CA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513" w:type="dxa"/>
            <w:vMerge w:val="continue"/>
            <w:tcBorders>
              <w:top w:val="nil"/>
              <w:left w:val="single" w:color="000000" w:sz="10" w:space="0"/>
            </w:tcBorders>
            <w:vAlign w:val="center"/>
          </w:tcPr>
          <w:p w14:paraId="694C7689">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500" w:type="dxa"/>
            <w:vAlign w:val="center"/>
          </w:tcPr>
          <w:p w14:paraId="04BB49FE">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现状评价结论</w:t>
            </w:r>
          </w:p>
        </w:tc>
        <w:tc>
          <w:tcPr>
            <w:tcW w:w="6208" w:type="dxa"/>
            <w:gridSpan w:val="6"/>
            <w:vAlign w:val="center"/>
          </w:tcPr>
          <w:p w14:paraId="66E3388C">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《土壤环境质量</w:t>
            </w:r>
            <w:r>
              <w:rPr>
                <w:rFonts w:hint="eastAsia" w:cs="Times New Roman"/>
                <w:color w:val="000000" w:themeColor="text1"/>
                <w:sz w:val="21"/>
                <w:szCs w:val="21"/>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农用地土壤污染风险管控标准》GB15618-2018）表1其他标准，项目区域土壤环境质量现状良好。</w:t>
            </w:r>
          </w:p>
        </w:tc>
        <w:tc>
          <w:tcPr>
            <w:tcW w:w="872" w:type="dxa"/>
            <w:tcBorders>
              <w:right w:val="single" w:color="000000" w:sz="10" w:space="0"/>
            </w:tcBorders>
            <w:vAlign w:val="center"/>
          </w:tcPr>
          <w:p w14:paraId="2D482B98">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r>
      <w:tr w14:paraId="3D150B4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4" w:hRule="atLeast"/>
          <w:jc w:val="center"/>
        </w:trPr>
        <w:tc>
          <w:tcPr>
            <w:tcW w:w="513" w:type="dxa"/>
            <w:vMerge w:val="restart"/>
            <w:tcBorders>
              <w:left w:val="single" w:color="000000" w:sz="10" w:space="0"/>
              <w:bottom w:val="nil"/>
            </w:tcBorders>
            <w:vAlign w:val="center"/>
          </w:tcPr>
          <w:p w14:paraId="11FCE787">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影响预测</w:t>
            </w:r>
          </w:p>
        </w:tc>
        <w:tc>
          <w:tcPr>
            <w:tcW w:w="1500" w:type="dxa"/>
            <w:vAlign w:val="center"/>
          </w:tcPr>
          <w:p w14:paraId="6E618FBC">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预测因子</w:t>
            </w:r>
          </w:p>
        </w:tc>
        <w:tc>
          <w:tcPr>
            <w:tcW w:w="6208" w:type="dxa"/>
            <w:gridSpan w:val="6"/>
            <w:vAlign w:val="center"/>
          </w:tcPr>
          <w:p w14:paraId="3AAC7E20">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p>
        </w:tc>
        <w:tc>
          <w:tcPr>
            <w:tcW w:w="872" w:type="dxa"/>
            <w:tcBorders>
              <w:right w:val="single" w:color="000000" w:sz="10" w:space="0"/>
            </w:tcBorders>
            <w:vAlign w:val="center"/>
          </w:tcPr>
          <w:p w14:paraId="6FB02157">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r>
      <w:tr w14:paraId="512840A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5" w:hRule="atLeast"/>
          <w:jc w:val="center"/>
        </w:trPr>
        <w:tc>
          <w:tcPr>
            <w:tcW w:w="513" w:type="dxa"/>
            <w:vMerge w:val="continue"/>
            <w:tcBorders>
              <w:top w:val="nil"/>
              <w:left w:val="single" w:color="000000" w:sz="10" w:space="0"/>
              <w:bottom w:val="nil"/>
            </w:tcBorders>
            <w:vAlign w:val="center"/>
          </w:tcPr>
          <w:p w14:paraId="266C95F7">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500" w:type="dxa"/>
            <w:vAlign w:val="center"/>
          </w:tcPr>
          <w:p w14:paraId="29F5C96D">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预测方法</w:t>
            </w:r>
          </w:p>
        </w:tc>
        <w:tc>
          <w:tcPr>
            <w:tcW w:w="6208" w:type="dxa"/>
            <w:gridSpan w:val="6"/>
            <w:vAlign w:val="center"/>
          </w:tcPr>
          <w:p w14:paraId="26A65252">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附录E□；附录F□；其他（）</w:t>
            </w:r>
          </w:p>
        </w:tc>
        <w:tc>
          <w:tcPr>
            <w:tcW w:w="872" w:type="dxa"/>
            <w:tcBorders>
              <w:right w:val="single" w:color="000000" w:sz="10" w:space="0"/>
            </w:tcBorders>
            <w:vAlign w:val="center"/>
          </w:tcPr>
          <w:p w14:paraId="3CA1940A">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r>
      <w:tr w14:paraId="2AF8741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86" w:hRule="atLeast"/>
          <w:jc w:val="center"/>
        </w:trPr>
        <w:tc>
          <w:tcPr>
            <w:tcW w:w="513" w:type="dxa"/>
            <w:vMerge w:val="continue"/>
            <w:tcBorders>
              <w:top w:val="nil"/>
              <w:left w:val="single" w:color="000000" w:sz="10" w:space="0"/>
              <w:bottom w:val="nil"/>
            </w:tcBorders>
            <w:vAlign w:val="center"/>
          </w:tcPr>
          <w:p w14:paraId="13A82B96">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500" w:type="dxa"/>
            <w:vAlign w:val="center"/>
          </w:tcPr>
          <w:p w14:paraId="5D317E54">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预测分析内容</w:t>
            </w:r>
          </w:p>
        </w:tc>
        <w:tc>
          <w:tcPr>
            <w:tcW w:w="6208" w:type="dxa"/>
            <w:gridSpan w:val="6"/>
            <w:vAlign w:val="center"/>
          </w:tcPr>
          <w:p w14:paraId="3A643E34">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影响范围（0.0</w:t>
            </w:r>
            <w:r>
              <w:rPr>
                <w:rFonts w:hint="eastAsia" w:cs="Times New Roman"/>
                <w:color w:val="000000" w:themeColor="text1"/>
                <w:sz w:val="21"/>
                <w:szCs w:val="21"/>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14:textFill>
                  <w14:solidFill>
                    <w14:schemeClr w14:val="tx1"/>
                  </w14:solidFill>
                </w14:textFill>
              </w:rPr>
              <w:t>km）</w:t>
            </w:r>
          </w:p>
          <w:p w14:paraId="7A193C7C">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影响程度（较小）</w:t>
            </w:r>
          </w:p>
        </w:tc>
        <w:tc>
          <w:tcPr>
            <w:tcW w:w="872" w:type="dxa"/>
            <w:tcBorders>
              <w:right w:val="single" w:color="000000" w:sz="10" w:space="0"/>
            </w:tcBorders>
            <w:vAlign w:val="center"/>
          </w:tcPr>
          <w:p w14:paraId="378A214A">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r>
      <w:tr w14:paraId="567C02C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97" w:hRule="atLeast"/>
          <w:jc w:val="center"/>
        </w:trPr>
        <w:tc>
          <w:tcPr>
            <w:tcW w:w="513" w:type="dxa"/>
            <w:vMerge w:val="continue"/>
            <w:tcBorders>
              <w:top w:val="nil"/>
              <w:left w:val="single" w:color="000000" w:sz="10" w:space="0"/>
            </w:tcBorders>
            <w:vAlign w:val="center"/>
          </w:tcPr>
          <w:p w14:paraId="7BBA9364">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500" w:type="dxa"/>
            <w:vAlign w:val="center"/>
          </w:tcPr>
          <w:p w14:paraId="0D9FD7E0">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预测结论</w:t>
            </w:r>
          </w:p>
        </w:tc>
        <w:tc>
          <w:tcPr>
            <w:tcW w:w="6208" w:type="dxa"/>
            <w:gridSpan w:val="6"/>
            <w:vAlign w:val="center"/>
          </w:tcPr>
          <w:p w14:paraId="6C30358B">
            <w:pPr>
              <w:ind w:firstLine="0" w:firstLineChars="0"/>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达标结论：a）</w:t>
            </w:r>
            <w:r>
              <w:rPr>
                <w:rFonts w:hint="eastAsia" w:cs="Times New Roman"/>
                <w:color w:val="000000" w:themeColor="text1"/>
                <w:sz w:val="21"/>
                <w:szCs w:val="21"/>
                <w:lang w:eastAsia="zh-CN"/>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；b）</w:t>
            </w:r>
            <w:r>
              <w:rPr>
                <w:rFonts w:hint="eastAsia" w:cs="Times New Roman"/>
                <w:color w:val="000000" w:themeColor="text1"/>
                <w:sz w:val="21"/>
                <w:szCs w:val="21"/>
                <w:lang w:eastAsia="zh-CN"/>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；c）</w:t>
            </w:r>
            <w:r>
              <w:rPr>
                <w:rFonts w:hint="eastAsia" w:cs="Times New Roman"/>
                <w:color w:val="000000" w:themeColor="text1"/>
                <w:sz w:val="21"/>
                <w:szCs w:val="21"/>
                <w:lang w:eastAsia="zh-CN"/>
                <w14:textFill>
                  <w14:solidFill>
                    <w14:schemeClr w14:val="tx1"/>
                  </w14:solidFill>
                </w14:textFill>
              </w:rPr>
              <w:t>☑</w:t>
            </w:r>
          </w:p>
          <w:p w14:paraId="665DC77F">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不达标结论：a）□；b）□</w:t>
            </w:r>
          </w:p>
        </w:tc>
        <w:tc>
          <w:tcPr>
            <w:tcW w:w="872" w:type="dxa"/>
            <w:tcBorders>
              <w:right w:val="single" w:color="000000" w:sz="10" w:space="0"/>
            </w:tcBorders>
            <w:vAlign w:val="center"/>
          </w:tcPr>
          <w:p w14:paraId="75B91CAE">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r>
      <w:tr w14:paraId="718D489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4" w:hRule="atLeast"/>
          <w:jc w:val="center"/>
        </w:trPr>
        <w:tc>
          <w:tcPr>
            <w:tcW w:w="513" w:type="dxa"/>
            <w:vMerge w:val="restart"/>
            <w:tcBorders>
              <w:left w:val="single" w:color="000000" w:sz="10" w:space="0"/>
              <w:bottom w:val="nil"/>
            </w:tcBorders>
            <w:vAlign w:val="center"/>
          </w:tcPr>
          <w:p w14:paraId="54D21FEE">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防治措施</w:t>
            </w:r>
          </w:p>
        </w:tc>
        <w:tc>
          <w:tcPr>
            <w:tcW w:w="1500" w:type="dxa"/>
            <w:vAlign w:val="center"/>
          </w:tcPr>
          <w:p w14:paraId="13EB66AF">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防治措施</w:t>
            </w:r>
          </w:p>
        </w:tc>
        <w:tc>
          <w:tcPr>
            <w:tcW w:w="6208" w:type="dxa"/>
            <w:gridSpan w:val="6"/>
            <w:vAlign w:val="center"/>
          </w:tcPr>
          <w:p w14:paraId="096D9085">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土壤环境质量现状保障</w:t>
            </w:r>
            <w:r>
              <w:rPr>
                <w:rFonts w:hint="eastAsia" w:cs="Times New Roman"/>
                <w:color w:val="000000" w:themeColor="text1"/>
                <w:sz w:val="21"/>
                <w:szCs w:val="21"/>
                <w:lang w:eastAsia="zh-CN"/>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；源头控制</w:t>
            </w:r>
            <w:r>
              <w:rPr>
                <w:rFonts w:hint="eastAsia" w:cs="Times New Roman"/>
                <w:color w:val="000000" w:themeColor="text1"/>
                <w:sz w:val="21"/>
                <w:szCs w:val="21"/>
                <w:lang w:eastAsia="zh-CN"/>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；过程防控口；其他（）</w:t>
            </w:r>
          </w:p>
        </w:tc>
        <w:tc>
          <w:tcPr>
            <w:tcW w:w="872" w:type="dxa"/>
            <w:tcBorders>
              <w:right w:val="single" w:color="000000" w:sz="10" w:space="0"/>
            </w:tcBorders>
            <w:vAlign w:val="center"/>
          </w:tcPr>
          <w:p w14:paraId="09898CB0">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r>
      <w:tr w14:paraId="0F281E6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5" w:hRule="atLeast"/>
          <w:jc w:val="center"/>
        </w:trPr>
        <w:tc>
          <w:tcPr>
            <w:tcW w:w="513" w:type="dxa"/>
            <w:vMerge w:val="continue"/>
            <w:tcBorders>
              <w:top w:val="nil"/>
              <w:left w:val="single" w:color="000000" w:sz="10" w:space="0"/>
              <w:bottom w:val="nil"/>
            </w:tcBorders>
            <w:textDirection w:val="tbRlV"/>
            <w:vAlign w:val="center"/>
          </w:tcPr>
          <w:p w14:paraId="137BED24">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500" w:type="dxa"/>
            <w:vMerge w:val="restart"/>
            <w:tcBorders>
              <w:bottom w:val="nil"/>
            </w:tcBorders>
            <w:vAlign w:val="center"/>
          </w:tcPr>
          <w:p w14:paraId="54C59DB5">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跟踪监测</w:t>
            </w:r>
          </w:p>
        </w:tc>
        <w:tc>
          <w:tcPr>
            <w:tcW w:w="2524" w:type="dxa"/>
            <w:gridSpan w:val="2"/>
            <w:vAlign w:val="center"/>
          </w:tcPr>
          <w:p w14:paraId="0C0DB747">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监测点位</w:t>
            </w:r>
          </w:p>
        </w:tc>
        <w:tc>
          <w:tcPr>
            <w:tcW w:w="2053" w:type="dxa"/>
            <w:gridSpan w:val="2"/>
            <w:vAlign w:val="center"/>
          </w:tcPr>
          <w:p w14:paraId="1A750431">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监测指标</w:t>
            </w:r>
          </w:p>
        </w:tc>
        <w:tc>
          <w:tcPr>
            <w:tcW w:w="1631" w:type="dxa"/>
            <w:gridSpan w:val="2"/>
            <w:vAlign w:val="center"/>
          </w:tcPr>
          <w:p w14:paraId="447C882E">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监测频次</w:t>
            </w:r>
          </w:p>
        </w:tc>
        <w:tc>
          <w:tcPr>
            <w:tcW w:w="872" w:type="dxa"/>
            <w:vMerge w:val="restart"/>
            <w:tcBorders>
              <w:bottom w:val="nil"/>
              <w:right w:val="single" w:color="000000" w:sz="10" w:space="0"/>
            </w:tcBorders>
            <w:vAlign w:val="center"/>
          </w:tcPr>
          <w:p w14:paraId="7E99E8C4">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r>
      <w:tr w14:paraId="1211DAC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34" w:hRule="atLeast"/>
          <w:jc w:val="center"/>
        </w:trPr>
        <w:tc>
          <w:tcPr>
            <w:tcW w:w="513" w:type="dxa"/>
            <w:vMerge w:val="continue"/>
            <w:tcBorders>
              <w:top w:val="nil"/>
              <w:left w:val="single" w:color="000000" w:sz="10" w:space="0"/>
              <w:bottom w:val="nil"/>
            </w:tcBorders>
            <w:textDirection w:val="tbRlV"/>
            <w:vAlign w:val="center"/>
          </w:tcPr>
          <w:p w14:paraId="2594CA5D">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500" w:type="dxa"/>
            <w:vMerge w:val="continue"/>
            <w:tcBorders>
              <w:top w:val="nil"/>
            </w:tcBorders>
            <w:vAlign w:val="center"/>
          </w:tcPr>
          <w:p w14:paraId="5542E18D">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2524" w:type="dxa"/>
            <w:gridSpan w:val="2"/>
            <w:vAlign w:val="center"/>
          </w:tcPr>
          <w:p w14:paraId="5E5398C0">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2053" w:type="dxa"/>
            <w:gridSpan w:val="2"/>
            <w:vAlign w:val="center"/>
          </w:tcPr>
          <w:p w14:paraId="5024246A">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631" w:type="dxa"/>
            <w:gridSpan w:val="2"/>
            <w:vAlign w:val="center"/>
          </w:tcPr>
          <w:p w14:paraId="19A4D6B0">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872" w:type="dxa"/>
            <w:vMerge w:val="continue"/>
            <w:tcBorders>
              <w:top w:val="nil"/>
              <w:bottom w:val="nil"/>
              <w:right w:val="single" w:color="000000" w:sz="10" w:space="0"/>
            </w:tcBorders>
            <w:vAlign w:val="center"/>
          </w:tcPr>
          <w:p w14:paraId="3EC9914F">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r>
      <w:tr w14:paraId="6B960BB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5" w:hRule="atLeast"/>
          <w:jc w:val="center"/>
        </w:trPr>
        <w:tc>
          <w:tcPr>
            <w:tcW w:w="513" w:type="dxa"/>
            <w:vMerge w:val="continue"/>
            <w:tcBorders>
              <w:top w:val="nil"/>
              <w:left w:val="single" w:color="000000" w:sz="10" w:space="0"/>
            </w:tcBorders>
            <w:textDirection w:val="tbRlV"/>
            <w:vAlign w:val="center"/>
          </w:tcPr>
          <w:p w14:paraId="4FD6ADCF">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500" w:type="dxa"/>
            <w:vAlign w:val="center"/>
          </w:tcPr>
          <w:p w14:paraId="456DFCB3">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信息公开指标</w:t>
            </w:r>
          </w:p>
        </w:tc>
        <w:tc>
          <w:tcPr>
            <w:tcW w:w="6208" w:type="dxa"/>
            <w:gridSpan w:val="6"/>
            <w:vAlign w:val="center"/>
          </w:tcPr>
          <w:p w14:paraId="52D0D1EF">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定期向社会公开土壤跟踪监测结果</w:t>
            </w:r>
          </w:p>
        </w:tc>
        <w:tc>
          <w:tcPr>
            <w:tcW w:w="872" w:type="dxa"/>
            <w:vMerge w:val="continue"/>
            <w:tcBorders>
              <w:top w:val="nil"/>
              <w:right w:val="single" w:color="000000" w:sz="10" w:space="0"/>
            </w:tcBorders>
            <w:vAlign w:val="center"/>
          </w:tcPr>
          <w:p w14:paraId="66E52E98">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r>
      <w:tr w14:paraId="3D6DA51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72" w:hRule="atLeast"/>
          <w:jc w:val="center"/>
        </w:trPr>
        <w:tc>
          <w:tcPr>
            <w:tcW w:w="2013" w:type="dxa"/>
            <w:gridSpan w:val="2"/>
            <w:tcBorders>
              <w:left w:val="single" w:color="000000" w:sz="10" w:space="0"/>
            </w:tcBorders>
            <w:vAlign w:val="center"/>
          </w:tcPr>
          <w:p w14:paraId="4D6333FF">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评价结论</w:t>
            </w:r>
          </w:p>
        </w:tc>
        <w:tc>
          <w:tcPr>
            <w:tcW w:w="6208" w:type="dxa"/>
            <w:gridSpan w:val="6"/>
            <w:vAlign w:val="center"/>
          </w:tcPr>
          <w:p w14:paraId="51E7D2E2">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本项目对土壤环境的影响可以接受，从土壤环境影响的角度分析项目的建设是可行的。</w:t>
            </w:r>
          </w:p>
        </w:tc>
        <w:tc>
          <w:tcPr>
            <w:tcW w:w="872" w:type="dxa"/>
            <w:tcBorders>
              <w:right w:val="single" w:color="000000" w:sz="10" w:space="0"/>
            </w:tcBorders>
            <w:vAlign w:val="center"/>
          </w:tcPr>
          <w:p w14:paraId="7F216E08">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r>
      <w:tr w14:paraId="2F13D98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96" w:hRule="atLeast"/>
          <w:jc w:val="center"/>
        </w:trPr>
        <w:tc>
          <w:tcPr>
            <w:tcW w:w="9093" w:type="dxa"/>
            <w:gridSpan w:val="9"/>
            <w:tcBorders>
              <w:left w:val="single" w:color="000000" w:sz="10" w:space="0"/>
              <w:bottom w:val="single" w:color="000000" w:sz="10" w:space="0"/>
              <w:right w:val="single" w:color="000000" w:sz="10" w:space="0"/>
            </w:tcBorders>
            <w:vAlign w:val="center"/>
          </w:tcPr>
          <w:p w14:paraId="7937004A">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注1：ℼ□”为勾选项，可√；ℼ（）ℽ为内容填写项；“备注”为其他补充内容。</w:t>
            </w:r>
          </w:p>
          <w:p w14:paraId="7BB7B564">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注2：需要分别开展土壤环境影响评级工作的，分别填写自查表。</w:t>
            </w:r>
          </w:p>
        </w:tc>
      </w:tr>
    </w:tbl>
    <w:p w14:paraId="37DD4B4E">
      <w:pPr>
        <w:bidi w:val="0"/>
        <w:rPr>
          <w:rFonts w:hint="default"/>
        </w:rPr>
      </w:pPr>
    </w:p>
    <w:p w14:paraId="11900FD2">
      <w:pPr>
        <w:bidi w:val="0"/>
        <w:rPr>
          <w:rFonts w:hint="default"/>
        </w:rPr>
      </w:pPr>
    </w:p>
    <w:p w14:paraId="2370A50B">
      <w:pPr>
        <w:bidi w:val="0"/>
        <w:rPr>
          <w:rFonts w:hint="default"/>
        </w:rPr>
      </w:pPr>
    </w:p>
    <w:p w14:paraId="0222DE5C">
      <w:pPr>
        <w:ind w:firstLine="0" w:firstLineChars="0"/>
        <w:outlineLvl w:val="1"/>
        <w:rPr>
          <w:rFonts w:hint="default" w:ascii="Times New Roman" w:hAnsi="Times New Roman" w:eastAsia="宋体" w:cs="Times New Roman"/>
          <w:b/>
          <w:bCs/>
          <w:color w:val="000000" w:themeColor="text1"/>
          <w:sz w:val="28"/>
          <w:szCs w:val="28"/>
          <w14:textFill>
            <w14:solidFill>
              <w14:schemeClr w14:val="tx1"/>
            </w14:solidFill>
          </w14:textFill>
        </w:rPr>
      </w:pPr>
      <w:bookmarkStart w:id="285" w:name="_Toc888"/>
      <w:r>
        <w:rPr>
          <w:rFonts w:hint="default" w:ascii="Times New Roman" w:hAnsi="Times New Roman" w:eastAsia="宋体" w:cs="Times New Roman"/>
          <w:b/>
          <w:bCs/>
          <w:color w:val="000000" w:themeColor="text1"/>
          <w:sz w:val="28"/>
          <w:szCs w:val="28"/>
          <w14:textFill>
            <w14:solidFill>
              <w14:schemeClr w14:val="tx1"/>
            </w14:solidFill>
          </w14:textFill>
        </w:rPr>
        <w:t>6.8环境风险影响分析</w:t>
      </w:r>
      <w:bookmarkEnd w:id="285"/>
    </w:p>
    <w:p w14:paraId="64A39DC0">
      <w:pPr>
        <w:ind w:firstLine="482"/>
        <w:outlineLvl w:val="2"/>
        <w:rPr>
          <w:rFonts w:hint="default" w:ascii="Times New Roman" w:hAnsi="Times New Roman" w:eastAsia="宋体" w:cs="Times New Roman"/>
          <w:b/>
          <w:bCs/>
          <w:color w:val="000000" w:themeColor="text1"/>
          <w14:textFill>
            <w14:solidFill>
              <w14:schemeClr w14:val="tx1"/>
            </w14:solidFill>
          </w14:textFill>
        </w:rPr>
      </w:pPr>
      <w:bookmarkStart w:id="286" w:name="_Toc17814"/>
      <w:r>
        <w:rPr>
          <w:rFonts w:hint="default" w:ascii="Times New Roman" w:hAnsi="Times New Roman" w:eastAsia="宋体" w:cs="Times New Roman"/>
          <w:b/>
          <w:bCs/>
          <w:color w:val="000000" w:themeColor="text1"/>
          <w14:textFill>
            <w14:solidFill>
              <w14:schemeClr w14:val="tx1"/>
            </w14:solidFill>
          </w14:textFill>
        </w:rPr>
        <w:t>6.8.1环境风险评价概述</w:t>
      </w:r>
      <w:bookmarkEnd w:id="286"/>
    </w:p>
    <w:p w14:paraId="4F586DFD">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按照《建设项目环境风险评价技术导则》（HJ169-2018）的要求，环境风险评价应以突发性事故导致的危险物质环境急性损害防控为目标，对建设项目的环境风险进行分析、预测和评估，提出环境风险预防、控制、减缓措施，明确环境风险监控及应急要求，为建设项目环境风险防控提供科学依据。</w:t>
      </w:r>
    </w:p>
    <w:p w14:paraId="221235FA">
      <w:pPr>
        <w:ind w:firstLine="482"/>
        <w:outlineLvl w:val="2"/>
        <w:rPr>
          <w:rFonts w:hint="default" w:ascii="Times New Roman" w:hAnsi="Times New Roman" w:eastAsia="宋体" w:cs="Times New Roman"/>
          <w:b/>
          <w:bCs/>
          <w:color w:val="000000" w:themeColor="text1"/>
          <w14:textFill>
            <w14:solidFill>
              <w14:schemeClr w14:val="tx1"/>
            </w14:solidFill>
          </w14:textFill>
        </w:rPr>
      </w:pPr>
      <w:bookmarkStart w:id="287" w:name="bookmark23"/>
      <w:bookmarkEnd w:id="287"/>
      <w:bookmarkStart w:id="288" w:name="_Toc10608"/>
      <w:r>
        <w:rPr>
          <w:rFonts w:hint="default" w:ascii="Times New Roman" w:hAnsi="Times New Roman" w:eastAsia="宋体" w:cs="Times New Roman"/>
          <w:b/>
          <w:bCs/>
          <w:color w:val="000000" w:themeColor="text1"/>
          <w14:textFill>
            <w14:solidFill>
              <w14:schemeClr w14:val="tx1"/>
            </w14:solidFill>
          </w14:textFill>
        </w:rPr>
        <w:t>6.8.2评价工作程序</w:t>
      </w:r>
      <w:bookmarkEnd w:id="288"/>
    </w:p>
    <w:p w14:paraId="39B39DAC">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环境风险预测与评价工序程序见图6.8-1。</w:t>
      </w:r>
    </w:p>
    <w:p w14:paraId="398C5400">
      <w:pPr>
        <w:ind w:firstLine="0" w:firstLineChars="0"/>
        <w:jc w:val="center"/>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drawing>
          <wp:inline distT="0" distB="0" distL="0" distR="0">
            <wp:extent cx="4592320" cy="4542155"/>
            <wp:effectExtent l="0" t="0" r="17780" b="10795"/>
            <wp:docPr id="174" name="IM 174"/>
            <wp:cNvGraphicFramePr/>
            <a:graphic xmlns:a="http://schemas.openxmlformats.org/drawingml/2006/main">
              <a:graphicData uri="http://schemas.openxmlformats.org/drawingml/2006/picture">
                <pic:pic xmlns:pic="http://schemas.openxmlformats.org/drawingml/2006/picture">
                  <pic:nvPicPr>
                    <pic:cNvPr id="174" name="IM 174"/>
                    <pic:cNvPicPr/>
                  </pic:nvPicPr>
                  <pic:blipFill>
                    <a:blip r:embed="rId71"/>
                    <a:stretch>
                      <a:fillRect/>
                    </a:stretch>
                  </pic:blipFill>
                  <pic:spPr>
                    <a:xfrm>
                      <a:off x="0" y="0"/>
                      <a:ext cx="4592320" cy="4542155"/>
                    </a:xfrm>
                    <a:prstGeom prst="rect">
                      <a:avLst/>
                    </a:prstGeom>
                  </pic:spPr>
                </pic:pic>
              </a:graphicData>
            </a:graphic>
          </wp:inline>
        </w:drawing>
      </w:r>
    </w:p>
    <w:p w14:paraId="33688689">
      <w:pPr>
        <w:ind w:firstLine="0" w:firstLineChars="0"/>
        <w:jc w:val="center"/>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图6.8-1环境风险预测与评价工作程序</w:t>
      </w:r>
    </w:p>
    <w:p w14:paraId="0925344B">
      <w:pPr>
        <w:ind w:firstLine="482"/>
        <w:outlineLvl w:val="2"/>
        <w:rPr>
          <w:rFonts w:hint="default" w:ascii="Times New Roman" w:hAnsi="Times New Roman" w:eastAsia="宋体" w:cs="Times New Roman"/>
          <w:b/>
          <w:bCs/>
          <w:color w:val="000000" w:themeColor="text1"/>
          <w14:textFill>
            <w14:solidFill>
              <w14:schemeClr w14:val="tx1"/>
            </w14:solidFill>
          </w14:textFill>
        </w:rPr>
      </w:pPr>
      <w:bookmarkStart w:id="289" w:name="bookmark24"/>
      <w:bookmarkEnd w:id="289"/>
      <w:bookmarkStart w:id="290" w:name="_Toc15606"/>
      <w:r>
        <w:rPr>
          <w:rFonts w:hint="default" w:ascii="Times New Roman" w:hAnsi="Times New Roman" w:eastAsia="宋体" w:cs="Times New Roman"/>
          <w:b/>
          <w:bCs/>
          <w:color w:val="000000" w:themeColor="text1"/>
          <w14:textFill>
            <w14:solidFill>
              <w14:schemeClr w14:val="tx1"/>
            </w14:solidFill>
          </w14:textFill>
        </w:rPr>
        <w:t>6.8.3风险调查</w:t>
      </w:r>
      <w:bookmarkEnd w:id="290"/>
    </w:p>
    <w:p w14:paraId="5B7BD245">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fldChar w:fldCharType="begin"/>
      </w:r>
      <w:r>
        <w:rPr>
          <w:rFonts w:hint="default" w:ascii="Times New Roman" w:hAnsi="Times New Roman" w:eastAsia="宋体" w:cs="Times New Roman"/>
          <w:color w:val="000000" w:themeColor="text1"/>
          <w14:textFill>
            <w14:solidFill>
              <w14:schemeClr w14:val="tx1"/>
            </w14:solidFill>
          </w14:textFill>
        </w:rPr>
        <w:instrText xml:space="preserve"> HYPERLINK "file:///C:\\Users\\Administrator\\Desktop\\科右前旗现代农牧业园区核心育种场养殖项目-修改稿\\5.3.3.1" </w:instrText>
      </w:r>
      <w:r>
        <w:rPr>
          <w:rFonts w:hint="default" w:ascii="Times New Roman" w:hAnsi="Times New Roman" w:eastAsia="宋体" w:cs="Times New Roman"/>
          <w:color w:val="000000" w:themeColor="text1"/>
          <w14:textFill>
            <w14:solidFill>
              <w14:schemeClr w14:val="tx1"/>
            </w14:solidFill>
          </w14:textFill>
        </w:rPr>
        <w:fldChar w:fldCharType="separate"/>
      </w:r>
      <w:r>
        <w:rPr>
          <w:rFonts w:hint="default" w:ascii="Times New Roman" w:hAnsi="Times New Roman" w:eastAsia="宋体" w:cs="Times New Roman"/>
          <w:color w:val="000000" w:themeColor="text1"/>
          <w14:textFill>
            <w14:solidFill>
              <w14:schemeClr w14:val="tx1"/>
            </w14:solidFill>
          </w14:textFill>
        </w:rPr>
        <w:t>6.8.3.1</w:t>
      </w:r>
      <w:r>
        <w:rPr>
          <w:rFonts w:hint="default" w:ascii="Times New Roman" w:hAnsi="Times New Roman" w:eastAsia="宋体" w:cs="Times New Roman"/>
          <w:color w:val="000000" w:themeColor="text1"/>
          <w14:textFill>
            <w14:solidFill>
              <w14:schemeClr w14:val="tx1"/>
            </w14:solidFill>
          </w14:textFill>
        </w:rPr>
        <w:fldChar w:fldCharType="end"/>
      </w:r>
      <w:r>
        <w:rPr>
          <w:rFonts w:hint="default" w:ascii="Times New Roman" w:hAnsi="Times New Roman" w:eastAsia="宋体" w:cs="Times New Roman"/>
          <w:color w:val="000000" w:themeColor="text1"/>
          <w14:textFill>
            <w14:solidFill>
              <w14:schemeClr w14:val="tx1"/>
            </w14:solidFill>
          </w14:textFill>
        </w:rPr>
        <w:t>建设项目风险源调查</w:t>
      </w:r>
    </w:p>
    <w:p w14:paraId="4958B042">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建设项目风险源调查内容主要是调查建设项目危险物质数量和分布情况、生产工艺特点，收集危险物质安全技术说明书等基础资料。本项目风险物质为废矿物油。</w:t>
      </w:r>
    </w:p>
    <w:p w14:paraId="656DE968">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项目风险源主要为危废库，项目在生产过程、储存中涉及的主要危险化学品情况见表6.8-1。</w:t>
      </w:r>
    </w:p>
    <w:p w14:paraId="2BE436F8">
      <w:pPr>
        <w:ind w:firstLine="0" w:firstLineChars="0"/>
        <w:jc w:val="center"/>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表6.8-1项目主要危险化学品情况一览表</w:t>
      </w:r>
    </w:p>
    <w:tbl>
      <w:tblPr>
        <w:tblStyle w:val="35"/>
        <w:tblW w:w="8064"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941"/>
        <w:gridCol w:w="2004"/>
        <w:gridCol w:w="1488"/>
        <w:gridCol w:w="1691"/>
        <w:gridCol w:w="1940"/>
      </w:tblGrid>
      <w:tr w14:paraId="7FE532A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9" w:hRule="atLeast"/>
          <w:jc w:val="center"/>
        </w:trPr>
        <w:tc>
          <w:tcPr>
            <w:tcW w:w="941" w:type="dxa"/>
          </w:tcPr>
          <w:p w14:paraId="7E853B28">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序号</w:t>
            </w:r>
          </w:p>
        </w:tc>
        <w:tc>
          <w:tcPr>
            <w:tcW w:w="2004" w:type="dxa"/>
          </w:tcPr>
          <w:p w14:paraId="64CAFF86">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名称</w:t>
            </w:r>
          </w:p>
        </w:tc>
        <w:tc>
          <w:tcPr>
            <w:tcW w:w="1488" w:type="dxa"/>
          </w:tcPr>
          <w:p w14:paraId="0F5F63EE">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数量</w:t>
            </w:r>
          </w:p>
        </w:tc>
        <w:tc>
          <w:tcPr>
            <w:tcW w:w="1691" w:type="dxa"/>
          </w:tcPr>
          <w:p w14:paraId="37A6EFD9">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总储量（t）</w:t>
            </w:r>
          </w:p>
        </w:tc>
        <w:tc>
          <w:tcPr>
            <w:tcW w:w="1940" w:type="dxa"/>
          </w:tcPr>
          <w:p w14:paraId="162DA755">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备注</w:t>
            </w:r>
          </w:p>
        </w:tc>
      </w:tr>
      <w:tr w14:paraId="1913B35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9" w:hRule="atLeast"/>
          <w:jc w:val="center"/>
        </w:trPr>
        <w:tc>
          <w:tcPr>
            <w:tcW w:w="941" w:type="dxa"/>
          </w:tcPr>
          <w:p w14:paraId="42469051">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w:t>
            </w:r>
          </w:p>
        </w:tc>
        <w:tc>
          <w:tcPr>
            <w:tcW w:w="2004" w:type="dxa"/>
          </w:tcPr>
          <w:p w14:paraId="0E45842C">
            <w:pPr>
              <w:ind w:firstLine="0" w:firstLineChars="0"/>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废机油</w:t>
            </w:r>
          </w:p>
        </w:tc>
        <w:tc>
          <w:tcPr>
            <w:tcW w:w="1488" w:type="dxa"/>
          </w:tcPr>
          <w:p w14:paraId="74A87E8E">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2.0t</w:t>
            </w:r>
          </w:p>
        </w:tc>
        <w:tc>
          <w:tcPr>
            <w:tcW w:w="1691" w:type="dxa"/>
          </w:tcPr>
          <w:p w14:paraId="6DD17810">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2.0</w:t>
            </w:r>
          </w:p>
        </w:tc>
        <w:tc>
          <w:tcPr>
            <w:tcW w:w="1940" w:type="dxa"/>
          </w:tcPr>
          <w:p w14:paraId="4D1AF708">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危废库</w:t>
            </w:r>
          </w:p>
        </w:tc>
      </w:tr>
    </w:tbl>
    <w:p w14:paraId="7FD80C2F">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fldChar w:fldCharType="begin"/>
      </w:r>
      <w:r>
        <w:rPr>
          <w:rFonts w:hint="default" w:ascii="Times New Roman" w:hAnsi="Times New Roman" w:eastAsia="宋体" w:cs="Times New Roman"/>
          <w:color w:val="000000" w:themeColor="text1"/>
          <w14:textFill>
            <w14:solidFill>
              <w14:schemeClr w14:val="tx1"/>
            </w14:solidFill>
          </w14:textFill>
        </w:rPr>
        <w:instrText xml:space="preserve"> HYPERLINK "file:///C:\\Users\\Administrator\\Desktop\\科右前旗现代农牧业园区核心育种场养殖项目-修改稿\\5.3.3.2" </w:instrText>
      </w:r>
      <w:r>
        <w:rPr>
          <w:rFonts w:hint="default" w:ascii="Times New Roman" w:hAnsi="Times New Roman" w:eastAsia="宋体" w:cs="Times New Roman"/>
          <w:color w:val="000000" w:themeColor="text1"/>
          <w14:textFill>
            <w14:solidFill>
              <w14:schemeClr w14:val="tx1"/>
            </w14:solidFill>
          </w14:textFill>
        </w:rPr>
        <w:fldChar w:fldCharType="separate"/>
      </w:r>
      <w:r>
        <w:rPr>
          <w:rFonts w:hint="default" w:ascii="Times New Roman" w:hAnsi="Times New Roman" w:eastAsia="宋体" w:cs="Times New Roman"/>
          <w:color w:val="000000" w:themeColor="text1"/>
          <w14:textFill>
            <w14:solidFill>
              <w14:schemeClr w14:val="tx1"/>
            </w14:solidFill>
          </w14:textFill>
        </w:rPr>
        <w:t>6.8.3.2</w:t>
      </w:r>
      <w:r>
        <w:rPr>
          <w:rFonts w:hint="default" w:ascii="Times New Roman" w:hAnsi="Times New Roman" w:eastAsia="宋体" w:cs="Times New Roman"/>
          <w:color w:val="000000" w:themeColor="text1"/>
          <w14:textFill>
            <w14:solidFill>
              <w14:schemeClr w14:val="tx1"/>
            </w14:solidFill>
          </w14:textFill>
        </w:rPr>
        <w:fldChar w:fldCharType="end"/>
      </w:r>
      <w:r>
        <w:rPr>
          <w:rFonts w:hint="default" w:ascii="Times New Roman" w:hAnsi="Times New Roman" w:eastAsia="宋体" w:cs="Times New Roman"/>
          <w:color w:val="000000" w:themeColor="text1"/>
          <w14:textFill>
            <w14:solidFill>
              <w14:schemeClr w14:val="tx1"/>
            </w14:solidFill>
          </w14:textFill>
        </w:rPr>
        <w:t>.环境敏感目标调查</w:t>
      </w:r>
    </w:p>
    <w:p w14:paraId="17D46AC6">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项目位于兴安盟</w:t>
      </w:r>
      <w:r>
        <w:rPr>
          <w:rFonts w:hint="eastAsia" w:cs="Times New Roman"/>
          <w:color w:val="000000" w:themeColor="text1"/>
          <w:lang w:eastAsia="zh-CN"/>
          <w14:textFill>
            <w14:solidFill>
              <w14:schemeClr w14:val="tx1"/>
            </w14:solidFill>
          </w14:textFill>
        </w:rPr>
        <w:t>科尔沁右翼前旗</w:t>
      </w:r>
      <w:r>
        <w:rPr>
          <w:rFonts w:hint="default" w:ascii="Times New Roman" w:hAnsi="Times New Roman" w:eastAsia="宋体" w:cs="Times New Roman"/>
          <w:color w:val="000000" w:themeColor="text1"/>
          <w14:textFill>
            <w14:solidFill>
              <w14:schemeClr w14:val="tx1"/>
            </w14:solidFill>
          </w14:textFill>
        </w:rPr>
        <w:t>现代农牧业园区，根据现场调查并结合项目特征，确定了建设项目的主要环境敏感目标，环境敏感目标特征见表6.8-2。</w:t>
      </w:r>
    </w:p>
    <w:p w14:paraId="17A84A9A">
      <w:pPr>
        <w:ind w:firstLine="480"/>
        <w:jc w:val="center"/>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表6.8-2建设项目环境敏感特征表</w:t>
      </w:r>
    </w:p>
    <w:tbl>
      <w:tblPr>
        <w:tblStyle w:val="29"/>
        <w:tblW w:w="850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88"/>
        <w:gridCol w:w="1813"/>
        <w:gridCol w:w="1529"/>
        <w:gridCol w:w="1568"/>
        <w:gridCol w:w="1185"/>
        <w:gridCol w:w="1221"/>
      </w:tblGrid>
      <w:tr w14:paraId="6620D7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 w:hRule="atLeast"/>
          <w:jc w:val="center"/>
        </w:trPr>
        <w:tc>
          <w:tcPr>
            <w:tcW w:w="1188" w:type="dxa"/>
            <w:vAlign w:val="center"/>
          </w:tcPr>
          <w:p w14:paraId="775532B6">
            <w:pPr>
              <w:widowControl w:val="0"/>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环境要素</w:t>
            </w:r>
          </w:p>
        </w:tc>
        <w:tc>
          <w:tcPr>
            <w:tcW w:w="1813" w:type="dxa"/>
            <w:vAlign w:val="center"/>
          </w:tcPr>
          <w:p w14:paraId="28CC5D29">
            <w:pPr>
              <w:widowControl w:val="0"/>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保护目标名称</w:t>
            </w:r>
          </w:p>
        </w:tc>
        <w:tc>
          <w:tcPr>
            <w:tcW w:w="1529" w:type="dxa"/>
            <w:vAlign w:val="center"/>
          </w:tcPr>
          <w:p w14:paraId="0C38C508">
            <w:pPr>
              <w:widowControl w:val="0"/>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方位</w:t>
            </w:r>
          </w:p>
        </w:tc>
        <w:tc>
          <w:tcPr>
            <w:tcW w:w="1568" w:type="dxa"/>
            <w:vAlign w:val="center"/>
          </w:tcPr>
          <w:p w14:paraId="09D94696">
            <w:pPr>
              <w:widowControl w:val="0"/>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距边界距离（km）</w:t>
            </w:r>
          </w:p>
        </w:tc>
        <w:tc>
          <w:tcPr>
            <w:tcW w:w="1185" w:type="dxa"/>
            <w:vAlign w:val="center"/>
          </w:tcPr>
          <w:p w14:paraId="741C3DFD">
            <w:pPr>
              <w:widowControl w:val="0"/>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户数</w:t>
            </w:r>
          </w:p>
        </w:tc>
        <w:tc>
          <w:tcPr>
            <w:tcW w:w="1221" w:type="dxa"/>
            <w:vAlign w:val="center"/>
          </w:tcPr>
          <w:p w14:paraId="7EE753D9">
            <w:pPr>
              <w:widowControl w:val="0"/>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人数（人）</w:t>
            </w:r>
          </w:p>
        </w:tc>
      </w:tr>
      <w:tr w14:paraId="5D77F5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6" w:hRule="atLeast"/>
          <w:jc w:val="center"/>
        </w:trPr>
        <w:tc>
          <w:tcPr>
            <w:tcW w:w="1188" w:type="dxa"/>
            <w:vAlign w:val="center"/>
          </w:tcPr>
          <w:p w14:paraId="56312415">
            <w:pPr>
              <w:widowControl w:val="0"/>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大气环境</w:t>
            </w:r>
          </w:p>
        </w:tc>
        <w:tc>
          <w:tcPr>
            <w:tcW w:w="1813" w:type="dxa"/>
            <w:vAlign w:val="center"/>
          </w:tcPr>
          <w:p w14:paraId="7FDE4392">
            <w:pPr>
              <w:widowControl w:val="0"/>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六合嘎查</w:t>
            </w:r>
          </w:p>
        </w:tc>
        <w:tc>
          <w:tcPr>
            <w:tcW w:w="1529" w:type="dxa"/>
            <w:vAlign w:val="center"/>
          </w:tcPr>
          <w:p w14:paraId="06BA4828">
            <w:pPr>
              <w:widowControl w:val="0"/>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西北</w:t>
            </w:r>
          </w:p>
        </w:tc>
        <w:tc>
          <w:tcPr>
            <w:tcW w:w="1568" w:type="dxa"/>
            <w:vAlign w:val="center"/>
          </w:tcPr>
          <w:p w14:paraId="558FC559">
            <w:pPr>
              <w:widowControl w:val="0"/>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2.49</w:t>
            </w:r>
          </w:p>
        </w:tc>
        <w:tc>
          <w:tcPr>
            <w:tcW w:w="1185" w:type="dxa"/>
            <w:vAlign w:val="center"/>
          </w:tcPr>
          <w:p w14:paraId="2DBD2955">
            <w:pPr>
              <w:widowControl w:val="0"/>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185</w:t>
            </w:r>
          </w:p>
        </w:tc>
        <w:tc>
          <w:tcPr>
            <w:tcW w:w="1221" w:type="dxa"/>
            <w:vAlign w:val="center"/>
          </w:tcPr>
          <w:p w14:paraId="3245167A">
            <w:pPr>
              <w:widowControl w:val="0"/>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555</w:t>
            </w:r>
          </w:p>
        </w:tc>
      </w:tr>
    </w:tbl>
    <w:p w14:paraId="2739B70C">
      <w:pPr>
        <w:ind w:firstLine="482"/>
        <w:outlineLvl w:val="2"/>
        <w:rPr>
          <w:rFonts w:hint="default" w:ascii="Times New Roman" w:hAnsi="Times New Roman" w:eastAsia="宋体" w:cs="Times New Roman"/>
          <w:b/>
          <w:bCs/>
          <w:color w:val="000000" w:themeColor="text1"/>
          <w14:textFill>
            <w14:solidFill>
              <w14:schemeClr w14:val="tx1"/>
            </w14:solidFill>
          </w14:textFill>
        </w:rPr>
      </w:pPr>
      <w:bookmarkStart w:id="291" w:name="bookmark25"/>
      <w:bookmarkEnd w:id="291"/>
      <w:bookmarkStart w:id="292" w:name="_Toc19477"/>
      <w:r>
        <w:rPr>
          <w:rFonts w:hint="default" w:ascii="Times New Roman" w:hAnsi="Times New Roman" w:eastAsia="宋体" w:cs="Times New Roman"/>
          <w:b/>
          <w:bCs/>
          <w:color w:val="000000" w:themeColor="text1"/>
          <w14:textFill>
            <w14:solidFill>
              <w14:schemeClr w14:val="tx1"/>
            </w14:solidFill>
          </w14:textFill>
        </w:rPr>
        <w:t>6.8.4环境风险识别</w:t>
      </w:r>
      <w:bookmarkEnd w:id="292"/>
    </w:p>
    <w:p w14:paraId="7213A025">
      <w:pPr>
        <w:ind w:firstLine="480"/>
        <w:rPr>
          <w:rFonts w:hint="default" w:ascii="Times New Roman" w:hAnsi="Times New Roman" w:eastAsia="宋体" w:cs="Times New Roman"/>
          <w:color w:val="000000" w:themeColor="text1"/>
          <w14:textFill>
            <w14:solidFill>
              <w14:schemeClr w14:val="tx1"/>
            </w14:solidFill>
          </w14:textFill>
        </w:rPr>
      </w:pPr>
      <w:bookmarkStart w:id="293" w:name="bookmark26"/>
      <w:bookmarkEnd w:id="293"/>
      <w:r>
        <w:rPr>
          <w:rFonts w:hint="default" w:ascii="Times New Roman" w:hAnsi="Times New Roman" w:eastAsia="宋体" w:cs="Times New Roman"/>
          <w:color w:val="000000" w:themeColor="text1"/>
          <w14:textFill>
            <w14:solidFill>
              <w14:schemeClr w14:val="tx1"/>
            </w14:solidFill>
          </w14:textFill>
        </w:rPr>
        <w:fldChar w:fldCharType="begin"/>
      </w:r>
      <w:r>
        <w:rPr>
          <w:rFonts w:hint="default" w:ascii="Times New Roman" w:hAnsi="Times New Roman" w:eastAsia="宋体" w:cs="Times New Roman"/>
          <w:color w:val="000000" w:themeColor="text1"/>
          <w14:textFill>
            <w14:solidFill>
              <w14:schemeClr w14:val="tx1"/>
            </w14:solidFill>
          </w14:textFill>
        </w:rPr>
        <w:instrText xml:space="preserve">HYPERLINK "C:\\Users\\Administrator\\Desktop\\科右前旗现代农牧业园区核心育种场养殖项目-修改稿\\5.3.4.1"</w:instrText>
      </w:r>
      <w:r>
        <w:rPr>
          <w:rFonts w:hint="default" w:ascii="Times New Roman" w:hAnsi="Times New Roman" w:eastAsia="宋体" w:cs="Times New Roman"/>
          <w:color w:val="000000" w:themeColor="text1"/>
          <w14:textFill>
            <w14:solidFill>
              <w14:schemeClr w14:val="tx1"/>
            </w14:solidFill>
          </w14:textFill>
        </w:rPr>
        <w:fldChar w:fldCharType="separate"/>
      </w:r>
      <w:r>
        <w:rPr>
          <w:rFonts w:hint="default" w:ascii="Times New Roman" w:hAnsi="Times New Roman" w:eastAsia="宋体" w:cs="Times New Roman"/>
          <w:color w:val="000000" w:themeColor="text1"/>
          <w14:textFill>
            <w14:solidFill>
              <w14:schemeClr w14:val="tx1"/>
            </w14:solidFill>
          </w14:textFill>
        </w:rPr>
        <w:t>6.8.4.1</w:t>
      </w:r>
      <w:r>
        <w:rPr>
          <w:rFonts w:hint="default" w:ascii="Times New Roman" w:hAnsi="Times New Roman" w:eastAsia="宋体" w:cs="Times New Roman"/>
          <w:color w:val="000000" w:themeColor="text1"/>
          <w14:textFill>
            <w14:solidFill>
              <w14:schemeClr w14:val="tx1"/>
            </w14:solidFill>
          </w14:textFill>
        </w:rPr>
        <w:fldChar w:fldCharType="end"/>
      </w:r>
      <w:r>
        <w:rPr>
          <w:rFonts w:hint="default" w:ascii="Times New Roman" w:hAnsi="Times New Roman" w:eastAsia="宋体" w:cs="Times New Roman"/>
          <w:color w:val="000000" w:themeColor="text1"/>
          <w14:textFill>
            <w14:solidFill>
              <w14:schemeClr w14:val="tx1"/>
            </w14:solidFill>
          </w14:textFill>
        </w:rPr>
        <w:t>风险识别范围</w:t>
      </w:r>
    </w:p>
    <w:p w14:paraId="2CC6BE0E">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根据《建设项目环境风险评价技术导则》（HJ169-2018），环境风险识别的范围包括物质危险性识别、生产系统危险性识别及危险物质向环境转移的途径识别。本项目物质危险性识别包括厂区储存及生产过程使用的危险化学品及排放的“三废”污染物等；生产系统危险性识别包括主要生产设施、储运设施、公用工程系统、环保设施及辅助生产设施等。</w:t>
      </w:r>
    </w:p>
    <w:p w14:paraId="6CD22C12">
      <w:pPr>
        <w:ind w:firstLine="480"/>
        <w:rPr>
          <w:rFonts w:hint="default" w:ascii="Times New Roman" w:hAnsi="Times New Roman" w:eastAsia="宋体" w:cs="Times New Roman"/>
          <w:color w:val="000000" w:themeColor="text1"/>
          <w14:textFill>
            <w14:solidFill>
              <w14:schemeClr w14:val="tx1"/>
            </w14:solidFill>
          </w14:textFill>
        </w:rPr>
      </w:pPr>
      <w:bookmarkStart w:id="294" w:name="bookmark27"/>
      <w:bookmarkEnd w:id="294"/>
      <w:r>
        <w:rPr>
          <w:rFonts w:hint="default" w:ascii="Times New Roman" w:hAnsi="Times New Roman" w:eastAsia="宋体" w:cs="Times New Roman"/>
          <w:color w:val="000000" w:themeColor="text1"/>
          <w14:textFill>
            <w14:solidFill>
              <w14:schemeClr w14:val="tx1"/>
            </w14:solidFill>
          </w14:textFill>
        </w:rPr>
        <w:fldChar w:fldCharType="begin"/>
      </w:r>
      <w:r>
        <w:rPr>
          <w:rFonts w:hint="default" w:ascii="Times New Roman" w:hAnsi="Times New Roman" w:eastAsia="宋体" w:cs="Times New Roman"/>
          <w:color w:val="000000" w:themeColor="text1"/>
          <w14:textFill>
            <w14:solidFill>
              <w14:schemeClr w14:val="tx1"/>
            </w14:solidFill>
          </w14:textFill>
        </w:rPr>
        <w:instrText xml:space="preserve">HYPERLINK "C:\\Users\\Administrator\\Desktop\\科右前旗现代农牧业园区核心育种场养殖项目-修改稿\\5.3.4.2"</w:instrText>
      </w:r>
      <w:r>
        <w:rPr>
          <w:rFonts w:hint="default" w:ascii="Times New Roman" w:hAnsi="Times New Roman" w:eastAsia="宋体" w:cs="Times New Roman"/>
          <w:color w:val="000000" w:themeColor="text1"/>
          <w14:textFill>
            <w14:solidFill>
              <w14:schemeClr w14:val="tx1"/>
            </w14:solidFill>
          </w14:textFill>
        </w:rPr>
        <w:fldChar w:fldCharType="separate"/>
      </w:r>
      <w:r>
        <w:rPr>
          <w:rFonts w:hint="default" w:ascii="Times New Roman" w:hAnsi="Times New Roman" w:eastAsia="宋体" w:cs="Times New Roman"/>
          <w:color w:val="000000" w:themeColor="text1"/>
          <w14:textFill>
            <w14:solidFill>
              <w14:schemeClr w14:val="tx1"/>
            </w14:solidFill>
          </w14:textFill>
        </w:rPr>
        <w:t>6.8.4.2</w:t>
      </w:r>
      <w:r>
        <w:rPr>
          <w:rFonts w:hint="default" w:ascii="Times New Roman" w:hAnsi="Times New Roman" w:eastAsia="宋体" w:cs="Times New Roman"/>
          <w:color w:val="000000" w:themeColor="text1"/>
          <w14:textFill>
            <w14:solidFill>
              <w14:schemeClr w14:val="tx1"/>
            </w14:solidFill>
          </w14:textFill>
        </w:rPr>
        <w:fldChar w:fldCharType="end"/>
      </w:r>
      <w:r>
        <w:rPr>
          <w:rFonts w:hint="default" w:ascii="Times New Roman" w:hAnsi="Times New Roman" w:eastAsia="宋体" w:cs="Times New Roman"/>
          <w:color w:val="000000" w:themeColor="text1"/>
          <w14:textFill>
            <w14:solidFill>
              <w14:schemeClr w14:val="tx1"/>
            </w14:solidFill>
          </w14:textFill>
        </w:rPr>
        <w:t>物质风险性识别</w:t>
      </w:r>
    </w:p>
    <w:p w14:paraId="4E237189">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根据导则要求，物质危险性识别包括主要原辅材料、燃料、中间产品、副产品、最终产品、污染物、火灾和爆炸伴生/次生物等，项目涉及的危险物料统计如下：</w:t>
      </w:r>
    </w:p>
    <w:p w14:paraId="1B6A89EA">
      <w:pPr>
        <w:ind w:firstLine="0" w:firstLineChars="0"/>
        <w:jc w:val="center"/>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表6.8-3项目涉及风险物质一览表</w:t>
      </w:r>
    </w:p>
    <w:tbl>
      <w:tblPr>
        <w:tblStyle w:val="35"/>
        <w:tblW w:w="789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678"/>
        <w:gridCol w:w="2189"/>
        <w:gridCol w:w="1862"/>
        <w:gridCol w:w="1506"/>
        <w:gridCol w:w="1663"/>
      </w:tblGrid>
      <w:tr w14:paraId="70D954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14" w:hRule="atLeast"/>
          <w:jc w:val="center"/>
        </w:trPr>
        <w:tc>
          <w:tcPr>
            <w:tcW w:w="678" w:type="dxa"/>
            <w:vAlign w:val="center"/>
          </w:tcPr>
          <w:p w14:paraId="2F0B0575">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序号</w:t>
            </w:r>
          </w:p>
        </w:tc>
        <w:tc>
          <w:tcPr>
            <w:tcW w:w="2189" w:type="dxa"/>
            <w:vAlign w:val="center"/>
          </w:tcPr>
          <w:p w14:paraId="7FD0CEE4">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类别</w:t>
            </w:r>
          </w:p>
        </w:tc>
        <w:tc>
          <w:tcPr>
            <w:tcW w:w="1862" w:type="dxa"/>
            <w:vAlign w:val="center"/>
          </w:tcPr>
          <w:p w14:paraId="3695C9E8">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风险物质</w:t>
            </w:r>
          </w:p>
        </w:tc>
        <w:tc>
          <w:tcPr>
            <w:tcW w:w="1506" w:type="dxa"/>
            <w:vAlign w:val="center"/>
          </w:tcPr>
          <w:p w14:paraId="5435EE87">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判定依据</w:t>
            </w:r>
          </w:p>
        </w:tc>
        <w:tc>
          <w:tcPr>
            <w:tcW w:w="1663" w:type="dxa"/>
            <w:vAlign w:val="center"/>
          </w:tcPr>
          <w:p w14:paraId="7F79D498">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是否属于</w:t>
            </w:r>
          </w:p>
        </w:tc>
      </w:tr>
      <w:tr w14:paraId="458CD8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5" w:hRule="atLeast"/>
          <w:jc w:val="center"/>
        </w:trPr>
        <w:tc>
          <w:tcPr>
            <w:tcW w:w="678" w:type="dxa"/>
            <w:vMerge w:val="restart"/>
            <w:vAlign w:val="center"/>
          </w:tcPr>
          <w:p w14:paraId="6B6DB9A0">
            <w:pPr>
              <w:ind w:firstLine="0" w:firstLineChars="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w:t>
            </w:r>
          </w:p>
        </w:tc>
        <w:tc>
          <w:tcPr>
            <w:tcW w:w="2189" w:type="dxa"/>
            <w:vMerge w:val="restart"/>
            <w:vAlign w:val="center"/>
          </w:tcPr>
          <w:p w14:paraId="14472AEF">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污染物</w:t>
            </w:r>
          </w:p>
        </w:tc>
        <w:tc>
          <w:tcPr>
            <w:tcW w:w="1862" w:type="dxa"/>
            <w:vAlign w:val="center"/>
          </w:tcPr>
          <w:p w14:paraId="7E9F9D31">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COD：874.52</w:t>
            </w:r>
          </w:p>
        </w:tc>
        <w:tc>
          <w:tcPr>
            <w:tcW w:w="1506" w:type="dxa"/>
            <w:vAlign w:val="center"/>
          </w:tcPr>
          <w:p w14:paraId="61CC7734">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COD≥10000</w:t>
            </w:r>
          </w:p>
        </w:tc>
        <w:tc>
          <w:tcPr>
            <w:tcW w:w="1663" w:type="dxa"/>
            <w:vAlign w:val="center"/>
          </w:tcPr>
          <w:p w14:paraId="674BD317">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不属于</w:t>
            </w:r>
          </w:p>
        </w:tc>
      </w:tr>
      <w:tr w14:paraId="48E55D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14" w:hRule="atLeast"/>
          <w:jc w:val="center"/>
        </w:trPr>
        <w:tc>
          <w:tcPr>
            <w:tcW w:w="678" w:type="dxa"/>
            <w:vMerge w:val="continue"/>
            <w:vAlign w:val="center"/>
          </w:tcPr>
          <w:p w14:paraId="5124FD34">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2189" w:type="dxa"/>
            <w:vMerge w:val="continue"/>
            <w:vAlign w:val="center"/>
          </w:tcPr>
          <w:p w14:paraId="09531DD7">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862" w:type="dxa"/>
            <w:vAlign w:val="center"/>
          </w:tcPr>
          <w:p w14:paraId="00382937">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氨氮：22.419</w:t>
            </w:r>
          </w:p>
        </w:tc>
        <w:tc>
          <w:tcPr>
            <w:tcW w:w="1506" w:type="dxa"/>
            <w:vAlign w:val="center"/>
          </w:tcPr>
          <w:p w14:paraId="3CFBE7D4">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氨氮≥2000</w:t>
            </w:r>
          </w:p>
        </w:tc>
        <w:tc>
          <w:tcPr>
            <w:tcW w:w="1663" w:type="dxa"/>
            <w:vAlign w:val="center"/>
          </w:tcPr>
          <w:p w14:paraId="6D542316">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不属于</w:t>
            </w:r>
          </w:p>
        </w:tc>
      </w:tr>
      <w:tr w14:paraId="098066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50" w:hRule="atLeast"/>
          <w:jc w:val="center"/>
        </w:trPr>
        <w:tc>
          <w:tcPr>
            <w:tcW w:w="678" w:type="dxa"/>
            <w:vAlign w:val="center"/>
          </w:tcPr>
          <w:p w14:paraId="6DF1B272">
            <w:pPr>
              <w:ind w:firstLine="0" w:firstLineChars="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2</w:t>
            </w:r>
          </w:p>
        </w:tc>
        <w:tc>
          <w:tcPr>
            <w:tcW w:w="2189" w:type="dxa"/>
            <w:vAlign w:val="center"/>
          </w:tcPr>
          <w:p w14:paraId="7190BEC7">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火灾和爆炸伴生/次生物</w:t>
            </w:r>
          </w:p>
        </w:tc>
        <w:tc>
          <w:tcPr>
            <w:tcW w:w="1862" w:type="dxa"/>
            <w:vAlign w:val="center"/>
          </w:tcPr>
          <w:p w14:paraId="59EA9E4A">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CO</w:t>
            </w:r>
          </w:p>
        </w:tc>
        <w:tc>
          <w:tcPr>
            <w:tcW w:w="1506" w:type="dxa"/>
            <w:vAlign w:val="center"/>
          </w:tcPr>
          <w:p w14:paraId="37A7B67E">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毒性</w:t>
            </w:r>
          </w:p>
        </w:tc>
        <w:tc>
          <w:tcPr>
            <w:tcW w:w="1663" w:type="dxa"/>
            <w:vAlign w:val="center"/>
          </w:tcPr>
          <w:p w14:paraId="6DE07B3F">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属于</w:t>
            </w:r>
          </w:p>
        </w:tc>
      </w:tr>
      <w:tr w14:paraId="0BF3A3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18" w:hRule="atLeast"/>
          <w:jc w:val="center"/>
        </w:trPr>
        <w:tc>
          <w:tcPr>
            <w:tcW w:w="678" w:type="dxa"/>
            <w:vAlign w:val="center"/>
          </w:tcPr>
          <w:p w14:paraId="3B7C806C">
            <w:pPr>
              <w:ind w:firstLine="0" w:firstLineChars="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3</w:t>
            </w:r>
          </w:p>
        </w:tc>
        <w:tc>
          <w:tcPr>
            <w:tcW w:w="2189" w:type="dxa"/>
            <w:vAlign w:val="center"/>
          </w:tcPr>
          <w:p w14:paraId="2FCBEA86">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污染物</w:t>
            </w:r>
          </w:p>
        </w:tc>
        <w:tc>
          <w:tcPr>
            <w:tcW w:w="1862" w:type="dxa"/>
            <w:vAlign w:val="center"/>
          </w:tcPr>
          <w:p w14:paraId="0535CD2C">
            <w:pPr>
              <w:ind w:firstLine="0" w:firstLineChars="0"/>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废机油</w:t>
            </w:r>
          </w:p>
        </w:tc>
        <w:tc>
          <w:tcPr>
            <w:tcW w:w="1506" w:type="dxa"/>
            <w:vAlign w:val="center"/>
          </w:tcPr>
          <w:p w14:paraId="341408BB">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毒性</w:t>
            </w:r>
          </w:p>
        </w:tc>
        <w:tc>
          <w:tcPr>
            <w:tcW w:w="1663" w:type="dxa"/>
            <w:vAlign w:val="center"/>
          </w:tcPr>
          <w:p w14:paraId="651F3160">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属于</w:t>
            </w:r>
          </w:p>
        </w:tc>
      </w:tr>
    </w:tbl>
    <w:p w14:paraId="5C077A91">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fldChar w:fldCharType="begin"/>
      </w:r>
      <w:r>
        <w:rPr>
          <w:rFonts w:hint="default" w:ascii="Times New Roman" w:hAnsi="Times New Roman" w:eastAsia="宋体" w:cs="Times New Roman"/>
          <w:color w:val="000000" w:themeColor="text1"/>
          <w14:textFill>
            <w14:solidFill>
              <w14:schemeClr w14:val="tx1"/>
            </w14:solidFill>
          </w14:textFill>
        </w:rPr>
        <w:instrText xml:space="preserve"> HYPERLINK "file:///C:\\Users\\Administrator\\Desktop\\科右前旗现代农牧业园区核心育种场养殖项目-修改稿\\5.3.4.3" </w:instrText>
      </w:r>
      <w:r>
        <w:rPr>
          <w:rFonts w:hint="default" w:ascii="Times New Roman" w:hAnsi="Times New Roman" w:eastAsia="宋体" w:cs="Times New Roman"/>
          <w:color w:val="000000" w:themeColor="text1"/>
          <w14:textFill>
            <w14:solidFill>
              <w14:schemeClr w14:val="tx1"/>
            </w14:solidFill>
          </w14:textFill>
        </w:rPr>
        <w:fldChar w:fldCharType="separate"/>
      </w:r>
      <w:r>
        <w:rPr>
          <w:rFonts w:hint="default" w:ascii="Times New Roman" w:hAnsi="Times New Roman" w:eastAsia="宋体" w:cs="Times New Roman"/>
          <w:color w:val="000000" w:themeColor="text1"/>
          <w14:textFill>
            <w14:solidFill>
              <w14:schemeClr w14:val="tx1"/>
            </w14:solidFill>
          </w14:textFill>
        </w:rPr>
        <w:t>6.8.4.3</w:t>
      </w:r>
      <w:r>
        <w:rPr>
          <w:rFonts w:hint="default" w:ascii="Times New Roman" w:hAnsi="Times New Roman" w:eastAsia="宋体" w:cs="Times New Roman"/>
          <w:color w:val="000000" w:themeColor="text1"/>
          <w14:textFill>
            <w14:solidFill>
              <w14:schemeClr w14:val="tx1"/>
            </w14:solidFill>
          </w14:textFill>
        </w:rPr>
        <w:fldChar w:fldCharType="end"/>
      </w:r>
      <w:r>
        <w:rPr>
          <w:rFonts w:hint="default" w:ascii="Times New Roman" w:hAnsi="Times New Roman" w:eastAsia="宋体" w:cs="Times New Roman"/>
          <w:color w:val="000000" w:themeColor="text1"/>
          <w14:textFill>
            <w14:solidFill>
              <w14:schemeClr w14:val="tx1"/>
            </w14:solidFill>
          </w14:textFill>
        </w:rPr>
        <w:t>生产系统危险性识别</w:t>
      </w:r>
    </w:p>
    <w:p w14:paraId="186C2530">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根据《建设项目环境风险评价技术导则》（HJ169-2018），危险单元是由一个或多个风险源构成的具有相对独立功能的单元，事故状况下应可实现与其他功能单元的分割。以不同单元之间在事故状态下可实现分割来划分，本项目的事故风险易发生环节主要有：</w:t>
      </w:r>
      <w:r>
        <w:rPr>
          <w:rFonts w:hint="eastAsia" w:cs="Times New Roman"/>
          <w:color w:val="000000" w:themeColor="text1"/>
          <w:lang w:val="en-US" w:eastAsia="zh-CN"/>
          <w14:textFill>
            <w14:solidFill>
              <w14:schemeClr w14:val="tx1"/>
            </w14:solidFill>
          </w14:textFill>
        </w:rPr>
        <w:t>废机油</w:t>
      </w:r>
      <w:r>
        <w:rPr>
          <w:rFonts w:hint="default" w:ascii="Times New Roman" w:hAnsi="Times New Roman" w:eastAsia="宋体" w:cs="Times New Roman"/>
          <w:color w:val="000000" w:themeColor="text1"/>
          <w14:textFill>
            <w14:solidFill>
              <w14:schemeClr w14:val="tx1"/>
            </w14:solidFill>
          </w14:textFill>
        </w:rPr>
        <w:t>贮存过程。</w:t>
      </w:r>
    </w:p>
    <w:p w14:paraId="596C6558">
      <w:pPr>
        <w:ind w:firstLine="480"/>
        <w:rPr>
          <w:rFonts w:hint="default" w:ascii="Times New Roman" w:hAnsi="Times New Roman" w:eastAsia="宋体" w:cs="Times New Roman"/>
          <w:color w:val="000000" w:themeColor="text1"/>
          <w14:textFill>
            <w14:solidFill>
              <w14:schemeClr w14:val="tx1"/>
            </w14:solidFill>
          </w14:textFill>
        </w:rPr>
      </w:pPr>
      <w:r>
        <w:rPr>
          <w:rFonts w:hint="eastAsia" w:cs="Times New Roman"/>
          <w:color w:val="000000" w:themeColor="text1"/>
          <w:lang w:val="en-US" w:eastAsia="zh-CN"/>
          <w14:textFill>
            <w14:solidFill>
              <w14:schemeClr w14:val="tx1"/>
            </w14:solidFill>
          </w14:textFill>
        </w:rPr>
        <w:t>废机油</w:t>
      </w:r>
      <w:r>
        <w:rPr>
          <w:rFonts w:hint="default" w:ascii="Times New Roman" w:hAnsi="Times New Roman" w:eastAsia="宋体" w:cs="Times New Roman"/>
          <w:color w:val="000000" w:themeColor="text1"/>
          <w14:textFill>
            <w14:solidFill>
              <w14:schemeClr w14:val="tx1"/>
            </w14:solidFill>
          </w14:textFill>
        </w:rPr>
        <w:t>贮存、输送过程本项目产生的易燃气体，火灾危险性类别为甲类，如贮存输送过程维护保养不当、操作不当使得管线损坏、水封高度不足，造成</w:t>
      </w:r>
      <w:r>
        <w:rPr>
          <w:rFonts w:hint="eastAsia" w:cs="Times New Roman"/>
          <w:color w:val="000000" w:themeColor="text1"/>
          <w:lang w:val="en-US" w:eastAsia="zh-CN"/>
          <w14:textFill>
            <w14:solidFill>
              <w14:schemeClr w14:val="tx1"/>
            </w14:solidFill>
          </w14:textFill>
        </w:rPr>
        <w:t>废机油</w:t>
      </w:r>
      <w:r>
        <w:rPr>
          <w:rFonts w:hint="default" w:ascii="Times New Roman" w:hAnsi="Times New Roman" w:eastAsia="宋体" w:cs="Times New Roman"/>
          <w:color w:val="000000" w:themeColor="text1"/>
          <w14:textFill>
            <w14:solidFill>
              <w14:schemeClr w14:val="tx1"/>
            </w14:solidFill>
          </w14:textFill>
        </w:rPr>
        <w:t>泄露，遇明火存在着火灾、爆炸的事故风险。这不仅会对周围环境产生较大的影响，甚至还要危及人身的生命安全</w:t>
      </w:r>
      <w:r>
        <w:rPr>
          <w:rFonts w:hint="eastAsia" w:cs="Times New Roman"/>
          <w:color w:val="000000" w:themeColor="text1"/>
          <w:lang w:eastAsia="zh-CN"/>
          <w14:textFill>
            <w14:solidFill>
              <w14:schemeClr w14:val="tx1"/>
            </w14:solidFill>
          </w14:textFill>
        </w:rPr>
        <w:t>。</w:t>
      </w:r>
      <w:r>
        <w:rPr>
          <w:rFonts w:hint="default" w:ascii="Times New Roman" w:hAnsi="Times New Roman" w:eastAsia="宋体" w:cs="Times New Roman"/>
          <w:color w:val="000000" w:themeColor="text1"/>
          <w14:textFill>
            <w14:solidFill>
              <w14:schemeClr w14:val="tx1"/>
            </w14:solidFill>
          </w14:textFill>
        </w:rPr>
        <w:t>根据对本项目工艺系统的风险调查分析，确定本项目中主要风险单位为：</w:t>
      </w:r>
      <w:r>
        <w:rPr>
          <w:rFonts w:hint="eastAsia" w:cs="Times New Roman"/>
          <w:color w:val="000000" w:themeColor="text1"/>
          <w:lang w:val="en-US" w:eastAsia="zh-CN"/>
          <w14:textFill>
            <w14:solidFill>
              <w14:schemeClr w14:val="tx1"/>
            </w14:solidFill>
          </w14:textFill>
        </w:rPr>
        <w:t>危废暂存间</w:t>
      </w:r>
      <w:r>
        <w:rPr>
          <w:rFonts w:hint="default" w:ascii="Times New Roman" w:hAnsi="Times New Roman" w:eastAsia="宋体" w:cs="Times New Roman"/>
          <w:color w:val="000000" w:themeColor="text1"/>
          <w14:textFill>
            <w14:solidFill>
              <w14:schemeClr w14:val="tx1"/>
            </w14:solidFill>
          </w14:textFill>
        </w:rPr>
        <w:t>。</w:t>
      </w:r>
    </w:p>
    <w:p w14:paraId="128AF128">
      <w:pPr>
        <w:ind w:firstLine="480"/>
        <w:rPr>
          <w:rFonts w:hint="default" w:ascii="Times New Roman" w:hAnsi="Times New Roman" w:eastAsia="宋体" w:cs="Times New Roman"/>
          <w:color w:val="000000" w:themeColor="text1"/>
          <w14:textFill>
            <w14:solidFill>
              <w14:schemeClr w14:val="tx1"/>
            </w14:solidFill>
          </w14:textFill>
        </w:rPr>
      </w:pPr>
      <w:bookmarkStart w:id="295" w:name="bookmark28"/>
      <w:bookmarkEnd w:id="295"/>
      <w:r>
        <w:rPr>
          <w:rFonts w:hint="default" w:ascii="Times New Roman" w:hAnsi="Times New Roman" w:eastAsia="宋体" w:cs="Times New Roman"/>
          <w:color w:val="000000" w:themeColor="text1"/>
          <w14:textFill>
            <w14:solidFill>
              <w14:schemeClr w14:val="tx1"/>
            </w14:solidFill>
          </w14:textFill>
        </w:rPr>
        <w:fldChar w:fldCharType="begin"/>
      </w:r>
      <w:r>
        <w:rPr>
          <w:rFonts w:hint="default" w:ascii="Times New Roman" w:hAnsi="Times New Roman" w:eastAsia="宋体" w:cs="Times New Roman"/>
          <w:color w:val="000000" w:themeColor="text1"/>
          <w14:textFill>
            <w14:solidFill>
              <w14:schemeClr w14:val="tx1"/>
            </w14:solidFill>
          </w14:textFill>
        </w:rPr>
        <w:instrText xml:space="preserve">HYPERLINK "C:\\Users\\Administrator\\Desktop\\科右前旗现代农牧业园区核心育种场养殖项目-修改稿\\5.3.4.4"</w:instrText>
      </w:r>
      <w:r>
        <w:rPr>
          <w:rFonts w:hint="default" w:ascii="Times New Roman" w:hAnsi="Times New Roman" w:eastAsia="宋体" w:cs="Times New Roman"/>
          <w:color w:val="000000" w:themeColor="text1"/>
          <w14:textFill>
            <w14:solidFill>
              <w14:schemeClr w14:val="tx1"/>
            </w14:solidFill>
          </w14:textFill>
        </w:rPr>
        <w:fldChar w:fldCharType="separate"/>
      </w:r>
      <w:r>
        <w:rPr>
          <w:rFonts w:hint="default" w:ascii="Times New Roman" w:hAnsi="Times New Roman" w:eastAsia="宋体" w:cs="Times New Roman"/>
          <w:color w:val="000000" w:themeColor="text1"/>
          <w14:textFill>
            <w14:solidFill>
              <w14:schemeClr w14:val="tx1"/>
            </w14:solidFill>
          </w14:textFill>
        </w:rPr>
        <w:t>6.8.4.4</w:t>
      </w:r>
      <w:r>
        <w:rPr>
          <w:rFonts w:hint="default" w:ascii="Times New Roman" w:hAnsi="Times New Roman" w:eastAsia="宋体" w:cs="Times New Roman"/>
          <w:color w:val="000000" w:themeColor="text1"/>
          <w14:textFill>
            <w14:solidFill>
              <w14:schemeClr w14:val="tx1"/>
            </w14:solidFill>
          </w14:textFill>
        </w:rPr>
        <w:fldChar w:fldCharType="end"/>
      </w:r>
      <w:r>
        <w:rPr>
          <w:rFonts w:hint="default" w:ascii="Times New Roman" w:hAnsi="Times New Roman" w:eastAsia="宋体" w:cs="Times New Roman"/>
          <w:color w:val="000000" w:themeColor="text1"/>
          <w14:textFill>
            <w14:solidFill>
              <w14:schemeClr w14:val="tx1"/>
            </w14:solidFill>
          </w14:textFill>
        </w:rPr>
        <w:t>向环境转移的途径识别</w:t>
      </w:r>
    </w:p>
    <w:p w14:paraId="526CA988">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空气、水体和土壤等环境要素是危险性物质向环境转移最基本的途径，同时这三种要素之间又随时发生着物质和能量的传递，污染物进入环境后，随着空气和水体环境发生推流迁移、分散稀释和降解转化运动。</w:t>
      </w:r>
    </w:p>
    <w:p w14:paraId="7FFFEBCD">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本项目主要危险物质为</w:t>
      </w:r>
      <w:r>
        <w:rPr>
          <w:rFonts w:hint="eastAsia" w:cs="Times New Roman"/>
          <w:color w:val="000000" w:themeColor="text1"/>
          <w:lang w:val="en-US" w:eastAsia="zh-CN"/>
          <w14:textFill>
            <w14:solidFill>
              <w14:schemeClr w14:val="tx1"/>
            </w14:solidFill>
          </w14:textFill>
        </w:rPr>
        <w:t>废机油</w:t>
      </w:r>
      <w:r>
        <w:rPr>
          <w:rFonts w:hint="default" w:ascii="Times New Roman" w:hAnsi="Times New Roman" w:eastAsia="宋体" w:cs="Times New Roman"/>
          <w:color w:val="000000" w:themeColor="text1"/>
          <w14:textFill>
            <w14:solidFill>
              <w14:schemeClr w14:val="tx1"/>
            </w14:solidFill>
          </w14:textFill>
        </w:rPr>
        <w:t>发生泄漏，直接通过空气进行扩散；</w:t>
      </w:r>
      <w:r>
        <w:rPr>
          <w:rFonts w:hint="eastAsia" w:cs="Times New Roman"/>
          <w:color w:val="000000" w:themeColor="text1"/>
          <w:lang w:val="en-US" w:eastAsia="zh-CN"/>
          <w14:textFill>
            <w14:solidFill>
              <w14:schemeClr w14:val="tx1"/>
            </w14:solidFill>
          </w14:textFill>
        </w:rPr>
        <w:t>废机油</w:t>
      </w:r>
      <w:r>
        <w:rPr>
          <w:rFonts w:hint="default" w:ascii="Times New Roman" w:hAnsi="Times New Roman" w:eastAsia="宋体" w:cs="Times New Roman"/>
          <w:color w:val="000000" w:themeColor="text1"/>
          <w14:textFill>
            <w14:solidFill>
              <w14:schemeClr w14:val="tx1"/>
            </w14:solidFill>
          </w14:textFill>
        </w:rPr>
        <w:t>发生火灾爆炸事故时产生的次生污染物CO通过空气进行扩散；消防废水通过地表径流的方式进入土壤、地表水体、地下水。</w:t>
      </w:r>
    </w:p>
    <w:p w14:paraId="26B9264D">
      <w:pPr>
        <w:ind w:firstLine="480"/>
        <w:rPr>
          <w:rFonts w:hint="default" w:ascii="Times New Roman" w:hAnsi="Times New Roman" w:eastAsia="宋体" w:cs="Times New Roman"/>
          <w:color w:val="000000" w:themeColor="text1"/>
          <w14:textFill>
            <w14:solidFill>
              <w14:schemeClr w14:val="tx1"/>
            </w14:solidFill>
          </w14:textFill>
        </w:rPr>
      </w:pPr>
      <w:bookmarkStart w:id="296" w:name="bookmark29"/>
      <w:bookmarkEnd w:id="296"/>
      <w:r>
        <w:rPr>
          <w:rFonts w:hint="default" w:ascii="Times New Roman" w:hAnsi="Times New Roman" w:eastAsia="宋体" w:cs="Times New Roman"/>
          <w:color w:val="000000" w:themeColor="text1"/>
          <w14:textFill>
            <w14:solidFill>
              <w14:schemeClr w14:val="tx1"/>
            </w14:solidFill>
          </w14:textFill>
        </w:rPr>
        <w:fldChar w:fldCharType="begin"/>
      </w:r>
      <w:r>
        <w:rPr>
          <w:rFonts w:hint="default" w:ascii="Times New Roman" w:hAnsi="Times New Roman" w:eastAsia="宋体" w:cs="Times New Roman"/>
          <w:color w:val="000000" w:themeColor="text1"/>
          <w14:textFill>
            <w14:solidFill>
              <w14:schemeClr w14:val="tx1"/>
            </w14:solidFill>
          </w14:textFill>
        </w:rPr>
        <w:instrText xml:space="preserve">HYPERLINK "C:\\Users\\Administrator\\Desktop\\科右前旗现代农牧业园区核心育种场养殖项目-修改稿\\5.3.4.5"</w:instrText>
      </w:r>
      <w:r>
        <w:rPr>
          <w:rFonts w:hint="default" w:ascii="Times New Roman" w:hAnsi="Times New Roman" w:eastAsia="宋体" w:cs="Times New Roman"/>
          <w:color w:val="000000" w:themeColor="text1"/>
          <w14:textFill>
            <w14:solidFill>
              <w14:schemeClr w14:val="tx1"/>
            </w14:solidFill>
          </w14:textFill>
        </w:rPr>
        <w:fldChar w:fldCharType="separate"/>
      </w:r>
      <w:r>
        <w:rPr>
          <w:rFonts w:hint="default" w:ascii="Times New Roman" w:hAnsi="Times New Roman" w:eastAsia="宋体" w:cs="Times New Roman"/>
          <w:color w:val="000000" w:themeColor="text1"/>
          <w14:textFill>
            <w14:solidFill>
              <w14:schemeClr w14:val="tx1"/>
            </w14:solidFill>
          </w14:textFill>
        </w:rPr>
        <w:t>6.8.4.5</w:t>
      </w:r>
      <w:r>
        <w:rPr>
          <w:rFonts w:hint="default" w:ascii="Times New Roman" w:hAnsi="Times New Roman" w:eastAsia="宋体" w:cs="Times New Roman"/>
          <w:color w:val="000000" w:themeColor="text1"/>
          <w14:textFill>
            <w14:solidFill>
              <w14:schemeClr w14:val="tx1"/>
            </w14:solidFill>
          </w14:textFill>
        </w:rPr>
        <w:fldChar w:fldCharType="end"/>
      </w:r>
      <w:r>
        <w:rPr>
          <w:rFonts w:hint="default" w:ascii="Times New Roman" w:hAnsi="Times New Roman" w:eastAsia="宋体" w:cs="Times New Roman"/>
          <w:color w:val="000000" w:themeColor="text1"/>
          <w14:textFill>
            <w14:solidFill>
              <w14:schemeClr w14:val="tx1"/>
            </w14:solidFill>
          </w14:textFill>
        </w:rPr>
        <w:t>环境风险识别结果</w:t>
      </w:r>
    </w:p>
    <w:p w14:paraId="78C423D9">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本项目存在的环境风险类型主要为危险物质火灾爆炸引发的次生污染物排放。空气、水体和土壤等环境要素是危险性物质向环境转移最基本的途径，同时这三种要素之间又随时发生着物质和能量的传递，污染物进入环境后，随着空气和水体环境发生推流迁移、分散稀释和降解转化运动。</w:t>
      </w:r>
    </w:p>
    <w:p w14:paraId="16CD7662">
      <w:pPr>
        <w:ind w:firstLine="0" w:firstLineChars="0"/>
        <w:jc w:val="center"/>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表6.8-4环境风险类型及向环境转移的途径和方式</w:t>
      </w:r>
    </w:p>
    <w:tbl>
      <w:tblPr>
        <w:tblStyle w:val="35"/>
        <w:tblW w:w="8538"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814"/>
        <w:gridCol w:w="1761"/>
        <w:gridCol w:w="2394"/>
        <w:gridCol w:w="2569"/>
      </w:tblGrid>
      <w:tr w14:paraId="2B358CE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4" w:hRule="atLeast"/>
          <w:jc w:val="center"/>
        </w:trPr>
        <w:tc>
          <w:tcPr>
            <w:tcW w:w="1814" w:type="dxa"/>
            <w:vAlign w:val="center"/>
          </w:tcPr>
          <w:p w14:paraId="17F1D101">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环境风险源分布</w:t>
            </w:r>
          </w:p>
        </w:tc>
        <w:tc>
          <w:tcPr>
            <w:tcW w:w="1761" w:type="dxa"/>
            <w:vAlign w:val="center"/>
          </w:tcPr>
          <w:p w14:paraId="108CACCC">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主要危险性物质</w:t>
            </w:r>
          </w:p>
        </w:tc>
        <w:tc>
          <w:tcPr>
            <w:tcW w:w="2394" w:type="dxa"/>
            <w:vAlign w:val="center"/>
          </w:tcPr>
          <w:p w14:paraId="0E41A367">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环境风险类型</w:t>
            </w:r>
          </w:p>
        </w:tc>
        <w:tc>
          <w:tcPr>
            <w:tcW w:w="2569" w:type="dxa"/>
            <w:vAlign w:val="center"/>
          </w:tcPr>
          <w:p w14:paraId="60361DD2">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向环境转移的途径及方式</w:t>
            </w:r>
          </w:p>
        </w:tc>
      </w:tr>
      <w:tr w14:paraId="217E574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567" w:hRule="atLeast"/>
          <w:jc w:val="center"/>
        </w:trPr>
        <w:tc>
          <w:tcPr>
            <w:tcW w:w="1814" w:type="dxa"/>
            <w:vAlign w:val="center"/>
          </w:tcPr>
          <w:p w14:paraId="574EEFF6">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危废暂存间</w:t>
            </w:r>
          </w:p>
        </w:tc>
        <w:tc>
          <w:tcPr>
            <w:tcW w:w="1761" w:type="dxa"/>
            <w:vAlign w:val="center"/>
          </w:tcPr>
          <w:p w14:paraId="09FFFA8C">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废矿物油</w:t>
            </w:r>
          </w:p>
        </w:tc>
        <w:tc>
          <w:tcPr>
            <w:tcW w:w="2394" w:type="dxa"/>
            <w:vAlign w:val="center"/>
          </w:tcPr>
          <w:p w14:paraId="3B26520B">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泄漏、火灾、爆炸引发伴生/次生污染物排放</w:t>
            </w:r>
          </w:p>
        </w:tc>
        <w:tc>
          <w:tcPr>
            <w:tcW w:w="2569" w:type="dxa"/>
            <w:vAlign w:val="center"/>
          </w:tcPr>
          <w:p w14:paraId="74A5FCCB">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储存装置等发生破裂；若发生泄漏，挥发的高浓度烃类油气可致人中毒，遇明火可发生火灾和爆炸</w:t>
            </w:r>
          </w:p>
        </w:tc>
      </w:tr>
    </w:tbl>
    <w:p w14:paraId="0BF72951">
      <w:pPr>
        <w:ind w:firstLine="482"/>
        <w:outlineLvl w:val="2"/>
        <w:rPr>
          <w:rFonts w:hint="default" w:ascii="Times New Roman" w:hAnsi="Times New Roman" w:eastAsia="宋体" w:cs="Times New Roman"/>
          <w:b/>
          <w:bCs/>
          <w:color w:val="000000" w:themeColor="text1"/>
          <w14:textFill>
            <w14:solidFill>
              <w14:schemeClr w14:val="tx1"/>
            </w14:solidFill>
          </w14:textFill>
        </w:rPr>
      </w:pPr>
      <w:bookmarkStart w:id="297" w:name="_Toc27859"/>
      <w:r>
        <w:rPr>
          <w:rFonts w:hint="default" w:ascii="Times New Roman" w:hAnsi="Times New Roman" w:eastAsia="宋体" w:cs="Times New Roman"/>
          <w:b/>
          <w:bCs/>
          <w:color w:val="000000" w:themeColor="text1"/>
          <w14:textFill>
            <w14:solidFill>
              <w14:schemeClr w14:val="tx1"/>
            </w14:solidFill>
          </w14:textFill>
        </w:rPr>
        <w:t>6.8.5建设项目风险源调查</w:t>
      </w:r>
      <w:bookmarkEnd w:id="297"/>
    </w:p>
    <w:p w14:paraId="63D86578">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根据《建设项目环境风险评价技术导则》（HJ169-2018），本项目生产过程中涉及的风险物质主要为废矿物油，废矿物油的理化性质见表6.8-</w:t>
      </w:r>
      <w:r>
        <w:rPr>
          <w:rFonts w:hint="eastAsia" w:cs="Times New Roman"/>
          <w:color w:val="000000" w:themeColor="text1"/>
          <w:lang w:val="en-US" w:eastAsia="zh-CN"/>
          <w14:textFill>
            <w14:solidFill>
              <w14:schemeClr w14:val="tx1"/>
            </w14:solidFill>
          </w14:textFill>
        </w:rPr>
        <w:t>5</w:t>
      </w:r>
      <w:r>
        <w:rPr>
          <w:rFonts w:hint="default" w:ascii="Times New Roman" w:hAnsi="Times New Roman" w:eastAsia="宋体" w:cs="Times New Roman"/>
          <w:color w:val="000000" w:themeColor="text1"/>
          <w14:textFill>
            <w14:solidFill>
              <w14:schemeClr w14:val="tx1"/>
            </w14:solidFill>
          </w14:textFill>
        </w:rPr>
        <w:t>。</w:t>
      </w:r>
    </w:p>
    <w:p w14:paraId="77A0A5A8">
      <w:pPr>
        <w:ind w:firstLine="0" w:firstLineChars="0"/>
        <w:jc w:val="center"/>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表6.8-</w:t>
      </w:r>
      <w:r>
        <w:rPr>
          <w:rFonts w:hint="eastAsia" w:cs="Times New Roman"/>
          <w:b/>
          <w:bCs/>
          <w:color w:val="000000" w:themeColor="text1"/>
          <w:lang w:val="en-US" w:eastAsia="zh-CN"/>
          <w14:textFill>
            <w14:solidFill>
              <w14:schemeClr w14:val="tx1"/>
            </w14:solidFill>
          </w14:textFill>
        </w:rPr>
        <w:t>5</w:t>
      </w:r>
      <w:r>
        <w:rPr>
          <w:rFonts w:hint="default" w:ascii="Times New Roman" w:hAnsi="Times New Roman" w:eastAsia="宋体" w:cs="Times New Roman"/>
          <w:b/>
          <w:bCs/>
          <w:color w:val="000000" w:themeColor="text1"/>
          <w14:textFill>
            <w14:solidFill>
              <w14:schemeClr w14:val="tx1"/>
            </w14:solidFill>
          </w14:textFill>
        </w:rPr>
        <w:t>废矿物油的理化性质一览表</w:t>
      </w:r>
    </w:p>
    <w:tbl>
      <w:tblPr>
        <w:tblStyle w:val="35"/>
        <w:tblW w:w="890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192"/>
        <w:gridCol w:w="200"/>
        <w:gridCol w:w="480"/>
        <w:gridCol w:w="975"/>
        <w:gridCol w:w="1200"/>
        <w:gridCol w:w="407"/>
        <w:gridCol w:w="1378"/>
        <w:gridCol w:w="103"/>
        <w:gridCol w:w="1482"/>
        <w:gridCol w:w="246"/>
        <w:gridCol w:w="1244"/>
      </w:tblGrid>
      <w:tr w14:paraId="1F9ADC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8907" w:type="dxa"/>
            <w:gridSpan w:val="11"/>
            <w:vAlign w:val="center"/>
          </w:tcPr>
          <w:p w14:paraId="1BD703F0">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一、物质危险性标准（HJ/T169-2018）</w:t>
            </w:r>
          </w:p>
        </w:tc>
      </w:tr>
      <w:tr w14:paraId="6772F8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192" w:type="dxa"/>
            <w:vAlign w:val="center"/>
          </w:tcPr>
          <w:p w14:paraId="761BA676">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分类</w:t>
            </w:r>
          </w:p>
        </w:tc>
        <w:tc>
          <w:tcPr>
            <w:tcW w:w="680" w:type="dxa"/>
            <w:gridSpan w:val="2"/>
            <w:vAlign w:val="center"/>
          </w:tcPr>
          <w:p w14:paraId="32B15064">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序号</w:t>
            </w:r>
          </w:p>
        </w:tc>
        <w:tc>
          <w:tcPr>
            <w:tcW w:w="2175" w:type="dxa"/>
            <w:gridSpan w:val="2"/>
            <w:vAlign w:val="center"/>
          </w:tcPr>
          <w:p w14:paraId="2553C734">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LD50（大鼠经口）</w:t>
            </w:r>
          </w:p>
          <w:p w14:paraId="528831D8">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（mg/kg）</w:t>
            </w:r>
          </w:p>
        </w:tc>
        <w:tc>
          <w:tcPr>
            <w:tcW w:w="1785" w:type="dxa"/>
            <w:gridSpan w:val="2"/>
            <w:vAlign w:val="center"/>
          </w:tcPr>
          <w:p w14:paraId="39D8FEB5">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LD50（大鼠经皮）</w:t>
            </w:r>
          </w:p>
          <w:p w14:paraId="72EE93E0">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（mg/kg）</w:t>
            </w:r>
          </w:p>
        </w:tc>
        <w:tc>
          <w:tcPr>
            <w:tcW w:w="1831" w:type="dxa"/>
            <w:gridSpan w:val="3"/>
            <w:vAlign w:val="center"/>
          </w:tcPr>
          <w:p w14:paraId="2A147466">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LC50（小鼠吸入、</w:t>
            </w:r>
          </w:p>
          <w:p w14:paraId="77FDA650">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4h）（mg/L）</w:t>
            </w:r>
          </w:p>
        </w:tc>
        <w:tc>
          <w:tcPr>
            <w:tcW w:w="1244" w:type="dxa"/>
            <w:vAlign w:val="center"/>
          </w:tcPr>
          <w:p w14:paraId="3D8910BE">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备注</w:t>
            </w:r>
          </w:p>
        </w:tc>
      </w:tr>
      <w:tr w14:paraId="6C4D57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192" w:type="dxa"/>
            <w:vMerge w:val="restart"/>
            <w:vAlign w:val="center"/>
          </w:tcPr>
          <w:p w14:paraId="1C244DE4">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有毒物质</w:t>
            </w:r>
          </w:p>
        </w:tc>
        <w:tc>
          <w:tcPr>
            <w:tcW w:w="680" w:type="dxa"/>
            <w:gridSpan w:val="2"/>
            <w:vAlign w:val="center"/>
          </w:tcPr>
          <w:p w14:paraId="787C33E4">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w:t>
            </w:r>
          </w:p>
        </w:tc>
        <w:tc>
          <w:tcPr>
            <w:tcW w:w="2175" w:type="dxa"/>
            <w:gridSpan w:val="2"/>
            <w:vAlign w:val="center"/>
          </w:tcPr>
          <w:p w14:paraId="0CACEB15">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＜5</w:t>
            </w:r>
          </w:p>
        </w:tc>
        <w:tc>
          <w:tcPr>
            <w:tcW w:w="1785" w:type="dxa"/>
            <w:gridSpan w:val="2"/>
            <w:vAlign w:val="center"/>
          </w:tcPr>
          <w:p w14:paraId="6DD1BEDA">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w:t>
            </w:r>
          </w:p>
        </w:tc>
        <w:tc>
          <w:tcPr>
            <w:tcW w:w="1831" w:type="dxa"/>
            <w:gridSpan w:val="3"/>
            <w:vAlign w:val="center"/>
          </w:tcPr>
          <w:p w14:paraId="34AB092D">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＜0.01</w:t>
            </w:r>
          </w:p>
        </w:tc>
        <w:tc>
          <w:tcPr>
            <w:tcW w:w="1244" w:type="dxa"/>
            <w:vMerge w:val="restart"/>
            <w:vAlign w:val="center"/>
          </w:tcPr>
          <w:p w14:paraId="2A63BD28">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剧毒物质</w:t>
            </w:r>
          </w:p>
        </w:tc>
      </w:tr>
      <w:tr w14:paraId="5A7C81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192" w:type="dxa"/>
            <w:vMerge w:val="continue"/>
            <w:vAlign w:val="center"/>
          </w:tcPr>
          <w:p w14:paraId="4C50E9DC">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680" w:type="dxa"/>
            <w:gridSpan w:val="2"/>
            <w:vAlign w:val="center"/>
          </w:tcPr>
          <w:p w14:paraId="03E376CE">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w:t>
            </w:r>
          </w:p>
        </w:tc>
        <w:tc>
          <w:tcPr>
            <w:tcW w:w="2175" w:type="dxa"/>
            <w:gridSpan w:val="2"/>
            <w:vAlign w:val="center"/>
          </w:tcPr>
          <w:p w14:paraId="45BF7040">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5＜LD50＜25</w:t>
            </w:r>
          </w:p>
        </w:tc>
        <w:tc>
          <w:tcPr>
            <w:tcW w:w="1785" w:type="dxa"/>
            <w:gridSpan w:val="2"/>
            <w:vAlign w:val="center"/>
          </w:tcPr>
          <w:p w14:paraId="675BF586">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10＜LD50＜50</w:t>
            </w:r>
          </w:p>
        </w:tc>
        <w:tc>
          <w:tcPr>
            <w:tcW w:w="1831" w:type="dxa"/>
            <w:gridSpan w:val="3"/>
            <w:vAlign w:val="center"/>
          </w:tcPr>
          <w:p w14:paraId="35239470">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0.1＜LD50＜0.5</w:t>
            </w:r>
          </w:p>
        </w:tc>
        <w:tc>
          <w:tcPr>
            <w:tcW w:w="1244" w:type="dxa"/>
            <w:vMerge w:val="continue"/>
            <w:vAlign w:val="center"/>
          </w:tcPr>
          <w:p w14:paraId="37E526E4">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r>
      <w:tr w14:paraId="3DF85B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192" w:type="dxa"/>
            <w:vMerge w:val="continue"/>
            <w:vAlign w:val="center"/>
          </w:tcPr>
          <w:p w14:paraId="301FDD74">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680" w:type="dxa"/>
            <w:gridSpan w:val="2"/>
            <w:vAlign w:val="center"/>
          </w:tcPr>
          <w:p w14:paraId="57E10E25">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3</w:t>
            </w:r>
          </w:p>
        </w:tc>
        <w:tc>
          <w:tcPr>
            <w:tcW w:w="2175" w:type="dxa"/>
            <w:gridSpan w:val="2"/>
            <w:vAlign w:val="center"/>
          </w:tcPr>
          <w:p w14:paraId="32481522">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25＜LD50＜200</w:t>
            </w:r>
          </w:p>
        </w:tc>
        <w:tc>
          <w:tcPr>
            <w:tcW w:w="1785" w:type="dxa"/>
            <w:gridSpan w:val="2"/>
            <w:vAlign w:val="center"/>
          </w:tcPr>
          <w:p w14:paraId="13377924">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50＜LD50＜400</w:t>
            </w:r>
          </w:p>
        </w:tc>
        <w:tc>
          <w:tcPr>
            <w:tcW w:w="1831" w:type="dxa"/>
            <w:gridSpan w:val="3"/>
            <w:vAlign w:val="center"/>
          </w:tcPr>
          <w:p w14:paraId="547BC6FA">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0.5＜LD50＜2</w:t>
            </w:r>
          </w:p>
        </w:tc>
        <w:tc>
          <w:tcPr>
            <w:tcW w:w="1244" w:type="dxa"/>
            <w:vAlign w:val="center"/>
          </w:tcPr>
          <w:p w14:paraId="4CE149EC">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一般毒物</w:t>
            </w:r>
          </w:p>
        </w:tc>
      </w:tr>
      <w:tr w14:paraId="46FFA3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192" w:type="dxa"/>
            <w:vMerge w:val="restart"/>
            <w:vAlign w:val="center"/>
          </w:tcPr>
          <w:p w14:paraId="7C3929DD">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易燃物质</w:t>
            </w:r>
          </w:p>
        </w:tc>
        <w:tc>
          <w:tcPr>
            <w:tcW w:w="680" w:type="dxa"/>
            <w:gridSpan w:val="2"/>
            <w:vAlign w:val="center"/>
          </w:tcPr>
          <w:p w14:paraId="1BD00F81">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w:t>
            </w:r>
          </w:p>
        </w:tc>
        <w:tc>
          <w:tcPr>
            <w:tcW w:w="7035" w:type="dxa"/>
            <w:gridSpan w:val="8"/>
            <w:vAlign w:val="center"/>
          </w:tcPr>
          <w:p w14:paraId="0F612BDF">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可燃气体：在常温下以气态存在并与空气混合形成可燃混合物；其沸点</w:t>
            </w:r>
          </w:p>
          <w:p w14:paraId="13725DE7">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（常压下）是20℃或20℃以下的物质。</w:t>
            </w:r>
          </w:p>
        </w:tc>
      </w:tr>
      <w:tr w14:paraId="44C94B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192" w:type="dxa"/>
            <w:vMerge w:val="continue"/>
            <w:vAlign w:val="center"/>
          </w:tcPr>
          <w:p w14:paraId="6494C6DD">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680" w:type="dxa"/>
            <w:gridSpan w:val="2"/>
            <w:vAlign w:val="center"/>
          </w:tcPr>
          <w:p w14:paraId="507F343A">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w:t>
            </w:r>
          </w:p>
        </w:tc>
        <w:tc>
          <w:tcPr>
            <w:tcW w:w="7035" w:type="dxa"/>
            <w:gridSpan w:val="8"/>
            <w:vAlign w:val="center"/>
          </w:tcPr>
          <w:p w14:paraId="1284BDDA">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易燃液体：闪点低于21℃，沸点高于20℃的物质</w:t>
            </w:r>
          </w:p>
        </w:tc>
      </w:tr>
      <w:tr w14:paraId="2062FA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192" w:type="dxa"/>
            <w:vMerge w:val="continue"/>
            <w:vAlign w:val="center"/>
          </w:tcPr>
          <w:p w14:paraId="683FC48F">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680" w:type="dxa"/>
            <w:gridSpan w:val="2"/>
            <w:vAlign w:val="center"/>
          </w:tcPr>
          <w:p w14:paraId="11F7B3BC">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3</w:t>
            </w:r>
          </w:p>
        </w:tc>
        <w:tc>
          <w:tcPr>
            <w:tcW w:w="7035" w:type="dxa"/>
            <w:gridSpan w:val="8"/>
            <w:vAlign w:val="center"/>
          </w:tcPr>
          <w:p w14:paraId="6FEAD2EA">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可燃液体：闪点低于55℃，压力下保持液态，在实际操作条件下（如高温高压）可引起重大事故的物质</w:t>
            </w:r>
          </w:p>
        </w:tc>
      </w:tr>
      <w:tr w14:paraId="29746A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192" w:type="dxa"/>
            <w:vAlign w:val="center"/>
          </w:tcPr>
          <w:p w14:paraId="468BE4D1">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爆炸性物质</w:t>
            </w:r>
          </w:p>
        </w:tc>
        <w:tc>
          <w:tcPr>
            <w:tcW w:w="7715" w:type="dxa"/>
            <w:gridSpan w:val="10"/>
            <w:vAlign w:val="center"/>
          </w:tcPr>
          <w:p w14:paraId="2F1E19F3">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在火焰影响下可以爆炸，或者对冲击、摩擦比硝基苯更为敏感的物质。</w:t>
            </w:r>
          </w:p>
        </w:tc>
      </w:tr>
      <w:tr w14:paraId="1E6C31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8907" w:type="dxa"/>
            <w:gridSpan w:val="11"/>
            <w:vAlign w:val="center"/>
          </w:tcPr>
          <w:p w14:paraId="48359C47">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二、理化性质及其危险性</w:t>
            </w:r>
          </w:p>
        </w:tc>
      </w:tr>
      <w:tr w14:paraId="0C7CAE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392" w:type="dxa"/>
            <w:gridSpan w:val="2"/>
            <w:vAlign w:val="center"/>
          </w:tcPr>
          <w:p w14:paraId="2C9F99C8">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物质</w:t>
            </w:r>
          </w:p>
        </w:tc>
        <w:tc>
          <w:tcPr>
            <w:tcW w:w="1455" w:type="dxa"/>
            <w:gridSpan w:val="2"/>
            <w:vAlign w:val="center"/>
          </w:tcPr>
          <w:p w14:paraId="3A5FC7EE">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废矿油</w:t>
            </w:r>
          </w:p>
        </w:tc>
        <w:tc>
          <w:tcPr>
            <w:tcW w:w="1607" w:type="dxa"/>
            <w:gridSpan w:val="2"/>
            <w:vAlign w:val="center"/>
          </w:tcPr>
          <w:p w14:paraId="59422395">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形状</w:t>
            </w:r>
          </w:p>
        </w:tc>
        <w:tc>
          <w:tcPr>
            <w:tcW w:w="1481" w:type="dxa"/>
            <w:gridSpan w:val="2"/>
            <w:vAlign w:val="center"/>
          </w:tcPr>
          <w:p w14:paraId="2BFBC1D8">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液体</w:t>
            </w:r>
          </w:p>
        </w:tc>
        <w:tc>
          <w:tcPr>
            <w:tcW w:w="1482" w:type="dxa"/>
            <w:vAlign w:val="center"/>
          </w:tcPr>
          <w:p w14:paraId="08F8F4B2">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闪点（℃）</w:t>
            </w:r>
          </w:p>
        </w:tc>
        <w:tc>
          <w:tcPr>
            <w:tcW w:w="1490" w:type="dxa"/>
            <w:gridSpan w:val="2"/>
            <w:vAlign w:val="center"/>
          </w:tcPr>
          <w:p w14:paraId="59E1A0C3">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200</w:t>
            </w:r>
          </w:p>
        </w:tc>
      </w:tr>
      <w:tr w14:paraId="1ECC3D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392" w:type="dxa"/>
            <w:gridSpan w:val="2"/>
            <w:vAlign w:val="center"/>
          </w:tcPr>
          <w:p w14:paraId="58CE17A9">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自燃温度（℃）</w:t>
            </w:r>
          </w:p>
        </w:tc>
        <w:tc>
          <w:tcPr>
            <w:tcW w:w="1455" w:type="dxa"/>
            <w:gridSpan w:val="2"/>
            <w:vAlign w:val="center"/>
          </w:tcPr>
          <w:p w14:paraId="584F7026">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300</w:t>
            </w:r>
          </w:p>
        </w:tc>
        <w:tc>
          <w:tcPr>
            <w:tcW w:w="1607" w:type="dxa"/>
            <w:gridSpan w:val="2"/>
            <w:vAlign w:val="center"/>
          </w:tcPr>
          <w:p w14:paraId="1DDF0395">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凝点（℃）</w:t>
            </w:r>
          </w:p>
        </w:tc>
        <w:tc>
          <w:tcPr>
            <w:tcW w:w="1481" w:type="dxa"/>
            <w:gridSpan w:val="2"/>
            <w:vAlign w:val="center"/>
          </w:tcPr>
          <w:p w14:paraId="332E61D2">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35</w:t>
            </w:r>
          </w:p>
        </w:tc>
        <w:tc>
          <w:tcPr>
            <w:tcW w:w="1482" w:type="dxa"/>
            <w:vAlign w:val="center"/>
          </w:tcPr>
          <w:p w14:paraId="39C253DE">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火灾危险性</w:t>
            </w:r>
          </w:p>
        </w:tc>
        <w:tc>
          <w:tcPr>
            <w:tcW w:w="1490" w:type="dxa"/>
            <w:gridSpan w:val="2"/>
            <w:vAlign w:val="center"/>
          </w:tcPr>
          <w:p w14:paraId="1C166F29">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丙B</w:t>
            </w:r>
          </w:p>
        </w:tc>
      </w:tr>
      <w:tr w14:paraId="2F8116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392" w:type="dxa"/>
            <w:gridSpan w:val="2"/>
            <w:vAlign w:val="center"/>
          </w:tcPr>
          <w:p w14:paraId="29F28DF5">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危险品毒性</w:t>
            </w:r>
          </w:p>
        </w:tc>
        <w:tc>
          <w:tcPr>
            <w:tcW w:w="1455" w:type="dxa"/>
            <w:gridSpan w:val="2"/>
            <w:vAlign w:val="center"/>
          </w:tcPr>
          <w:p w14:paraId="4D4FC68E">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低毒</w:t>
            </w:r>
          </w:p>
        </w:tc>
        <w:tc>
          <w:tcPr>
            <w:tcW w:w="1607" w:type="dxa"/>
            <w:gridSpan w:val="2"/>
            <w:vAlign w:val="center"/>
          </w:tcPr>
          <w:p w14:paraId="4C205AE3">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《职业性接触毒性危害程度分级》（GB5044-85）</w:t>
            </w:r>
          </w:p>
        </w:tc>
        <w:tc>
          <w:tcPr>
            <w:tcW w:w="1481" w:type="dxa"/>
            <w:gridSpan w:val="2"/>
            <w:vAlign w:val="center"/>
          </w:tcPr>
          <w:p w14:paraId="2C9F7E3F">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IV轻度危害</w:t>
            </w:r>
          </w:p>
        </w:tc>
        <w:tc>
          <w:tcPr>
            <w:tcW w:w="1482" w:type="dxa"/>
            <w:vAlign w:val="center"/>
          </w:tcPr>
          <w:p w14:paraId="622FA2A8">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p>
        </w:tc>
        <w:tc>
          <w:tcPr>
            <w:tcW w:w="1490" w:type="dxa"/>
            <w:gridSpan w:val="2"/>
            <w:vAlign w:val="center"/>
          </w:tcPr>
          <w:p w14:paraId="6A3A92CD">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p>
        </w:tc>
      </w:tr>
    </w:tbl>
    <w:p w14:paraId="1FC464F5">
      <w:pPr>
        <w:ind w:firstLine="482"/>
        <w:outlineLvl w:val="2"/>
        <w:rPr>
          <w:rFonts w:hint="default" w:ascii="Times New Roman" w:hAnsi="Times New Roman" w:eastAsia="宋体" w:cs="Times New Roman"/>
          <w:b/>
          <w:bCs/>
          <w:color w:val="000000" w:themeColor="text1"/>
          <w14:textFill>
            <w14:solidFill>
              <w14:schemeClr w14:val="tx1"/>
            </w14:solidFill>
          </w14:textFill>
        </w:rPr>
      </w:pPr>
      <w:bookmarkStart w:id="298" w:name="bookmark30"/>
      <w:bookmarkEnd w:id="298"/>
      <w:bookmarkStart w:id="299" w:name="_Toc24244"/>
      <w:r>
        <w:rPr>
          <w:rFonts w:hint="default" w:ascii="Times New Roman" w:hAnsi="Times New Roman" w:eastAsia="宋体" w:cs="Times New Roman"/>
          <w:b/>
          <w:bCs/>
          <w:color w:val="000000" w:themeColor="text1"/>
          <w14:textFill>
            <w14:solidFill>
              <w14:schemeClr w14:val="tx1"/>
            </w14:solidFill>
          </w14:textFill>
        </w:rPr>
        <w:t>6.8.6环境风险潜势初判及评价等级判定</w:t>
      </w:r>
      <w:bookmarkEnd w:id="299"/>
    </w:p>
    <w:p w14:paraId="60A8145A">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根据建设项目涉及的物质和工艺系统的危险性及其所在地的环境敏感程度，结合事故情形下环境影响途径，对建设项目潜在环境危害程度进行概化分析。</w:t>
      </w:r>
    </w:p>
    <w:p w14:paraId="076AFB2A">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根据《建设项目环境风险评价技术导则》（HJ169-2018）的规定和要求并结合本项目特点，确定本项目环境风险评价等级及评价范围。</w:t>
      </w:r>
    </w:p>
    <w:p w14:paraId="09268112">
      <w:pPr>
        <w:ind w:firstLine="480"/>
        <w:rPr>
          <w:rFonts w:hint="default" w:ascii="Times New Roman" w:hAnsi="Times New Roman" w:eastAsia="宋体" w:cs="Times New Roman"/>
          <w:color w:val="000000" w:themeColor="text1"/>
          <w14:textFill>
            <w14:solidFill>
              <w14:schemeClr w14:val="tx1"/>
            </w14:solidFill>
          </w14:textFill>
        </w:rPr>
      </w:pPr>
      <w:bookmarkStart w:id="300" w:name="bookmark31"/>
      <w:bookmarkEnd w:id="300"/>
      <w:r>
        <w:rPr>
          <w:rFonts w:hint="default" w:ascii="Times New Roman" w:hAnsi="Times New Roman" w:eastAsia="宋体" w:cs="Times New Roman"/>
          <w:color w:val="000000" w:themeColor="text1"/>
          <w14:textFill>
            <w14:solidFill>
              <w14:schemeClr w14:val="tx1"/>
            </w14:solidFill>
          </w14:textFill>
        </w:rPr>
        <w:fldChar w:fldCharType="begin"/>
      </w:r>
      <w:r>
        <w:rPr>
          <w:rFonts w:hint="default" w:ascii="Times New Roman" w:hAnsi="Times New Roman" w:eastAsia="宋体" w:cs="Times New Roman"/>
          <w:color w:val="000000" w:themeColor="text1"/>
          <w14:textFill>
            <w14:solidFill>
              <w14:schemeClr w14:val="tx1"/>
            </w14:solidFill>
          </w14:textFill>
        </w:rPr>
        <w:instrText xml:space="preserve">HYPERLINK "C:\\Users\\Administrator\\Desktop\\科右前旗现代农牧业园区核心育种场养殖项目-修改稿\\5.3.6.1"</w:instrText>
      </w:r>
      <w:r>
        <w:rPr>
          <w:rFonts w:hint="default" w:ascii="Times New Roman" w:hAnsi="Times New Roman" w:eastAsia="宋体" w:cs="Times New Roman"/>
          <w:color w:val="000000" w:themeColor="text1"/>
          <w14:textFill>
            <w14:solidFill>
              <w14:schemeClr w14:val="tx1"/>
            </w14:solidFill>
          </w14:textFill>
        </w:rPr>
        <w:fldChar w:fldCharType="separate"/>
      </w:r>
      <w:r>
        <w:rPr>
          <w:rFonts w:hint="default" w:ascii="Times New Roman" w:hAnsi="Times New Roman" w:eastAsia="宋体" w:cs="Times New Roman"/>
          <w:color w:val="000000" w:themeColor="text1"/>
          <w14:textFill>
            <w14:solidFill>
              <w14:schemeClr w14:val="tx1"/>
            </w14:solidFill>
          </w14:textFill>
        </w:rPr>
        <w:t>6.8.6.1</w:t>
      </w:r>
      <w:r>
        <w:rPr>
          <w:rFonts w:hint="default" w:ascii="Times New Roman" w:hAnsi="Times New Roman" w:eastAsia="宋体" w:cs="Times New Roman"/>
          <w:color w:val="000000" w:themeColor="text1"/>
          <w14:textFill>
            <w14:solidFill>
              <w14:schemeClr w14:val="tx1"/>
            </w14:solidFill>
          </w14:textFill>
        </w:rPr>
        <w:fldChar w:fldCharType="end"/>
      </w:r>
      <w:r>
        <w:rPr>
          <w:rFonts w:hint="default" w:ascii="Times New Roman" w:hAnsi="Times New Roman" w:eastAsia="宋体" w:cs="Times New Roman"/>
          <w:color w:val="000000" w:themeColor="text1"/>
          <w14:textFill>
            <w14:solidFill>
              <w14:schemeClr w14:val="tx1"/>
            </w14:solidFill>
          </w14:textFill>
        </w:rPr>
        <w:t>环境风险潜势划分</w:t>
      </w:r>
    </w:p>
    <w:p w14:paraId="1E082501">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建设项目环境风险潜势划分为I、II、III、IV/IV+级。</w:t>
      </w:r>
    </w:p>
    <w:p w14:paraId="676ABF87">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根据建设项目涉及的物质和工艺系统的危险性及其所在地的环境敏感程度，结合事故情形下环境影响途径，对建设项目潜在环境危害程度进行概化分析，按照表6.8-</w:t>
      </w:r>
      <w:r>
        <w:rPr>
          <w:rFonts w:hint="eastAsia" w:cs="Times New Roman"/>
          <w:color w:val="000000" w:themeColor="text1"/>
          <w:lang w:val="en-US" w:eastAsia="zh-CN"/>
          <w14:textFill>
            <w14:solidFill>
              <w14:schemeClr w14:val="tx1"/>
            </w14:solidFill>
          </w14:textFill>
        </w:rPr>
        <w:t>6</w:t>
      </w:r>
      <w:r>
        <w:rPr>
          <w:rFonts w:hint="default" w:ascii="Times New Roman" w:hAnsi="Times New Roman" w:eastAsia="宋体" w:cs="Times New Roman"/>
          <w:color w:val="000000" w:themeColor="text1"/>
          <w14:textFill>
            <w14:solidFill>
              <w14:schemeClr w14:val="tx1"/>
            </w14:solidFill>
          </w14:textFill>
        </w:rPr>
        <w:t>确定环境风险潜势。</w:t>
      </w:r>
    </w:p>
    <w:p w14:paraId="437259C0">
      <w:pPr>
        <w:ind w:firstLine="0" w:firstLineChars="0"/>
        <w:jc w:val="center"/>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表6.8-</w:t>
      </w:r>
      <w:r>
        <w:rPr>
          <w:rFonts w:hint="eastAsia" w:cs="Times New Roman"/>
          <w:b/>
          <w:bCs/>
          <w:color w:val="000000" w:themeColor="text1"/>
          <w:lang w:val="en-US" w:eastAsia="zh-CN"/>
          <w14:textFill>
            <w14:solidFill>
              <w14:schemeClr w14:val="tx1"/>
            </w14:solidFill>
          </w14:textFill>
        </w:rPr>
        <w:t>6</w:t>
      </w:r>
      <w:r>
        <w:rPr>
          <w:rFonts w:hint="default" w:ascii="Times New Roman" w:hAnsi="Times New Roman" w:eastAsia="宋体" w:cs="Times New Roman"/>
          <w:b/>
          <w:bCs/>
          <w:color w:val="000000" w:themeColor="text1"/>
          <w14:textFill>
            <w14:solidFill>
              <w14:schemeClr w14:val="tx1"/>
            </w14:solidFill>
          </w14:textFill>
        </w:rPr>
        <w:t>建设项目环境风险潜势划分</w:t>
      </w:r>
    </w:p>
    <w:tbl>
      <w:tblPr>
        <w:tblStyle w:val="35"/>
        <w:tblW w:w="8972"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568"/>
        <w:gridCol w:w="1312"/>
        <w:gridCol w:w="1694"/>
        <w:gridCol w:w="1694"/>
        <w:gridCol w:w="1704"/>
      </w:tblGrid>
      <w:tr w14:paraId="0FC5666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2568" w:type="dxa"/>
            <w:vMerge w:val="restart"/>
            <w:tcBorders>
              <w:bottom w:val="nil"/>
            </w:tcBorders>
            <w:vAlign w:val="center"/>
          </w:tcPr>
          <w:p w14:paraId="33B40AF0">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环境敏感程度（E）</w:t>
            </w:r>
          </w:p>
        </w:tc>
        <w:tc>
          <w:tcPr>
            <w:tcW w:w="6404" w:type="dxa"/>
            <w:gridSpan w:val="4"/>
            <w:vAlign w:val="center"/>
          </w:tcPr>
          <w:p w14:paraId="445CDBC9">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危险物质及工艺系统危险性（P）</w:t>
            </w:r>
          </w:p>
        </w:tc>
      </w:tr>
      <w:tr w14:paraId="2A673D3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2568" w:type="dxa"/>
            <w:vMerge w:val="continue"/>
            <w:tcBorders>
              <w:top w:val="nil"/>
            </w:tcBorders>
            <w:vAlign w:val="center"/>
          </w:tcPr>
          <w:p w14:paraId="474A9DF5">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312" w:type="dxa"/>
            <w:vAlign w:val="center"/>
          </w:tcPr>
          <w:p w14:paraId="0F1E2F9C">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极度危害（P1）</w:t>
            </w:r>
          </w:p>
        </w:tc>
        <w:tc>
          <w:tcPr>
            <w:tcW w:w="1694" w:type="dxa"/>
            <w:vAlign w:val="center"/>
          </w:tcPr>
          <w:p w14:paraId="6A2740D0">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高度危害（P2）</w:t>
            </w:r>
          </w:p>
        </w:tc>
        <w:tc>
          <w:tcPr>
            <w:tcW w:w="1694" w:type="dxa"/>
            <w:vAlign w:val="center"/>
          </w:tcPr>
          <w:p w14:paraId="4907F19E">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中度危害（P3）</w:t>
            </w:r>
          </w:p>
        </w:tc>
        <w:tc>
          <w:tcPr>
            <w:tcW w:w="1704" w:type="dxa"/>
            <w:vAlign w:val="center"/>
          </w:tcPr>
          <w:p w14:paraId="38AB5BE0">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低度危害（P4）</w:t>
            </w:r>
          </w:p>
        </w:tc>
      </w:tr>
      <w:tr w14:paraId="49F0B11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2568" w:type="dxa"/>
            <w:vAlign w:val="center"/>
          </w:tcPr>
          <w:p w14:paraId="6A061B63">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环境高度敏感区（E1）</w:t>
            </w:r>
          </w:p>
        </w:tc>
        <w:tc>
          <w:tcPr>
            <w:tcW w:w="1312" w:type="dxa"/>
            <w:vAlign w:val="center"/>
          </w:tcPr>
          <w:p w14:paraId="44B92687">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IV+</w:t>
            </w:r>
          </w:p>
        </w:tc>
        <w:tc>
          <w:tcPr>
            <w:tcW w:w="1694" w:type="dxa"/>
            <w:vAlign w:val="center"/>
          </w:tcPr>
          <w:p w14:paraId="2613ACB6">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IV</w:t>
            </w:r>
          </w:p>
        </w:tc>
        <w:tc>
          <w:tcPr>
            <w:tcW w:w="1694" w:type="dxa"/>
            <w:vAlign w:val="center"/>
          </w:tcPr>
          <w:p w14:paraId="01993F9D">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III</w:t>
            </w:r>
          </w:p>
        </w:tc>
        <w:tc>
          <w:tcPr>
            <w:tcW w:w="1704" w:type="dxa"/>
            <w:vAlign w:val="center"/>
          </w:tcPr>
          <w:p w14:paraId="0579EFAD">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III</w:t>
            </w:r>
          </w:p>
        </w:tc>
      </w:tr>
      <w:tr w14:paraId="1E2B641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2568" w:type="dxa"/>
            <w:vAlign w:val="center"/>
          </w:tcPr>
          <w:p w14:paraId="5E9F5683">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环境中度敏感区（E2）</w:t>
            </w:r>
          </w:p>
        </w:tc>
        <w:tc>
          <w:tcPr>
            <w:tcW w:w="1312" w:type="dxa"/>
            <w:vAlign w:val="center"/>
          </w:tcPr>
          <w:p w14:paraId="65BC8222">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IV</w:t>
            </w:r>
          </w:p>
        </w:tc>
        <w:tc>
          <w:tcPr>
            <w:tcW w:w="1694" w:type="dxa"/>
            <w:vAlign w:val="center"/>
          </w:tcPr>
          <w:p w14:paraId="077863B5">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III</w:t>
            </w:r>
          </w:p>
        </w:tc>
        <w:tc>
          <w:tcPr>
            <w:tcW w:w="1694" w:type="dxa"/>
            <w:vAlign w:val="center"/>
          </w:tcPr>
          <w:p w14:paraId="6FE9298C">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III</w:t>
            </w:r>
          </w:p>
        </w:tc>
        <w:tc>
          <w:tcPr>
            <w:tcW w:w="1704" w:type="dxa"/>
            <w:vAlign w:val="center"/>
          </w:tcPr>
          <w:p w14:paraId="13EE6484">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II</w:t>
            </w:r>
          </w:p>
        </w:tc>
      </w:tr>
      <w:tr w14:paraId="2837A55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2568" w:type="dxa"/>
            <w:vAlign w:val="center"/>
          </w:tcPr>
          <w:p w14:paraId="5F9352E4">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环境低度敏感区（E3）</w:t>
            </w:r>
          </w:p>
        </w:tc>
        <w:tc>
          <w:tcPr>
            <w:tcW w:w="1312" w:type="dxa"/>
            <w:vAlign w:val="center"/>
          </w:tcPr>
          <w:p w14:paraId="4230DBF9">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III</w:t>
            </w:r>
          </w:p>
        </w:tc>
        <w:tc>
          <w:tcPr>
            <w:tcW w:w="1694" w:type="dxa"/>
            <w:vAlign w:val="center"/>
          </w:tcPr>
          <w:p w14:paraId="568C3340">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III</w:t>
            </w:r>
          </w:p>
        </w:tc>
        <w:tc>
          <w:tcPr>
            <w:tcW w:w="1694" w:type="dxa"/>
            <w:vAlign w:val="center"/>
          </w:tcPr>
          <w:p w14:paraId="02D52F26">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II</w:t>
            </w:r>
          </w:p>
        </w:tc>
        <w:tc>
          <w:tcPr>
            <w:tcW w:w="1704" w:type="dxa"/>
            <w:vAlign w:val="center"/>
          </w:tcPr>
          <w:p w14:paraId="2949A0A5">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I</w:t>
            </w:r>
          </w:p>
        </w:tc>
      </w:tr>
      <w:tr w14:paraId="52109A2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8972" w:type="dxa"/>
            <w:gridSpan w:val="5"/>
            <w:vAlign w:val="center"/>
          </w:tcPr>
          <w:p w14:paraId="04667285">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注：IV+为极高环境风险</w:t>
            </w:r>
          </w:p>
        </w:tc>
      </w:tr>
    </w:tbl>
    <w:p w14:paraId="4FDED8B8">
      <w:pPr>
        <w:ind w:firstLine="480"/>
        <w:rPr>
          <w:rFonts w:hint="default" w:ascii="Times New Roman" w:hAnsi="Times New Roman" w:eastAsia="宋体" w:cs="Times New Roman"/>
          <w:color w:val="000000" w:themeColor="text1"/>
          <w14:textFill>
            <w14:solidFill>
              <w14:schemeClr w14:val="tx1"/>
            </w14:solidFill>
          </w14:textFill>
        </w:rPr>
      </w:pPr>
      <w:bookmarkStart w:id="301" w:name="bookmark32"/>
      <w:bookmarkEnd w:id="301"/>
      <w:r>
        <w:rPr>
          <w:rFonts w:hint="default" w:ascii="Times New Roman" w:hAnsi="Times New Roman" w:eastAsia="宋体" w:cs="Times New Roman"/>
          <w:color w:val="000000" w:themeColor="text1"/>
          <w14:textFill>
            <w14:solidFill>
              <w14:schemeClr w14:val="tx1"/>
            </w14:solidFill>
          </w14:textFill>
        </w:rPr>
        <w:fldChar w:fldCharType="begin"/>
      </w:r>
      <w:r>
        <w:rPr>
          <w:rFonts w:hint="default" w:ascii="Times New Roman" w:hAnsi="Times New Roman" w:eastAsia="宋体" w:cs="Times New Roman"/>
          <w:color w:val="000000" w:themeColor="text1"/>
          <w14:textFill>
            <w14:solidFill>
              <w14:schemeClr w14:val="tx1"/>
            </w14:solidFill>
          </w14:textFill>
        </w:rPr>
        <w:instrText xml:space="preserve">HYPERLINK "C:\\Users\\Administrator\\Desktop\\科右前旗现代农牧业园区核心育种场养殖项目-修改稿\\5.3.6.2"</w:instrText>
      </w:r>
      <w:r>
        <w:rPr>
          <w:rFonts w:hint="default" w:ascii="Times New Roman" w:hAnsi="Times New Roman" w:eastAsia="宋体" w:cs="Times New Roman"/>
          <w:color w:val="000000" w:themeColor="text1"/>
          <w14:textFill>
            <w14:solidFill>
              <w14:schemeClr w14:val="tx1"/>
            </w14:solidFill>
          </w14:textFill>
        </w:rPr>
        <w:fldChar w:fldCharType="separate"/>
      </w:r>
      <w:r>
        <w:rPr>
          <w:rFonts w:hint="default" w:ascii="Times New Roman" w:hAnsi="Times New Roman" w:eastAsia="宋体" w:cs="Times New Roman"/>
          <w:color w:val="000000" w:themeColor="text1"/>
          <w14:textFill>
            <w14:solidFill>
              <w14:schemeClr w14:val="tx1"/>
            </w14:solidFill>
          </w14:textFill>
        </w:rPr>
        <w:t>6.8.6.2</w:t>
      </w:r>
      <w:r>
        <w:rPr>
          <w:rFonts w:hint="default" w:ascii="Times New Roman" w:hAnsi="Times New Roman" w:eastAsia="宋体" w:cs="Times New Roman"/>
          <w:color w:val="000000" w:themeColor="text1"/>
          <w14:textFill>
            <w14:solidFill>
              <w14:schemeClr w14:val="tx1"/>
            </w14:solidFill>
          </w14:textFill>
        </w:rPr>
        <w:fldChar w:fldCharType="end"/>
      </w:r>
      <w:r>
        <w:rPr>
          <w:rFonts w:hint="eastAsia" w:cs="Times New Roman"/>
          <w:color w:val="000000" w:themeColor="text1"/>
          <w:lang w:eastAsia="zh-CN"/>
          <w14:textFill>
            <w14:solidFill>
              <w14:schemeClr w14:val="tx1"/>
            </w14:solidFill>
          </w14:textFill>
        </w:rPr>
        <w:t>　</w:t>
      </w:r>
      <w:r>
        <w:rPr>
          <w:rFonts w:hint="default" w:ascii="Times New Roman" w:hAnsi="Times New Roman" w:eastAsia="宋体" w:cs="Times New Roman"/>
          <w:color w:val="000000" w:themeColor="text1"/>
          <w14:textFill>
            <w14:solidFill>
              <w14:schemeClr w14:val="tx1"/>
            </w14:solidFill>
          </w14:textFill>
        </w:rPr>
        <w:t>P的分级确定</w:t>
      </w:r>
    </w:p>
    <w:p w14:paraId="00E2CAC8">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分析建设项目生产、使用、储存过程中涉及的有毒有害、易燃易爆爆物质，参照《建设项目环境风险评价技术导则》（HJ169-2018）附录B中危险物质的临界量，定量分析危险物质数量与临界量的比值Q和所属行业及生产工艺特点M，按照附录C对危险物质及工艺系统危险性P等级进行判断。</w:t>
      </w:r>
    </w:p>
    <w:p w14:paraId="07B62C9C">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计算所涉及的每种危险物质在厂界内的最大存在总量与其在附录B中对应临界量的比值Q。在不同场区的同一种物质，按其在厂界内的最大存在总量计算。对于长输管线项目，按照两个截断阀室之间管段危险物质最大存在总量计算。</w:t>
      </w:r>
    </w:p>
    <w:p w14:paraId="339E1C46">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当只涉及一种危险物质时，计算该物质的总量与其临界量比值，即为Q；</w:t>
      </w:r>
    </w:p>
    <w:p w14:paraId="73233876">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当存在多种危险物质时，则按下式计算物质总量与其临界量比值（Q）：</w:t>
      </w:r>
    </w:p>
    <w:p w14:paraId="35873247">
      <w:pPr>
        <w:ind w:firstLine="480"/>
        <w:jc w:val="center"/>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drawing>
          <wp:inline distT="0" distB="0" distL="0" distR="0">
            <wp:extent cx="2057400" cy="514985"/>
            <wp:effectExtent l="0" t="0" r="0" b="8890"/>
            <wp:docPr id="176" name="IM 176"/>
            <wp:cNvGraphicFramePr/>
            <a:graphic xmlns:a="http://schemas.openxmlformats.org/drawingml/2006/main">
              <a:graphicData uri="http://schemas.openxmlformats.org/drawingml/2006/picture">
                <pic:pic xmlns:pic="http://schemas.openxmlformats.org/drawingml/2006/picture">
                  <pic:nvPicPr>
                    <pic:cNvPr id="176" name="IM 176"/>
                    <pic:cNvPicPr/>
                  </pic:nvPicPr>
                  <pic:blipFill>
                    <a:blip r:embed="rId72"/>
                    <a:stretch>
                      <a:fillRect/>
                    </a:stretch>
                  </pic:blipFill>
                  <pic:spPr>
                    <a:xfrm>
                      <a:off x="0" y="0"/>
                      <a:ext cx="2057400" cy="515112"/>
                    </a:xfrm>
                    <a:prstGeom prst="rect">
                      <a:avLst/>
                    </a:prstGeom>
                  </pic:spPr>
                </pic:pic>
              </a:graphicData>
            </a:graphic>
          </wp:inline>
        </w:drawing>
      </w:r>
    </w:p>
    <w:p w14:paraId="274E3323">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式中：q1，q2，...，qn/每种危险物质的最大存在总量，t；</w:t>
      </w:r>
    </w:p>
    <w:p w14:paraId="3436ABE6">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Q1，Q2，...，Qn/每种危险物质的临界量，t。</w:t>
      </w:r>
    </w:p>
    <w:p w14:paraId="5D6648B2">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当Q＜1时，该项目环境风险潜势为Ⅰ。</w:t>
      </w:r>
    </w:p>
    <w:p w14:paraId="40BBCB10">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当Q≥1时，将Q值划分为：（1）1≤Q＜10；（2）10≤Q＜100；（3）Q≥100。</w:t>
      </w:r>
    </w:p>
    <w:p w14:paraId="70360365">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本项目涉及的危险物质为</w:t>
      </w:r>
      <w:r>
        <w:rPr>
          <w:rFonts w:hint="eastAsia" w:cs="Times New Roman"/>
          <w:color w:val="000000" w:themeColor="text1"/>
          <w:lang w:val="en-US" w:eastAsia="zh-CN"/>
          <w14:textFill>
            <w14:solidFill>
              <w14:schemeClr w14:val="tx1"/>
            </w14:solidFill>
          </w14:textFill>
        </w:rPr>
        <w:t>车辆维修过程中产生的废机油</w:t>
      </w:r>
      <w:r>
        <w:rPr>
          <w:rFonts w:hint="default" w:ascii="Times New Roman" w:hAnsi="Times New Roman" w:eastAsia="宋体" w:cs="Times New Roman"/>
          <w:color w:val="000000" w:themeColor="text1"/>
          <w14:textFill>
            <w14:solidFill>
              <w14:schemeClr w14:val="tx1"/>
            </w14:solidFill>
          </w14:textFill>
        </w:rPr>
        <w:t>，本项目危险物质数量与临界量的比值Q见表6.8-</w:t>
      </w:r>
      <w:r>
        <w:rPr>
          <w:rFonts w:hint="eastAsia" w:cs="Times New Roman"/>
          <w:color w:val="000000" w:themeColor="text1"/>
          <w:lang w:val="en-US" w:eastAsia="zh-CN"/>
          <w14:textFill>
            <w14:solidFill>
              <w14:schemeClr w14:val="tx1"/>
            </w14:solidFill>
          </w14:textFill>
        </w:rPr>
        <w:t>7</w:t>
      </w:r>
      <w:r>
        <w:rPr>
          <w:rFonts w:hint="default" w:ascii="Times New Roman" w:hAnsi="Times New Roman" w:eastAsia="宋体" w:cs="Times New Roman"/>
          <w:color w:val="000000" w:themeColor="text1"/>
          <w14:textFill>
            <w14:solidFill>
              <w14:schemeClr w14:val="tx1"/>
            </w14:solidFill>
          </w14:textFill>
        </w:rPr>
        <w:t>。</w:t>
      </w:r>
    </w:p>
    <w:p w14:paraId="72492751">
      <w:pPr>
        <w:ind w:firstLine="0" w:firstLineChars="0"/>
        <w:jc w:val="center"/>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表6.8-</w:t>
      </w:r>
      <w:r>
        <w:rPr>
          <w:rFonts w:hint="eastAsia" w:cs="Times New Roman"/>
          <w:b/>
          <w:bCs/>
          <w:color w:val="000000" w:themeColor="text1"/>
          <w:lang w:val="en-US" w:eastAsia="zh-CN"/>
          <w14:textFill>
            <w14:solidFill>
              <w14:schemeClr w14:val="tx1"/>
            </w14:solidFill>
          </w14:textFill>
        </w:rPr>
        <w:t>7</w:t>
      </w:r>
      <w:r>
        <w:rPr>
          <w:rFonts w:hint="default" w:ascii="Times New Roman" w:hAnsi="Times New Roman" w:eastAsia="宋体" w:cs="Times New Roman"/>
          <w:b/>
          <w:bCs/>
          <w:color w:val="000000" w:themeColor="text1"/>
          <w14:textFill>
            <w14:solidFill>
              <w14:schemeClr w14:val="tx1"/>
            </w14:solidFill>
          </w14:textFill>
        </w:rPr>
        <w:t>危险性P等级判断</w:t>
      </w:r>
    </w:p>
    <w:tbl>
      <w:tblPr>
        <w:tblStyle w:val="35"/>
        <w:tblW w:w="7850"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860"/>
        <w:gridCol w:w="1562"/>
        <w:gridCol w:w="1697"/>
        <w:gridCol w:w="1697"/>
        <w:gridCol w:w="1034"/>
      </w:tblGrid>
      <w:tr w14:paraId="05A6021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8" w:hRule="atLeast"/>
          <w:jc w:val="center"/>
        </w:trPr>
        <w:tc>
          <w:tcPr>
            <w:tcW w:w="1860" w:type="dxa"/>
            <w:vAlign w:val="center"/>
          </w:tcPr>
          <w:p w14:paraId="4A57CFAD">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物质名称</w:t>
            </w:r>
          </w:p>
        </w:tc>
        <w:tc>
          <w:tcPr>
            <w:tcW w:w="1562" w:type="dxa"/>
            <w:vAlign w:val="center"/>
          </w:tcPr>
          <w:p w14:paraId="1A4D5710">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CAS号</w:t>
            </w:r>
          </w:p>
        </w:tc>
        <w:tc>
          <w:tcPr>
            <w:tcW w:w="1697" w:type="dxa"/>
            <w:vAlign w:val="center"/>
          </w:tcPr>
          <w:p w14:paraId="6B1A0DC3">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临界量/t</w:t>
            </w:r>
          </w:p>
        </w:tc>
        <w:tc>
          <w:tcPr>
            <w:tcW w:w="1697" w:type="dxa"/>
            <w:vAlign w:val="center"/>
          </w:tcPr>
          <w:p w14:paraId="7EAE4E0E">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贮存量/t</w:t>
            </w:r>
          </w:p>
        </w:tc>
        <w:tc>
          <w:tcPr>
            <w:tcW w:w="1034" w:type="dxa"/>
            <w:vAlign w:val="center"/>
          </w:tcPr>
          <w:p w14:paraId="00F053F6">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Q</w:t>
            </w:r>
          </w:p>
        </w:tc>
      </w:tr>
      <w:tr w14:paraId="2F1140D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jc w:val="center"/>
        </w:trPr>
        <w:tc>
          <w:tcPr>
            <w:tcW w:w="1860" w:type="dxa"/>
            <w:vAlign w:val="center"/>
          </w:tcPr>
          <w:p w14:paraId="0CA5BA0A">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废矿物油</w:t>
            </w:r>
          </w:p>
        </w:tc>
        <w:tc>
          <w:tcPr>
            <w:tcW w:w="1562" w:type="dxa"/>
            <w:vAlign w:val="center"/>
          </w:tcPr>
          <w:p w14:paraId="1ECE621F">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p>
        </w:tc>
        <w:tc>
          <w:tcPr>
            <w:tcW w:w="1697" w:type="dxa"/>
            <w:vAlign w:val="center"/>
          </w:tcPr>
          <w:p w14:paraId="77E5129F">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2500</w:t>
            </w:r>
          </w:p>
        </w:tc>
        <w:tc>
          <w:tcPr>
            <w:tcW w:w="1697" w:type="dxa"/>
            <w:vAlign w:val="center"/>
          </w:tcPr>
          <w:p w14:paraId="2B824FDF">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2.0</w:t>
            </w:r>
          </w:p>
        </w:tc>
        <w:tc>
          <w:tcPr>
            <w:tcW w:w="1034" w:type="dxa"/>
            <w:vAlign w:val="center"/>
          </w:tcPr>
          <w:p w14:paraId="1B6EF8C7">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0.0008</w:t>
            </w:r>
          </w:p>
        </w:tc>
      </w:tr>
    </w:tbl>
    <w:p w14:paraId="0C6D51E7">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根据附录C，当Q＜1时，本项目环境风险潜势为I，故评价工作等级为简单分析。</w:t>
      </w:r>
    </w:p>
    <w:p w14:paraId="130436F3">
      <w:pPr>
        <w:ind w:firstLine="480"/>
        <w:rPr>
          <w:rFonts w:hint="default" w:ascii="Times New Roman" w:hAnsi="Times New Roman" w:eastAsia="宋体" w:cs="Times New Roman"/>
          <w:color w:val="000000" w:themeColor="text1"/>
          <w14:textFill>
            <w14:solidFill>
              <w14:schemeClr w14:val="tx1"/>
            </w14:solidFill>
          </w14:textFill>
        </w:rPr>
      </w:pPr>
      <w:bookmarkStart w:id="302" w:name="bookmark33"/>
      <w:bookmarkEnd w:id="302"/>
      <w:r>
        <w:rPr>
          <w:rFonts w:hint="default" w:ascii="Times New Roman" w:hAnsi="Times New Roman" w:eastAsia="宋体" w:cs="Times New Roman"/>
          <w:color w:val="000000" w:themeColor="text1"/>
          <w14:textFill>
            <w14:solidFill>
              <w14:schemeClr w14:val="tx1"/>
            </w14:solidFill>
          </w14:textFill>
        </w:rPr>
        <w:fldChar w:fldCharType="begin"/>
      </w:r>
      <w:r>
        <w:rPr>
          <w:rFonts w:hint="default" w:ascii="Times New Roman" w:hAnsi="Times New Roman" w:eastAsia="宋体" w:cs="Times New Roman"/>
          <w:color w:val="000000" w:themeColor="text1"/>
          <w14:textFill>
            <w14:solidFill>
              <w14:schemeClr w14:val="tx1"/>
            </w14:solidFill>
          </w14:textFill>
        </w:rPr>
        <w:instrText xml:space="preserve">HYPERLINK "C:\\Users\\Administrator\\Desktop\\科右前旗现代农牧业园区核心育种场养殖项目-修改稿\\5.3.6.3"</w:instrText>
      </w:r>
      <w:r>
        <w:rPr>
          <w:rFonts w:hint="default" w:ascii="Times New Roman" w:hAnsi="Times New Roman" w:eastAsia="宋体" w:cs="Times New Roman"/>
          <w:color w:val="000000" w:themeColor="text1"/>
          <w14:textFill>
            <w14:solidFill>
              <w14:schemeClr w14:val="tx1"/>
            </w14:solidFill>
          </w14:textFill>
        </w:rPr>
        <w:fldChar w:fldCharType="separate"/>
      </w:r>
      <w:r>
        <w:rPr>
          <w:rFonts w:hint="default" w:ascii="Times New Roman" w:hAnsi="Times New Roman" w:eastAsia="宋体" w:cs="Times New Roman"/>
          <w:color w:val="000000" w:themeColor="text1"/>
          <w14:textFill>
            <w14:solidFill>
              <w14:schemeClr w14:val="tx1"/>
            </w14:solidFill>
          </w14:textFill>
        </w:rPr>
        <w:t>6.8.6.3</w:t>
      </w:r>
      <w:r>
        <w:rPr>
          <w:rFonts w:hint="default" w:ascii="Times New Roman" w:hAnsi="Times New Roman" w:eastAsia="宋体" w:cs="Times New Roman"/>
          <w:color w:val="000000" w:themeColor="text1"/>
          <w14:textFill>
            <w14:solidFill>
              <w14:schemeClr w14:val="tx1"/>
            </w14:solidFill>
          </w14:textFill>
        </w:rPr>
        <w:fldChar w:fldCharType="end"/>
      </w:r>
      <w:r>
        <w:rPr>
          <w:rFonts w:hint="default" w:ascii="Times New Roman" w:hAnsi="Times New Roman" w:eastAsia="宋体" w:cs="Times New Roman"/>
          <w:color w:val="000000" w:themeColor="text1"/>
          <w14:textFill>
            <w14:solidFill>
              <w14:schemeClr w14:val="tx1"/>
            </w14:solidFill>
          </w14:textFill>
        </w:rPr>
        <w:t>评价工作等级划分</w:t>
      </w:r>
    </w:p>
    <w:p w14:paraId="23CC7492">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根据《建设项目环境风险评价技术导则》（HJ169-2018），环境风险评价工作等级划分见下表。</w:t>
      </w:r>
    </w:p>
    <w:p w14:paraId="52466F45">
      <w:pPr>
        <w:ind w:firstLine="0" w:firstLineChars="0"/>
        <w:jc w:val="center"/>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表6.8-</w:t>
      </w:r>
      <w:r>
        <w:rPr>
          <w:rFonts w:hint="eastAsia" w:cs="Times New Roman"/>
          <w:b/>
          <w:bCs/>
          <w:color w:val="000000" w:themeColor="text1"/>
          <w:lang w:val="en-US" w:eastAsia="zh-CN"/>
          <w14:textFill>
            <w14:solidFill>
              <w14:schemeClr w14:val="tx1"/>
            </w14:solidFill>
          </w14:textFill>
        </w:rPr>
        <w:t>8</w:t>
      </w:r>
      <w:r>
        <w:rPr>
          <w:rFonts w:hint="default" w:ascii="Times New Roman" w:hAnsi="Times New Roman" w:eastAsia="宋体" w:cs="Times New Roman"/>
          <w:b/>
          <w:bCs/>
          <w:color w:val="000000" w:themeColor="text1"/>
          <w14:textFill>
            <w14:solidFill>
              <w14:schemeClr w14:val="tx1"/>
            </w14:solidFill>
          </w14:textFill>
        </w:rPr>
        <w:t>评价工作等级划分</w:t>
      </w:r>
    </w:p>
    <w:tbl>
      <w:tblPr>
        <w:tblStyle w:val="35"/>
        <w:tblW w:w="8784"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792"/>
        <w:gridCol w:w="1797"/>
        <w:gridCol w:w="1790"/>
        <w:gridCol w:w="1790"/>
        <w:gridCol w:w="1615"/>
      </w:tblGrid>
      <w:tr w14:paraId="277A2ED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20" w:hRule="atLeast"/>
        </w:trPr>
        <w:tc>
          <w:tcPr>
            <w:tcW w:w="1792" w:type="dxa"/>
          </w:tcPr>
          <w:p w14:paraId="24086D63">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环境风险潜势</w:t>
            </w:r>
          </w:p>
        </w:tc>
        <w:tc>
          <w:tcPr>
            <w:tcW w:w="1797" w:type="dxa"/>
          </w:tcPr>
          <w:p w14:paraId="59134D53">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IV、IV+</w:t>
            </w:r>
          </w:p>
        </w:tc>
        <w:tc>
          <w:tcPr>
            <w:tcW w:w="1790" w:type="dxa"/>
          </w:tcPr>
          <w:p w14:paraId="509F8A30">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III</w:t>
            </w:r>
          </w:p>
        </w:tc>
        <w:tc>
          <w:tcPr>
            <w:tcW w:w="1790" w:type="dxa"/>
          </w:tcPr>
          <w:p w14:paraId="28D9E25B">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II</w:t>
            </w:r>
          </w:p>
        </w:tc>
        <w:tc>
          <w:tcPr>
            <w:tcW w:w="1615" w:type="dxa"/>
          </w:tcPr>
          <w:p w14:paraId="1C2296D0">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I</w:t>
            </w:r>
          </w:p>
        </w:tc>
      </w:tr>
      <w:tr w14:paraId="051813F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1792" w:type="dxa"/>
          </w:tcPr>
          <w:p w14:paraId="0C31111F">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评价工作等级</w:t>
            </w:r>
          </w:p>
        </w:tc>
        <w:tc>
          <w:tcPr>
            <w:tcW w:w="1797" w:type="dxa"/>
          </w:tcPr>
          <w:p w14:paraId="60A91D3A">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一</w:t>
            </w:r>
          </w:p>
        </w:tc>
        <w:tc>
          <w:tcPr>
            <w:tcW w:w="1790" w:type="dxa"/>
          </w:tcPr>
          <w:p w14:paraId="076FBD80">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二</w:t>
            </w:r>
          </w:p>
        </w:tc>
        <w:tc>
          <w:tcPr>
            <w:tcW w:w="1790" w:type="dxa"/>
          </w:tcPr>
          <w:p w14:paraId="42F39C84">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三</w:t>
            </w:r>
          </w:p>
        </w:tc>
        <w:tc>
          <w:tcPr>
            <w:tcW w:w="1615" w:type="dxa"/>
          </w:tcPr>
          <w:p w14:paraId="7EDBB172">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简单分析a</w:t>
            </w:r>
          </w:p>
        </w:tc>
      </w:tr>
      <w:tr w14:paraId="43723BC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1" w:hRule="atLeast"/>
        </w:trPr>
        <w:tc>
          <w:tcPr>
            <w:tcW w:w="8784" w:type="dxa"/>
            <w:gridSpan w:val="5"/>
          </w:tcPr>
          <w:p w14:paraId="18613A6D">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a是相对于详细评价工作内容而言，在描述危险物质、环境影响途径、环境危害后果、风险防范措施等方面给出定性的说明。见附录A。</w:t>
            </w:r>
          </w:p>
        </w:tc>
      </w:tr>
    </w:tbl>
    <w:p w14:paraId="37BF7643">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根据导则要求，本项目环境风险潜势为I，环境风险评价等级为简单分析。</w:t>
      </w:r>
    </w:p>
    <w:p w14:paraId="6ACE68BC">
      <w:pPr>
        <w:ind w:firstLine="482"/>
        <w:outlineLvl w:val="2"/>
        <w:rPr>
          <w:rFonts w:hint="default" w:ascii="Times New Roman" w:hAnsi="Times New Roman" w:eastAsia="宋体" w:cs="Times New Roman"/>
          <w:b/>
          <w:bCs/>
          <w:color w:val="000000" w:themeColor="text1"/>
          <w14:textFill>
            <w14:solidFill>
              <w14:schemeClr w14:val="tx1"/>
            </w14:solidFill>
          </w14:textFill>
        </w:rPr>
      </w:pPr>
      <w:bookmarkStart w:id="303" w:name="bookmark34"/>
      <w:bookmarkEnd w:id="303"/>
      <w:bookmarkStart w:id="304" w:name="_Toc4469"/>
      <w:r>
        <w:rPr>
          <w:rFonts w:hint="default" w:ascii="Times New Roman" w:hAnsi="Times New Roman" w:eastAsia="宋体" w:cs="Times New Roman"/>
          <w:b/>
          <w:bCs/>
          <w:color w:val="000000" w:themeColor="text1"/>
          <w14:textFill>
            <w14:solidFill>
              <w14:schemeClr w14:val="tx1"/>
            </w14:solidFill>
          </w14:textFill>
        </w:rPr>
        <w:t>6.8.7环境风险分析</w:t>
      </w:r>
      <w:bookmarkEnd w:id="304"/>
    </w:p>
    <w:p w14:paraId="5328FF4A">
      <w:pPr>
        <w:ind w:firstLine="480"/>
        <w:rPr>
          <w:rFonts w:hint="default" w:ascii="Times New Roman" w:hAnsi="Times New Roman" w:eastAsia="宋体" w:cs="Times New Roman"/>
          <w:color w:val="000000" w:themeColor="text1"/>
          <w14:textFill>
            <w14:solidFill>
              <w14:schemeClr w14:val="tx1"/>
            </w14:solidFill>
          </w14:textFill>
        </w:rPr>
      </w:pPr>
      <w:bookmarkStart w:id="305" w:name="bookmark35"/>
      <w:bookmarkEnd w:id="305"/>
      <w:r>
        <w:rPr>
          <w:rFonts w:hint="default" w:ascii="Times New Roman" w:hAnsi="Times New Roman" w:eastAsia="宋体" w:cs="Times New Roman"/>
          <w:color w:val="000000" w:themeColor="text1"/>
          <w14:textFill>
            <w14:solidFill>
              <w14:schemeClr w14:val="tx1"/>
            </w14:solidFill>
          </w14:textFill>
        </w:rPr>
        <w:fldChar w:fldCharType="begin"/>
      </w:r>
      <w:r>
        <w:rPr>
          <w:rFonts w:hint="default" w:ascii="Times New Roman" w:hAnsi="Times New Roman" w:eastAsia="宋体" w:cs="Times New Roman"/>
          <w:color w:val="000000" w:themeColor="text1"/>
          <w14:textFill>
            <w14:solidFill>
              <w14:schemeClr w14:val="tx1"/>
            </w14:solidFill>
          </w14:textFill>
        </w:rPr>
        <w:instrText xml:space="preserve">HYPERLINK "C:\\Users\\Administrator\\Desktop\\科右前旗现代农牧业园区核心育种场养殖项目-修改稿\\5.3.7.1"</w:instrText>
      </w:r>
      <w:r>
        <w:rPr>
          <w:rFonts w:hint="default" w:ascii="Times New Roman" w:hAnsi="Times New Roman" w:eastAsia="宋体" w:cs="Times New Roman"/>
          <w:color w:val="000000" w:themeColor="text1"/>
          <w14:textFill>
            <w14:solidFill>
              <w14:schemeClr w14:val="tx1"/>
            </w14:solidFill>
          </w14:textFill>
        </w:rPr>
        <w:fldChar w:fldCharType="separate"/>
      </w:r>
      <w:r>
        <w:rPr>
          <w:rFonts w:hint="default" w:ascii="Times New Roman" w:hAnsi="Times New Roman" w:eastAsia="宋体" w:cs="Times New Roman"/>
          <w:color w:val="000000" w:themeColor="text1"/>
          <w14:textFill>
            <w14:solidFill>
              <w14:schemeClr w14:val="tx1"/>
            </w14:solidFill>
          </w14:textFill>
        </w:rPr>
        <w:t>6.8.7.1</w:t>
      </w:r>
      <w:r>
        <w:rPr>
          <w:rFonts w:hint="default" w:ascii="Times New Roman" w:hAnsi="Times New Roman" w:eastAsia="宋体" w:cs="Times New Roman"/>
          <w:color w:val="000000" w:themeColor="text1"/>
          <w14:textFill>
            <w14:solidFill>
              <w14:schemeClr w14:val="tx1"/>
            </w14:solidFill>
          </w14:textFill>
        </w:rPr>
        <w:fldChar w:fldCharType="end"/>
      </w:r>
      <w:r>
        <w:rPr>
          <w:rFonts w:hint="default" w:ascii="Times New Roman" w:hAnsi="Times New Roman" w:eastAsia="宋体" w:cs="Times New Roman"/>
          <w:color w:val="000000" w:themeColor="text1"/>
          <w14:textFill>
            <w14:solidFill>
              <w14:schemeClr w14:val="tx1"/>
            </w14:solidFill>
          </w14:textFill>
        </w:rPr>
        <w:t>大气环境风险影响分析</w:t>
      </w:r>
    </w:p>
    <w:p w14:paraId="5473C1A9">
      <w:pPr>
        <w:ind w:firstLine="480"/>
        <w:rPr>
          <w:rFonts w:hint="default" w:ascii="Times New Roman" w:hAnsi="Times New Roman" w:eastAsia="宋体" w:cs="Times New Roman"/>
          <w:color w:val="000000" w:themeColor="text1"/>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1）</w:t>
      </w:r>
      <w:r>
        <w:rPr>
          <w:rFonts w:hint="default" w:ascii="Times New Roman" w:hAnsi="Times New Roman" w:eastAsia="宋体" w:cs="Times New Roman"/>
          <w:color w:val="000000" w:themeColor="text1"/>
          <w14:textFill>
            <w14:solidFill>
              <w14:schemeClr w14:val="tx1"/>
            </w14:solidFill>
          </w14:textFill>
        </w:rPr>
        <w:t>重点部位及其薄弱环节见下表。</w:t>
      </w:r>
    </w:p>
    <w:tbl>
      <w:tblPr>
        <w:tblStyle w:val="35"/>
        <w:tblpPr w:leftFromText="180" w:rightFromText="180" w:vertAnchor="text" w:tblpXSpec="center" w:tblpY="1"/>
        <w:tblOverlap w:val="never"/>
        <w:tblW w:w="8764" w:type="dxa"/>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810"/>
        <w:gridCol w:w="1069"/>
        <w:gridCol w:w="1285"/>
        <w:gridCol w:w="1068"/>
        <w:gridCol w:w="1862"/>
        <w:gridCol w:w="2670"/>
      </w:tblGrid>
      <w:tr w14:paraId="484CC1C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810" w:type="dxa"/>
            <w:vMerge w:val="restart"/>
            <w:tcBorders>
              <w:bottom w:val="nil"/>
            </w:tcBorders>
            <w:vAlign w:val="center"/>
          </w:tcPr>
          <w:p w14:paraId="4B575A35">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重点</w:t>
            </w:r>
          </w:p>
          <w:p w14:paraId="01FC24C6">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部位</w:t>
            </w:r>
          </w:p>
        </w:tc>
        <w:tc>
          <w:tcPr>
            <w:tcW w:w="1069" w:type="dxa"/>
            <w:vMerge w:val="restart"/>
            <w:tcBorders>
              <w:bottom w:val="nil"/>
            </w:tcBorders>
            <w:vAlign w:val="center"/>
          </w:tcPr>
          <w:p w14:paraId="2B084AB3">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典型设备及特点</w:t>
            </w:r>
          </w:p>
        </w:tc>
        <w:tc>
          <w:tcPr>
            <w:tcW w:w="1285" w:type="dxa"/>
            <w:vMerge w:val="restart"/>
            <w:tcBorders>
              <w:bottom w:val="nil"/>
            </w:tcBorders>
            <w:vAlign w:val="center"/>
          </w:tcPr>
          <w:p w14:paraId="51FA15E0">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薄弱环节</w:t>
            </w:r>
          </w:p>
        </w:tc>
        <w:tc>
          <w:tcPr>
            <w:tcW w:w="5600" w:type="dxa"/>
            <w:gridSpan w:val="3"/>
            <w:vAlign w:val="center"/>
          </w:tcPr>
          <w:p w14:paraId="0A1CE805">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可能发生的事故</w:t>
            </w:r>
          </w:p>
        </w:tc>
      </w:tr>
      <w:tr w14:paraId="749B298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810" w:type="dxa"/>
            <w:vMerge w:val="continue"/>
            <w:tcBorders>
              <w:top w:val="nil"/>
            </w:tcBorders>
            <w:vAlign w:val="center"/>
          </w:tcPr>
          <w:p w14:paraId="1FD2D1E7">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1069" w:type="dxa"/>
            <w:vMerge w:val="continue"/>
            <w:tcBorders>
              <w:top w:val="nil"/>
            </w:tcBorders>
            <w:vAlign w:val="center"/>
          </w:tcPr>
          <w:p w14:paraId="5040253B">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1285" w:type="dxa"/>
            <w:vMerge w:val="continue"/>
            <w:tcBorders>
              <w:top w:val="nil"/>
            </w:tcBorders>
            <w:vAlign w:val="center"/>
          </w:tcPr>
          <w:p w14:paraId="379E5E32">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1068" w:type="dxa"/>
            <w:vAlign w:val="center"/>
          </w:tcPr>
          <w:p w14:paraId="22A0AC71">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原因</w:t>
            </w:r>
          </w:p>
        </w:tc>
        <w:tc>
          <w:tcPr>
            <w:tcW w:w="1862" w:type="dxa"/>
            <w:vAlign w:val="center"/>
          </w:tcPr>
          <w:p w14:paraId="34D654D5">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类型</w:t>
            </w:r>
          </w:p>
        </w:tc>
        <w:tc>
          <w:tcPr>
            <w:tcW w:w="2670" w:type="dxa"/>
            <w:vAlign w:val="center"/>
          </w:tcPr>
          <w:p w14:paraId="5B25814D">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后果</w:t>
            </w:r>
          </w:p>
        </w:tc>
      </w:tr>
      <w:tr w14:paraId="4314A70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810" w:type="dxa"/>
            <w:vAlign w:val="center"/>
          </w:tcPr>
          <w:p w14:paraId="4BE06849">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危废暂存间</w:t>
            </w:r>
          </w:p>
        </w:tc>
        <w:tc>
          <w:tcPr>
            <w:tcW w:w="1069" w:type="dxa"/>
            <w:vAlign w:val="center"/>
          </w:tcPr>
          <w:p w14:paraId="147C0F3C">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危废暂存间</w:t>
            </w:r>
          </w:p>
        </w:tc>
        <w:tc>
          <w:tcPr>
            <w:tcW w:w="1285" w:type="dxa"/>
            <w:vAlign w:val="center"/>
          </w:tcPr>
          <w:p w14:paraId="4108C46F">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储存、泄漏</w:t>
            </w:r>
          </w:p>
        </w:tc>
        <w:tc>
          <w:tcPr>
            <w:tcW w:w="1068" w:type="dxa"/>
            <w:vAlign w:val="center"/>
          </w:tcPr>
          <w:p w14:paraId="48F1C403">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操作不当</w:t>
            </w:r>
          </w:p>
        </w:tc>
        <w:tc>
          <w:tcPr>
            <w:tcW w:w="1862" w:type="dxa"/>
            <w:vAlign w:val="center"/>
          </w:tcPr>
          <w:p w14:paraId="6D57A52B">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遇明火或高温可能发生火灾</w:t>
            </w:r>
          </w:p>
        </w:tc>
        <w:tc>
          <w:tcPr>
            <w:tcW w:w="2670" w:type="dxa"/>
            <w:vAlign w:val="center"/>
          </w:tcPr>
          <w:p w14:paraId="0DC018BE">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火灾</w:t>
            </w:r>
          </w:p>
        </w:tc>
      </w:tr>
    </w:tbl>
    <w:p w14:paraId="01909AA7">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火灾爆炸事故的主要原因：制度不健全或者不执行；工艺设计和技术缺陷；违反操作规程或者违章指挥；缺乏安全意识和防火防爆技术知识；缺乏检查和维修保养。</w:t>
      </w:r>
    </w:p>
    <w:p w14:paraId="24DA2393">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2）事故后对大气环境的影响</w:t>
      </w:r>
    </w:p>
    <w:p w14:paraId="11366A02">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①泄漏情况分析：</w:t>
      </w:r>
      <w:r>
        <w:rPr>
          <w:rFonts w:hint="eastAsia" w:cs="Times New Roman"/>
          <w:color w:val="000000" w:themeColor="text1"/>
          <w:lang w:val="en-US" w:eastAsia="zh-CN"/>
          <w14:textFill>
            <w14:solidFill>
              <w14:schemeClr w14:val="tx1"/>
            </w14:solidFill>
          </w14:textFill>
        </w:rPr>
        <w:t>废机油</w:t>
      </w:r>
      <w:r>
        <w:rPr>
          <w:rFonts w:hint="default" w:ascii="Times New Roman" w:hAnsi="Times New Roman" w:eastAsia="宋体" w:cs="Times New Roman"/>
          <w:color w:val="000000" w:themeColor="text1"/>
          <w14:textFill>
            <w14:solidFill>
              <w14:schemeClr w14:val="tx1"/>
            </w14:solidFill>
          </w14:textFill>
        </w:rPr>
        <w:t>泄漏时主要成分为</w:t>
      </w:r>
      <w:r>
        <w:rPr>
          <w:rFonts w:hint="eastAsia" w:cs="Times New Roman"/>
          <w:color w:val="000000" w:themeColor="text1"/>
          <w:lang w:val="en-US" w:eastAsia="zh-CN"/>
          <w14:textFill>
            <w14:solidFill>
              <w14:schemeClr w14:val="tx1"/>
            </w14:solidFill>
          </w14:textFill>
        </w:rPr>
        <w:t>石油烃</w:t>
      </w:r>
      <w:r>
        <w:rPr>
          <w:rFonts w:hint="default" w:ascii="Times New Roman" w:hAnsi="Times New Roman" w:eastAsia="宋体" w:cs="Times New Roman"/>
          <w:color w:val="000000" w:themeColor="text1"/>
          <w14:textFill>
            <w14:solidFill>
              <w14:schemeClr w14:val="tx1"/>
            </w14:solidFill>
          </w14:textFill>
        </w:rPr>
        <w:t>，密度较</w:t>
      </w:r>
      <w:r>
        <w:rPr>
          <w:rFonts w:hint="eastAsia" w:cs="Times New Roman"/>
          <w:color w:val="000000" w:themeColor="text1"/>
          <w:lang w:val="en-US" w:eastAsia="zh-CN"/>
          <w14:textFill>
            <w14:solidFill>
              <w14:schemeClr w14:val="tx1"/>
            </w14:solidFill>
          </w14:textFill>
        </w:rPr>
        <w:t>大</w:t>
      </w:r>
      <w:r>
        <w:rPr>
          <w:rFonts w:hint="default" w:ascii="Times New Roman" w:hAnsi="Times New Roman" w:eastAsia="宋体" w:cs="Times New Roman"/>
          <w:color w:val="000000" w:themeColor="text1"/>
          <w14:textFill>
            <w14:solidFill>
              <w14:schemeClr w14:val="tx1"/>
            </w14:solidFill>
          </w14:textFill>
        </w:rPr>
        <w:t>，</w:t>
      </w:r>
      <w:r>
        <w:rPr>
          <w:rFonts w:hint="eastAsia" w:cs="Times New Roman"/>
          <w:color w:val="000000" w:themeColor="text1"/>
          <w:lang w:val="en-US" w:eastAsia="zh-CN"/>
          <w14:textFill>
            <w14:solidFill>
              <w14:schemeClr w14:val="tx1"/>
            </w14:solidFill>
          </w14:textFill>
        </w:rPr>
        <w:t>不</w:t>
      </w:r>
      <w:r>
        <w:rPr>
          <w:rFonts w:hint="default" w:ascii="Times New Roman" w:hAnsi="Times New Roman" w:eastAsia="宋体" w:cs="Times New Roman"/>
          <w:color w:val="000000" w:themeColor="text1"/>
          <w14:textFill>
            <w14:solidFill>
              <w14:schemeClr w14:val="tx1"/>
            </w14:solidFill>
          </w14:textFill>
        </w:rPr>
        <w:t>易扩散，只会对近距离的</w:t>
      </w:r>
      <w:r>
        <w:rPr>
          <w:rFonts w:hint="eastAsia" w:cs="Times New Roman"/>
          <w:color w:val="000000" w:themeColor="text1"/>
          <w:lang w:val="en-US" w:eastAsia="zh-CN"/>
          <w14:textFill>
            <w14:solidFill>
              <w14:schemeClr w14:val="tx1"/>
            </w14:solidFill>
          </w14:textFill>
        </w:rPr>
        <w:t>土壤</w:t>
      </w:r>
      <w:r>
        <w:rPr>
          <w:rFonts w:hint="default" w:ascii="Times New Roman" w:hAnsi="Times New Roman" w:eastAsia="宋体" w:cs="Times New Roman"/>
          <w:color w:val="000000" w:themeColor="text1"/>
          <w14:textFill>
            <w14:solidFill>
              <w14:schemeClr w14:val="tx1"/>
            </w14:solidFill>
          </w14:textFill>
        </w:rPr>
        <w:t>环境造成短时间的影响。</w:t>
      </w:r>
    </w:p>
    <w:p w14:paraId="03169487">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②燃烧情况分析：</w:t>
      </w:r>
      <w:r>
        <w:rPr>
          <w:rFonts w:hint="eastAsia" w:cs="Times New Roman"/>
          <w:color w:val="000000" w:themeColor="text1"/>
          <w:lang w:val="en-US" w:eastAsia="zh-CN"/>
          <w14:textFill>
            <w14:solidFill>
              <w14:schemeClr w14:val="tx1"/>
            </w14:solidFill>
          </w14:textFill>
        </w:rPr>
        <w:t>废机油</w:t>
      </w:r>
      <w:r>
        <w:rPr>
          <w:rFonts w:hint="default" w:ascii="Times New Roman" w:hAnsi="Times New Roman" w:eastAsia="宋体" w:cs="Times New Roman"/>
          <w:color w:val="000000" w:themeColor="text1"/>
          <w14:textFill>
            <w14:solidFill>
              <w14:schemeClr w14:val="tx1"/>
            </w14:solidFill>
          </w14:textFill>
        </w:rPr>
        <w:t>泄漏时若遇到明火，引发的火灾事故可在短时间内产生大量的烟气。由于主要成分是</w:t>
      </w:r>
      <w:r>
        <w:rPr>
          <w:rFonts w:hint="eastAsia" w:cs="Times New Roman"/>
          <w:color w:val="000000" w:themeColor="text1"/>
          <w:lang w:val="en-US" w:eastAsia="zh-CN"/>
          <w14:textFill>
            <w14:solidFill>
              <w14:schemeClr w14:val="tx1"/>
            </w14:solidFill>
          </w14:textFill>
        </w:rPr>
        <w:t>CO</w:t>
      </w:r>
      <w:r>
        <w:rPr>
          <w:rFonts w:hint="default" w:ascii="Times New Roman" w:hAnsi="Times New Roman" w:eastAsia="宋体" w:cs="Times New Roman"/>
          <w:color w:val="000000" w:themeColor="text1"/>
          <w14:textFill>
            <w14:solidFill>
              <w14:schemeClr w14:val="tx1"/>
            </w14:solidFill>
          </w14:textFill>
        </w:rPr>
        <w:t>，燃烧反应生成物主要为水和CO，对大气环境影响较小。</w:t>
      </w:r>
    </w:p>
    <w:p w14:paraId="44AAEC07">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③爆炸情况分析：由于安全措施的设置，爆炸的几率很小，爆炸的瞬间，由于冲击波的冲击，土层被掀起，产生一定量的粉尘，对近距离的大气环境造成短时间的影响。</w:t>
      </w:r>
    </w:p>
    <w:p w14:paraId="715F1F56">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fldChar w:fldCharType="begin"/>
      </w:r>
      <w:r>
        <w:rPr>
          <w:rFonts w:hint="default" w:ascii="Times New Roman" w:hAnsi="Times New Roman" w:eastAsia="宋体" w:cs="Times New Roman"/>
          <w:color w:val="000000" w:themeColor="text1"/>
          <w14:textFill>
            <w14:solidFill>
              <w14:schemeClr w14:val="tx1"/>
            </w14:solidFill>
          </w14:textFill>
        </w:rPr>
        <w:instrText xml:space="preserve"> HYPERLINK "file:///C:\\Users\\Administrator\\Desktop\\科右前旗现代农牧业园区核心育种场养殖项目-修改稿\\5.3.7.2" </w:instrText>
      </w:r>
      <w:r>
        <w:rPr>
          <w:rFonts w:hint="default" w:ascii="Times New Roman" w:hAnsi="Times New Roman" w:eastAsia="宋体" w:cs="Times New Roman"/>
          <w:color w:val="000000" w:themeColor="text1"/>
          <w14:textFill>
            <w14:solidFill>
              <w14:schemeClr w14:val="tx1"/>
            </w14:solidFill>
          </w14:textFill>
        </w:rPr>
        <w:fldChar w:fldCharType="separate"/>
      </w:r>
      <w:r>
        <w:rPr>
          <w:rFonts w:hint="default" w:ascii="Times New Roman" w:hAnsi="Times New Roman" w:eastAsia="宋体" w:cs="Times New Roman"/>
          <w:color w:val="000000" w:themeColor="text1"/>
          <w14:textFill>
            <w14:solidFill>
              <w14:schemeClr w14:val="tx1"/>
            </w14:solidFill>
          </w14:textFill>
        </w:rPr>
        <w:t>6.8.7.2</w:t>
      </w:r>
      <w:r>
        <w:rPr>
          <w:rFonts w:hint="default" w:ascii="Times New Roman" w:hAnsi="Times New Roman" w:eastAsia="宋体" w:cs="Times New Roman"/>
          <w:color w:val="000000" w:themeColor="text1"/>
          <w14:textFill>
            <w14:solidFill>
              <w14:schemeClr w14:val="tx1"/>
            </w14:solidFill>
          </w14:textFill>
        </w:rPr>
        <w:fldChar w:fldCharType="end"/>
      </w:r>
      <w:r>
        <w:rPr>
          <w:rFonts w:hint="default" w:ascii="Times New Roman" w:hAnsi="Times New Roman" w:eastAsia="宋体" w:cs="Times New Roman"/>
          <w:color w:val="000000" w:themeColor="text1"/>
          <w14:textFill>
            <w14:solidFill>
              <w14:schemeClr w14:val="tx1"/>
            </w14:solidFill>
          </w14:textFill>
        </w:rPr>
        <w:t>水环境风险影响分析</w:t>
      </w:r>
    </w:p>
    <w:p w14:paraId="1F714D1A">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废水进入自然水体后，使水中固体悬浮物（SS）、有机物和微生物含量升高，水质变坏。废水中含有大量的病原微生物将通过水体或水生动植物扩散传播，危害人畜健康。此外，有机物生物降解消耗水体溶解氧，使水体变黑发臭，水生生物死亡，发生水体“富营养化”，这种水体将不可能再得到恢复。废水渗入会使地下水溶解氧含量减少，水质变坏，严重时使水体发黑、变臭、失去使用价值。一旦污染了地下水，将极难治理恢复，造成较持久性的污染。可见事故排污对环境的危害极大，应坚决杜绝废水事故排放的发生。</w:t>
      </w:r>
    </w:p>
    <w:p w14:paraId="2E4A422E">
      <w:pPr>
        <w:ind w:firstLine="480"/>
        <w:rPr>
          <w:rFonts w:hint="default" w:ascii="Times New Roman" w:hAnsi="Times New Roman" w:eastAsia="宋体" w:cs="Times New Roman"/>
          <w:color w:val="000000" w:themeColor="text1"/>
          <w14:textFill>
            <w14:solidFill>
              <w14:schemeClr w14:val="tx1"/>
            </w14:solidFill>
          </w14:textFill>
        </w:rPr>
      </w:pPr>
      <w:bookmarkStart w:id="306" w:name="bookmark36"/>
      <w:bookmarkEnd w:id="306"/>
      <w:r>
        <w:rPr>
          <w:rFonts w:hint="default" w:ascii="Times New Roman" w:hAnsi="Times New Roman" w:eastAsia="宋体" w:cs="Times New Roman"/>
          <w:color w:val="000000" w:themeColor="text1"/>
          <w14:textFill>
            <w14:solidFill>
              <w14:schemeClr w14:val="tx1"/>
            </w14:solidFill>
          </w14:textFill>
        </w:rPr>
        <w:fldChar w:fldCharType="begin"/>
      </w:r>
      <w:r>
        <w:rPr>
          <w:rFonts w:hint="default" w:ascii="Times New Roman" w:hAnsi="Times New Roman" w:eastAsia="宋体" w:cs="Times New Roman"/>
          <w:color w:val="000000" w:themeColor="text1"/>
          <w14:textFill>
            <w14:solidFill>
              <w14:schemeClr w14:val="tx1"/>
            </w14:solidFill>
          </w14:textFill>
        </w:rPr>
        <w:instrText xml:space="preserve">HYPERLINK "C:\\Users\\Administrator\\Desktop\\科右前旗现代农牧业园区核心育种场养殖项目-修改稿\\5.3.7.3"</w:instrText>
      </w:r>
      <w:r>
        <w:rPr>
          <w:rFonts w:hint="default" w:ascii="Times New Roman" w:hAnsi="Times New Roman" w:eastAsia="宋体" w:cs="Times New Roman"/>
          <w:color w:val="000000" w:themeColor="text1"/>
          <w14:textFill>
            <w14:solidFill>
              <w14:schemeClr w14:val="tx1"/>
            </w14:solidFill>
          </w14:textFill>
        </w:rPr>
        <w:fldChar w:fldCharType="separate"/>
      </w:r>
      <w:r>
        <w:rPr>
          <w:rFonts w:hint="default" w:ascii="Times New Roman" w:hAnsi="Times New Roman" w:eastAsia="宋体" w:cs="Times New Roman"/>
          <w:color w:val="000000" w:themeColor="text1"/>
          <w14:textFill>
            <w14:solidFill>
              <w14:schemeClr w14:val="tx1"/>
            </w14:solidFill>
          </w14:textFill>
        </w:rPr>
        <w:t>6.8.7.3</w:t>
      </w:r>
      <w:r>
        <w:rPr>
          <w:rFonts w:hint="default" w:ascii="Times New Roman" w:hAnsi="Times New Roman" w:eastAsia="宋体" w:cs="Times New Roman"/>
          <w:color w:val="000000" w:themeColor="text1"/>
          <w14:textFill>
            <w14:solidFill>
              <w14:schemeClr w14:val="tx1"/>
            </w14:solidFill>
          </w14:textFill>
        </w:rPr>
        <w:fldChar w:fldCharType="end"/>
      </w:r>
      <w:r>
        <w:rPr>
          <w:rFonts w:hint="default" w:ascii="Times New Roman" w:hAnsi="Times New Roman" w:eastAsia="宋体" w:cs="Times New Roman"/>
          <w:color w:val="000000" w:themeColor="text1"/>
          <w14:textFill>
            <w14:solidFill>
              <w14:schemeClr w14:val="tx1"/>
            </w14:solidFill>
          </w14:textFill>
        </w:rPr>
        <w:t>土壤环境风险影响分析</w:t>
      </w:r>
    </w:p>
    <w:p w14:paraId="693746E6">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当废水排放超过土壤的自净能力，便会出现降解不完全和</w:t>
      </w:r>
      <w:r>
        <w:rPr>
          <w:rFonts w:hint="eastAsia" w:cs="Times New Roman"/>
          <w:color w:val="000000" w:themeColor="text1"/>
          <w:lang w:val="en-US" w:eastAsia="zh-CN"/>
          <w14:textFill>
            <w14:solidFill>
              <w14:schemeClr w14:val="tx1"/>
            </w14:solidFill>
          </w14:textFill>
        </w:rPr>
        <w:t>好</w:t>
      </w:r>
      <w:r>
        <w:rPr>
          <w:rFonts w:hint="default" w:ascii="Times New Roman" w:hAnsi="Times New Roman" w:eastAsia="宋体" w:cs="Times New Roman"/>
          <w:color w:val="000000" w:themeColor="text1"/>
          <w14:textFill>
            <w14:solidFill>
              <w14:schemeClr w14:val="tx1"/>
            </w14:solidFill>
          </w14:textFill>
        </w:rPr>
        <w:t>氧腐解，产生恶臭物质和亚硝酸盐等有害物质，使土壤环境质量严重恶化。同时，土壤对病原微生物的自净能力下降，容易造成生物污染和疫病传播。</w:t>
      </w:r>
    </w:p>
    <w:p w14:paraId="2755701D">
      <w:pPr>
        <w:ind w:firstLine="480"/>
        <w:rPr>
          <w:rFonts w:hint="default" w:ascii="Times New Roman" w:hAnsi="Times New Roman" w:eastAsia="宋体" w:cs="Times New Roman"/>
          <w:color w:val="000000" w:themeColor="text1"/>
          <w14:textFill>
            <w14:solidFill>
              <w14:schemeClr w14:val="tx1"/>
            </w14:solidFill>
          </w14:textFill>
        </w:rPr>
      </w:pPr>
      <w:bookmarkStart w:id="307" w:name="bookmark37"/>
      <w:bookmarkEnd w:id="307"/>
      <w:r>
        <w:rPr>
          <w:rFonts w:hint="default" w:ascii="Times New Roman" w:hAnsi="Times New Roman" w:eastAsia="宋体" w:cs="Times New Roman"/>
          <w:color w:val="000000" w:themeColor="text1"/>
          <w14:textFill>
            <w14:solidFill>
              <w14:schemeClr w14:val="tx1"/>
            </w14:solidFill>
          </w14:textFill>
        </w:rPr>
        <w:fldChar w:fldCharType="begin"/>
      </w:r>
      <w:r>
        <w:rPr>
          <w:rFonts w:hint="default" w:ascii="Times New Roman" w:hAnsi="Times New Roman" w:eastAsia="宋体" w:cs="Times New Roman"/>
          <w:color w:val="000000" w:themeColor="text1"/>
          <w14:textFill>
            <w14:solidFill>
              <w14:schemeClr w14:val="tx1"/>
            </w14:solidFill>
          </w14:textFill>
        </w:rPr>
        <w:instrText xml:space="preserve">HYPERLINK "C:\\Users\\Administrator\\Desktop\\科右前旗现代农牧业园区核心育种场养殖项目-修改稿\\5.3.7.4"</w:instrText>
      </w:r>
      <w:r>
        <w:rPr>
          <w:rFonts w:hint="default" w:ascii="Times New Roman" w:hAnsi="Times New Roman" w:eastAsia="宋体" w:cs="Times New Roman"/>
          <w:color w:val="000000" w:themeColor="text1"/>
          <w14:textFill>
            <w14:solidFill>
              <w14:schemeClr w14:val="tx1"/>
            </w14:solidFill>
          </w14:textFill>
        </w:rPr>
        <w:fldChar w:fldCharType="separate"/>
      </w:r>
      <w:r>
        <w:rPr>
          <w:rFonts w:hint="default" w:ascii="Times New Roman" w:hAnsi="Times New Roman" w:eastAsia="宋体" w:cs="Times New Roman"/>
          <w:color w:val="000000" w:themeColor="text1"/>
          <w14:textFill>
            <w14:solidFill>
              <w14:schemeClr w14:val="tx1"/>
            </w14:solidFill>
          </w14:textFill>
        </w:rPr>
        <w:t>6.8.7.4</w:t>
      </w:r>
      <w:r>
        <w:rPr>
          <w:rFonts w:hint="default" w:ascii="Times New Roman" w:hAnsi="Times New Roman" w:eastAsia="宋体" w:cs="Times New Roman"/>
          <w:color w:val="000000" w:themeColor="text1"/>
          <w14:textFill>
            <w14:solidFill>
              <w14:schemeClr w14:val="tx1"/>
            </w14:solidFill>
          </w14:textFill>
        </w:rPr>
        <w:fldChar w:fldCharType="end"/>
      </w:r>
      <w:r>
        <w:rPr>
          <w:rFonts w:hint="default" w:ascii="Times New Roman" w:hAnsi="Times New Roman" w:eastAsia="宋体" w:cs="Times New Roman"/>
          <w:color w:val="000000" w:themeColor="text1"/>
          <w14:textFill>
            <w14:solidFill>
              <w14:schemeClr w14:val="tx1"/>
            </w14:solidFill>
          </w14:textFill>
        </w:rPr>
        <w:t>疾病环境风险分析</w:t>
      </w:r>
    </w:p>
    <w:p w14:paraId="096D8197">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在动物的饲养、调运过程中，由于种种原因要产生一定比率的动物死亡及检疫检验不合格产品，此类动物尸体（组织）不符合食用卫生条件，而且其大部分是构成动物疫病传播的重要污染源，若再次流入市场，极易导致疫病扩散，构成安全隐患，因此必须要统一进行处理。</w:t>
      </w:r>
    </w:p>
    <w:p w14:paraId="4D7846E6">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病死及病害动物无害化处理技术规范》（农医发[2017]25号）中规定，可通过焚烧、化制、掩埋或其他物理、化学、生物学等方法将病害动物尸体和病害动物产品或附属物进行处理，以彻底消灭其所携带的病原体，达到消除病害因素，保障人畜健康安全的目的。</w:t>
      </w:r>
    </w:p>
    <w:p w14:paraId="55FDA88A">
      <w:pPr>
        <w:ind w:firstLine="482"/>
        <w:outlineLvl w:val="2"/>
        <w:rPr>
          <w:rFonts w:hint="default" w:ascii="Times New Roman" w:hAnsi="Times New Roman" w:eastAsia="宋体" w:cs="Times New Roman"/>
          <w:b/>
          <w:bCs/>
          <w:color w:val="000000" w:themeColor="text1"/>
          <w14:textFill>
            <w14:solidFill>
              <w14:schemeClr w14:val="tx1"/>
            </w14:solidFill>
          </w14:textFill>
        </w:rPr>
      </w:pPr>
      <w:bookmarkStart w:id="308" w:name="bookmark38"/>
      <w:bookmarkEnd w:id="308"/>
      <w:bookmarkStart w:id="309" w:name="_Toc4599"/>
      <w:r>
        <w:rPr>
          <w:rFonts w:hint="default" w:ascii="Times New Roman" w:hAnsi="Times New Roman" w:eastAsia="宋体" w:cs="Times New Roman"/>
          <w:b/>
          <w:bCs/>
          <w:color w:val="000000" w:themeColor="text1"/>
          <w14:textFill>
            <w14:solidFill>
              <w14:schemeClr w14:val="tx1"/>
            </w14:solidFill>
          </w14:textFill>
        </w:rPr>
        <w:t>6.8.8环境风险防范措施及应急要求</w:t>
      </w:r>
      <w:bookmarkEnd w:id="309"/>
    </w:p>
    <w:p w14:paraId="234300A9">
      <w:pPr>
        <w:ind w:firstLine="480"/>
        <w:rPr>
          <w:rFonts w:hint="default" w:ascii="Times New Roman" w:hAnsi="Times New Roman" w:eastAsia="宋体" w:cs="Times New Roman"/>
          <w:color w:val="000000" w:themeColor="text1"/>
          <w14:textFill>
            <w14:solidFill>
              <w14:schemeClr w14:val="tx1"/>
            </w14:solidFill>
          </w14:textFill>
        </w:rPr>
      </w:pPr>
      <w:bookmarkStart w:id="310" w:name="bookmark39"/>
      <w:bookmarkEnd w:id="310"/>
      <w:r>
        <w:rPr>
          <w:rFonts w:hint="default" w:ascii="Times New Roman" w:hAnsi="Times New Roman" w:eastAsia="宋体" w:cs="Times New Roman"/>
          <w:color w:val="000000" w:themeColor="text1"/>
          <w14:textFill>
            <w14:solidFill>
              <w14:schemeClr w14:val="tx1"/>
            </w14:solidFill>
          </w14:textFill>
        </w:rPr>
        <w:fldChar w:fldCharType="begin"/>
      </w:r>
      <w:r>
        <w:rPr>
          <w:rFonts w:hint="default" w:ascii="Times New Roman" w:hAnsi="Times New Roman" w:eastAsia="宋体" w:cs="Times New Roman"/>
          <w:color w:val="000000" w:themeColor="text1"/>
          <w14:textFill>
            <w14:solidFill>
              <w14:schemeClr w14:val="tx1"/>
            </w14:solidFill>
          </w14:textFill>
        </w:rPr>
        <w:instrText xml:space="preserve">HYPERLINK "C:\\Users\\Administrator\\Desktop\\科右前旗现代农牧业园区核心育种场养殖项目-修改稿\\5.3.8.1"</w:instrText>
      </w:r>
      <w:r>
        <w:rPr>
          <w:rFonts w:hint="default" w:ascii="Times New Roman" w:hAnsi="Times New Roman" w:eastAsia="宋体" w:cs="Times New Roman"/>
          <w:color w:val="000000" w:themeColor="text1"/>
          <w14:textFill>
            <w14:solidFill>
              <w14:schemeClr w14:val="tx1"/>
            </w14:solidFill>
          </w14:textFill>
        </w:rPr>
        <w:fldChar w:fldCharType="separate"/>
      </w:r>
      <w:r>
        <w:rPr>
          <w:rFonts w:hint="default" w:ascii="Times New Roman" w:hAnsi="Times New Roman" w:eastAsia="宋体" w:cs="Times New Roman"/>
          <w:color w:val="000000" w:themeColor="text1"/>
          <w14:textFill>
            <w14:solidFill>
              <w14:schemeClr w14:val="tx1"/>
            </w14:solidFill>
          </w14:textFill>
        </w:rPr>
        <w:t>6.8.8.1</w:t>
      </w:r>
      <w:r>
        <w:rPr>
          <w:rFonts w:hint="default" w:ascii="Times New Roman" w:hAnsi="Times New Roman" w:eastAsia="宋体" w:cs="Times New Roman"/>
          <w:color w:val="000000" w:themeColor="text1"/>
          <w14:textFill>
            <w14:solidFill>
              <w14:schemeClr w14:val="tx1"/>
            </w14:solidFill>
          </w14:textFill>
        </w:rPr>
        <w:fldChar w:fldCharType="end"/>
      </w:r>
      <w:r>
        <w:rPr>
          <w:rFonts w:hint="default" w:ascii="Times New Roman" w:hAnsi="Times New Roman" w:eastAsia="宋体" w:cs="Times New Roman"/>
          <w:color w:val="000000" w:themeColor="text1"/>
          <w14:textFill>
            <w14:solidFill>
              <w14:schemeClr w14:val="tx1"/>
            </w14:solidFill>
          </w14:textFill>
        </w:rPr>
        <w:t>事故风险防范措施</w:t>
      </w:r>
    </w:p>
    <w:p w14:paraId="2A1DFE2E">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（1）泄露、火灾、爆炸事故预防措施</w:t>
      </w:r>
    </w:p>
    <w:p w14:paraId="1D31E8FF">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1）泄漏预防</w:t>
      </w:r>
    </w:p>
    <w:p w14:paraId="0CCED493">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泄漏事故的防治是生产和储运过程中最重要的环节，发生泄漏事故可能引起火灾和爆炸等一系列重大事故。经验表明：设备失灵和人为的操作失误是引发泄漏的</w:t>
      </w:r>
    </w:p>
    <w:p w14:paraId="3C835928">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主要原因。因此，选用较好的设备、精心设计、认真的管理和操作人员的责任心是减少泄漏事故的关键。</w:t>
      </w:r>
    </w:p>
    <w:p w14:paraId="5DA16FAF">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①为防止设备发生事故时的热辐射影响，在治污区安装水喷淋设施保持周围消防通道的畅通。</w:t>
      </w:r>
    </w:p>
    <w:p w14:paraId="3F71CD58">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②氧化塘的检查</w:t>
      </w:r>
    </w:p>
    <w:p w14:paraId="5F879140">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氧化塘进行适当的整体试验、外观检查或非破坏性的测厚检查、射线探伤，检查记录应存档备查。定期对氧化塘外部检查，及时发现破损和漏处。</w:t>
      </w:r>
    </w:p>
    <w:p w14:paraId="4E2A1EBE">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③防止管道的泄漏</w:t>
      </w:r>
    </w:p>
    <w:p w14:paraId="074C02B4">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经常检查管道，若地下管道应采用防腐蚀材料，并在埋设的地面作标记，以防开挖时破坏管道，地上管道应防止汽车碰撞，并控制管道支撑的磨损。定期系统试压、定期检漏。管道施工应按规范要求进行。</w:t>
      </w:r>
    </w:p>
    <w:p w14:paraId="02512C74">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2）火灾和爆炸的预防</w:t>
      </w:r>
    </w:p>
    <w:p w14:paraId="77135A87">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①</w:t>
      </w:r>
      <w:r>
        <w:rPr>
          <w:rFonts w:hint="eastAsia" w:cs="Times New Roman"/>
          <w:color w:val="000000" w:themeColor="text1"/>
          <w:lang w:val="en-US" w:eastAsia="zh-CN"/>
          <w14:textFill>
            <w14:solidFill>
              <w14:schemeClr w14:val="tx1"/>
            </w14:solidFill>
          </w14:textFill>
        </w:rPr>
        <w:t>废机油</w:t>
      </w:r>
      <w:r>
        <w:rPr>
          <w:rFonts w:hint="default" w:ascii="Times New Roman" w:hAnsi="Times New Roman" w:eastAsia="宋体" w:cs="Times New Roman"/>
          <w:color w:val="000000" w:themeColor="text1"/>
          <w14:textFill>
            <w14:solidFill>
              <w14:schemeClr w14:val="tx1"/>
            </w14:solidFill>
          </w14:textFill>
        </w:rPr>
        <w:t>在生产过程要密闭化、自动化，严防跑冒滴漏。</w:t>
      </w:r>
    </w:p>
    <w:p w14:paraId="5FA88E3C">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②设备的安全管理</w:t>
      </w:r>
    </w:p>
    <w:p w14:paraId="2D513CE5">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定期对设备进行安全检测，检测内容、时间、人员应有记录保存，安全检测应根据设备的安全性、危险世设定检测频次。</w:t>
      </w:r>
    </w:p>
    <w:p w14:paraId="3CD7DA07">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3）火源管理</w:t>
      </w:r>
    </w:p>
    <w:p w14:paraId="4292C49C">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①严禁火源进入治污区，对明火严格控制，在</w:t>
      </w:r>
      <w:r>
        <w:rPr>
          <w:rFonts w:hint="eastAsia" w:cs="Times New Roman"/>
          <w:color w:val="000000" w:themeColor="text1"/>
          <w:lang w:val="en-US" w:eastAsia="zh-CN"/>
          <w14:textFill>
            <w14:solidFill>
              <w14:schemeClr w14:val="tx1"/>
            </w14:solidFill>
          </w14:textFill>
        </w:rPr>
        <w:t>危废间</w:t>
      </w:r>
      <w:r>
        <w:rPr>
          <w:rFonts w:hint="default" w:ascii="Times New Roman" w:hAnsi="Times New Roman" w:eastAsia="宋体" w:cs="Times New Roman"/>
          <w:color w:val="000000" w:themeColor="text1"/>
          <w14:textFill>
            <w14:solidFill>
              <w14:schemeClr w14:val="tx1"/>
            </w14:solidFill>
          </w14:textFill>
        </w:rPr>
        <w:t>附近20m内不准有明火；</w:t>
      </w:r>
    </w:p>
    <w:p w14:paraId="054A12F0">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②对设备维修检查，需进行维修焊接应经安全部门确认、准许，并有记录在案，另外，在危险区作业是不能使用能产生撞击火花的金属物体，应用铜工具，如用钢工具，表面应涂黄油；</w:t>
      </w:r>
    </w:p>
    <w:p w14:paraId="1882DC3C">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③在装置区内的所有设备，电气装置都应满足防爆防火的要求；</w:t>
      </w:r>
    </w:p>
    <w:p w14:paraId="32F6EC01">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4）人员的管理</w:t>
      </w:r>
    </w:p>
    <w:p w14:paraId="2D5BE1BF">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①加强</w:t>
      </w:r>
      <w:r>
        <w:rPr>
          <w:rFonts w:hint="eastAsia" w:cs="Times New Roman"/>
          <w:color w:val="000000" w:themeColor="text1"/>
          <w:lang w:val="en-US" w:eastAsia="zh-CN"/>
          <w14:textFill>
            <w14:solidFill>
              <w14:schemeClr w14:val="tx1"/>
            </w14:solidFill>
          </w14:textFill>
        </w:rPr>
        <w:t>危险废物的</w:t>
      </w:r>
      <w:r>
        <w:rPr>
          <w:rFonts w:hint="default" w:ascii="Times New Roman" w:hAnsi="Times New Roman" w:eastAsia="宋体" w:cs="Times New Roman"/>
          <w:color w:val="000000" w:themeColor="text1"/>
          <w14:textFill>
            <w14:solidFill>
              <w14:schemeClr w14:val="tx1"/>
            </w14:solidFill>
          </w14:textFill>
        </w:rPr>
        <w:t>安全知识宣传，加强对有关人员的培训教育和考核；</w:t>
      </w:r>
    </w:p>
    <w:p w14:paraId="455483D9">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②严格规章制度和安全操作规程，强化安全监督检查和管理；</w:t>
      </w:r>
      <w:r>
        <w:rPr>
          <w:rFonts w:hint="eastAsia" w:cs="Times New Roman"/>
          <w:color w:val="000000" w:themeColor="text1"/>
          <w:lang w:val="en-US" w:eastAsia="zh-CN"/>
          <w14:textFill>
            <w14:solidFill>
              <w14:schemeClr w14:val="tx1"/>
            </w14:solidFill>
          </w14:textFill>
        </w:rPr>
        <w:t>危废间</w:t>
      </w:r>
      <w:r>
        <w:rPr>
          <w:rFonts w:hint="default" w:ascii="Times New Roman" w:hAnsi="Times New Roman" w:eastAsia="宋体" w:cs="Times New Roman"/>
          <w:color w:val="000000" w:themeColor="text1"/>
          <w14:textFill>
            <w14:solidFill>
              <w14:schemeClr w14:val="tx1"/>
            </w14:solidFill>
          </w14:textFill>
        </w:rPr>
        <w:t>设专职人员进行监理和维护，严禁其他人员进入。</w:t>
      </w:r>
    </w:p>
    <w:p w14:paraId="59655D15">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（2）事故应急对策</w:t>
      </w:r>
    </w:p>
    <w:p w14:paraId="3B58EC7C">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对可能发生的事故，公司制订应急计划，使各部门在事故发生后能有步骤、有秩序她采取各项应急措施，</w:t>
      </w:r>
    </w:p>
    <w:p w14:paraId="7D077001">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①事故发生后，应根掘具体情况采取应急措旌，切断泄漏源、火源，控制事故扩大，同时通知控制宰，根掘事故类型、大小启动相应的应急预案。</w:t>
      </w:r>
    </w:p>
    <w:p w14:paraId="4F07EB37">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②发生重大事故，应立即上报相关部门，启动社会救援系统，就近地区调拨到专业救援队伍协助处理。</w:t>
      </w:r>
    </w:p>
    <w:p w14:paraId="7F803DE2">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③事故发生后应立即通告当地环境保护局、医院、自来水公司等市政部门，协同事故救援与监控。</w:t>
      </w:r>
    </w:p>
    <w:p w14:paraId="724E8429">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④设置专门的应急领导小组，由企业负责人任组长，总工程师及生产负责人任副组长，各车间主任为组员，定期专门组织各车间负责人进行环境风险检查，将生产中的事故隐患作为检查重点。</w:t>
      </w:r>
    </w:p>
    <w:p w14:paraId="67CB762A">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⑤应急领导小组应建立一整套完整的风险事故防范管理制度和赏罚制度，以规范各生产部门的操作规程，实现相互的有效衔接，避免彼此间的扯皮现象，确保风险事故防范管理制度的全过程全方位落实，减少事故的发生概率和危害程度。</w:t>
      </w:r>
    </w:p>
    <w:p w14:paraId="1D33F78C">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⑥环境管理机构设有专人负责，健立健全各项环境管理制度，完全将环境管理纳入日常管理行为中，上岗人员都经过严格培训，并制定环境管理实施计划，对各项污染物污染源进行定期监测，记录运行及监测数据，环境监测实验室配备必要的监测手段，如大气、地表水、地下水污染物的监测，规范厂区排污口，设置明显的标志；汲取同类型企业先进操作经验和污染控制技术，建立信息反馈中心，对生产中环保问题及时反馈。</w:t>
      </w:r>
    </w:p>
    <w:p w14:paraId="5A9DDEB3">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⑦对于经营过程中排放的污染物都按照环保要求得到合理处置，有害废物按有害固体废物处置要求执行，并定期检查。</w:t>
      </w:r>
    </w:p>
    <w:p w14:paraId="30147F13">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⑧加强对职工的风险事故安全教育，提高职工的风险意识，减少风险发生的概率。</w:t>
      </w:r>
    </w:p>
    <w:p w14:paraId="50AE2E99">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⑨工程的建设及安装必须严格按国家及地方政府的有关规范规定进行。项目建设完成投产前必须经过消防安全等有关部门的验收。</w:t>
      </w:r>
    </w:p>
    <w:p w14:paraId="18BBFE40">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⑩加强对安全管理的领导，建立健全各项安全消防管理网络。建立健全各项安全管理制度，如：防火防爆防雷电防静电制度；岗位责任制安全教育培训制度；原料及成品的运输储存制度；设备管道等设施的定期检验维护保养检修制度；以及安全操作规程等。</w:t>
      </w:r>
    </w:p>
    <w:p w14:paraId="0C8B5EE3">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⑪定期对设备及管路进行检验和维修保养，保证设备完好状态，防止漏泄；驾驶对安全用火的管理，从根本上防止火灾爆炸事故的发生。</w:t>
      </w:r>
    </w:p>
    <w:p w14:paraId="07FE602B">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⑩厂区氧化塘、储罐按消防要求配置消防高压水泵消火栓灭火器消防沙等设施，厂内循环水池长期储备消防用水。</w:t>
      </w:r>
    </w:p>
    <w:p w14:paraId="53B8BE13">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⑬针对工程可能发生的风险事故，制定全厂风险事故应急预案，宣贯到全体员工，并进行必要的演练，以保证应急预案有效可行，在风险事故发生时，能够及时采取有效措施将损失减至最小。</w:t>
      </w:r>
    </w:p>
    <w:p w14:paraId="4836655F">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⑩主体厂房要敞开式布置，强化通风，各种工艺设备（阀门法兰泵类等）管理的选型进货要严把质量关，并加强检修维护，严禁生产中物料跑冒滴漏现象的发生，电气设备须选用防腐防爆型，电源绝缘良好。防止产生电火花，接地牢靠，防止产生静电。</w:t>
      </w:r>
    </w:p>
    <w:p w14:paraId="28C44890">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（3）消防水收集池</w:t>
      </w:r>
    </w:p>
    <w:p w14:paraId="37397A4E">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本项目在</w:t>
      </w:r>
      <w:r>
        <w:rPr>
          <w:rFonts w:hint="default" w:ascii="Times New Roman" w:hAnsi="Times New Roman" w:eastAsia="宋体" w:cs="Times New Roman"/>
          <w:color w:val="000000" w:themeColor="text1"/>
          <w:lang w:eastAsia="zh-CN"/>
          <w14:textFill>
            <w14:solidFill>
              <w14:schemeClr w14:val="tx1"/>
            </w14:solidFill>
          </w14:textFill>
        </w:rPr>
        <w:t>粪污</w:t>
      </w:r>
      <w:r>
        <w:rPr>
          <w:rFonts w:hint="default" w:ascii="Times New Roman" w:hAnsi="Times New Roman" w:eastAsia="宋体" w:cs="Times New Roman"/>
          <w:color w:val="000000" w:themeColor="text1"/>
          <w14:textFill>
            <w14:solidFill>
              <w14:schemeClr w14:val="tx1"/>
            </w14:solidFill>
          </w14:textFill>
        </w:rPr>
        <w:t>发酵系统生故障时，氧化塘的容积为</w:t>
      </w:r>
      <w:r>
        <w:rPr>
          <w:rFonts w:hint="default" w:ascii="Times New Roman" w:hAnsi="Times New Roman" w:eastAsia="宋体" w:cs="Times New Roman"/>
          <w:color w:val="000000" w:themeColor="text1"/>
          <w:lang w:val="en-US" w:eastAsia="zh-CN"/>
          <w14:textFill>
            <w14:solidFill>
              <w14:schemeClr w14:val="tx1"/>
            </w14:solidFill>
          </w14:textFill>
        </w:rPr>
        <w:t>9000</w:t>
      </w:r>
      <w:r>
        <w:rPr>
          <w:rFonts w:hint="default" w:ascii="Times New Roman" w:hAnsi="Times New Roman" w:eastAsia="宋体" w:cs="Times New Roman"/>
          <w:color w:val="000000" w:themeColor="text1"/>
          <w14:textFill>
            <w14:solidFill>
              <w14:schemeClr w14:val="tx1"/>
            </w14:solidFill>
          </w14:textFill>
        </w:rPr>
        <w:t>m</w:t>
      </w:r>
      <w:r>
        <w:rPr>
          <w:rFonts w:hint="default" w:ascii="Times New Roman" w:hAnsi="Times New Roman" w:eastAsia="宋体" w:cs="Times New Roman"/>
          <w:color w:val="000000" w:themeColor="text1"/>
          <w:vertAlign w:val="superscript"/>
          <w14:textFill>
            <w14:solidFill>
              <w14:schemeClr w14:val="tx1"/>
            </w14:solidFill>
          </w14:textFill>
        </w:rPr>
        <w:t>3</w:t>
      </w:r>
      <w:r>
        <w:rPr>
          <w:rFonts w:hint="default" w:ascii="Times New Roman" w:hAnsi="Times New Roman" w:eastAsia="宋体" w:cs="Times New Roman"/>
          <w:color w:val="000000" w:themeColor="text1"/>
          <w14:textFill>
            <w14:solidFill>
              <w14:schemeClr w14:val="tx1"/>
            </w14:solidFill>
          </w14:textFill>
        </w:rPr>
        <w:t>，可容纳180天的生产废水，故检修期间，可将废水排入粪污收集池暂存，待检修完毕后，再进行暂存废水的正常处理，可满足项目废水事故状态处置。</w:t>
      </w:r>
    </w:p>
    <w:p w14:paraId="2FDE19EF">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故本项目消防废水收集水池的容积仅考虑发生火灾事故后产生的消防废水，按《建筑设计防火规范》第8.2.2条和第8.4.1条，一次灭火的室外消防栓用水量和室内消防栓用水量分别为15L/s和10L/s，火灾延续供水时间按1.5小时计算，消防水量为135m</w:t>
      </w:r>
      <w:r>
        <w:rPr>
          <w:rFonts w:hint="default" w:ascii="Times New Roman" w:hAnsi="Times New Roman" w:eastAsia="宋体" w:cs="Times New Roman"/>
          <w:color w:val="000000" w:themeColor="text1"/>
          <w:vertAlign w:val="superscript"/>
          <w14:textFill>
            <w14:solidFill>
              <w14:schemeClr w14:val="tx1"/>
            </w14:solidFill>
          </w14:textFill>
        </w:rPr>
        <w:t>3</w:t>
      </w:r>
      <w:r>
        <w:rPr>
          <w:rFonts w:hint="default" w:ascii="Times New Roman" w:hAnsi="Times New Roman" w:eastAsia="宋体" w:cs="Times New Roman"/>
          <w:color w:val="000000" w:themeColor="text1"/>
          <w14:textFill>
            <w14:solidFill>
              <w14:schemeClr w14:val="tx1"/>
            </w14:solidFill>
          </w14:textFill>
        </w:rPr>
        <w:t>。故本次企业不单独设置消防废水收集池，消防废水进入氧化塘收集。</w:t>
      </w:r>
    </w:p>
    <w:p w14:paraId="067C7CC1">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消防废水若直接排入水体会对水环境质量造成严重影响，项目通过在场区建设导流沟将消防废水引至氧化塘，待事故结束后送至氧化塘处理。</w:t>
      </w:r>
    </w:p>
    <w:p w14:paraId="1E2A7D99">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经采取上述措施后，可将消防废水对周围环境的影响降至最小。</w:t>
      </w:r>
    </w:p>
    <w:p w14:paraId="09BC7C6A">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fldChar w:fldCharType="begin"/>
      </w:r>
      <w:r>
        <w:rPr>
          <w:rFonts w:hint="default" w:ascii="Times New Roman" w:hAnsi="Times New Roman" w:eastAsia="宋体" w:cs="Times New Roman"/>
          <w:color w:val="000000" w:themeColor="text1"/>
          <w14:textFill>
            <w14:solidFill>
              <w14:schemeClr w14:val="tx1"/>
            </w14:solidFill>
          </w14:textFill>
        </w:rPr>
        <w:instrText xml:space="preserve"> HYPERLINK "file:///C:\\Users\\Administrator\\Desktop\\科右前旗现代农牧业园区核心育种场养殖项目-修改稿\\5.3.8.2" </w:instrText>
      </w:r>
      <w:r>
        <w:rPr>
          <w:rFonts w:hint="default" w:ascii="Times New Roman" w:hAnsi="Times New Roman" w:eastAsia="宋体" w:cs="Times New Roman"/>
          <w:color w:val="000000" w:themeColor="text1"/>
          <w14:textFill>
            <w14:solidFill>
              <w14:schemeClr w14:val="tx1"/>
            </w14:solidFill>
          </w14:textFill>
        </w:rPr>
        <w:fldChar w:fldCharType="separate"/>
      </w:r>
      <w:r>
        <w:rPr>
          <w:rFonts w:hint="default" w:ascii="Times New Roman" w:hAnsi="Times New Roman" w:eastAsia="宋体" w:cs="Times New Roman"/>
          <w:color w:val="000000" w:themeColor="text1"/>
          <w14:textFill>
            <w14:solidFill>
              <w14:schemeClr w14:val="tx1"/>
            </w14:solidFill>
          </w14:textFill>
        </w:rPr>
        <w:t>6.8.8.2</w:t>
      </w:r>
      <w:r>
        <w:rPr>
          <w:rFonts w:hint="default" w:ascii="Times New Roman" w:hAnsi="Times New Roman" w:eastAsia="宋体" w:cs="Times New Roman"/>
          <w:color w:val="000000" w:themeColor="text1"/>
          <w14:textFill>
            <w14:solidFill>
              <w14:schemeClr w14:val="tx1"/>
            </w14:solidFill>
          </w14:textFill>
        </w:rPr>
        <w:fldChar w:fldCharType="end"/>
      </w:r>
      <w:r>
        <w:rPr>
          <w:rFonts w:hint="default" w:ascii="Times New Roman" w:hAnsi="Times New Roman" w:eastAsia="宋体" w:cs="Times New Roman"/>
          <w:color w:val="000000" w:themeColor="text1"/>
          <w14:textFill>
            <w14:solidFill>
              <w14:schemeClr w14:val="tx1"/>
            </w14:solidFill>
          </w14:textFill>
        </w:rPr>
        <w:t>大气环境风险事故预防及处置措施</w:t>
      </w:r>
    </w:p>
    <w:p w14:paraId="6EEFF377">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本项目的生产安全包括各类设备的运行安全。通过设备选型、工艺设计及布局设计加强其安全性能，同时，通过加强管理与培训工作，避免运行阶段的安全事故。</w:t>
      </w:r>
    </w:p>
    <w:p w14:paraId="0AC26B46">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（1）总体要求：</w:t>
      </w:r>
    </w:p>
    <w:p w14:paraId="4852CB85">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对生产及利用各环节从运行管理、维护保养和安全操作三个方面加强对安全管理，防止安全及环保事故发生。</w:t>
      </w:r>
    </w:p>
    <w:p w14:paraId="061F55E1">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（2）合理布局</w:t>
      </w:r>
    </w:p>
    <w:p w14:paraId="5C4305C4">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根据项目建设地点地形地貌、常年主导风向、生产工艺流程和卫生等要求，本项目做了合理的布局，场区内的工作人员、原料、产品通过道路均进行分流，减少道路运输过程产生的危害风险。主要建筑物之间保持合理的消防及生产安全距离，尤其是</w:t>
      </w:r>
      <w:r>
        <w:rPr>
          <w:rFonts w:hint="eastAsia" w:cs="Times New Roman"/>
          <w:color w:val="000000" w:themeColor="text1"/>
          <w:lang w:val="en-US" w:eastAsia="zh-CN"/>
          <w14:textFill>
            <w14:solidFill>
              <w14:schemeClr w14:val="tx1"/>
            </w14:solidFill>
          </w14:textFill>
        </w:rPr>
        <w:t>氧化塘</w:t>
      </w:r>
      <w:r>
        <w:rPr>
          <w:rFonts w:hint="default" w:ascii="Times New Roman" w:hAnsi="Times New Roman" w:eastAsia="宋体" w:cs="Times New Roman"/>
          <w:color w:val="000000" w:themeColor="text1"/>
          <w14:textFill>
            <w14:solidFill>
              <w14:schemeClr w14:val="tx1"/>
            </w14:solidFill>
          </w14:textFill>
        </w:rPr>
        <w:t>与生活场区之间保持适当距离。</w:t>
      </w:r>
    </w:p>
    <w:p w14:paraId="2B263D55">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（3）设备与电气</w:t>
      </w:r>
    </w:p>
    <w:p w14:paraId="7D39D370">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本项目选定的电气与机械传动设备，均设置防护罩和接零保护装置和设备故障报警装置。</w:t>
      </w:r>
    </w:p>
    <w:p w14:paraId="76D2EAA4">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（4）加强监测</w:t>
      </w:r>
    </w:p>
    <w:p w14:paraId="0E9C26B1">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加强</w:t>
      </w:r>
      <w:r>
        <w:rPr>
          <w:rFonts w:hint="eastAsia" w:cs="Times New Roman"/>
          <w:color w:val="000000" w:themeColor="text1"/>
          <w:lang w:val="en-US" w:eastAsia="zh-CN"/>
          <w14:textFill>
            <w14:solidFill>
              <w14:schemeClr w14:val="tx1"/>
            </w14:solidFill>
          </w14:textFill>
        </w:rPr>
        <w:t>厂区内例行</w:t>
      </w:r>
      <w:r>
        <w:rPr>
          <w:rFonts w:hint="default" w:ascii="Times New Roman" w:hAnsi="Times New Roman" w:eastAsia="宋体" w:cs="Times New Roman"/>
          <w:color w:val="000000" w:themeColor="text1"/>
          <w14:textFill>
            <w14:solidFill>
              <w14:schemeClr w14:val="tx1"/>
            </w14:solidFill>
          </w14:textFill>
        </w:rPr>
        <w:t>检测，发现异常情况立即处理。</w:t>
      </w:r>
    </w:p>
    <w:p w14:paraId="037295EE">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（5）起火后的处置</w:t>
      </w:r>
    </w:p>
    <w:p w14:paraId="7B161E17">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迅速对起火点采取隔离措施，并采用灭火剂进行灭火。转移火场周围的易燃物质，以防扩大火源。</w:t>
      </w:r>
    </w:p>
    <w:p w14:paraId="4EE0962D">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fldChar w:fldCharType="begin"/>
      </w:r>
      <w:r>
        <w:rPr>
          <w:rFonts w:hint="default" w:ascii="Times New Roman" w:hAnsi="Times New Roman" w:eastAsia="宋体" w:cs="Times New Roman"/>
          <w:color w:val="000000" w:themeColor="text1"/>
          <w14:textFill>
            <w14:solidFill>
              <w14:schemeClr w14:val="tx1"/>
            </w14:solidFill>
          </w14:textFill>
        </w:rPr>
        <w:instrText xml:space="preserve"> HYPERLINK "file:///C:\\Users\\Administrator\\Desktop\\科右前旗现代农牧业园区核心育种场养殖项目-修改稿\\5.3.8.3" </w:instrText>
      </w:r>
      <w:r>
        <w:rPr>
          <w:rFonts w:hint="default" w:ascii="Times New Roman" w:hAnsi="Times New Roman" w:eastAsia="宋体" w:cs="Times New Roman"/>
          <w:color w:val="000000" w:themeColor="text1"/>
          <w14:textFill>
            <w14:solidFill>
              <w14:schemeClr w14:val="tx1"/>
            </w14:solidFill>
          </w14:textFill>
        </w:rPr>
        <w:fldChar w:fldCharType="separate"/>
      </w:r>
      <w:r>
        <w:rPr>
          <w:rFonts w:hint="default" w:ascii="Times New Roman" w:hAnsi="Times New Roman" w:eastAsia="宋体" w:cs="Times New Roman"/>
          <w:color w:val="000000" w:themeColor="text1"/>
          <w14:textFill>
            <w14:solidFill>
              <w14:schemeClr w14:val="tx1"/>
            </w14:solidFill>
          </w14:textFill>
        </w:rPr>
        <w:t>6.8.8.3</w:t>
      </w:r>
      <w:r>
        <w:rPr>
          <w:rFonts w:hint="default" w:ascii="Times New Roman" w:hAnsi="Times New Roman" w:eastAsia="宋体" w:cs="Times New Roman"/>
          <w:color w:val="000000" w:themeColor="text1"/>
          <w14:textFill>
            <w14:solidFill>
              <w14:schemeClr w14:val="tx1"/>
            </w14:solidFill>
          </w14:textFill>
        </w:rPr>
        <w:fldChar w:fldCharType="end"/>
      </w:r>
      <w:r>
        <w:rPr>
          <w:rFonts w:hint="default" w:ascii="Times New Roman" w:hAnsi="Times New Roman" w:eastAsia="宋体" w:cs="Times New Roman"/>
          <w:color w:val="000000" w:themeColor="text1"/>
          <w14:textFill>
            <w14:solidFill>
              <w14:schemeClr w14:val="tx1"/>
            </w14:solidFill>
          </w14:textFill>
        </w:rPr>
        <w:t>水环境风险事故事故预防及处置措施</w:t>
      </w:r>
    </w:p>
    <w:p w14:paraId="16908369">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lang w:eastAsia="zh-CN"/>
          <w14:textFill>
            <w14:solidFill>
              <w14:schemeClr w14:val="tx1"/>
            </w14:solidFill>
          </w14:textFill>
        </w:rPr>
        <w:t>粪污</w:t>
      </w:r>
      <w:r>
        <w:rPr>
          <w:rFonts w:hint="default" w:ascii="Times New Roman" w:hAnsi="Times New Roman" w:eastAsia="宋体" w:cs="Times New Roman"/>
          <w:color w:val="000000" w:themeColor="text1"/>
          <w14:textFill>
            <w14:solidFill>
              <w14:schemeClr w14:val="tx1"/>
            </w14:solidFill>
          </w14:textFill>
        </w:rPr>
        <w:t>事故防范措施：</w:t>
      </w:r>
    </w:p>
    <w:p w14:paraId="3EF31E11">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①氧化塘采用覆膜方式全密闭以防渗、防漏；储存池高度应高于周围地平；</w:t>
      </w:r>
    </w:p>
    <w:p w14:paraId="508C544D">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②非农灌季节，本项目</w:t>
      </w:r>
      <w:r>
        <w:rPr>
          <w:rFonts w:hint="default" w:ascii="Times New Roman" w:hAnsi="Times New Roman" w:eastAsia="宋体" w:cs="Times New Roman"/>
          <w:color w:val="000000" w:themeColor="text1"/>
          <w:lang w:eastAsia="zh-CN"/>
          <w14:textFill>
            <w14:solidFill>
              <w14:schemeClr w14:val="tx1"/>
            </w14:solidFill>
          </w14:textFill>
        </w:rPr>
        <w:t>粪污</w:t>
      </w:r>
      <w:r>
        <w:rPr>
          <w:rFonts w:hint="default" w:ascii="Times New Roman" w:hAnsi="Times New Roman" w:eastAsia="宋体" w:cs="Times New Roman"/>
          <w:color w:val="000000" w:themeColor="text1"/>
          <w14:textFill>
            <w14:solidFill>
              <w14:schemeClr w14:val="tx1"/>
            </w14:solidFill>
          </w14:textFill>
        </w:rPr>
        <w:t>须贮存于氧化塘内，不能用于农田的施肥，严禁乱排；</w:t>
      </w:r>
    </w:p>
    <w:p w14:paraId="12F46902">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③企业必须加强对</w:t>
      </w:r>
      <w:r>
        <w:rPr>
          <w:rFonts w:hint="eastAsia" w:cs="Times New Roman"/>
          <w:color w:val="000000" w:themeColor="text1"/>
          <w:lang w:val="en-US" w:eastAsia="zh-CN"/>
          <w14:textFill>
            <w14:solidFill>
              <w14:schemeClr w14:val="tx1"/>
            </w14:solidFill>
          </w14:textFill>
        </w:rPr>
        <w:t>粪污</w:t>
      </w:r>
      <w:r>
        <w:rPr>
          <w:rFonts w:hint="default" w:ascii="Times New Roman" w:hAnsi="Times New Roman" w:eastAsia="宋体" w:cs="Times New Roman"/>
          <w:color w:val="000000" w:themeColor="text1"/>
          <w14:textFill>
            <w14:solidFill>
              <w14:schemeClr w14:val="tx1"/>
            </w14:solidFill>
          </w14:textFill>
        </w:rPr>
        <w:t>处理设施的管理，加强对设备的运行管理和维修。</w:t>
      </w:r>
    </w:p>
    <w:p w14:paraId="190DBCF9">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fldChar w:fldCharType="begin"/>
      </w:r>
      <w:r>
        <w:rPr>
          <w:rFonts w:hint="default" w:ascii="Times New Roman" w:hAnsi="Times New Roman" w:eastAsia="宋体" w:cs="Times New Roman"/>
          <w:color w:val="000000" w:themeColor="text1"/>
          <w14:textFill>
            <w14:solidFill>
              <w14:schemeClr w14:val="tx1"/>
            </w14:solidFill>
          </w14:textFill>
        </w:rPr>
        <w:instrText xml:space="preserve"> HYPERLINK "file:///C:\\Users\\Administrator\\Desktop\\科右前旗现代农牧业园区核心育种场养殖项目-修改稿\\5.3.8.4" </w:instrText>
      </w:r>
      <w:r>
        <w:rPr>
          <w:rFonts w:hint="default" w:ascii="Times New Roman" w:hAnsi="Times New Roman" w:eastAsia="宋体" w:cs="Times New Roman"/>
          <w:color w:val="000000" w:themeColor="text1"/>
          <w14:textFill>
            <w14:solidFill>
              <w14:schemeClr w14:val="tx1"/>
            </w14:solidFill>
          </w14:textFill>
        </w:rPr>
        <w:fldChar w:fldCharType="separate"/>
      </w:r>
      <w:r>
        <w:rPr>
          <w:rFonts w:hint="default" w:ascii="Times New Roman" w:hAnsi="Times New Roman" w:eastAsia="宋体" w:cs="Times New Roman"/>
          <w:color w:val="000000" w:themeColor="text1"/>
          <w14:textFill>
            <w14:solidFill>
              <w14:schemeClr w14:val="tx1"/>
            </w14:solidFill>
          </w14:textFill>
        </w:rPr>
        <w:t>6.8.8.4</w:t>
      </w:r>
      <w:r>
        <w:rPr>
          <w:rFonts w:hint="default" w:ascii="Times New Roman" w:hAnsi="Times New Roman" w:eastAsia="宋体" w:cs="Times New Roman"/>
          <w:color w:val="000000" w:themeColor="text1"/>
          <w14:textFill>
            <w14:solidFill>
              <w14:schemeClr w14:val="tx1"/>
            </w14:solidFill>
          </w14:textFill>
        </w:rPr>
        <w:fldChar w:fldCharType="end"/>
      </w:r>
      <w:r>
        <w:rPr>
          <w:rFonts w:hint="default" w:ascii="Times New Roman" w:hAnsi="Times New Roman" w:eastAsia="宋体" w:cs="Times New Roman"/>
          <w:color w:val="000000" w:themeColor="text1"/>
          <w14:textFill>
            <w14:solidFill>
              <w14:schemeClr w14:val="tx1"/>
            </w14:solidFill>
          </w14:textFill>
        </w:rPr>
        <w:t>污染处理设施事故风险防范措施</w:t>
      </w:r>
    </w:p>
    <w:p w14:paraId="4E282DE6">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（1）管理不当对环境影响分析</w:t>
      </w:r>
    </w:p>
    <w:p w14:paraId="0D95FF25">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厂区内设环境管理机构，负责厂区环保工作的稳定可靠实施。</w:t>
      </w:r>
    </w:p>
    <w:p w14:paraId="6DBA9CD7">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（2）恶臭长时间影响居民</w:t>
      </w:r>
    </w:p>
    <w:p w14:paraId="1A3469EB">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如遇到极端不利气象条件下，养殖场恶臭长时间影响周边居民，养殖基地应通过各种办法（如喷撒除臭剂，强制关闭养殖场排气扇，使养殖区恶臭暂缓排出的应急处理），降低养殖区恶臭排放量，减少恶臭影响。</w:t>
      </w:r>
    </w:p>
    <w:p w14:paraId="77A1D7CE">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（3）防渗设施失效</w:t>
      </w:r>
    </w:p>
    <w:p w14:paraId="5C086E4D">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①养殖区具备“防渗、防雨、防溢”的三防措施，雨污分流满足《畜禽养殖业污染防治技术规范》（HJ/T81-2001）要求。</w:t>
      </w:r>
    </w:p>
    <w:p w14:paraId="7575F3B8">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②加强厂区管理，定期检查防渗性能，在厂区周边设置1眼地下水水质监测井。</w:t>
      </w:r>
    </w:p>
    <w:p w14:paraId="777C156A">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③确保厂区粪污消纳的保障性。</w:t>
      </w:r>
    </w:p>
    <w:p w14:paraId="3C15C546">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fldChar w:fldCharType="begin"/>
      </w:r>
      <w:r>
        <w:rPr>
          <w:rFonts w:hint="default" w:ascii="Times New Roman" w:hAnsi="Times New Roman" w:eastAsia="宋体" w:cs="Times New Roman"/>
          <w:color w:val="000000" w:themeColor="text1"/>
          <w14:textFill>
            <w14:solidFill>
              <w14:schemeClr w14:val="tx1"/>
            </w14:solidFill>
          </w14:textFill>
        </w:rPr>
        <w:instrText xml:space="preserve"> HYPERLINK "file:///C:\\Users\\Administrator\\Desktop\\科右前旗现代农牧业园区核心育种场养殖项目-修改稿\\5.3.8.5" </w:instrText>
      </w:r>
      <w:r>
        <w:rPr>
          <w:rFonts w:hint="default" w:ascii="Times New Roman" w:hAnsi="Times New Roman" w:eastAsia="宋体" w:cs="Times New Roman"/>
          <w:color w:val="000000" w:themeColor="text1"/>
          <w14:textFill>
            <w14:solidFill>
              <w14:schemeClr w14:val="tx1"/>
            </w14:solidFill>
          </w14:textFill>
        </w:rPr>
        <w:fldChar w:fldCharType="separate"/>
      </w:r>
      <w:r>
        <w:rPr>
          <w:rFonts w:hint="default" w:ascii="Times New Roman" w:hAnsi="Times New Roman" w:eastAsia="宋体" w:cs="Times New Roman"/>
          <w:color w:val="000000" w:themeColor="text1"/>
          <w14:textFill>
            <w14:solidFill>
              <w14:schemeClr w14:val="tx1"/>
            </w14:solidFill>
          </w14:textFill>
        </w:rPr>
        <w:t>6.8.8.5</w:t>
      </w:r>
      <w:r>
        <w:rPr>
          <w:rFonts w:hint="default" w:ascii="Times New Roman" w:hAnsi="Times New Roman" w:eastAsia="宋体" w:cs="Times New Roman"/>
          <w:color w:val="000000" w:themeColor="text1"/>
          <w14:textFill>
            <w14:solidFill>
              <w14:schemeClr w14:val="tx1"/>
            </w14:solidFill>
          </w14:textFill>
        </w:rPr>
        <w:fldChar w:fldCharType="end"/>
      </w:r>
      <w:r>
        <w:rPr>
          <w:rFonts w:hint="default" w:ascii="Times New Roman" w:hAnsi="Times New Roman" w:eastAsia="宋体" w:cs="Times New Roman"/>
          <w:color w:val="000000" w:themeColor="text1"/>
          <w14:textFill>
            <w14:solidFill>
              <w14:schemeClr w14:val="tx1"/>
            </w14:solidFill>
          </w14:textFill>
        </w:rPr>
        <w:t>疾病事故风险防范措施</w:t>
      </w:r>
    </w:p>
    <w:p w14:paraId="7CBEF8F3">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在养牛场生产中应坚持“防病重于治病”的方针，防止和消灭猪疾病，特别是传染病、代谢病，使猪更好地发挥生长性能，提高养猪的经济效益。</w:t>
      </w:r>
    </w:p>
    <w:p w14:paraId="57C8F888">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（1）疾病防疫措施</w:t>
      </w:r>
    </w:p>
    <w:p w14:paraId="5C0C238E">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①牛应将生产区与生活区分开。生产区门口应设置消毒池和消毒室（内设紫外线灯等消毒设施），消毒池内应常年保持2%～4%氢氧化钠溶液等消毒药。</w:t>
      </w:r>
    </w:p>
    <w:p w14:paraId="068B3D50">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②严格控制非生产人员进入生产区，必须进入时应更换工作服及鞋帽，经消毒室消毒后才能进入。</w:t>
      </w:r>
    </w:p>
    <w:p w14:paraId="7B211793">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③饲养人员每年应至少进行一次体格检查，如发现患有危害人、牛的传染病者，应及时调离，以防传染。</w:t>
      </w:r>
    </w:p>
    <w:p w14:paraId="5386B2A7">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④经常保持牛舍的清洁。</w:t>
      </w:r>
    </w:p>
    <w:p w14:paraId="073557EA">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（2）卫生风险防范措施</w:t>
      </w:r>
    </w:p>
    <w:p w14:paraId="6B69F9FE">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①非生产人员不得随意进入生产区。生产区封闭隔离，工程设计和工艺流程符合动物防疫要求；生产区周围应有防护设施，进入生产区必须消毒。</w:t>
      </w:r>
    </w:p>
    <w:p w14:paraId="527D5F1B">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②建立正常的卫生防疫制度，按计划对猪舍进行清扫、消毒按计划对猪群实施免疫程序，建立免疫档案。</w:t>
      </w:r>
    </w:p>
    <w:p w14:paraId="2A31EFDA">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③健全检验、检疫制度，强化检验、检疫手段，场部设技术科、实验室，配备兽医，加强对疾病的预防和医治。</w:t>
      </w:r>
    </w:p>
    <w:p w14:paraId="0E37C81D">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④各牛舍定期消毒，为各阶段牛舍的清洗、消毒、阻断疫病传播创造条件，能有效控制和消灭场内已有病源。</w:t>
      </w:r>
    </w:p>
    <w:p w14:paraId="76750427">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（3）病死牛尸的处理，病死牛尸体要及时处理，严禁随意丢弃，严禁出售或作为饲料再利用。</w:t>
      </w:r>
    </w:p>
    <w:p w14:paraId="4EBBEFA4">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fldChar w:fldCharType="begin"/>
      </w:r>
      <w:r>
        <w:rPr>
          <w:rFonts w:hint="default" w:ascii="Times New Roman" w:hAnsi="Times New Roman" w:eastAsia="宋体" w:cs="Times New Roman"/>
          <w:color w:val="000000" w:themeColor="text1"/>
          <w14:textFill>
            <w14:solidFill>
              <w14:schemeClr w14:val="tx1"/>
            </w14:solidFill>
          </w14:textFill>
        </w:rPr>
        <w:instrText xml:space="preserve"> HYPERLINK "file:///C:\\Users\\Administrator\\Desktop\\科右前旗现代农牧业园区核心育种场养殖项目-修改稿\\5.3.8.6" </w:instrText>
      </w:r>
      <w:r>
        <w:rPr>
          <w:rFonts w:hint="default" w:ascii="Times New Roman" w:hAnsi="Times New Roman" w:eastAsia="宋体" w:cs="Times New Roman"/>
          <w:color w:val="000000" w:themeColor="text1"/>
          <w14:textFill>
            <w14:solidFill>
              <w14:schemeClr w14:val="tx1"/>
            </w14:solidFill>
          </w14:textFill>
        </w:rPr>
        <w:fldChar w:fldCharType="separate"/>
      </w:r>
      <w:r>
        <w:rPr>
          <w:rFonts w:hint="default" w:ascii="Times New Roman" w:hAnsi="Times New Roman" w:eastAsia="宋体" w:cs="Times New Roman"/>
          <w:color w:val="000000" w:themeColor="text1"/>
          <w14:textFill>
            <w14:solidFill>
              <w14:schemeClr w14:val="tx1"/>
            </w14:solidFill>
          </w14:textFill>
        </w:rPr>
        <w:t>6.8.8.6</w:t>
      </w:r>
      <w:r>
        <w:rPr>
          <w:rFonts w:hint="default" w:ascii="Times New Roman" w:hAnsi="Times New Roman" w:eastAsia="宋体" w:cs="Times New Roman"/>
          <w:color w:val="000000" w:themeColor="text1"/>
          <w14:textFill>
            <w14:solidFill>
              <w14:schemeClr w14:val="tx1"/>
            </w14:solidFill>
          </w14:textFill>
        </w:rPr>
        <w:fldChar w:fldCharType="end"/>
      </w:r>
      <w:r>
        <w:rPr>
          <w:rFonts w:hint="default" w:ascii="Times New Roman" w:hAnsi="Times New Roman" w:eastAsia="宋体" w:cs="Times New Roman"/>
          <w:color w:val="000000" w:themeColor="text1"/>
          <w14:textFill>
            <w14:solidFill>
              <w14:schemeClr w14:val="tx1"/>
            </w14:solidFill>
          </w14:textFill>
        </w:rPr>
        <w:t>废矿物油泄露风险防范措施</w:t>
      </w:r>
    </w:p>
    <w:p w14:paraId="42398F04">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（1）泄露防范及应急设施设置</w:t>
      </w:r>
    </w:p>
    <w:p w14:paraId="7B90D88E">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在每个危废间相应暂存区与事故应急池之间修建导流槽与其连接，便于事故情况下泄露的废</w:t>
      </w:r>
      <w:r>
        <w:rPr>
          <w:rFonts w:hint="eastAsia" w:cs="Times New Roman"/>
          <w:color w:val="000000" w:themeColor="text1"/>
          <w:lang w:val="en-US" w:eastAsia="zh-CN"/>
          <w14:textFill>
            <w14:solidFill>
              <w14:schemeClr w14:val="tx1"/>
            </w14:solidFill>
          </w14:textFill>
        </w:rPr>
        <w:t>机</w:t>
      </w:r>
      <w:r>
        <w:rPr>
          <w:rFonts w:hint="default" w:ascii="Times New Roman" w:hAnsi="Times New Roman" w:eastAsia="宋体" w:cs="Times New Roman"/>
          <w:color w:val="000000" w:themeColor="text1"/>
          <w14:textFill>
            <w14:solidFill>
              <w14:schemeClr w14:val="tx1"/>
            </w14:solidFill>
          </w14:textFill>
        </w:rPr>
        <w:t>油进入事故应急池中；项目运营过程中，如果盛装废油的包装容器破损，其泄露出来的液体通过导流槽最终进入事故应急池中。</w:t>
      </w:r>
    </w:p>
    <w:p w14:paraId="2A77751A">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日常运行过程中也应加强对盛装废油铁桶专用容器的检查，降低发生风险事故的概率。若发生泄漏则迅速撤离泄漏污染区人员至安全区，并进行隔离，严格限制出入，建议应急处理人员戴自给正压式呼吸器，穿防毒服。尽可能切断泄漏源。小量泄漏：转移回收。大量泄漏：构筑围堤或挖坑收容，收集回收或运至废物处理场所处置。</w:t>
      </w:r>
    </w:p>
    <w:p w14:paraId="57613E31">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（2）管理措施</w:t>
      </w:r>
    </w:p>
    <w:p w14:paraId="6E37E7A4">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严格执行有关安全生产条例，按要求落实安全管理手续；定期检测维修，及时更换腐蚀受损设备，岗位责任明确，定期培训职工，提高安全生产和管理能力。</w:t>
      </w:r>
    </w:p>
    <w:p w14:paraId="75B297FF">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fldChar w:fldCharType="begin"/>
      </w:r>
      <w:r>
        <w:rPr>
          <w:rFonts w:hint="default" w:ascii="Times New Roman" w:hAnsi="Times New Roman" w:eastAsia="宋体" w:cs="Times New Roman"/>
          <w:color w:val="000000" w:themeColor="text1"/>
          <w14:textFill>
            <w14:solidFill>
              <w14:schemeClr w14:val="tx1"/>
            </w14:solidFill>
          </w14:textFill>
        </w:rPr>
        <w:instrText xml:space="preserve"> HYPERLINK "file:///C:\\Users\\Administrator\\Desktop\\科右前旗现代农牧业园区核心育种场养殖项目-修改稿\\5.3.8.7" </w:instrText>
      </w:r>
      <w:r>
        <w:rPr>
          <w:rFonts w:hint="default" w:ascii="Times New Roman" w:hAnsi="Times New Roman" w:eastAsia="宋体" w:cs="Times New Roman"/>
          <w:color w:val="000000" w:themeColor="text1"/>
          <w14:textFill>
            <w14:solidFill>
              <w14:schemeClr w14:val="tx1"/>
            </w14:solidFill>
          </w14:textFill>
        </w:rPr>
        <w:fldChar w:fldCharType="separate"/>
      </w:r>
      <w:r>
        <w:rPr>
          <w:rFonts w:hint="default" w:ascii="Times New Roman" w:hAnsi="Times New Roman" w:eastAsia="宋体" w:cs="Times New Roman"/>
          <w:color w:val="000000" w:themeColor="text1"/>
          <w14:textFill>
            <w14:solidFill>
              <w14:schemeClr w14:val="tx1"/>
            </w14:solidFill>
          </w14:textFill>
        </w:rPr>
        <w:t>6.8.8.7</w:t>
      </w:r>
      <w:r>
        <w:rPr>
          <w:rFonts w:hint="default" w:ascii="Times New Roman" w:hAnsi="Times New Roman" w:eastAsia="宋体" w:cs="Times New Roman"/>
          <w:color w:val="000000" w:themeColor="text1"/>
          <w14:textFill>
            <w14:solidFill>
              <w14:schemeClr w14:val="tx1"/>
            </w14:solidFill>
          </w14:textFill>
        </w:rPr>
        <w:fldChar w:fldCharType="end"/>
      </w:r>
      <w:r>
        <w:rPr>
          <w:rFonts w:hint="default" w:ascii="Times New Roman" w:hAnsi="Times New Roman" w:eastAsia="宋体" w:cs="Times New Roman"/>
          <w:color w:val="000000" w:themeColor="text1"/>
          <w14:textFill>
            <w14:solidFill>
              <w14:schemeClr w14:val="tx1"/>
            </w14:solidFill>
          </w14:textFill>
        </w:rPr>
        <w:t>火灾、爆炸风险防范措施</w:t>
      </w:r>
    </w:p>
    <w:p w14:paraId="54042A1D">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①危废间内分别设置一套消防器材。同时建设单位应定期检查灭火器等设施设备是否完好。各类作业人员还应该按规定配备必要的劳动防护用品。</w:t>
      </w:r>
    </w:p>
    <w:p w14:paraId="743249F5">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②严格火源管理。严禁明火进入场区，对火柴、打火机等火源严格控制。定期对设备进行检修，需进行维修焊接时应首先经过安全部门确认、准许，并记录在案。汽车等机动车在场内行驶须安装阻火器，并安装防火、防爆装置。</w:t>
      </w:r>
    </w:p>
    <w:p w14:paraId="517B8205">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③如实记载每批危险废物的名称、来源、数量、特性和包装容器的类别、入库日期、存放库位、出库日期及接收单位名称。控制好贮存场所的温度和湿度；装卸、搬运时应轻装轻卸，注意自我防护。定期对所贮存的危险废物容器及贮存设施进行检查，发现破损，及时采取措施清理更换。</w:t>
      </w:r>
    </w:p>
    <w:p w14:paraId="56184C89">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④定期对设备进行安全检测，检测内容、时间、人员应有记录保存。安全检测应根据安全性、危险性设定检测频次。此外，在装置区内的所有运营设备、电气装置都应满足防火防爆的要求。</w:t>
      </w:r>
    </w:p>
    <w:p w14:paraId="3A0ED804">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⑤场区内配备必需的消防设施（固定式可燃气体检测报警系统消防栓，泡沫灭火器等灭火设施）、通风、降温、防潮、防雷等安全装置，防雷设施需符合《建筑物防雷设计规范》（GB50057-94）的有关规定。设置一套固定式可燃气体检测报警系统，一旦发生火灾能够及时采取措施。</w:t>
      </w:r>
    </w:p>
    <w:p w14:paraId="7D33429C">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⑥企业应定期进行模拟演习，在厂内建立事故应急中心。企业应建立一整套安全生产和事故风险防范制度、措施，定期开展事故演习，从企业领导到职工有较强的防范事故意识、一定的处理事故能力。</w:t>
      </w:r>
    </w:p>
    <w:p w14:paraId="2AF7B20D">
      <w:pPr>
        <w:ind w:firstLine="482"/>
        <w:outlineLvl w:val="2"/>
        <w:rPr>
          <w:rFonts w:hint="default" w:ascii="Times New Roman" w:hAnsi="Times New Roman" w:eastAsia="宋体" w:cs="Times New Roman"/>
          <w:b/>
          <w:bCs/>
          <w:color w:val="000000" w:themeColor="text1"/>
          <w14:textFill>
            <w14:solidFill>
              <w14:schemeClr w14:val="tx1"/>
            </w14:solidFill>
          </w14:textFill>
        </w:rPr>
      </w:pPr>
      <w:bookmarkStart w:id="311" w:name="bookmark40"/>
      <w:bookmarkEnd w:id="311"/>
      <w:bookmarkStart w:id="312" w:name="_Toc28755"/>
      <w:r>
        <w:rPr>
          <w:rFonts w:hint="default" w:ascii="Times New Roman" w:hAnsi="Times New Roman" w:eastAsia="宋体" w:cs="Times New Roman"/>
          <w:b/>
          <w:bCs/>
          <w:color w:val="000000" w:themeColor="text1"/>
          <w14:textFill>
            <w14:solidFill>
              <w14:schemeClr w14:val="tx1"/>
            </w14:solidFill>
          </w14:textFill>
        </w:rPr>
        <w:t>6.8.9风险事故应急预案</w:t>
      </w:r>
      <w:bookmarkEnd w:id="312"/>
    </w:p>
    <w:p w14:paraId="32BF5BE5">
      <w:pPr>
        <w:ind w:firstLine="480"/>
        <w:rPr>
          <w:rFonts w:hint="default" w:ascii="Times New Roman" w:hAnsi="Times New Roman" w:eastAsia="宋体" w:cs="Times New Roman"/>
          <w:color w:val="000000" w:themeColor="text1"/>
          <w14:textFill>
            <w14:solidFill>
              <w14:schemeClr w14:val="tx1"/>
            </w14:solidFill>
          </w14:textFill>
        </w:rPr>
      </w:pPr>
      <w:bookmarkStart w:id="313" w:name="bookmark41"/>
      <w:bookmarkEnd w:id="313"/>
      <w:r>
        <w:rPr>
          <w:rFonts w:hint="default" w:ascii="Times New Roman" w:hAnsi="Times New Roman" w:eastAsia="宋体" w:cs="Times New Roman"/>
          <w:color w:val="000000" w:themeColor="text1"/>
          <w14:textFill>
            <w14:solidFill>
              <w14:schemeClr w14:val="tx1"/>
            </w14:solidFill>
          </w14:textFill>
        </w:rPr>
        <w:fldChar w:fldCharType="begin"/>
      </w:r>
      <w:r>
        <w:rPr>
          <w:rFonts w:hint="default" w:ascii="Times New Roman" w:hAnsi="Times New Roman" w:eastAsia="宋体" w:cs="Times New Roman"/>
          <w:color w:val="000000" w:themeColor="text1"/>
          <w14:textFill>
            <w14:solidFill>
              <w14:schemeClr w14:val="tx1"/>
            </w14:solidFill>
          </w14:textFill>
        </w:rPr>
        <w:instrText xml:space="preserve">HYPERLINK "C:\\Users\\Administrator\\Desktop\\科右前旗现代农牧业园区核心育种场养殖项目-修改稿\\5.3.9.1"</w:instrText>
      </w:r>
      <w:r>
        <w:rPr>
          <w:rFonts w:hint="default" w:ascii="Times New Roman" w:hAnsi="Times New Roman" w:eastAsia="宋体" w:cs="Times New Roman"/>
          <w:color w:val="000000" w:themeColor="text1"/>
          <w14:textFill>
            <w14:solidFill>
              <w14:schemeClr w14:val="tx1"/>
            </w14:solidFill>
          </w14:textFill>
        </w:rPr>
        <w:fldChar w:fldCharType="separate"/>
      </w:r>
      <w:r>
        <w:rPr>
          <w:rFonts w:hint="default" w:ascii="Times New Roman" w:hAnsi="Times New Roman" w:eastAsia="宋体" w:cs="Times New Roman"/>
          <w:color w:val="000000" w:themeColor="text1"/>
          <w14:textFill>
            <w14:solidFill>
              <w14:schemeClr w14:val="tx1"/>
            </w14:solidFill>
          </w14:textFill>
        </w:rPr>
        <w:t>6.8.9.1</w:t>
      </w:r>
      <w:r>
        <w:rPr>
          <w:rFonts w:hint="default" w:ascii="Times New Roman" w:hAnsi="Times New Roman" w:eastAsia="宋体" w:cs="Times New Roman"/>
          <w:color w:val="000000" w:themeColor="text1"/>
          <w14:textFill>
            <w14:solidFill>
              <w14:schemeClr w14:val="tx1"/>
            </w14:solidFill>
          </w14:textFill>
        </w:rPr>
        <w:fldChar w:fldCharType="end"/>
      </w:r>
      <w:r>
        <w:rPr>
          <w:rFonts w:hint="default" w:ascii="Times New Roman" w:hAnsi="Times New Roman" w:eastAsia="宋体" w:cs="Times New Roman"/>
          <w:color w:val="000000" w:themeColor="text1"/>
          <w14:textFill>
            <w14:solidFill>
              <w14:schemeClr w14:val="tx1"/>
            </w14:solidFill>
          </w14:textFill>
        </w:rPr>
        <w:t>应急救援组织</w:t>
      </w:r>
    </w:p>
    <w:p w14:paraId="5A4CC81E">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针对本项目生产过程中可能出现的突发环境风险事故，主要是项目涉及各危险化学品的泄漏，建设单位必须事先制订出应对突发事故的应急预案，具体如下：</w:t>
      </w:r>
    </w:p>
    <w:p w14:paraId="5A023AD2">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（1）应急计划区</w:t>
      </w:r>
    </w:p>
    <w:p w14:paraId="3ADF49EE">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就本项目而言，应急计划区应包括</w:t>
      </w:r>
      <w:r>
        <w:rPr>
          <w:rFonts w:hint="eastAsia" w:cs="Times New Roman"/>
          <w:color w:val="000000" w:themeColor="text1"/>
          <w:lang w:val="en-US" w:eastAsia="zh-CN"/>
          <w14:textFill>
            <w14:solidFill>
              <w14:schemeClr w14:val="tx1"/>
            </w14:solidFill>
          </w14:textFill>
        </w:rPr>
        <w:t>危危废暂存间及粪污管道</w:t>
      </w:r>
      <w:r>
        <w:rPr>
          <w:rFonts w:hint="default" w:ascii="Times New Roman" w:hAnsi="Times New Roman" w:eastAsia="宋体" w:cs="Times New Roman"/>
          <w:color w:val="000000" w:themeColor="text1"/>
          <w14:textFill>
            <w14:solidFill>
              <w14:schemeClr w14:val="tx1"/>
            </w14:solidFill>
          </w14:textFill>
        </w:rPr>
        <w:t>。</w:t>
      </w:r>
    </w:p>
    <w:p w14:paraId="18F855A8">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（2）应急组织机构、人员</w:t>
      </w:r>
    </w:p>
    <w:p w14:paraId="135055AB">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应设置相应的应急组织机构，并配备相应的人员。应急组织机构分厂内应急组织机构和地区应急组织机构，厂内应急组织机构一般可由厂内环保、安全、卫生、消防及通讯等方面专业组成事故应急救护队，人员除由上述各部门指定人员组成外，尚需配备各生产系统指定的操作人员。厂内应急组织机构为临时性机构，人员平时均在各自的系统工作，事故状态下自动形成组织。地区应急组织机构由当地环保、安全部门牵头组成，其组织形式与厂内应急组织机构类似。</w:t>
      </w:r>
    </w:p>
    <w:p w14:paraId="3DE98F95">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（3）应急救援保障</w:t>
      </w:r>
    </w:p>
    <w:p w14:paraId="654CE671">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应急救援指挥由相应的应急组织机构实施。建设单位应严格按照本评价提出的风险防范措施实施应急设施的建设，并应配备抢修、救护、消防等必须用品以及通讯、交通等工具。</w:t>
      </w:r>
    </w:p>
    <w:p w14:paraId="791C6B76">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（4）报警、通讯联络方式</w:t>
      </w:r>
    </w:p>
    <w:p w14:paraId="197F1866">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当发生风险事故时采用电话方式联络，必要时可通过电台或广播通知可能受影响的居民和企业。</w:t>
      </w:r>
    </w:p>
    <w:p w14:paraId="4E34B870">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（5）应急环境监测、抢险、救援及控制措施</w:t>
      </w:r>
    </w:p>
    <w:p w14:paraId="25AA1B11">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应急环境监测由当地环境监测站实施，必要时请求上一级环境监测机构支援。应急抢险、救援工作以事故应急救护队为主，必要时配合相关的电力、医疗等部门协同进行。本工程在易发生事故的生产场所设置相应的事故应急照明设施，并建议设置必备的防尘防毒口罩、防护手套、防护服、防毒面具、呼吸器、急救药品与器械等事故应急器具。在工艺设计中重要设备均设置相应的备品、备件或备用系统。主要生产厂房均设置两个以上的安全出口。在通向室外主通道处设事故排风的启动按钮。</w:t>
      </w:r>
    </w:p>
    <w:p w14:paraId="6106FE07">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（6）应急防护措施、清除泄漏措施和器材</w:t>
      </w:r>
    </w:p>
    <w:p w14:paraId="451BCD30">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疏散泄漏污染区人员至安全区，禁止无关人员进入污染区，建议应急处理人员戴自给式呼吸器，穿化学防护服，不要直接接触泄漏物，勿使泄漏物与可腐蚀物质接触，在确保安全情况下堵漏。</w:t>
      </w:r>
    </w:p>
    <w:p w14:paraId="341999E7">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（7）人员紧急撤离、疏散、撤离组织计划</w:t>
      </w:r>
    </w:p>
    <w:p w14:paraId="44E612E3">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撤离组织计划由相应的应急组织机构制定并组织实施。一旦出现突发性的污染事故，相关的人员、设备等的撤离与搬迁应有序按计划进行，避免造成混乱而引发次生污染及安全事故。</w:t>
      </w:r>
    </w:p>
    <w:p w14:paraId="34EEDFCE">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（8）事故应急救援关闭程序与恢复措施</w:t>
      </w:r>
    </w:p>
    <w:p w14:paraId="0845C5AA">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突发性的污染事故在得到有效控制，并使事故造成的后果均恢复到常态或使之均得到可靠的处置后，事故应急救援程序随之关闭。如再次出现突发性的污染事故，则事故应急救援程序自动恢复。</w:t>
      </w:r>
    </w:p>
    <w:p w14:paraId="3EB68F84">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事故应急救援程序的启动、关闭与恢复均由相应的应急组织机构的上一级主管部门发布。</w:t>
      </w:r>
    </w:p>
    <w:p w14:paraId="2B94B51F">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（9）应急培训计划</w:t>
      </w:r>
    </w:p>
    <w:p w14:paraId="3DBE7271">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建设单位应制定相应的应急培训计划，组织相关的应急组织机构人员进行相应的事故预警、事故救险与处置、事故补救措施等专业的培训，应急培训应列入厂内职业技能培训计划中，纳入厂内日常生产管理计划中。</w:t>
      </w:r>
    </w:p>
    <w:p w14:paraId="6C87ED16">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（10）公众教育和信息</w:t>
      </w:r>
    </w:p>
    <w:p w14:paraId="16B7BB61">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使当地公众更多了解并掌握相关专业知识、事故风险、事故救援等方面的知识。一旦出现事故，建设单位配合当地有关部门要及时向当地公众发布事故风险信息，以便使当地公众了解事故的风险、后果、处置、救援等方面的信息，将事故造成的后果降低到最低限度。</w:t>
      </w:r>
    </w:p>
    <w:p w14:paraId="5B512D73">
      <w:pPr>
        <w:ind w:firstLine="480"/>
        <w:rPr>
          <w:rFonts w:hint="default" w:ascii="Times New Roman" w:hAnsi="Times New Roman" w:eastAsia="宋体" w:cs="Times New Roman"/>
          <w:color w:val="000000" w:themeColor="text1"/>
          <w14:textFill>
            <w14:solidFill>
              <w14:schemeClr w14:val="tx1"/>
            </w14:solidFill>
          </w14:textFill>
        </w:rPr>
      </w:pPr>
      <w:bookmarkStart w:id="314" w:name="bookmark42"/>
      <w:bookmarkEnd w:id="314"/>
      <w:r>
        <w:rPr>
          <w:rFonts w:hint="default" w:ascii="Times New Roman" w:hAnsi="Times New Roman" w:eastAsia="宋体" w:cs="Times New Roman"/>
          <w:color w:val="000000" w:themeColor="text1"/>
          <w14:textFill>
            <w14:solidFill>
              <w14:schemeClr w14:val="tx1"/>
            </w14:solidFill>
          </w14:textFill>
        </w:rPr>
        <w:fldChar w:fldCharType="begin"/>
      </w:r>
      <w:r>
        <w:rPr>
          <w:rFonts w:hint="default" w:ascii="Times New Roman" w:hAnsi="Times New Roman" w:eastAsia="宋体" w:cs="Times New Roman"/>
          <w:color w:val="000000" w:themeColor="text1"/>
          <w14:textFill>
            <w14:solidFill>
              <w14:schemeClr w14:val="tx1"/>
            </w14:solidFill>
          </w14:textFill>
        </w:rPr>
        <w:instrText xml:space="preserve">HYPERLINK "C:\\Users\\Administrator\\Desktop\\科右前旗现代农牧业园区核心育种场养殖项目-修改稿\\5.3.9.2"</w:instrText>
      </w:r>
      <w:r>
        <w:rPr>
          <w:rFonts w:hint="default" w:ascii="Times New Roman" w:hAnsi="Times New Roman" w:eastAsia="宋体" w:cs="Times New Roman"/>
          <w:color w:val="000000" w:themeColor="text1"/>
          <w14:textFill>
            <w14:solidFill>
              <w14:schemeClr w14:val="tx1"/>
            </w14:solidFill>
          </w14:textFill>
        </w:rPr>
        <w:fldChar w:fldCharType="separate"/>
      </w:r>
      <w:r>
        <w:rPr>
          <w:rFonts w:hint="default" w:ascii="Times New Roman" w:hAnsi="Times New Roman" w:eastAsia="宋体" w:cs="Times New Roman"/>
          <w:color w:val="000000" w:themeColor="text1"/>
          <w14:textFill>
            <w14:solidFill>
              <w14:schemeClr w14:val="tx1"/>
            </w14:solidFill>
          </w14:textFill>
        </w:rPr>
        <w:t>6.8.9.2</w:t>
      </w:r>
      <w:r>
        <w:rPr>
          <w:rFonts w:hint="default" w:ascii="Times New Roman" w:hAnsi="Times New Roman" w:eastAsia="宋体" w:cs="Times New Roman"/>
          <w:color w:val="000000" w:themeColor="text1"/>
          <w14:textFill>
            <w14:solidFill>
              <w14:schemeClr w14:val="tx1"/>
            </w14:solidFill>
          </w14:textFill>
        </w:rPr>
        <w:fldChar w:fldCharType="end"/>
      </w:r>
      <w:r>
        <w:rPr>
          <w:rFonts w:hint="default" w:ascii="Times New Roman" w:hAnsi="Times New Roman" w:eastAsia="宋体" w:cs="Times New Roman"/>
          <w:color w:val="000000" w:themeColor="text1"/>
          <w14:textFill>
            <w14:solidFill>
              <w14:schemeClr w14:val="tx1"/>
            </w14:solidFill>
          </w14:textFill>
        </w:rPr>
        <w:t>风险事故应急预案</w:t>
      </w:r>
    </w:p>
    <w:p w14:paraId="4DB7ADC9">
      <w:pPr>
        <w:ind w:firstLine="0" w:firstLineChars="0"/>
        <w:jc w:val="center"/>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表6.8-13突发事故应急预案</w:t>
      </w:r>
    </w:p>
    <w:tbl>
      <w:tblPr>
        <w:tblStyle w:val="35"/>
        <w:tblW w:w="8883"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26"/>
        <w:gridCol w:w="2425"/>
        <w:gridCol w:w="5732"/>
      </w:tblGrid>
      <w:tr w14:paraId="3CF7EB1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1" w:hRule="atLeast"/>
          <w:jc w:val="center"/>
        </w:trPr>
        <w:tc>
          <w:tcPr>
            <w:tcW w:w="726" w:type="dxa"/>
            <w:vAlign w:val="center"/>
          </w:tcPr>
          <w:p w14:paraId="024EFD4E">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序号</w:t>
            </w:r>
          </w:p>
        </w:tc>
        <w:tc>
          <w:tcPr>
            <w:tcW w:w="2425" w:type="dxa"/>
            <w:vAlign w:val="center"/>
          </w:tcPr>
          <w:p w14:paraId="0E486820">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项目</w:t>
            </w:r>
          </w:p>
        </w:tc>
        <w:tc>
          <w:tcPr>
            <w:tcW w:w="5732" w:type="dxa"/>
            <w:vAlign w:val="center"/>
          </w:tcPr>
          <w:p w14:paraId="73406DD7">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内容及要求</w:t>
            </w:r>
          </w:p>
        </w:tc>
      </w:tr>
      <w:tr w14:paraId="523A738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8" w:hRule="atLeast"/>
          <w:jc w:val="center"/>
        </w:trPr>
        <w:tc>
          <w:tcPr>
            <w:tcW w:w="726" w:type="dxa"/>
            <w:vAlign w:val="center"/>
          </w:tcPr>
          <w:p w14:paraId="089F0F6A">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w:t>
            </w:r>
          </w:p>
        </w:tc>
        <w:tc>
          <w:tcPr>
            <w:tcW w:w="2425" w:type="dxa"/>
            <w:vAlign w:val="center"/>
          </w:tcPr>
          <w:p w14:paraId="168183A2">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应急计划区</w:t>
            </w:r>
          </w:p>
        </w:tc>
        <w:tc>
          <w:tcPr>
            <w:tcW w:w="5732" w:type="dxa"/>
            <w:vAlign w:val="center"/>
          </w:tcPr>
          <w:p w14:paraId="384964A2">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危险目标：养殖区、粪污处理区、环境保护目标</w:t>
            </w:r>
          </w:p>
        </w:tc>
      </w:tr>
      <w:tr w14:paraId="6FBF4F5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jc w:val="center"/>
        </w:trPr>
        <w:tc>
          <w:tcPr>
            <w:tcW w:w="726" w:type="dxa"/>
            <w:vAlign w:val="center"/>
          </w:tcPr>
          <w:p w14:paraId="178D833E">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w:t>
            </w:r>
          </w:p>
        </w:tc>
        <w:tc>
          <w:tcPr>
            <w:tcW w:w="2425" w:type="dxa"/>
            <w:vAlign w:val="center"/>
          </w:tcPr>
          <w:p w14:paraId="0AACAAFB">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应急组织机构、人员</w:t>
            </w:r>
          </w:p>
        </w:tc>
        <w:tc>
          <w:tcPr>
            <w:tcW w:w="5732" w:type="dxa"/>
            <w:vAlign w:val="center"/>
          </w:tcPr>
          <w:p w14:paraId="56DD6132">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工厂、地区应急组织机构、人员</w:t>
            </w:r>
          </w:p>
        </w:tc>
      </w:tr>
      <w:tr w14:paraId="5B78C0F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jc w:val="center"/>
        </w:trPr>
        <w:tc>
          <w:tcPr>
            <w:tcW w:w="726" w:type="dxa"/>
            <w:vAlign w:val="center"/>
          </w:tcPr>
          <w:p w14:paraId="0193E17E">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3</w:t>
            </w:r>
          </w:p>
        </w:tc>
        <w:tc>
          <w:tcPr>
            <w:tcW w:w="2425" w:type="dxa"/>
            <w:vAlign w:val="center"/>
          </w:tcPr>
          <w:p w14:paraId="4D9BE204">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预案分级响应条件</w:t>
            </w:r>
          </w:p>
        </w:tc>
        <w:tc>
          <w:tcPr>
            <w:tcW w:w="5732" w:type="dxa"/>
            <w:vAlign w:val="center"/>
          </w:tcPr>
          <w:p w14:paraId="0C42E4E3">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规定预案的级别及分级响应程序</w:t>
            </w:r>
          </w:p>
        </w:tc>
      </w:tr>
      <w:tr w14:paraId="6758F5A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jc w:val="center"/>
        </w:trPr>
        <w:tc>
          <w:tcPr>
            <w:tcW w:w="726" w:type="dxa"/>
            <w:vAlign w:val="center"/>
          </w:tcPr>
          <w:p w14:paraId="4BE1952E">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4</w:t>
            </w:r>
          </w:p>
        </w:tc>
        <w:tc>
          <w:tcPr>
            <w:tcW w:w="2425" w:type="dxa"/>
            <w:vAlign w:val="center"/>
          </w:tcPr>
          <w:p w14:paraId="171217B5">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应急救援保障</w:t>
            </w:r>
          </w:p>
        </w:tc>
        <w:tc>
          <w:tcPr>
            <w:tcW w:w="5732" w:type="dxa"/>
            <w:vAlign w:val="center"/>
          </w:tcPr>
          <w:p w14:paraId="413D7F6B">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应急设施，设备与器材等</w:t>
            </w:r>
          </w:p>
        </w:tc>
      </w:tr>
      <w:tr w14:paraId="1A197BD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8" w:hRule="atLeast"/>
          <w:jc w:val="center"/>
        </w:trPr>
        <w:tc>
          <w:tcPr>
            <w:tcW w:w="726" w:type="dxa"/>
            <w:vAlign w:val="center"/>
          </w:tcPr>
          <w:p w14:paraId="65796DF1">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5</w:t>
            </w:r>
          </w:p>
        </w:tc>
        <w:tc>
          <w:tcPr>
            <w:tcW w:w="2425" w:type="dxa"/>
            <w:vAlign w:val="center"/>
          </w:tcPr>
          <w:p w14:paraId="3027BE53">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报警、通讯联络方式</w:t>
            </w:r>
          </w:p>
        </w:tc>
        <w:tc>
          <w:tcPr>
            <w:tcW w:w="5732" w:type="dxa"/>
            <w:vAlign w:val="center"/>
          </w:tcPr>
          <w:p w14:paraId="26130ABD">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规定应急状态下的报警通讯方式、通知方式和交通保障、管制</w:t>
            </w:r>
          </w:p>
        </w:tc>
      </w:tr>
      <w:tr w14:paraId="10BD429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1" w:hRule="atLeast"/>
          <w:jc w:val="center"/>
        </w:trPr>
        <w:tc>
          <w:tcPr>
            <w:tcW w:w="726" w:type="dxa"/>
            <w:vAlign w:val="center"/>
          </w:tcPr>
          <w:p w14:paraId="20D6A722">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6</w:t>
            </w:r>
          </w:p>
        </w:tc>
        <w:tc>
          <w:tcPr>
            <w:tcW w:w="2425" w:type="dxa"/>
            <w:vAlign w:val="center"/>
          </w:tcPr>
          <w:p w14:paraId="15A606D8">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应急环境监测、抢险、救援及控制措施</w:t>
            </w:r>
          </w:p>
        </w:tc>
        <w:tc>
          <w:tcPr>
            <w:tcW w:w="5732" w:type="dxa"/>
            <w:vAlign w:val="center"/>
          </w:tcPr>
          <w:p w14:paraId="741A210E">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由专业队伍负责对事故现场进行侦察监测，对事故性质、参数与后果进行评估，为指挥部门提供决策依据</w:t>
            </w:r>
          </w:p>
        </w:tc>
      </w:tr>
      <w:tr w14:paraId="3ADBEA7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3" w:hRule="atLeast"/>
          <w:jc w:val="center"/>
        </w:trPr>
        <w:tc>
          <w:tcPr>
            <w:tcW w:w="726" w:type="dxa"/>
            <w:vAlign w:val="center"/>
          </w:tcPr>
          <w:p w14:paraId="5509E4DE">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7</w:t>
            </w:r>
          </w:p>
        </w:tc>
        <w:tc>
          <w:tcPr>
            <w:tcW w:w="2425" w:type="dxa"/>
            <w:vAlign w:val="center"/>
          </w:tcPr>
          <w:p w14:paraId="23754E80">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应急检测、防护措施、清除泄漏措施和器材</w:t>
            </w:r>
          </w:p>
        </w:tc>
        <w:tc>
          <w:tcPr>
            <w:tcW w:w="5732" w:type="dxa"/>
            <w:vAlign w:val="center"/>
          </w:tcPr>
          <w:p w14:paraId="202A5D97">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事故现场、邻近区域、控制防火区域，控制和清除污染措施及相应设备</w:t>
            </w:r>
          </w:p>
        </w:tc>
      </w:tr>
      <w:tr w14:paraId="2AAC725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39" w:hRule="atLeast"/>
          <w:jc w:val="center"/>
        </w:trPr>
        <w:tc>
          <w:tcPr>
            <w:tcW w:w="726" w:type="dxa"/>
            <w:vAlign w:val="center"/>
          </w:tcPr>
          <w:p w14:paraId="531EAF66">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8</w:t>
            </w:r>
          </w:p>
        </w:tc>
        <w:tc>
          <w:tcPr>
            <w:tcW w:w="2425" w:type="dxa"/>
            <w:vAlign w:val="center"/>
          </w:tcPr>
          <w:p w14:paraId="0326C160">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人员紧急撤离、疏散，应急剂量控制、撤离组织计划</w:t>
            </w:r>
          </w:p>
        </w:tc>
        <w:tc>
          <w:tcPr>
            <w:tcW w:w="5732" w:type="dxa"/>
            <w:vAlign w:val="center"/>
          </w:tcPr>
          <w:p w14:paraId="0937AAB2">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事故现场、养殖场邻近区、受事故影响的区域人员及公众对毒物应急剂量控制规定，撤离组织计划及救护，医疗救护与公众健康</w:t>
            </w:r>
          </w:p>
        </w:tc>
      </w:tr>
      <w:tr w14:paraId="105A97A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40" w:hRule="atLeast"/>
          <w:jc w:val="center"/>
        </w:trPr>
        <w:tc>
          <w:tcPr>
            <w:tcW w:w="726" w:type="dxa"/>
            <w:vAlign w:val="center"/>
          </w:tcPr>
          <w:p w14:paraId="76630802">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9</w:t>
            </w:r>
          </w:p>
        </w:tc>
        <w:tc>
          <w:tcPr>
            <w:tcW w:w="2425" w:type="dxa"/>
            <w:vAlign w:val="center"/>
          </w:tcPr>
          <w:p w14:paraId="5085340F">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事故应急救援关闭程序与恢复措施</w:t>
            </w:r>
          </w:p>
        </w:tc>
        <w:tc>
          <w:tcPr>
            <w:tcW w:w="5732" w:type="dxa"/>
            <w:vAlign w:val="center"/>
          </w:tcPr>
          <w:p w14:paraId="4EE2C8A5">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规定应急状态终止程序：</w:t>
            </w:r>
          </w:p>
          <w:p w14:paraId="4D1B1A0A">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事故现场善后处理，恢复措施；</w:t>
            </w:r>
          </w:p>
          <w:p w14:paraId="5076549D">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邻近区域解除事故警戒及善后恢复措施</w:t>
            </w:r>
          </w:p>
        </w:tc>
      </w:tr>
      <w:tr w14:paraId="0E587C3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jc w:val="center"/>
        </w:trPr>
        <w:tc>
          <w:tcPr>
            <w:tcW w:w="726" w:type="dxa"/>
            <w:vAlign w:val="center"/>
          </w:tcPr>
          <w:p w14:paraId="5496398B">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10</w:t>
            </w:r>
          </w:p>
        </w:tc>
        <w:tc>
          <w:tcPr>
            <w:tcW w:w="2425" w:type="dxa"/>
            <w:vAlign w:val="center"/>
          </w:tcPr>
          <w:p w14:paraId="13605E30">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应急培训计划</w:t>
            </w:r>
          </w:p>
        </w:tc>
        <w:tc>
          <w:tcPr>
            <w:tcW w:w="5732" w:type="dxa"/>
            <w:vAlign w:val="center"/>
          </w:tcPr>
          <w:p w14:paraId="40C29CD8">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应急计划制定后，平时安排人员培训与演练</w:t>
            </w:r>
          </w:p>
        </w:tc>
      </w:tr>
      <w:tr w14:paraId="11CE4CB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1" w:hRule="atLeast"/>
          <w:jc w:val="center"/>
        </w:trPr>
        <w:tc>
          <w:tcPr>
            <w:tcW w:w="726" w:type="dxa"/>
            <w:vAlign w:val="center"/>
          </w:tcPr>
          <w:p w14:paraId="3ECF8C7C">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11</w:t>
            </w:r>
          </w:p>
        </w:tc>
        <w:tc>
          <w:tcPr>
            <w:tcW w:w="2425" w:type="dxa"/>
            <w:vAlign w:val="center"/>
          </w:tcPr>
          <w:p w14:paraId="1950100F">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公众教育和信息</w:t>
            </w:r>
          </w:p>
        </w:tc>
        <w:tc>
          <w:tcPr>
            <w:tcW w:w="5732" w:type="dxa"/>
            <w:vAlign w:val="center"/>
          </w:tcPr>
          <w:p w14:paraId="3F23D36A">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对养殖场邻近地区开展公众教育、培训和发布有关信息</w:t>
            </w:r>
          </w:p>
        </w:tc>
      </w:tr>
    </w:tbl>
    <w:p w14:paraId="3F90C2C3">
      <w:pPr>
        <w:ind w:firstLine="482"/>
        <w:outlineLvl w:val="2"/>
        <w:rPr>
          <w:rFonts w:hint="default" w:ascii="Times New Roman" w:hAnsi="Times New Roman" w:eastAsia="宋体" w:cs="Times New Roman"/>
          <w:b/>
          <w:bCs/>
          <w:color w:val="000000" w:themeColor="text1"/>
          <w14:textFill>
            <w14:solidFill>
              <w14:schemeClr w14:val="tx1"/>
            </w14:solidFill>
          </w14:textFill>
        </w:rPr>
      </w:pPr>
      <w:bookmarkStart w:id="315" w:name="bookmark43"/>
      <w:bookmarkEnd w:id="315"/>
      <w:bookmarkStart w:id="316" w:name="_Toc30474"/>
      <w:r>
        <w:rPr>
          <w:rFonts w:hint="default" w:ascii="Times New Roman" w:hAnsi="Times New Roman" w:eastAsia="宋体" w:cs="Times New Roman"/>
          <w:b/>
          <w:bCs/>
          <w:color w:val="000000" w:themeColor="text1"/>
          <w14:textFill>
            <w14:solidFill>
              <w14:schemeClr w14:val="tx1"/>
            </w14:solidFill>
          </w14:textFill>
        </w:rPr>
        <w:t>6.8.10风险评价结论</w:t>
      </w:r>
      <w:bookmarkEnd w:id="316"/>
    </w:p>
    <w:p w14:paraId="19ED4814">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由分析可知，本项目环境风险为矿物油泄漏、火灾、爆炸事故。本次评价中针对可能发生的事故原因设置可较为完善的风险防范措施，可有效的对风险事故进行最大限度的防范和有效处理，同时结合企业对风险防范措施的不断完善和改进，项目发生的环境风险事故的概率将进一步降低。故评价认为本项目的环境风险事故处于可接受水平。</w:t>
      </w:r>
    </w:p>
    <w:p w14:paraId="272065BA">
      <w:pPr>
        <w:ind w:firstLine="0" w:firstLineChars="0"/>
        <w:jc w:val="center"/>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表6.8-14建设项目环境风险简单分析内容表</w:t>
      </w:r>
    </w:p>
    <w:tbl>
      <w:tblPr>
        <w:tblStyle w:val="35"/>
        <w:tblW w:w="8944" w:type="dxa"/>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2064"/>
        <w:gridCol w:w="1124"/>
        <w:gridCol w:w="1776"/>
        <w:gridCol w:w="1455"/>
        <w:gridCol w:w="2525"/>
      </w:tblGrid>
      <w:tr w14:paraId="4FD5DFD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3" w:hRule="atLeast"/>
          <w:jc w:val="center"/>
        </w:trPr>
        <w:tc>
          <w:tcPr>
            <w:tcW w:w="2064" w:type="dxa"/>
            <w:vAlign w:val="center"/>
          </w:tcPr>
          <w:p w14:paraId="1703EFF0">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建设项目名称</w:t>
            </w:r>
          </w:p>
        </w:tc>
        <w:tc>
          <w:tcPr>
            <w:tcW w:w="6880" w:type="dxa"/>
            <w:gridSpan w:val="4"/>
            <w:vAlign w:val="center"/>
          </w:tcPr>
          <w:p w14:paraId="651E4AA1">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科右前旗现代农牧业园区核心育种场养殖项目</w:t>
            </w:r>
          </w:p>
        </w:tc>
      </w:tr>
      <w:tr w14:paraId="1862311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3" w:hRule="atLeast"/>
          <w:jc w:val="center"/>
        </w:trPr>
        <w:tc>
          <w:tcPr>
            <w:tcW w:w="2064" w:type="dxa"/>
            <w:vAlign w:val="center"/>
          </w:tcPr>
          <w:p w14:paraId="28A69802">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建设地点</w:t>
            </w:r>
          </w:p>
        </w:tc>
        <w:tc>
          <w:tcPr>
            <w:tcW w:w="6880" w:type="dxa"/>
            <w:gridSpan w:val="4"/>
            <w:vAlign w:val="center"/>
          </w:tcPr>
          <w:p w14:paraId="07A45086">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内蒙古自治区兴安盟</w:t>
            </w:r>
          </w:p>
        </w:tc>
      </w:tr>
      <w:tr w14:paraId="2357F83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3" w:hRule="atLeast"/>
          <w:jc w:val="center"/>
        </w:trPr>
        <w:tc>
          <w:tcPr>
            <w:tcW w:w="2064" w:type="dxa"/>
            <w:vAlign w:val="center"/>
          </w:tcPr>
          <w:p w14:paraId="6247317C">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地理坐标</w:t>
            </w:r>
          </w:p>
        </w:tc>
        <w:tc>
          <w:tcPr>
            <w:tcW w:w="1124" w:type="dxa"/>
            <w:vAlign w:val="center"/>
          </w:tcPr>
          <w:p w14:paraId="598F0917">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经度</w:t>
            </w:r>
          </w:p>
        </w:tc>
        <w:tc>
          <w:tcPr>
            <w:tcW w:w="1776" w:type="dxa"/>
            <w:vAlign w:val="center"/>
          </w:tcPr>
          <w:p w14:paraId="06A2BAC2">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122°24′31.560″E</w:t>
            </w:r>
          </w:p>
        </w:tc>
        <w:tc>
          <w:tcPr>
            <w:tcW w:w="1455" w:type="dxa"/>
            <w:vAlign w:val="center"/>
          </w:tcPr>
          <w:p w14:paraId="342E1330">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纬度</w:t>
            </w:r>
          </w:p>
        </w:tc>
        <w:tc>
          <w:tcPr>
            <w:tcW w:w="2525" w:type="dxa"/>
            <w:vAlign w:val="center"/>
          </w:tcPr>
          <w:p w14:paraId="7AF9B373">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46°5′25.677″N</w:t>
            </w:r>
          </w:p>
        </w:tc>
      </w:tr>
      <w:tr w14:paraId="2A4FC85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3" w:hRule="atLeast"/>
          <w:jc w:val="center"/>
        </w:trPr>
        <w:tc>
          <w:tcPr>
            <w:tcW w:w="2064" w:type="dxa"/>
            <w:vAlign w:val="center"/>
          </w:tcPr>
          <w:p w14:paraId="33652DCD">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主要危险物质及分布</w:t>
            </w:r>
          </w:p>
        </w:tc>
        <w:tc>
          <w:tcPr>
            <w:tcW w:w="6880" w:type="dxa"/>
            <w:gridSpan w:val="4"/>
            <w:vAlign w:val="center"/>
          </w:tcPr>
          <w:p w14:paraId="0504C5A3">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本项目涉及到的危险物质废矿物油</w:t>
            </w:r>
          </w:p>
        </w:tc>
      </w:tr>
      <w:tr w14:paraId="7858E44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3" w:hRule="atLeast"/>
          <w:jc w:val="center"/>
        </w:trPr>
        <w:tc>
          <w:tcPr>
            <w:tcW w:w="2064" w:type="dxa"/>
            <w:vAlign w:val="center"/>
          </w:tcPr>
          <w:p w14:paraId="1F72CB6F">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环境影响途径及危害后果（大气、地表水、地下水等）</w:t>
            </w:r>
          </w:p>
        </w:tc>
        <w:tc>
          <w:tcPr>
            <w:tcW w:w="6880" w:type="dxa"/>
            <w:gridSpan w:val="4"/>
            <w:vAlign w:val="center"/>
          </w:tcPr>
          <w:p w14:paraId="5988E550">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本项目还包括暴雨对环境产生的危害性影响以及疾病事故风险及病死牛处置风险。</w:t>
            </w:r>
          </w:p>
        </w:tc>
      </w:tr>
      <w:tr w14:paraId="0B053B1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748" w:hRule="atLeast"/>
          <w:jc w:val="center"/>
        </w:trPr>
        <w:tc>
          <w:tcPr>
            <w:tcW w:w="2064" w:type="dxa"/>
            <w:vAlign w:val="center"/>
          </w:tcPr>
          <w:p w14:paraId="3F56FF00">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风险防范措施要求</w:t>
            </w:r>
          </w:p>
        </w:tc>
        <w:tc>
          <w:tcPr>
            <w:tcW w:w="6880" w:type="dxa"/>
            <w:gridSpan w:val="4"/>
            <w:vAlign w:val="center"/>
          </w:tcPr>
          <w:p w14:paraId="34804969">
            <w:pPr>
              <w:ind w:firstLine="0" w:firstLineChars="0"/>
              <w:rPr>
                <w:rFonts w:hint="default" w:ascii="Times New Roman" w:hAnsi="Times New Roman" w:eastAsia="宋体"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w:t>
            </w:r>
            <w:r>
              <w:rPr>
                <w:rFonts w:hint="default" w:ascii="Times New Roman" w:hAnsi="Times New Roman" w:eastAsia="宋体" w:cs="Times New Roman"/>
                <w:color w:val="000000" w:themeColor="text1"/>
                <w:sz w:val="21"/>
                <w:szCs w:val="21"/>
                <w14:textFill>
                  <w14:solidFill>
                    <w14:schemeClr w14:val="tx1"/>
                  </w14:solidFill>
                </w14:textFill>
              </w:rPr>
              <w:t>根据项目建设地点地形地貌、常年主导风向、生产工艺流程和卫生等要求，本项目做了合理的布局，场区内的工作人员、原料、产品通过道路均进行分流，减少道路运输过程产生的危害风险。主要建筑物之间保持合理的消防及生产安全距离。</w:t>
            </w:r>
          </w:p>
          <w:p w14:paraId="22F6AE80">
            <w:pPr>
              <w:ind w:firstLine="0" w:firstLineChars="0"/>
              <w:rPr>
                <w:rFonts w:hint="default" w:ascii="Times New Roman" w:hAnsi="Times New Roman" w:eastAsia="宋体" w:cs="Times New Roman"/>
                <w:color w:val="000000" w:themeColor="text1"/>
                <w:sz w:val="21"/>
                <w:szCs w:val="21"/>
                <w14:textFill>
                  <w14:solidFill>
                    <w14:schemeClr w14:val="tx1"/>
                  </w14:solidFill>
                </w14:textFill>
              </w:rPr>
            </w:pPr>
            <w:r>
              <w:rPr>
                <w:rFonts w:hint="eastAsia" w:cs="Times New Roman"/>
                <w:color w:val="000000" w:themeColor="text1"/>
                <w:sz w:val="21"/>
                <w:szCs w:val="21"/>
                <w:lang w:eastAsia="zh-CN"/>
                <w14:textFill>
                  <w14:solidFill>
                    <w14:schemeClr w14:val="tx1"/>
                  </w14:solidFill>
                </w14:textFill>
              </w:rPr>
              <w:t>（</w:t>
            </w:r>
            <w:r>
              <w:rPr>
                <w:rFonts w:hint="eastAsia" w:cs="Times New Roman"/>
                <w:color w:val="000000" w:themeColor="text1"/>
                <w:sz w:val="21"/>
                <w:szCs w:val="21"/>
                <w:lang w:val="en-US" w:eastAsia="zh-CN"/>
                <w14:textFill>
                  <w14:solidFill>
                    <w14:schemeClr w14:val="tx1"/>
                  </w14:solidFill>
                </w14:textFill>
              </w:rPr>
              <w:t>2</w:t>
            </w:r>
            <w:r>
              <w:rPr>
                <w:rFonts w:hint="eastAsia" w:cs="Times New Roman"/>
                <w:color w:val="000000" w:themeColor="text1"/>
                <w:sz w:val="21"/>
                <w:szCs w:val="21"/>
                <w:lang w:eastAsia="zh-CN"/>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设备与电气：本项目选定的电气与机械传动设备，均设置防护罩和接零保护装置和设备故障报警装置。</w:t>
            </w:r>
          </w:p>
          <w:p w14:paraId="61B82A91">
            <w:pPr>
              <w:ind w:firstLine="0" w:firstLineChars="0"/>
              <w:rPr>
                <w:rFonts w:hint="default" w:ascii="Times New Roman" w:hAnsi="Times New Roman" w:eastAsia="宋体" w:cs="Times New Roman"/>
                <w:color w:val="000000" w:themeColor="text1"/>
                <w:sz w:val="21"/>
                <w:szCs w:val="21"/>
                <w14:textFill>
                  <w14:solidFill>
                    <w14:schemeClr w14:val="tx1"/>
                  </w14:solidFill>
                </w14:textFill>
              </w:rPr>
            </w:pPr>
            <w:r>
              <w:rPr>
                <w:rFonts w:hint="eastAsia" w:cs="Times New Roman"/>
                <w:color w:val="000000" w:themeColor="text1"/>
                <w:sz w:val="21"/>
                <w:szCs w:val="21"/>
                <w:lang w:eastAsia="zh-CN"/>
                <w14:textFill>
                  <w14:solidFill>
                    <w14:schemeClr w14:val="tx1"/>
                  </w14:solidFill>
                </w14:textFill>
              </w:rPr>
              <w:t>（</w:t>
            </w:r>
            <w:r>
              <w:rPr>
                <w:rFonts w:hint="eastAsia" w:cs="Times New Roman"/>
                <w:color w:val="000000" w:themeColor="text1"/>
                <w:sz w:val="21"/>
                <w:szCs w:val="21"/>
                <w:lang w:val="en-US" w:eastAsia="zh-CN"/>
                <w14:textFill>
                  <w14:solidFill>
                    <w14:schemeClr w14:val="tx1"/>
                  </w14:solidFill>
                </w14:textFill>
              </w:rPr>
              <w:t>3</w:t>
            </w:r>
            <w:r>
              <w:rPr>
                <w:rFonts w:hint="eastAsia" w:cs="Times New Roman"/>
                <w:color w:val="000000" w:themeColor="text1"/>
                <w:sz w:val="21"/>
                <w:szCs w:val="21"/>
                <w:lang w:eastAsia="zh-CN"/>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起火后的处置：迅速对起火点采取隔离措施，并采用灭火剂进行灭火。转移火场周围的易燃物质，以防扩大火源。</w:t>
            </w:r>
          </w:p>
          <w:p w14:paraId="7E953339">
            <w:pPr>
              <w:ind w:firstLine="0" w:firstLineChars="0"/>
              <w:rPr>
                <w:rFonts w:hint="default" w:ascii="Times New Roman" w:hAnsi="Times New Roman" w:eastAsia="宋体" w:cs="Times New Roman"/>
                <w:color w:val="000000" w:themeColor="text1"/>
                <w:sz w:val="21"/>
                <w:szCs w:val="21"/>
                <w14:textFill>
                  <w14:solidFill>
                    <w14:schemeClr w14:val="tx1"/>
                  </w14:solidFill>
                </w14:textFill>
              </w:rPr>
            </w:pPr>
            <w:r>
              <w:rPr>
                <w:rFonts w:hint="eastAsia" w:cs="Times New Roman"/>
                <w:color w:val="000000" w:themeColor="text1"/>
                <w:sz w:val="21"/>
                <w:szCs w:val="21"/>
                <w:lang w:eastAsia="zh-CN"/>
                <w14:textFill>
                  <w14:solidFill>
                    <w14:schemeClr w14:val="tx1"/>
                  </w14:solidFill>
                </w14:textFill>
              </w:rPr>
              <w:t>（</w:t>
            </w:r>
            <w:r>
              <w:rPr>
                <w:rFonts w:hint="eastAsia" w:cs="Times New Roman"/>
                <w:color w:val="000000" w:themeColor="text1"/>
                <w:sz w:val="21"/>
                <w:szCs w:val="21"/>
                <w:lang w:val="en-US" w:eastAsia="zh-CN"/>
                <w14:textFill>
                  <w14:solidFill>
                    <w14:schemeClr w14:val="tx1"/>
                  </w14:solidFill>
                </w14:textFill>
              </w:rPr>
              <w:t>4</w:t>
            </w:r>
            <w:r>
              <w:rPr>
                <w:rFonts w:hint="eastAsia" w:cs="Times New Roman"/>
                <w:color w:val="000000" w:themeColor="text1"/>
                <w:sz w:val="21"/>
                <w:szCs w:val="21"/>
                <w:lang w:eastAsia="zh-CN"/>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疾病事故风险防范措施在牧场生产中应坚持“防病重于治病”的方针，防止和消灭牛疾病，特别是传染病、代谢病，使牛更好地发挥生长性能，提高养牛的经济效益。</w:t>
            </w:r>
          </w:p>
        </w:tc>
      </w:tr>
      <w:tr w14:paraId="311CC0B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3" w:hRule="atLeast"/>
          <w:jc w:val="center"/>
        </w:trPr>
        <w:tc>
          <w:tcPr>
            <w:tcW w:w="8944" w:type="dxa"/>
            <w:gridSpan w:val="5"/>
            <w:vAlign w:val="center"/>
          </w:tcPr>
          <w:p w14:paraId="63B600CC">
            <w:pPr>
              <w:ind w:firstLine="0" w:firstLineChars="0"/>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填表说明（列出项目相关信息及评价说明）：</w:t>
            </w:r>
          </w:p>
          <w:p w14:paraId="6544A427">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本项目危险物质数量与临界量的比值Q＜1，因此本项目环境风险潜势为I，根据《建设项目环境风险评价技术导则》（HJ169-2018），环境风险潜势等级为I，可开展简单分析。</w:t>
            </w:r>
          </w:p>
        </w:tc>
      </w:tr>
    </w:tbl>
    <w:p w14:paraId="1F575DC7">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br w:type="page"/>
      </w:r>
    </w:p>
    <w:p w14:paraId="401A882A">
      <w:pPr>
        <w:ind w:firstLine="0" w:firstLineChars="0"/>
        <w:outlineLvl w:val="0"/>
        <w:rPr>
          <w:rFonts w:hint="default" w:ascii="Times New Roman" w:hAnsi="Times New Roman" w:eastAsia="宋体" w:cs="Times New Roman"/>
          <w:b/>
          <w:bCs/>
          <w:color w:val="000000" w:themeColor="text1"/>
          <w:sz w:val="30"/>
          <w:szCs w:val="30"/>
          <w14:textFill>
            <w14:solidFill>
              <w14:schemeClr w14:val="tx1"/>
            </w14:solidFill>
          </w14:textFill>
        </w:rPr>
      </w:pPr>
      <w:bookmarkStart w:id="317" w:name="_Toc31025"/>
      <w:r>
        <w:rPr>
          <w:rFonts w:hint="default" w:ascii="Times New Roman" w:hAnsi="Times New Roman" w:eastAsia="宋体" w:cs="Times New Roman"/>
          <w:b/>
          <w:bCs/>
          <w:color w:val="000000" w:themeColor="text1"/>
          <w:sz w:val="30"/>
          <w:szCs w:val="30"/>
          <w14:textFill>
            <w14:solidFill>
              <w14:schemeClr w14:val="tx1"/>
            </w14:solidFill>
          </w14:textFill>
        </w:rPr>
        <w:t>7运营期环境保护措施及其可行性论证</w:t>
      </w:r>
      <w:bookmarkEnd w:id="317"/>
    </w:p>
    <w:p w14:paraId="6DDA88C5">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根据《畜禽规模养殖污染防治条例》、《畜禽养殖业污染防治技术规范》（HJ/T81-2001）、《畜禽养殖业污染治理工程技术规范》（HJ497-2009）、《畜禽养殖业污染防治技术政策》（环发[2010]151号）等的相关要求，畜禽养殖业的污染防治应优先考虑综合利用和资源化的技术路线，以“资源化利用、容量化控制、减量化处置、无害化处理、生态化发展、低廉化治理”为原则，以管促制，害为利，变废为宝，将畜禽养殖产生的废物转化为种植业可利用的资源，最终实现种养结合、互为促进的良性生态农业生产链，促进农业生产和生态环境的协调发展。</w:t>
      </w:r>
    </w:p>
    <w:p w14:paraId="047D52D4">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本次评价的环境保护措施主要从“资源化利用、容量化控制、减量化处置、无害化处理、生态化发展、低廉化治理”等方面进行经济、技术论证。</w:t>
      </w:r>
    </w:p>
    <w:p w14:paraId="05ED1CC8">
      <w:pPr>
        <w:ind w:firstLine="0" w:firstLineChars="0"/>
        <w:outlineLvl w:val="1"/>
        <w:rPr>
          <w:rFonts w:hint="default" w:ascii="Times New Roman" w:hAnsi="Times New Roman" w:eastAsia="宋体" w:cs="Times New Roman"/>
          <w:b/>
          <w:bCs/>
          <w:color w:val="000000" w:themeColor="text1"/>
          <w:sz w:val="28"/>
          <w:szCs w:val="28"/>
          <w14:textFill>
            <w14:solidFill>
              <w14:schemeClr w14:val="tx1"/>
            </w14:solidFill>
          </w14:textFill>
        </w:rPr>
      </w:pPr>
      <w:bookmarkStart w:id="318" w:name="bookmark45"/>
      <w:bookmarkEnd w:id="318"/>
      <w:bookmarkStart w:id="319" w:name="_Toc31938"/>
      <w:r>
        <w:rPr>
          <w:rFonts w:hint="default" w:ascii="Times New Roman" w:hAnsi="Times New Roman" w:eastAsia="宋体" w:cs="Times New Roman"/>
          <w:b/>
          <w:bCs/>
          <w:color w:val="000000" w:themeColor="text1"/>
          <w:sz w:val="28"/>
          <w:szCs w:val="28"/>
          <w14:textFill>
            <w14:solidFill>
              <w14:schemeClr w14:val="tx1"/>
            </w14:solidFill>
          </w14:textFill>
        </w:rPr>
        <w:t>7.1施工期环保措施可行性分析</w:t>
      </w:r>
      <w:bookmarkEnd w:id="319"/>
    </w:p>
    <w:p w14:paraId="24BE57AD">
      <w:pPr>
        <w:ind w:firstLine="482"/>
        <w:outlineLvl w:val="2"/>
        <w:rPr>
          <w:rFonts w:hint="default" w:ascii="Times New Roman" w:hAnsi="Times New Roman" w:eastAsia="宋体" w:cs="Times New Roman"/>
          <w:b/>
          <w:bCs/>
          <w:color w:val="000000" w:themeColor="text1"/>
          <w14:textFill>
            <w14:solidFill>
              <w14:schemeClr w14:val="tx1"/>
            </w14:solidFill>
          </w14:textFill>
        </w:rPr>
      </w:pPr>
      <w:bookmarkStart w:id="320" w:name="_Toc11571"/>
      <w:r>
        <w:rPr>
          <w:rFonts w:hint="default" w:ascii="Times New Roman" w:hAnsi="Times New Roman" w:eastAsia="宋体" w:cs="Times New Roman"/>
          <w:b/>
          <w:bCs/>
          <w:color w:val="000000" w:themeColor="text1"/>
          <w14:textFill>
            <w14:solidFill>
              <w14:schemeClr w14:val="tx1"/>
            </w14:solidFill>
          </w14:textFill>
        </w:rPr>
        <w:t>7.1.1废气污染的控制措施</w:t>
      </w:r>
      <w:bookmarkEnd w:id="320"/>
    </w:p>
    <w:p w14:paraId="33F071E9">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对于施工过程中产生的废气污染，结合兴安盟相关要求，项目将采取以下措施：</w:t>
      </w:r>
    </w:p>
    <w:p w14:paraId="4490ADBC">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加强对施工工地的环境管理，工程建设单位要制定施工扬尘污染防治方案，根据施工工序编制施工期内扬尘污染防治任务书，实施扬尘污染防治全过程管理责任到每个施工工序。</w:t>
      </w:r>
    </w:p>
    <w:p w14:paraId="1C3367D9">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建筑施工扬尘控制。施工场地要按照相关要求设置围挡、围栏。工地建筑结构脚手架外侧要设置有效抑尘的密目式安全特护网。</w:t>
      </w:r>
    </w:p>
    <w:p w14:paraId="6E927D11">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土方工程辅以洒水抑尘，遇到四级或四级以上大风天气，停止土方作业。要使用预拌商品混凝土。使用硝化石灰及拌石灰土时，要进行密闭搅拌井配备防尘除尘装置，不得现场露天搅拌消化石灰及拌石灰土等。对于少量的搅拌、粉碎、筛分等作业活动，应在密闭条件下进行。</w:t>
      </w:r>
    </w:p>
    <w:p w14:paraId="51312ADC">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工地内及工地出入至铺装道路间的车行道路，要采取铺设铜板、铺设水泥混凝土、铺设沥青混凝土、细石等有效的防尘措施，并保持道路清洁。未铺装道路应根据实际情况进行铺装，硬化或定期施洒抑制剂以保持道路积尘处于低负荷状态。</w:t>
      </w:r>
    </w:p>
    <w:p w14:paraId="75762816">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车辆应按照批准的路线和时间进行物料、渣土、垃圾的运输。对物料的大量运输，运输路线首选尽量避开居民密集区的道路，尽量避开当地上下班高峰时间。</w:t>
      </w:r>
    </w:p>
    <w:p w14:paraId="03566F99">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限制运输物料车辆进入施工现场的车速。最大限度地减轻运输过程对沿线的粉尘污染。</w:t>
      </w:r>
    </w:p>
    <w:p w14:paraId="1B19950B">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工地运输车辆的出口内侧设置冼车平台，车辆驶离工地前，应在洗车平台清洗轮胎及车身，不得带泥上路，洗车平台四周应设置防溢座、废水导流渠、废水收集池，沉砂池及其它防治设施，收集洗车、施工以及降水过程中产生的废水和泥浆，运精物料、渣土及垃敷的车辆，应尽可能采用密闭车斗，并保证物料不遗撒外满。若无密闭车斗，物料、渣土的装载高度不得超过车辆槽帮上沿，车斗一律封板密封。</w:t>
      </w:r>
    </w:p>
    <w:p w14:paraId="3B66AC37">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施工车辆、施工机械及运输车辆在运行时燃烧燃料会排放废气，废气中的主要污染物包括：NO2、CO、THC等污染物。各种施工及运输车辆均采用环保达标的车辆及机械，并采用高标号的燃料，确保排放废气中的各种污染物均能达标排放。施</w:t>
      </w:r>
    </w:p>
    <w:p w14:paraId="3775EEB8">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工现场不建拌和场，施工场地为露天空旷场地烟尘经扩散后对环境影响不大。</w:t>
      </w:r>
    </w:p>
    <w:p w14:paraId="31104F80">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本项目采取的废气污染控制措施均为常规且有效的方法，能够达到控制污染的目的。</w:t>
      </w:r>
    </w:p>
    <w:p w14:paraId="1FB7D49C">
      <w:pPr>
        <w:ind w:firstLine="482"/>
        <w:outlineLvl w:val="2"/>
        <w:rPr>
          <w:rFonts w:hint="default" w:ascii="Times New Roman" w:hAnsi="Times New Roman" w:eastAsia="宋体" w:cs="Times New Roman"/>
          <w:b/>
          <w:bCs/>
          <w:color w:val="000000" w:themeColor="text1"/>
          <w14:textFill>
            <w14:solidFill>
              <w14:schemeClr w14:val="tx1"/>
            </w14:solidFill>
          </w14:textFill>
        </w:rPr>
      </w:pPr>
      <w:bookmarkStart w:id="321" w:name="bookmark46"/>
      <w:bookmarkEnd w:id="321"/>
      <w:bookmarkStart w:id="322" w:name="_Toc7912"/>
      <w:r>
        <w:rPr>
          <w:rFonts w:hint="default" w:ascii="Times New Roman" w:hAnsi="Times New Roman" w:eastAsia="宋体" w:cs="Times New Roman"/>
          <w:b/>
          <w:bCs/>
          <w:color w:val="000000" w:themeColor="text1"/>
          <w14:textFill>
            <w14:solidFill>
              <w14:schemeClr w14:val="tx1"/>
            </w14:solidFill>
          </w14:textFill>
        </w:rPr>
        <w:t>7.1.2废水污染的治理措施</w:t>
      </w:r>
      <w:bookmarkEnd w:id="322"/>
    </w:p>
    <w:p w14:paraId="618C2AF6">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（1）施工人员的日常生活产生污水，生活污水中主要污染物为BOD</w:t>
      </w:r>
      <w:r>
        <w:rPr>
          <w:rFonts w:hint="default" w:ascii="Times New Roman" w:hAnsi="Times New Roman" w:eastAsia="宋体" w:cs="Times New Roman"/>
          <w:color w:val="000000" w:themeColor="text1"/>
          <w:vertAlign w:val="subscript"/>
          <w14:textFill>
            <w14:solidFill>
              <w14:schemeClr w14:val="tx1"/>
            </w14:solidFill>
          </w14:textFill>
        </w:rPr>
        <w:t>5</w:t>
      </w:r>
      <w:r>
        <w:rPr>
          <w:rFonts w:hint="default" w:ascii="Times New Roman" w:hAnsi="Times New Roman" w:eastAsia="宋体" w:cs="Times New Roman"/>
          <w:color w:val="000000" w:themeColor="text1"/>
          <w14:textFill>
            <w14:solidFill>
              <w14:schemeClr w14:val="tx1"/>
            </w14:solidFill>
          </w14:textFill>
        </w:rPr>
        <w:t>、COD</w:t>
      </w:r>
      <w:r>
        <w:rPr>
          <w:rFonts w:hint="eastAsia" w:cs="Times New Roman"/>
          <w:color w:val="000000" w:themeColor="text1"/>
          <w:lang w:val="en-US" w:eastAsia="zh-CN"/>
          <w14:textFill>
            <w14:solidFill>
              <w14:schemeClr w14:val="tx1"/>
            </w14:solidFill>
          </w14:textFill>
        </w:rPr>
        <w:t>c</w:t>
      </w:r>
      <w:r>
        <w:rPr>
          <w:rFonts w:hint="default" w:ascii="Times New Roman" w:hAnsi="Times New Roman" w:eastAsia="宋体" w:cs="Times New Roman"/>
          <w:color w:val="000000" w:themeColor="text1"/>
          <w14:textFill>
            <w14:solidFill>
              <w14:schemeClr w14:val="tx1"/>
            </w14:solidFill>
          </w14:textFill>
        </w:rPr>
        <w:t>r和悬浮物，排入防渗旱厕，施工期结束后清掏，不会对水周围环境产生影响。</w:t>
      </w:r>
    </w:p>
    <w:p w14:paraId="5CF1B935">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（2）施工期产生的生产废水包括：施工机械、运输车辆产生的冲洗废水设置沉淀池，沉淀后废水回用于喷淋洒水。</w:t>
      </w:r>
    </w:p>
    <w:p w14:paraId="4CDDD3BA">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（3）机械设备保证完好，防止泄漏油，并控制施工生产中设备用油的跑、冒、滴、漏。</w:t>
      </w:r>
    </w:p>
    <w:p w14:paraId="46A95FA0">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（4）建设单位应对施工期污水的排放进行严格管理，严禁施工污水乱排、乱流而污染水体及周围环境。</w:t>
      </w:r>
    </w:p>
    <w:p w14:paraId="60E330CF">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因此，以上措施可确保本项目废水不直接排放，对土壤和地下水环境不产生影响，污染防治措施是实际可行的。</w:t>
      </w:r>
    </w:p>
    <w:p w14:paraId="27C20031">
      <w:pPr>
        <w:ind w:firstLine="482"/>
        <w:outlineLvl w:val="2"/>
        <w:rPr>
          <w:rFonts w:hint="default" w:ascii="Times New Roman" w:hAnsi="Times New Roman" w:eastAsia="宋体" w:cs="Times New Roman"/>
          <w:b/>
          <w:bCs/>
          <w:color w:val="000000" w:themeColor="text1"/>
          <w14:textFill>
            <w14:solidFill>
              <w14:schemeClr w14:val="tx1"/>
            </w14:solidFill>
          </w14:textFill>
        </w:rPr>
      </w:pPr>
      <w:bookmarkStart w:id="323" w:name="bookmark47"/>
      <w:bookmarkEnd w:id="323"/>
      <w:bookmarkStart w:id="324" w:name="_Toc25439"/>
      <w:r>
        <w:rPr>
          <w:rFonts w:hint="default" w:ascii="Times New Roman" w:hAnsi="Times New Roman" w:eastAsia="宋体" w:cs="Times New Roman"/>
          <w:b/>
          <w:bCs/>
          <w:color w:val="000000" w:themeColor="text1"/>
          <w14:textFill>
            <w14:solidFill>
              <w14:schemeClr w14:val="tx1"/>
            </w14:solidFill>
          </w14:textFill>
        </w:rPr>
        <w:t>7.1.3噪声控制措施</w:t>
      </w:r>
      <w:bookmarkEnd w:id="324"/>
    </w:p>
    <w:p w14:paraId="7B2280B7">
      <w:pPr>
        <w:numPr>
          <w:ilvl w:val="0"/>
          <w:numId w:val="2"/>
        </w:num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合理安排施工时间，应尽可能避免大量高噪声设备同时施工，施工单位应选用低噪音机械设备或带隔声、消声设备；</w:t>
      </w:r>
    </w:p>
    <w:p w14:paraId="4429A66C">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（2）合理布局施工现场，并且土方工程应尽量安排多台设备同时作业，缩短影响时间；将施工现场的固定振动源相对集中，以减少振动干扰的范围；</w:t>
      </w:r>
    </w:p>
    <w:p w14:paraId="10E24E72">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（3）做好本工程施工管理，文明施工，同时应做好施工期的噪声监理工作。</w:t>
      </w:r>
    </w:p>
    <w:p w14:paraId="7194CDE2">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（4）主要运输道路应尽可能远离敏感点。运输车辆在运输材料和土方时，应低速或限速行驶，不得超载运输，运输途中路过居民区、学校等噪声敏感区时，减少或杜绝鸣笛，使得噪声敏感点满足标准要求。</w:t>
      </w:r>
    </w:p>
    <w:p w14:paraId="144B5AEA">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由此可见，项目位于兴安盟</w:t>
      </w:r>
      <w:r>
        <w:rPr>
          <w:rFonts w:hint="eastAsia" w:cs="Times New Roman"/>
          <w:color w:val="000000" w:themeColor="text1"/>
          <w:lang w:eastAsia="zh-CN"/>
          <w14:textFill>
            <w14:solidFill>
              <w14:schemeClr w14:val="tx1"/>
            </w14:solidFill>
          </w14:textFill>
        </w:rPr>
        <w:t>科尔沁右翼前旗</w:t>
      </w:r>
      <w:r>
        <w:rPr>
          <w:rFonts w:hint="default" w:ascii="Times New Roman" w:hAnsi="Times New Roman" w:eastAsia="宋体" w:cs="Times New Roman"/>
          <w:color w:val="000000" w:themeColor="text1"/>
          <w14:textFill>
            <w14:solidFill>
              <w14:schemeClr w14:val="tx1"/>
            </w14:solidFill>
          </w14:textFill>
        </w:rPr>
        <w:t>现代农牧业园区，周围的环境敏感点较少。本工程从源头、传播、易感人群等环节进行了噪声的防治，采取这些措施后，设备噪声得到有效的控制，对周围环境噪声的影响降到最低程度。因此，本项目施工期的噪声防治措施是有效可行的。</w:t>
      </w:r>
    </w:p>
    <w:p w14:paraId="05CBC6DA">
      <w:pPr>
        <w:ind w:firstLine="482"/>
        <w:outlineLvl w:val="2"/>
        <w:rPr>
          <w:rFonts w:hint="default" w:ascii="Times New Roman" w:hAnsi="Times New Roman" w:eastAsia="宋体" w:cs="Times New Roman"/>
          <w:b/>
          <w:bCs/>
          <w:color w:val="000000" w:themeColor="text1"/>
          <w14:textFill>
            <w14:solidFill>
              <w14:schemeClr w14:val="tx1"/>
            </w14:solidFill>
          </w14:textFill>
        </w:rPr>
      </w:pPr>
      <w:bookmarkStart w:id="325" w:name="bookmark48"/>
      <w:bookmarkEnd w:id="325"/>
      <w:bookmarkStart w:id="326" w:name="_Toc8489"/>
      <w:r>
        <w:rPr>
          <w:rFonts w:hint="default" w:ascii="Times New Roman" w:hAnsi="Times New Roman" w:eastAsia="宋体" w:cs="Times New Roman"/>
          <w:b/>
          <w:bCs/>
          <w:color w:val="000000" w:themeColor="text1"/>
          <w14:textFill>
            <w14:solidFill>
              <w14:schemeClr w14:val="tx1"/>
            </w14:solidFill>
          </w14:textFill>
        </w:rPr>
        <w:t>7.1.4固体废物的处置措施</w:t>
      </w:r>
      <w:bookmarkEnd w:id="326"/>
    </w:p>
    <w:p w14:paraId="63502023">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本项目施工期产生的固体废物主要来源于建筑垃圾；建筑施工中产生的混凝土、砂浆、水泥、涂料和包装材料等施工建筑垃圾；施工人员产生的生活垃圾等几方面。</w:t>
      </w:r>
    </w:p>
    <w:p w14:paraId="7674248E">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（1）施工人员生活垃圾集中桶装存放，送当地的村委会环卫部门每日清运，做到不在施工现场存放。</w:t>
      </w:r>
    </w:p>
    <w:p w14:paraId="591799E6">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（2）建筑过程中产生的施工垃圾碎瓷砖、混凝土、砂浆、水泥等由有资质的渣土运输公司清运到制定地点消纳，做到日产日清；涂料和包装材料等物由厂家回收，不会对环境造成影响。</w:t>
      </w:r>
    </w:p>
    <w:p w14:paraId="70FEC6A2">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（3）车辆运输散体物和废弃物时，运输车辆必须做到装载适量，加盖遮布，出工地前做好外部清洗，沿途不漏泥土、不飞扬。</w:t>
      </w:r>
    </w:p>
    <w:p w14:paraId="0D1BE9A6">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（4）对有扬尘的废物，采用围隔的堆放方法处置；对块状和颗粒废物，可采用一般堆存的方法处理，但一定要将其最终运送到指定的地点。</w:t>
      </w:r>
    </w:p>
    <w:p w14:paraId="1170CAF5">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通过采取上述可行性措施，本工程施工期固体废物对环境影响很小。</w:t>
      </w:r>
    </w:p>
    <w:p w14:paraId="44D72164">
      <w:pPr>
        <w:ind w:firstLine="482"/>
        <w:outlineLvl w:val="2"/>
        <w:rPr>
          <w:rFonts w:hint="default" w:ascii="Times New Roman" w:hAnsi="Times New Roman" w:eastAsia="宋体" w:cs="Times New Roman"/>
          <w:b/>
          <w:bCs/>
          <w:color w:val="000000" w:themeColor="text1"/>
          <w14:textFill>
            <w14:solidFill>
              <w14:schemeClr w14:val="tx1"/>
            </w14:solidFill>
          </w14:textFill>
        </w:rPr>
      </w:pPr>
      <w:bookmarkStart w:id="327" w:name="bookmark49"/>
      <w:bookmarkEnd w:id="327"/>
      <w:bookmarkStart w:id="328" w:name="_Toc32363"/>
      <w:r>
        <w:rPr>
          <w:rFonts w:hint="default" w:ascii="Times New Roman" w:hAnsi="Times New Roman" w:eastAsia="宋体" w:cs="Times New Roman"/>
          <w:b/>
          <w:bCs/>
          <w:color w:val="000000" w:themeColor="text1"/>
          <w14:textFill>
            <w14:solidFill>
              <w14:schemeClr w14:val="tx1"/>
            </w14:solidFill>
          </w14:textFill>
        </w:rPr>
        <w:t>7.1.5生态影响及控制措施</w:t>
      </w:r>
      <w:bookmarkEnd w:id="328"/>
    </w:p>
    <w:p w14:paraId="404F9D9D">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施工期在一定程度上破坏了施工区原有地貌、地表植被，使表层松散，抗水力侵蚀能力减弱，使土壤失去了原有的固土防风能力，从而增加了一定量的水土流失。为减少施工场地水土流失量，应采取如下措施：通过采取动土前在项目周边建临时围墙、及时清运弃土（渣土要覆盖好，及时清运）、及时夯实回填土、及时绿化、施工道路采用硬化路面；在施工场地建排水沟，防止雨水冲刷场地，并在排水沟出口设沉淀池，使雨水经沉淀池沉清后再排入雨水管网等措施，尽力减少施工期水土流失。工程竣工后，项目区将尽可能进行绿化，以改善生态环境，避免土地裸露，用于减少水土流失。</w:t>
      </w:r>
    </w:p>
    <w:p w14:paraId="1E753665">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综合以上，工程结束后，工程区永久占地被固化，绿化区种植植被、一些水土保持设施也相继建成，因此，会使项目因施工期引起的水土流失现状有所改善。</w:t>
      </w:r>
    </w:p>
    <w:p w14:paraId="5BD2A1FB">
      <w:pPr>
        <w:ind w:firstLine="0" w:firstLineChars="0"/>
        <w:outlineLvl w:val="1"/>
        <w:rPr>
          <w:rFonts w:hint="default" w:ascii="Times New Roman" w:hAnsi="Times New Roman" w:eastAsia="宋体" w:cs="Times New Roman"/>
          <w:b/>
          <w:bCs/>
          <w:color w:val="000000" w:themeColor="text1"/>
          <w:sz w:val="28"/>
          <w:szCs w:val="28"/>
          <w14:textFill>
            <w14:solidFill>
              <w14:schemeClr w14:val="tx1"/>
            </w14:solidFill>
          </w14:textFill>
        </w:rPr>
      </w:pPr>
      <w:bookmarkStart w:id="329" w:name="bookmark50"/>
      <w:bookmarkEnd w:id="329"/>
      <w:bookmarkStart w:id="330" w:name="_Toc14902"/>
      <w:r>
        <w:rPr>
          <w:rFonts w:hint="default" w:ascii="Times New Roman" w:hAnsi="Times New Roman" w:eastAsia="宋体" w:cs="Times New Roman"/>
          <w:b/>
          <w:bCs/>
          <w:color w:val="000000" w:themeColor="text1"/>
          <w:sz w:val="28"/>
          <w:szCs w:val="28"/>
          <w14:textFill>
            <w14:solidFill>
              <w14:schemeClr w14:val="tx1"/>
            </w14:solidFill>
          </w14:textFill>
        </w:rPr>
        <w:t>7.2运营期环保措施可行性分析</w:t>
      </w:r>
      <w:bookmarkEnd w:id="330"/>
    </w:p>
    <w:p w14:paraId="30179A3C">
      <w:pPr>
        <w:ind w:firstLine="482"/>
        <w:outlineLvl w:val="2"/>
        <w:rPr>
          <w:rFonts w:hint="default" w:ascii="Times New Roman" w:hAnsi="Times New Roman" w:eastAsia="宋体" w:cs="Times New Roman"/>
          <w:b/>
          <w:bCs/>
          <w:color w:val="000000" w:themeColor="text1"/>
          <w14:textFill>
            <w14:solidFill>
              <w14:schemeClr w14:val="tx1"/>
            </w14:solidFill>
          </w14:textFill>
        </w:rPr>
      </w:pPr>
      <w:bookmarkStart w:id="331" w:name="_Toc1485"/>
      <w:r>
        <w:rPr>
          <w:rFonts w:hint="default" w:ascii="Times New Roman" w:hAnsi="Times New Roman" w:eastAsia="宋体" w:cs="Times New Roman"/>
          <w:b/>
          <w:bCs/>
          <w:color w:val="000000" w:themeColor="text1"/>
          <w14:textFill>
            <w14:solidFill>
              <w14:schemeClr w14:val="tx1"/>
            </w14:solidFill>
          </w14:textFill>
        </w:rPr>
        <w:t>7.2.1废气污染防治措施可行性分析</w:t>
      </w:r>
      <w:bookmarkEnd w:id="331"/>
    </w:p>
    <w:p w14:paraId="6D239276">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项目运营后产生的废气主要有饲料装卸运输粉尘、全日粮混拌粉尘；牛舍、粪污暂存恶臭、烹饪油烟废气等废气污染源，为了减少废气对周围环境的影响，采取如下措施。</w:t>
      </w:r>
    </w:p>
    <w:p w14:paraId="45A1E3B0">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fldChar w:fldCharType="begin"/>
      </w:r>
      <w:r>
        <w:rPr>
          <w:rFonts w:hint="default" w:ascii="Times New Roman" w:hAnsi="Times New Roman" w:eastAsia="宋体" w:cs="Times New Roman"/>
          <w:color w:val="000000" w:themeColor="text1"/>
          <w14:textFill>
            <w14:solidFill>
              <w14:schemeClr w14:val="tx1"/>
            </w14:solidFill>
          </w14:textFill>
        </w:rPr>
        <w:instrText xml:space="preserve"> HYPERLINK "file:///C:\\Users\\Administrator\\Desktop\\科右前旗现代农牧业园区核心育种场养殖项目-修改稿\\6.2.1.1" </w:instrText>
      </w:r>
      <w:r>
        <w:rPr>
          <w:rFonts w:hint="default" w:ascii="Times New Roman" w:hAnsi="Times New Roman" w:eastAsia="宋体" w:cs="Times New Roman"/>
          <w:color w:val="000000" w:themeColor="text1"/>
          <w14:textFill>
            <w14:solidFill>
              <w14:schemeClr w14:val="tx1"/>
            </w14:solidFill>
          </w14:textFill>
        </w:rPr>
        <w:fldChar w:fldCharType="separate"/>
      </w:r>
      <w:r>
        <w:rPr>
          <w:rFonts w:hint="default" w:ascii="Times New Roman" w:hAnsi="Times New Roman" w:eastAsia="宋体" w:cs="Times New Roman"/>
          <w:color w:val="000000" w:themeColor="text1"/>
          <w14:textFill>
            <w14:solidFill>
              <w14:schemeClr w14:val="tx1"/>
            </w14:solidFill>
          </w14:textFill>
        </w:rPr>
        <w:t>7.2.1.1</w:t>
      </w:r>
      <w:r>
        <w:rPr>
          <w:rFonts w:hint="default" w:ascii="Times New Roman" w:hAnsi="Times New Roman" w:eastAsia="宋体" w:cs="Times New Roman"/>
          <w:color w:val="000000" w:themeColor="text1"/>
          <w14:textFill>
            <w14:solidFill>
              <w14:schemeClr w14:val="tx1"/>
            </w14:solidFill>
          </w14:textFill>
        </w:rPr>
        <w:fldChar w:fldCharType="end"/>
      </w:r>
      <w:r>
        <w:rPr>
          <w:rFonts w:hint="default" w:ascii="Times New Roman" w:hAnsi="Times New Roman" w:eastAsia="宋体" w:cs="Times New Roman"/>
          <w:color w:val="000000" w:themeColor="text1"/>
          <w14:textFill>
            <w14:solidFill>
              <w14:schemeClr w14:val="tx1"/>
            </w14:solidFill>
          </w14:textFill>
        </w:rPr>
        <w:t>粉尘防治措施</w:t>
      </w:r>
    </w:p>
    <w:p w14:paraId="072B79DF">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本项目无组织废气主要有仓库装卸粉尘、日粮混拌粉尘。其中仓库装卸粉尘主要位于库房内，且装卸饲料为袋装饲料原料和捆装干草，粉尘产生量较小。</w:t>
      </w:r>
    </w:p>
    <w:p w14:paraId="762631C3">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①装卸粉尘</w:t>
      </w:r>
    </w:p>
    <w:p w14:paraId="30382B9B">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本项目饲料主要包括配方精饲料、干草和秸秆，其配方精饲料由项目周边饲料厂汽运至项目区，配方精饲料袋装；秸秆为当地自动收割机收割后打包碎秸秆，建设单位购买后汽运至项目区。根据本项目饲料包装、运输方式，并类比同类项目，物料装卸粉尘产生量较少，对周边环境影响较小。</w:t>
      </w:r>
    </w:p>
    <w:p w14:paraId="437737C6">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②运输扬尘</w:t>
      </w:r>
    </w:p>
    <w:p w14:paraId="3818ACA5">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项目运营后物料运输及牛只运输过程中将产生少量粉尘，运输扬尘的产生量与道路整洁程度和车速等有直接关系。项目内部运输道路进行硬化处理，运营期定期清理，路面灰尘覆盖量较小；且运营期运输物料较少，饲料全部为袋装处理，干草为捆包处理，不会洒落到路面；因此，项目运输扬尘产生量较小，对周边环境影响较小。</w:t>
      </w:r>
    </w:p>
    <w:p w14:paraId="6779E589">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③日粮混拌粉尘</w:t>
      </w:r>
    </w:p>
    <w:p w14:paraId="50FAE475">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日粮混拌粉尘主要来源于混合饲料阶段，项目饲料混拌采用专门的饲料混拌机，混拌机为密闭设置，且混拌过程中将加入少量水，因此混拌过程中基本不会产生粉尘，混拌粉尘主要为上料过程粉尘，根据实际生产经验可知，饲料粒径和占比均较大，粉尘产生量较小。为有效地防治粉尘的排放，环评要求：a.饲草库及日粮搅拌区均安装良好的通风设施；b.易产生粉尘区域无组织粉尘产生量较大时，定期洒水抑尘。</w:t>
      </w:r>
    </w:p>
    <w:p w14:paraId="77ED3F7B">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fldChar w:fldCharType="begin"/>
      </w:r>
      <w:r>
        <w:rPr>
          <w:rFonts w:hint="default" w:ascii="Times New Roman" w:hAnsi="Times New Roman" w:eastAsia="宋体" w:cs="Times New Roman"/>
          <w:color w:val="000000" w:themeColor="text1"/>
          <w14:textFill>
            <w14:solidFill>
              <w14:schemeClr w14:val="tx1"/>
            </w14:solidFill>
          </w14:textFill>
        </w:rPr>
        <w:instrText xml:space="preserve"> HYPERLINK "file:///C:\\Users\\Administrator\\Desktop\\科右前旗现代农牧业园区核心育种场养殖项目-修改稿\\6.2.1.2" </w:instrText>
      </w:r>
      <w:r>
        <w:rPr>
          <w:rFonts w:hint="default" w:ascii="Times New Roman" w:hAnsi="Times New Roman" w:eastAsia="宋体" w:cs="Times New Roman"/>
          <w:color w:val="000000" w:themeColor="text1"/>
          <w14:textFill>
            <w14:solidFill>
              <w14:schemeClr w14:val="tx1"/>
            </w14:solidFill>
          </w14:textFill>
        </w:rPr>
        <w:fldChar w:fldCharType="separate"/>
      </w:r>
      <w:r>
        <w:rPr>
          <w:rFonts w:hint="default" w:ascii="Times New Roman" w:hAnsi="Times New Roman" w:eastAsia="宋体" w:cs="Times New Roman"/>
          <w:color w:val="000000" w:themeColor="text1"/>
          <w14:textFill>
            <w14:solidFill>
              <w14:schemeClr w14:val="tx1"/>
            </w14:solidFill>
          </w14:textFill>
        </w:rPr>
        <w:t>7.2.1.2</w:t>
      </w:r>
      <w:r>
        <w:rPr>
          <w:rFonts w:hint="default" w:ascii="Times New Roman" w:hAnsi="Times New Roman" w:eastAsia="宋体" w:cs="Times New Roman"/>
          <w:color w:val="000000" w:themeColor="text1"/>
          <w14:textFill>
            <w14:solidFill>
              <w14:schemeClr w14:val="tx1"/>
            </w14:solidFill>
          </w14:textFill>
        </w:rPr>
        <w:fldChar w:fldCharType="end"/>
      </w:r>
      <w:r>
        <w:rPr>
          <w:rFonts w:hint="default" w:ascii="Times New Roman" w:hAnsi="Times New Roman" w:eastAsia="宋体" w:cs="Times New Roman"/>
          <w:color w:val="000000" w:themeColor="text1"/>
          <w14:textFill>
            <w14:solidFill>
              <w14:schemeClr w14:val="tx1"/>
            </w14:solidFill>
          </w14:textFill>
        </w:rPr>
        <w:t>臭气防治措施</w:t>
      </w:r>
    </w:p>
    <w:p w14:paraId="6EB4EA71">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（1）牛舍臭气</w:t>
      </w:r>
    </w:p>
    <w:p w14:paraId="492B9F50">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项目控制恶臭气体的主要措施是从饲料喂饲着手，并在牛舍喷洒除臭剂以减少恶臭气体的产生，同时针对牛舍、粪便等进行规范管理，并采用了相应的除臭措施，</w:t>
      </w:r>
    </w:p>
    <w:p w14:paraId="0C66804F">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具体措施如下：</w:t>
      </w:r>
    </w:p>
    <w:p w14:paraId="7F94115E">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1）合理配比饲料</w:t>
      </w:r>
    </w:p>
    <w:p w14:paraId="398E2CA2">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饲料在消化过程中，未消化吸收的部分进入后段肠道，因微生物作用产生臭气，粪便被排出体外后，继续经微生物作用产生更多的臭气。提高饲料消化率、减少干物质（蛋白质）排出量是减少恶臭来源的有效措施。据测定，全价配合饲料粗纤维每增加1%，蛋白质消化率就降低1.4%；减少日粮蛋白质2%，粪便排泄量可降低20%。因此科学的进行全价配合饲料设计，可以有效减少恶臭污染物的排放。项目采用完全配合饲料亦称全日粮配合饲料，通常可根据动物种类、年龄、生产用途等划分为各种型号，此种饲料可以全面满足饲喂对象的营养需要，用户不必另外添加任何营养性饲用物质而直接饲喂动物，从而不会因营养成分的富余而使牛群排泄的粪尿增加，同时也会使粪便中的氨有效降低，从源头减少恶臭的产生。</w:t>
      </w:r>
    </w:p>
    <w:p w14:paraId="6439F099">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饲料中添加酶制剂、酸制剂、EM制剂、丝兰属植物提取物、沸石等添加剂，除可以提高畜禽生产性能外，还可以控制恶臭。①酶制剂，加入饲料中可以提高营养利用率；②EM液，是由光合细菌、乳酸菌群、酵母菌群等多种微生物组成的，饲料中长期添加益生菌原液或益生菌原液发酵料，有益微生物在大肠中产生氨基酸、氧化酶及硫化物分解酶，将产生臭气的吲哚类化合物完全氧化，将硫化氢氧化成无臭无毒的物质，可使养殖臭气、氨气含量显著下降；③酸化剂，低pH值可以使牛群排泄的粪便中的氨处于非挥发性的NH4+状态，这样就减少了空气中的氨。该措施在管理过程中已实施；④丝兰属植物提取物，因其具有两种含铁糖蛋白，能够结合几倍于其分子量的有害气体；⑤沸石，沸石孔道体积占沸石体积的50%以上，对氨气、硫化氢及水分具有较强的吸附力。</w:t>
      </w:r>
    </w:p>
    <w:p w14:paraId="58693B19">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2）其他管理措施</w:t>
      </w:r>
    </w:p>
    <w:p w14:paraId="19B8A09B">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牛舍通过控制饲养密度、加强舍内通风、实行尿粪的干湿分离、喷洒除臭剂等管理措施也非常重要，本项目采用人工+机械清粪方式，为使粪与尿液及时分离，在牛舍中设置污水排出系统，尿液经排水系统流入粪水池贮存，而饲养过程产生的粪便每天定期借助人或机械直接通过运载工具运至堆放场。为便于尿水顺利流走，牛舍的地面应稍向排尿沟倾斜，尿液直接流入牛舍西侧设置的地下粪水池</w:t>
      </w:r>
      <w:r>
        <w:rPr>
          <w:rFonts w:hint="default" w:ascii="Times New Roman" w:hAnsi="Times New Roman" w:eastAsia="宋体" w:cs="Times New Roman"/>
          <w:color w:val="000000" w:themeColor="text1"/>
          <w:highlight w:val="none"/>
          <w14:textFill>
            <w14:solidFill>
              <w14:schemeClr w14:val="tx1"/>
            </w14:solidFill>
          </w14:textFill>
        </w:rPr>
        <w:t>，</w:t>
      </w:r>
      <w:r>
        <w:rPr>
          <w:rFonts w:hint="default" w:ascii="Times New Roman" w:hAnsi="Times New Roman" w:eastAsia="宋体" w:cs="Times New Roman"/>
          <w:bCs/>
          <w:color w:val="000000" w:themeColor="text1"/>
          <w:highlight w:val="none"/>
          <w14:textFill>
            <w14:solidFill>
              <w14:schemeClr w14:val="tx1"/>
            </w14:solidFill>
          </w14:textFill>
        </w:rPr>
        <w:t>泌乳牛舍</w:t>
      </w:r>
      <w:r>
        <w:rPr>
          <w:rFonts w:hint="default" w:ascii="Times New Roman" w:hAnsi="Times New Roman" w:eastAsia="宋体" w:cs="Times New Roman"/>
          <w:color w:val="000000" w:themeColor="text1"/>
          <w:highlight w:val="none"/>
          <w14:textFill>
            <w14:solidFill>
              <w14:schemeClr w14:val="tx1"/>
            </w14:solidFill>
          </w14:textFill>
        </w:rPr>
        <w:t>的粪尿通过刮板机的方式，将粪尿直接收集至牛床垫料生产区的</w:t>
      </w:r>
      <w:r>
        <w:rPr>
          <w:rFonts w:hint="default" w:ascii="Times New Roman" w:hAnsi="Times New Roman" w:eastAsia="宋体" w:cs="Times New Roman"/>
          <w:bCs/>
          <w:color w:val="000000" w:themeColor="text1"/>
          <w:highlight w:val="none"/>
          <w14:textFill>
            <w14:solidFill>
              <w14:schemeClr w14:val="tx1"/>
            </w14:solidFill>
          </w14:textFill>
        </w:rPr>
        <w:t>集粪池，其他牛舍</w:t>
      </w:r>
      <w:r>
        <w:rPr>
          <w:rFonts w:hint="default" w:ascii="Times New Roman" w:hAnsi="Times New Roman" w:eastAsia="宋体" w:cs="Times New Roman"/>
          <w:color w:val="000000" w:themeColor="text1"/>
          <w:highlight w:val="none"/>
          <w14:textFill>
            <w14:solidFill>
              <w14:schemeClr w14:val="tx1"/>
            </w14:solidFill>
          </w14:textFill>
        </w:rPr>
        <w:t>的粪尿拉运至堆粪场进行堆肥</w:t>
      </w:r>
      <w:r>
        <w:rPr>
          <w:rFonts w:hint="default" w:ascii="Times New Roman" w:hAnsi="Times New Roman" w:eastAsia="宋体" w:cs="Times New Roman"/>
          <w:color w:val="000000" w:themeColor="text1"/>
          <w:highlight w:val="none"/>
          <w:lang w:eastAsia="zh-CN"/>
          <w14:textFill>
            <w14:solidFill>
              <w14:schemeClr w14:val="tx1"/>
            </w14:solidFill>
          </w14:textFill>
        </w:rPr>
        <w:t>，</w:t>
      </w:r>
      <w:r>
        <w:rPr>
          <w:rFonts w:hint="default" w:ascii="Times New Roman" w:hAnsi="Times New Roman" w:eastAsia="宋体" w:cs="Times New Roman"/>
          <w:color w:val="000000" w:themeColor="text1"/>
          <w14:textFill>
            <w14:solidFill>
              <w14:schemeClr w14:val="tx1"/>
            </w14:solidFill>
          </w14:textFill>
        </w:rPr>
        <w:t>用于牛舍内尿液的初期储存；牛舍每天定时喷洒除臭剂（主要为</w:t>
      </w:r>
      <w:r>
        <w:rPr>
          <w:rFonts w:hint="default" w:ascii="Times New Roman" w:hAnsi="Times New Roman" w:eastAsia="宋体" w:cs="Times New Roman"/>
          <w:color w:val="000000" w:themeColor="text1"/>
          <w:lang w:val="en-US" w:eastAsia="zh-CN"/>
          <w14:textFill>
            <w14:solidFill>
              <w14:schemeClr w14:val="tx1"/>
            </w14:solidFill>
          </w14:textFill>
        </w:rPr>
        <w:t>植物型除臭剂</w:t>
      </w:r>
      <w:r>
        <w:rPr>
          <w:rFonts w:hint="default" w:ascii="Times New Roman" w:hAnsi="Times New Roman" w:eastAsia="宋体" w:cs="Times New Roman"/>
          <w:color w:val="000000" w:themeColor="text1"/>
          <w14:textFill>
            <w14:solidFill>
              <w14:schemeClr w14:val="tx1"/>
            </w14:solidFill>
          </w14:textFill>
        </w:rPr>
        <w:t>），将部分臭气成分氧化为少臭或无臭物质；同时在养殖区四周种植树木，形成绿化隔离带以减小养殖区产生的恶臭对周围环境的影响。该措施在管理过程中已部分实施，仍需继续完善。</w:t>
      </w:r>
    </w:p>
    <w:p w14:paraId="4F73F1AF">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通过以上措施可有效削减恶臭气体的产生，会显著减少牛舍臭气的影响，场界排放浓度满足《恶臭污染物排放标准》（GB14554-93）中的二级标准，因此是可行的。</w:t>
      </w:r>
    </w:p>
    <w:p w14:paraId="62E1BB13">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（2）粪污暂存恶臭防治措施</w:t>
      </w:r>
    </w:p>
    <w:p w14:paraId="60A0F531">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①喷洒植物型除臭剂</w:t>
      </w:r>
    </w:p>
    <w:p w14:paraId="103B1E1D">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对</w:t>
      </w:r>
      <w:r>
        <w:rPr>
          <w:rFonts w:hint="eastAsia" w:cs="Times New Roman"/>
          <w:color w:val="000000" w:themeColor="text1"/>
          <w:lang w:val="en-US" w:eastAsia="zh-CN"/>
          <w14:textFill>
            <w14:solidFill>
              <w14:schemeClr w14:val="tx1"/>
            </w14:solidFill>
          </w14:textFill>
        </w:rPr>
        <w:t>氧化塘</w:t>
      </w:r>
      <w:r>
        <w:rPr>
          <w:rFonts w:hint="default" w:ascii="Times New Roman" w:hAnsi="Times New Roman" w:eastAsia="宋体" w:cs="Times New Roman"/>
          <w:color w:val="000000" w:themeColor="text1"/>
          <w14:textFill>
            <w14:solidFill>
              <w14:schemeClr w14:val="tx1"/>
            </w14:solidFill>
          </w14:textFill>
        </w:rPr>
        <w:t>、固液分离车间喷洒植物型除臭剂，通过普通喷雾瓶或专业喷雾设备进行喷洒，植物型除臭液雾化到空间可形成颗粒很小的雾状颗粒，可吸收空气中的恶臭分子，使其与除臭液中的有效成分发生反应，生成无味、无毒的物质，从而减少粪污处理系统、固液分离车间堆肥区、好氧堆肥车间及加工车间无组织恶臭气体的产生植物型除臭剂是指以天然植物萃取液或者天然植物提取物为主要原料加工而成的一种除臭剂。其除臭原理：植物型除臭剂将恶臭气体分子捕捉后，其有效成分可以环境中恶臭气体分子发生如下反应：</w:t>
      </w:r>
    </w:p>
    <w:p w14:paraId="1A8B6DA2">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a、与H</w:t>
      </w:r>
      <w:r>
        <w:rPr>
          <w:rFonts w:hint="default" w:ascii="Times New Roman" w:hAnsi="Times New Roman" w:eastAsia="宋体" w:cs="Times New Roman"/>
          <w:color w:val="000000" w:themeColor="text1"/>
          <w:vertAlign w:val="subscript"/>
          <w14:textFill>
            <w14:solidFill>
              <w14:schemeClr w14:val="tx1"/>
            </w14:solidFill>
          </w14:textFill>
        </w:rPr>
        <w:t>2</w:t>
      </w:r>
      <w:r>
        <w:rPr>
          <w:rFonts w:hint="default" w:ascii="Times New Roman" w:hAnsi="Times New Roman" w:eastAsia="宋体" w:cs="Times New Roman"/>
          <w:color w:val="000000" w:themeColor="text1"/>
          <w14:textFill>
            <w14:solidFill>
              <w14:schemeClr w14:val="tx1"/>
            </w14:solidFill>
          </w14:textFill>
        </w:rPr>
        <w:t>S的反应</w:t>
      </w:r>
    </w:p>
    <w:p w14:paraId="552CD8FC">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R-NH</w:t>
      </w:r>
      <w:r>
        <w:rPr>
          <w:rFonts w:hint="default" w:ascii="Times New Roman" w:hAnsi="Times New Roman" w:eastAsia="宋体" w:cs="Times New Roman"/>
          <w:color w:val="000000" w:themeColor="text1"/>
          <w:vertAlign w:val="subscript"/>
          <w14:textFill>
            <w14:solidFill>
              <w14:schemeClr w14:val="tx1"/>
            </w14:solidFill>
          </w14:textFill>
        </w:rPr>
        <w:t>2</w:t>
      </w:r>
      <w:r>
        <w:rPr>
          <w:rFonts w:hint="default" w:ascii="Times New Roman" w:hAnsi="Times New Roman" w:eastAsia="宋体" w:cs="Times New Roman"/>
          <w:color w:val="000000" w:themeColor="text1"/>
          <w14:textFill>
            <w14:solidFill>
              <w14:schemeClr w14:val="tx1"/>
            </w14:solidFill>
          </w14:textFill>
        </w:rPr>
        <w:t>+H</w:t>
      </w:r>
      <w:r>
        <w:rPr>
          <w:rFonts w:hint="default" w:ascii="Times New Roman" w:hAnsi="Times New Roman" w:eastAsia="宋体" w:cs="Times New Roman"/>
          <w:color w:val="000000" w:themeColor="text1"/>
          <w:vertAlign w:val="subscript"/>
          <w14:textFill>
            <w14:solidFill>
              <w14:schemeClr w14:val="tx1"/>
            </w14:solidFill>
          </w14:textFill>
        </w:rPr>
        <w:t>2</w:t>
      </w:r>
      <w:r>
        <w:rPr>
          <w:rFonts w:hint="default" w:ascii="Times New Roman" w:hAnsi="Times New Roman" w:eastAsia="宋体" w:cs="Times New Roman"/>
          <w:color w:val="000000" w:themeColor="text1"/>
          <w14:textFill>
            <w14:solidFill>
              <w14:schemeClr w14:val="tx1"/>
            </w14:solidFill>
          </w14:textFill>
        </w:rPr>
        <w:t>S→R-NH</w:t>
      </w:r>
      <w:r>
        <w:rPr>
          <w:rFonts w:hint="default" w:ascii="Times New Roman" w:hAnsi="Times New Roman" w:eastAsia="宋体" w:cs="Times New Roman"/>
          <w:color w:val="000000" w:themeColor="text1"/>
          <w:vertAlign w:val="subscript"/>
          <w14:textFill>
            <w14:solidFill>
              <w14:schemeClr w14:val="tx1"/>
            </w14:solidFill>
          </w14:textFill>
        </w:rPr>
        <w:t>3</w:t>
      </w:r>
      <w:r>
        <w:rPr>
          <w:rFonts w:hint="default" w:ascii="Times New Roman" w:hAnsi="Times New Roman" w:eastAsia="宋体" w:cs="Times New Roman"/>
          <w:color w:val="000000" w:themeColor="text1"/>
          <w14:textFill>
            <w14:solidFill>
              <w14:schemeClr w14:val="tx1"/>
            </w14:solidFill>
          </w14:textFill>
        </w:rPr>
        <w:t>-+SH-</w:t>
      </w:r>
    </w:p>
    <w:p w14:paraId="26175ABC">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R-NH</w:t>
      </w:r>
      <w:r>
        <w:rPr>
          <w:rFonts w:hint="default" w:ascii="Times New Roman" w:hAnsi="Times New Roman" w:eastAsia="宋体" w:cs="Times New Roman"/>
          <w:color w:val="000000" w:themeColor="text1"/>
          <w:vertAlign w:val="subscript"/>
          <w14:textFill>
            <w14:solidFill>
              <w14:schemeClr w14:val="tx1"/>
            </w14:solidFill>
          </w14:textFill>
        </w:rPr>
        <w:t>2</w:t>
      </w:r>
      <w:r>
        <w:rPr>
          <w:rFonts w:hint="default" w:ascii="Times New Roman" w:hAnsi="Times New Roman" w:eastAsia="宋体" w:cs="Times New Roman"/>
          <w:color w:val="000000" w:themeColor="text1"/>
          <w14:textFill>
            <w14:solidFill>
              <w14:schemeClr w14:val="tx1"/>
            </w14:solidFill>
          </w14:textFill>
        </w:rPr>
        <w:t>+SH-+O</w:t>
      </w:r>
      <w:r>
        <w:rPr>
          <w:rFonts w:hint="default" w:ascii="Times New Roman" w:hAnsi="Times New Roman" w:eastAsia="宋体" w:cs="Times New Roman"/>
          <w:color w:val="000000" w:themeColor="text1"/>
          <w:vertAlign w:val="subscript"/>
          <w14:textFill>
            <w14:solidFill>
              <w14:schemeClr w14:val="tx1"/>
            </w14:solidFill>
          </w14:textFill>
        </w:rPr>
        <w:t>2</w:t>
      </w:r>
      <w:r>
        <w:rPr>
          <w:rFonts w:hint="default" w:ascii="Times New Roman" w:hAnsi="Times New Roman" w:eastAsia="宋体" w:cs="Times New Roman"/>
          <w:color w:val="000000" w:themeColor="text1"/>
          <w14:textFill>
            <w14:solidFill>
              <w14:schemeClr w14:val="tx1"/>
            </w14:solidFill>
          </w14:textFill>
        </w:rPr>
        <w:t>+H</w:t>
      </w:r>
      <w:r>
        <w:rPr>
          <w:rFonts w:hint="default" w:ascii="Times New Roman" w:hAnsi="Times New Roman" w:eastAsia="宋体" w:cs="Times New Roman"/>
          <w:color w:val="000000" w:themeColor="text1"/>
          <w:vertAlign w:val="subscript"/>
          <w14:textFill>
            <w14:solidFill>
              <w14:schemeClr w14:val="tx1"/>
            </w14:solidFill>
          </w14:textFill>
        </w:rPr>
        <w:t>2</w:t>
      </w:r>
      <w:r>
        <w:rPr>
          <w:rFonts w:hint="default" w:ascii="Times New Roman" w:hAnsi="Times New Roman" w:eastAsia="宋体" w:cs="Times New Roman"/>
          <w:color w:val="000000" w:themeColor="text1"/>
          <w14:textFill>
            <w14:solidFill>
              <w14:schemeClr w14:val="tx1"/>
            </w14:solidFill>
          </w14:textFill>
        </w:rPr>
        <w:t>O→R-NH</w:t>
      </w:r>
      <w:r>
        <w:rPr>
          <w:rFonts w:hint="default" w:ascii="Times New Roman" w:hAnsi="Times New Roman" w:eastAsia="宋体" w:cs="Times New Roman"/>
          <w:color w:val="000000" w:themeColor="text1"/>
          <w:vertAlign w:val="subscript"/>
          <w14:textFill>
            <w14:solidFill>
              <w14:schemeClr w14:val="tx1"/>
            </w14:solidFill>
          </w14:textFill>
        </w:rPr>
        <w:t>3</w:t>
      </w:r>
      <w:r>
        <w:rPr>
          <w:rFonts w:hint="default" w:ascii="Times New Roman" w:hAnsi="Times New Roman" w:eastAsia="宋体" w:cs="Times New Roman"/>
          <w:color w:val="000000" w:themeColor="text1"/>
          <w14:textFill>
            <w14:solidFill>
              <w14:schemeClr w14:val="tx1"/>
            </w14:solidFill>
          </w14:textFill>
        </w:rPr>
        <w:t>+SO</w:t>
      </w:r>
      <w:r>
        <w:rPr>
          <w:rFonts w:hint="default" w:ascii="Times New Roman" w:hAnsi="Times New Roman" w:eastAsia="宋体" w:cs="Times New Roman"/>
          <w:color w:val="000000" w:themeColor="text1"/>
          <w:vertAlign w:val="subscript"/>
          <w14:textFill>
            <w14:solidFill>
              <w14:schemeClr w14:val="tx1"/>
            </w14:solidFill>
          </w14:textFill>
        </w:rPr>
        <w:t>4</w:t>
      </w:r>
      <w:r>
        <w:rPr>
          <w:rFonts w:hint="default" w:ascii="Times New Roman" w:hAnsi="Times New Roman" w:eastAsia="宋体" w:cs="Times New Roman"/>
          <w:color w:val="000000" w:themeColor="text1"/>
          <w:vertAlign w:val="superscript"/>
          <w14:textFill>
            <w14:solidFill>
              <w14:schemeClr w14:val="tx1"/>
            </w14:solidFill>
          </w14:textFill>
        </w:rPr>
        <w:t>2-</w:t>
      </w:r>
      <w:r>
        <w:rPr>
          <w:rFonts w:hint="default" w:ascii="Times New Roman" w:hAnsi="Times New Roman" w:eastAsia="宋体" w:cs="Times New Roman"/>
          <w:color w:val="000000" w:themeColor="text1"/>
          <w14:textFill>
            <w14:solidFill>
              <w14:schemeClr w14:val="tx1"/>
            </w14:solidFill>
          </w14:textFill>
        </w:rPr>
        <w:t>+OH</w:t>
      </w:r>
      <w:r>
        <w:rPr>
          <w:rFonts w:hint="default" w:ascii="Times New Roman" w:hAnsi="Times New Roman" w:eastAsia="宋体" w:cs="Times New Roman"/>
          <w:color w:val="000000" w:themeColor="text1"/>
          <w:vertAlign w:val="superscript"/>
          <w14:textFill>
            <w14:solidFill>
              <w14:schemeClr w14:val="tx1"/>
            </w14:solidFill>
          </w14:textFill>
        </w:rPr>
        <w:t>-</w:t>
      </w:r>
    </w:p>
    <w:p w14:paraId="49AF1E03">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R-NH</w:t>
      </w:r>
      <w:r>
        <w:rPr>
          <w:rFonts w:hint="default" w:ascii="Times New Roman" w:hAnsi="Times New Roman" w:eastAsia="宋体" w:cs="Times New Roman"/>
          <w:color w:val="000000" w:themeColor="text1"/>
          <w:vertAlign w:val="subscript"/>
          <w14:textFill>
            <w14:solidFill>
              <w14:schemeClr w14:val="tx1"/>
            </w14:solidFill>
          </w14:textFill>
        </w:rPr>
        <w:t>3</w:t>
      </w:r>
      <w:r>
        <w:rPr>
          <w:rFonts w:hint="default" w:ascii="Times New Roman" w:hAnsi="Times New Roman" w:eastAsia="宋体" w:cs="Times New Roman"/>
          <w:color w:val="000000" w:themeColor="text1"/>
          <w14:textFill>
            <w14:solidFill>
              <w14:schemeClr w14:val="tx1"/>
            </w14:solidFill>
          </w14:textFill>
        </w:rPr>
        <w:t>++OH-→R-NH</w:t>
      </w:r>
      <w:r>
        <w:rPr>
          <w:rFonts w:hint="default" w:ascii="Times New Roman" w:hAnsi="Times New Roman" w:eastAsia="宋体" w:cs="Times New Roman"/>
          <w:color w:val="000000" w:themeColor="text1"/>
          <w:vertAlign w:val="subscript"/>
          <w14:textFill>
            <w14:solidFill>
              <w14:schemeClr w14:val="tx1"/>
            </w14:solidFill>
          </w14:textFill>
        </w:rPr>
        <w:t>2</w:t>
      </w:r>
      <w:r>
        <w:rPr>
          <w:rFonts w:hint="default" w:ascii="Times New Roman" w:hAnsi="Times New Roman" w:eastAsia="宋体" w:cs="Times New Roman"/>
          <w:color w:val="000000" w:themeColor="text1"/>
          <w14:textFill>
            <w14:solidFill>
              <w14:schemeClr w14:val="tx1"/>
            </w14:solidFill>
          </w14:textFill>
        </w:rPr>
        <w:t>+H2O</w:t>
      </w:r>
    </w:p>
    <w:p w14:paraId="1A16DCDA">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b、与NH</w:t>
      </w:r>
      <w:r>
        <w:rPr>
          <w:rFonts w:hint="default" w:ascii="Times New Roman" w:hAnsi="Times New Roman" w:eastAsia="宋体" w:cs="Times New Roman"/>
          <w:color w:val="000000" w:themeColor="text1"/>
          <w:vertAlign w:val="subscript"/>
          <w14:textFill>
            <w14:solidFill>
              <w14:schemeClr w14:val="tx1"/>
            </w14:solidFill>
          </w14:textFill>
        </w:rPr>
        <w:t>3</w:t>
      </w:r>
      <w:r>
        <w:rPr>
          <w:rFonts w:hint="default" w:ascii="Times New Roman" w:hAnsi="Times New Roman" w:eastAsia="宋体" w:cs="Times New Roman"/>
          <w:color w:val="000000" w:themeColor="text1"/>
          <w14:textFill>
            <w14:solidFill>
              <w14:schemeClr w14:val="tx1"/>
            </w14:solidFill>
          </w14:textFill>
        </w:rPr>
        <w:t>的反应：</w:t>
      </w:r>
    </w:p>
    <w:p w14:paraId="12E98A73">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R-NH</w:t>
      </w:r>
      <w:r>
        <w:rPr>
          <w:rFonts w:hint="default" w:ascii="Times New Roman" w:hAnsi="Times New Roman" w:eastAsia="宋体" w:cs="Times New Roman"/>
          <w:color w:val="000000" w:themeColor="text1"/>
          <w:vertAlign w:val="subscript"/>
          <w14:textFill>
            <w14:solidFill>
              <w14:schemeClr w14:val="tx1"/>
            </w14:solidFill>
          </w14:textFill>
        </w:rPr>
        <w:t>2</w:t>
      </w:r>
      <w:r>
        <w:rPr>
          <w:rFonts w:hint="default" w:ascii="Times New Roman" w:hAnsi="Times New Roman" w:eastAsia="宋体" w:cs="Times New Roman"/>
          <w:color w:val="000000" w:themeColor="text1"/>
          <w14:textFill>
            <w14:solidFill>
              <w14:schemeClr w14:val="tx1"/>
            </w14:solidFill>
          </w14:textFill>
        </w:rPr>
        <w:t>+NH</w:t>
      </w:r>
      <w:r>
        <w:rPr>
          <w:rFonts w:hint="default" w:ascii="Times New Roman" w:hAnsi="Times New Roman" w:eastAsia="宋体" w:cs="Times New Roman"/>
          <w:color w:val="000000" w:themeColor="text1"/>
          <w:vertAlign w:val="subscript"/>
          <w14:textFill>
            <w14:solidFill>
              <w14:schemeClr w14:val="tx1"/>
            </w14:solidFill>
          </w14:textFill>
        </w:rPr>
        <w:t>3</w:t>
      </w:r>
      <w:r>
        <w:rPr>
          <w:rFonts w:hint="default" w:ascii="Times New Roman" w:hAnsi="Times New Roman" w:eastAsia="宋体" w:cs="Times New Roman"/>
          <w:color w:val="000000" w:themeColor="text1"/>
          <w14:textFill>
            <w14:solidFill>
              <w14:schemeClr w14:val="tx1"/>
            </w14:solidFill>
          </w14:textFill>
        </w:rPr>
        <w:t>→R-NH</w:t>
      </w:r>
      <w:r>
        <w:rPr>
          <w:rFonts w:hint="default" w:ascii="Times New Roman" w:hAnsi="Times New Roman" w:eastAsia="宋体" w:cs="Times New Roman"/>
          <w:color w:val="000000" w:themeColor="text1"/>
          <w:vertAlign w:val="subscript"/>
          <w14:textFill>
            <w14:solidFill>
              <w14:schemeClr w14:val="tx1"/>
            </w14:solidFill>
          </w14:textFill>
        </w:rPr>
        <w:t>2</w:t>
      </w:r>
      <w:r>
        <w:rPr>
          <w:rFonts w:hint="default" w:ascii="Times New Roman" w:hAnsi="Times New Roman" w:eastAsia="宋体" w:cs="Times New Roman"/>
          <w:color w:val="000000" w:themeColor="text1"/>
          <w14:textFill>
            <w14:solidFill>
              <w14:schemeClr w14:val="tx1"/>
            </w14:solidFill>
          </w14:textFill>
        </w:rPr>
        <w:t>+N</w:t>
      </w:r>
      <w:r>
        <w:rPr>
          <w:rFonts w:hint="default" w:ascii="Times New Roman" w:hAnsi="Times New Roman" w:eastAsia="宋体" w:cs="Times New Roman"/>
          <w:color w:val="000000" w:themeColor="text1"/>
          <w:vertAlign w:val="subscript"/>
          <w14:textFill>
            <w14:solidFill>
              <w14:schemeClr w14:val="tx1"/>
            </w14:solidFill>
          </w14:textFill>
        </w:rPr>
        <w:t>2</w:t>
      </w:r>
      <w:r>
        <w:rPr>
          <w:rFonts w:hint="default" w:ascii="Times New Roman" w:hAnsi="Times New Roman" w:eastAsia="宋体" w:cs="Times New Roman"/>
          <w:color w:val="000000" w:themeColor="text1"/>
          <w14:textFill>
            <w14:solidFill>
              <w14:schemeClr w14:val="tx1"/>
            </w14:solidFill>
          </w14:textFill>
        </w:rPr>
        <w:t>+H</w:t>
      </w:r>
      <w:r>
        <w:rPr>
          <w:rFonts w:hint="default" w:ascii="Times New Roman" w:hAnsi="Times New Roman" w:eastAsia="宋体" w:cs="Times New Roman"/>
          <w:color w:val="000000" w:themeColor="text1"/>
          <w:vertAlign w:val="subscript"/>
          <w14:textFill>
            <w14:solidFill>
              <w14:schemeClr w14:val="tx1"/>
            </w14:solidFill>
          </w14:textFill>
        </w:rPr>
        <w:t>2</w:t>
      </w:r>
      <w:r>
        <w:rPr>
          <w:rFonts w:hint="default" w:ascii="Times New Roman" w:hAnsi="Times New Roman" w:eastAsia="宋体" w:cs="Times New Roman"/>
          <w:color w:val="000000" w:themeColor="text1"/>
          <w14:textFill>
            <w14:solidFill>
              <w14:schemeClr w14:val="tx1"/>
            </w14:solidFill>
          </w14:textFill>
        </w:rPr>
        <w:t>O</w:t>
      </w:r>
    </w:p>
    <w:p w14:paraId="326CE8D8">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植物型除臭剂的特点：1）安全无毒：植物型除臭剂一种可靠的、符合国际健康标准的产品，经过多个国家的科学实验、严格的测试以及大量的实践证明，该产品对人体和动物是无害的、无毒的，对土壤、植物均无损害，且无燃烧性和爆炸性，不含氟利昂和臭氧，使用安全。2）适应极强：植物型除臭剂具有极强的耐候性，在高温（50℃以下）及高寒（-15℃以上）均可以充分发挥其除臭功效；不论是在潮湿地区，还是在干旱地区，其除臭功效基本不受影响。</w:t>
      </w:r>
    </w:p>
    <w:p w14:paraId="0CCFC42E">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目前，国内比较常用的技术除臭工艺方法主要有物理除臭、化学除臭和生物除臭等方法。根据《畜禽养殖业污染治理工程技术规范》（HJ497-2009）中恶臭控制要求，针对本项目不同的恶臭产生区域，拟采取想用的技术除臭工艺。关于养殖场用除臭剂除去恶臭方法，在国内外己做了大量实验，归纳所有制剂大致可分为三类：物理除臭剂、化学除臭剂及生物除臭剂。物理除臭剂主要指一些掩蔽剂、吸附剂和酸制剂。结合本项目具体情况，本项目拟在牛舍、集污池周围定期喷洒除臭剂己达到除臭的目的，其除臭原理主要是双氧水与恶臭中的氨和硫化氢发生氧化还原反应，从而起到去除氨和硫化氢的作用，该氧化还原反应在常温常压下进行，无二次污染，除臭效果较好。</w:t>
      </w:r>
    </w:p>
    <w:p w14:paraId="399BC385">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采取上述综合措施，H</w:t>
      </w:r>
      <w:r>
        <w:rPr>
          <w:rFonts w:hint="default" w:ascii="Times New Roman" w:hAnsi="Times New Roman" w:eastAsia="宋体" w:cs="Times New Roman"/>
          <w:color w:val="000000" w:themeColor="text1"/>
          <w:vertAlign w:val="subscript"/>
          <w14:textFill>
            <w14:solidFill>
              <w14:schemeClr w14:val="tx1"/>
            </w14:solidFill>
          </w14:textFill>
        </w:rPr>
        <w:t>2</w:t>
      </w:r>
      <w:r>
        <w:rPr>
          <w:rFonts w:hint="default" w:ascii="Times New Roman" w:hAnsi="Times New Roman" w:eastAsia="宋体" w:cs="Times New Roman"/>
          <w:color w:val="000000" w:themeColor="text1"/>
          <w14:textFill>
            <w14:solidFill>
              <w14:schemeClr w14:val="tx1"/>
            </w14:solidFill>
          </w14:textFill>
        </w:rPr>
        <w:t>S、NH</w:t>
      </w:r>
      <w:r>
        <w:rPr>
          <w:rFonts w:hint="default" w:ascii="Times New Roman" w:hAnsi="Times New Roman" w:eastAsia="宋体" w:cs="Times New Roman"/>
          <w:color w:val="000000" w:themeColor="text1"/>
          <w:vertAlign w:val="subscript"/>
          <w14:textFill>
            <w14:solidFill>
              <w14:schemeClr w14:val="tx1"/>
            </w14:solidFill>
          </w14:textFill>
        </w:rPr>
        <w:t>3</w:t>
      </w:r>
      <w:r>
        <w:rPr>
          <w:rFonts w:hint="default" w:ascii="Times New Roman" w:hAnsi="Times New Roman" w:eastAsia="宋体" w:cs="Times New Roman"/>
          <w:color w:val="000000" w:themeColor="text1"/>
          <w14:textFill>
            <w14:solidFill>
              <w14:schemeClr w14:val="tx1"/>
            </w14:solidFill>
          </w14:textFill>
        </w:rPr>
        <w:t>可达标排放，对周围大气环境影响较小，治理措施可行。</w:t>
      </w:r>
    </w:p>
    <w:p w14:paraId="69E21DDC">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②加强绿化</w:t>
      </w:r>
    </w:p>
    <w:p w14:paraId="04FC31CA">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在项目养殖场地以及周围种植绿色植物是为了防止气味扩散，降低场区温度和噪声、提高环境质量最有效的手段。种植绿色植物首先可以降低风速，防止气味传播到更远的距离，减少气味的污染范围。根据国内的研究资料表明，在场区上风向种植防风林可使场区风速降低75～80%，有效范围可达树高的10倍；同时绿色植物还可通过控制温度改善局部环境，树叶还可以直接吸收、过滤含有气味的气体和尘粒，从而减少空气中的气味，有害气体经过绿化带后，至少有25%被吸收，恶臭可减少约55%。树木通过光合作用吸收空气中的二氧化碳、释放氧气，可使动物呼出的二氧化碳减少60%，改善空气质量。在场区及其周围种植高大树木，还能净化、澄清大气中的粉尘，据测定可减少35～67%；与此同时，减少了空气中的微生物，细菌总数可减少22～79%，甚至某些树木的额花、叶能分泌杀菌物质，可杀死细菌、真菌等。构筑防护树木时需要考虑的因素有树木的种类、树木的栽植方法、位置、栽植密度、林带的大小、形状等。研究发现，树的高度、树叶的大小与处理效果成正比，四季常青的树木有利于一年四季的气味的控制；松树的除臭效果比山毛榉高4倍。</w:t>
      </w:r>
    </w:p>
    <w:p w14:paraId="2D8481D6">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本项目运营期采取上述臭气污染防治措施后，恶臭污染物NH3、H2S排放浓度符合《恶臭污染物排放标准》（GB14554-93）中的恶臭污染物标准限制的要求，对周边环境影响较小。</w:t>
      </w:r>
    </w:p>
    <w:p w14:paraId="61B4B1A6">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fldChar w:fldCharType="begin"/>
      </w:r>
      <w:r>
        <w:rPr>
          <w:rFonts w:hint="default" w:ascii="Times New Roman" w:hAnsi="Times New Roman" w:eastAsia="宋体" w:cs="Times New Roman"/>
          <w:color w:val="000000" w:themeColor="text1"/>
          <w14:textFill>
            <w14:solidFill>
              <w14:schemeClr w14:val="tx1"/>
            </w14:solidFill>
          </w14:textFill>
        </w:rPr>
        <w:instrText xml:space="preserve"> HYPERLINK "file:///C:\\Users\\Administrator\\Desktop\\科右前旗现代农牧业园区核心育种场养殖项目-修改稿\\6.2.1.3" </w:instrText>
      </w:r>
      <w:r>
        <w:rPr>
          <w:rFonts w:hint="default" w:ascii="Times New Roman" w:hAnsi="Times New Roman" w:eastAsia="宋体" w:cs="Times New Roman"/>
          <w:color w:val="000000" w:themeColor="text1"/>
          <w14:textFill>
            <w14:solidFill>
              <w14:schemeClr w14:val="tx1"/>
            </w14:solidFill>
          </w14:textFill>
        </w:rPr>
        <w:fldChar w:fldCharType="separate"/>
      </w:r>
      <w:r>
        <w:rPr>
          <w:rFonts w:hint="default" w:ascii="Times New Roman" w:hAnsi="Times New Roman" w:eastAsia="宋体" w:cs="Times New Roman"/>
          <w:color w:val="000000" w:themeColor="text1"/>
          <w14:textFill>
            <w14:solidFill>
              <w14:schemeClr w14:val="tx1"/>
            </w14:solidFill>
          </w14:textFill>
        </w:rPr>
        <w:t>7.2.1.3</w:t>
      </w:r>
      <w:r>
        <w:rPr>
          <w:rFonts w:hint="default" w:ascii="Times New Roman" w:hAnsi="Times New Roman" w:eastAsia="宋体" w:cs="Times New Roman"/>
          <w:color w:val="000000" w:themeColor="text1"/>
          <w14:textFill>
            <w14:solidFill>
              <w14:schemeClr w14:val="tx1"/>
            </w14:solidFill>
          </w14:textFill>
        </w:rPr>
        <w:fldChar w:fldCharType="end"/>
      </w:r>
      <w:r>
        <w:rPr>
          <w:rFonts w:hint="default" w:ascii="Times New Roman" w:hAnsi="Times New Roman" w:eastAsia="宋体" w:cs="Times New Roman"/>
          <w:color w:val="000000" w:themeColor="text1"/>
          <w14:textFill>
            <w14:solidFill>
              <w14:schemeClr w14:val="tx1"/>
            </w14:solidFill>
          </w14:textFill>
        </w:rPr>
        <w:t>食堂油烟净化措施</w:t>
      </w:r>
    </w:p>
    <w:p w14:paraId="621BBD43">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项目办公区食堂餐饮会产生油烟。油烟是食物烹饪、加工过程中挥发的油脂、有机质及其加热分解或裂解产物，本项目油烟通过高效油烟净化器净化，净化效率达60%，排放浓度满足《饮食行业油烟排放标准（试行）》（GB18483-2001）要求，通过竖井烟道在房顶排放。</w:t>
      </w:r>
    </w:p>
    <w:p w14:paraId="5731A26A">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fldChar w:fldCharType="begin"/>
      </w:r>
      <w:r>
        <w:rPr>
          <w:rFonts w:hint="default" w:ascii="Times New Roman" w:hAnsi="Times New Roman" w:eastAsia="宋体" w:cs="Times New Roman"/>
          <w:color w:val="000000" w:themeColor="text1"/>
          <w14:textFill>
            <w14:solidFill>
              <w14:schemeClr w14:val="tx1"/>
            </w14:solidFill>
          </w14:textFill>
        </w:rPr>
        <w:instrText xml:space="preserve"> HYPERLINK "file:///C:\\Users\\Administrator\\Desktop\\科右前旗现代农牧业园区核心育种场养殖项目-修改稿\\6.2.1.4" </w:instrText>
      </w:r>
      <w:r>
        <w:rPr>
          <w:rFonts w:hint="default" w:ascii="Times New Roman" w:hAnsi="Times New Roman" w:eastAsia="宋体" w:cs="Times New Roman"/>
          <w:color w:val="000000" w:themeColor="text1"/>
          <w14:textFill>
            <w14:solidFill>
              <w14:schemeClr w14:val="tx1"/>
            </w14:solidFill>
          </w14:textFill>
        </w:rPr>
        <w:fldChar w:fldCharType="separate"/>
      </w:r>
      <w:r>
        <w:rPr>
          <w:rFonts w:hint="default" w:ascii="Times New Roman" w:hAnsi="Times New Roman" w:eastAsia="宋体" w:cs="Times New Roman"/>
          <w:color w:val="000000" w:themeColor="text1"/>
          <w14:textFill>
            <w14:solidFill>
              <w14:schemeClr w14:val="tx1"/>
            </w14:solidFill>
          </w14:textFill>
        </w:rPr>
        <w:t>7.2.1.4</w:t>
      </w:r>
      <w:r>
        <w:rPr>
          <w:rFonts w:hint="default" w:ascii="Times New Roman" w:hAnsi="Times New Roman" w:eastAsia="宋体" w:cs="Times New Roman"/>
          <w:color w:val="000000" w:themeColor="text1"/>
          <w14:textFill>
            <w14:solidFill>
              <w14:schemeClr w14:val="tx1"/>
            </w14:solidFill>
          </w14:textFill>
        </w:rPr>
        <w:fldChar w:fldCharType="end"/>
      </w:r>
      <w:r>
        <w:rPr>
          <w:rFonts w:hint="default" w:ascii="Times New Roman" w:hAnsi="Times New Roman" w:eastAsia="宋体" w:cs="Times New Roman"/>
          <w:color w:val="000000" w:themeColor="text1"/>
          <w:lang w:eastAsia="zh-CN"/>
          <w14:textFill>
            <w14:solidFill>
              <w14:schemeClr w14:val="tx1"/>
            </w14:solidFill>
          </w14:textFill>
        </w:rPr>
        <w:t>粪污</w:t>
      </w:r>
      <w:r>
        <w:rPr>
          <w:rFonts w:hint="default" w:ascii="Times New Roman" w:hAnsi="Times New Roman" w:eastAsia="宋体" w:cs="Times New Roman"/>
          <w:color w:val="000000" w:themeColor="text1"/>
          <w14:textFill>
            <w14:solidFill>
              <w14:schemeClr w14:val="tx1"/>
            </w14:solidFill>
          </w14:textFill>
        </w:rPr>
        <w:t>消纳区恶臭防治措施</w:t>
      </w:r>
    </w:p>
    <w:p w14:paraId="3B8A114C">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建设单位在附近</w:t>
      </w:r>
      <w:r>
        <w:rPr>
          <w:rFonts w:hint="default" w:ascii="Times New Roman" w:hAnsi="Times New Roman" w:eastAsia="宋体" w:cs="Times New Roman"/>
          <w:color w:val="000000" w:themeColor="text1"/>
          <w:lang w:eastAsia="zh-CN"/>
          <w14:textFill>
            <w14:solidFill>
              <w14:schemeClr w14:val="tx1"/>
            </w14:solidFill>
          </w14:textFill>
        </w:rPr>
        <w:t>粪污</w:t>
      </w:r>
      <w:r>
        <w:rPr>
          <w:rFonts w:hint="default" w:ascii="Times New Roman" w:hAnsi="Times New Roman" w:eastAsia="宋体" w:cs="Times New Roman"/>
          <w:color w:val="000000" w:themeColor="text1"/>
          <w14:textFill>
            <w14:solidFill>
              <w14:schemeClr w14:val="tx1"/>
            </w14:solidFill>
          </w14:textFill>
        </w:rPr>
        <w:t>消纳地区建设</w:t>
      </w:r>
      <w:r>
        <w:rPr>
          <w:rFonts w:hint="default" w:ascii="Times New Roman" w:hAnsi="Times New Roman" w:eastAsia="宋体" w:cs="Times New Roman"/>
          <w:color w:val="000000" w:themeColor="text1"/>
          <w:lang w:eastAsia="zh-CN"/>
          <w14:textFill>
            <w14:solidFill>
              <w14:schemeClr w14:val="tx1"/>
            </w14:solidFill>
          </w14:textFill>
        </w:rPr>
        <w:t>粪污</w:t>
      </w:r>
      <w:r>
        <w:rPr>
          <w:rFonts w:hint="default" w:ascii="Times New Roman" w:hAnsi="Times New Roman" w:eastAsia="宋体" w:cs="Times New Roman"/>
          <w:color w:val="000000" w:themeColor="text1"/>
          <w14:textFill>
            <w14:solidFill>
              <w14:schemeClr w14:val="tx1"/>
            </w14:solidFill>
          </w14:textFill>
        </w:rPr>
        <w:t>输送管网，并合理设置预留口。</w:t>
      </w:r>
    </w:p>
    <w:p w14:paraId="04598DFB">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①施肥期</w:t>
      </w:r>
      <w:r>
        <w:rPr>
          <w:rFonts w:hint="default" w:ascii="Times New Roman" w:hAnsi="Times New Roman" w:eastAsia="宋体" w:cs="Times New Roman"/>
          <w:color w:val="000000" w:themeColor="text1"/>
          <w:lang w:eastAsia="zh-CN"/>
          <w14:textFill>
            <w14:solidFill>
              <w14:schemeClr w14:val="tx1"/>
            </w14:solidFill>
          </w14:textFill>
        </w:rPr>
        <w:t>粪污</w:t>
      </w:r>
      <w:r>
        <w:rPr>
          <w:rFonts w:hint="default" w:ascii="Times New Roman" w:hAnsi="Times New Roman" w:eastAsia="宋体" w:cs="Times New Roman"/>
          <w:color w:val="000000" w:themeColor="text1"/>
          <w14:textFill>
            <w14:solidFill>
              <w14:schemeClr w14:val="tx1"/>
            </w14:solidFill>
          </w14:textFill>
        </w:rPr>
        <w:t>流进</w:t>
      </w:r>
      <w:r>
        <w:rPr>
          <w:rFonts w:hint="default" w:ascii="Times New Roman" w:hAnsi="Times New Roman" w:eastAsia="宋体" w:cs="Times New Roman"/>
          <w:color w:val="000000" w:themeColor="text1"/>
          <w:lang w:eastAsia="zh-CN"/>
          <w14:textFill>
            <w14:solidFill>
              <w14:schemeClr w14:val="tx1"/>
            </w14:solidFill>
          </w14:textFill>
        </w:rPr>
        <w:t>粪污</w:t>
      </w:r>
      <w:r>
        <w:rPr>
          <w:rFonts w:hint="default" w:ascii="Times New Roman" w:hAnsi="Times New Roman" w:eastAsia="宋体" w:cs="Times New Roman"/>
          <w:color w:val="000000" w:themeColor="text1"/>
          <w14:textFill>
            <w14:solidFill>
              <w14:schemeClr w14:val="tx1"/>
            </w14:solidFill>
          </w14:textFill>
        </w:rPr>
        <w:t>主干管，再从主干管流入支管，在支管的末端设置有阀门。</w:t>
      </w:r>
    </w:p>
    <w:p w14:paraId="37925290">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②</w:t>
      </w:r>
      <w:r>
        <w:rPr>
          <w:rFonts w:hint="default" w:ascii="Times New Roman" w:hAnsi="Times New Roman" w:eastAsia="宋体" w:cs="Times New Roman"/>
          <w:color w:val="000000" w:themeColor="text1"/>
          <w:lang w:eastAsia="zh-CN"/>
          <w14:textFill>
            <w14:solidFill>
              <w14:schemeClr w14:val="tx1"/>
            </w14:solidFill>
          </w14:textFill>
        </w:rPr>
        <w:t>粪污</w:t>
      </w:r>
      <w:r>
        <w:rPr>
          <w:rFonts w:hint="default" w:ascii="Times New Roman" w:hAnsi="Times New Roman" w:eastAsia="宋体" w:cs="Times New Roman"/>
          <w:color w:val="000000" w:themeColor="text1"/>
          <w14:textFill>
            <w14:solidFill>
              <w14:schemeClr w14:val="tx1"/>
            </w14:solidFill>
          </w14:textFill>
        </w:rPr>
        <w:t>管为地埋式，在铺设过程中需开挖出宽约50cm、深约80cm的明沟，将管材铺设在沟内，然后将沟填埋。</w:t>
      </w:r>
    </w:p>
    <w:p w14:paraId="20E1B55A">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③阀门：每个施肥口设有阀门，每两个施肥口间隔50～80m。</w:t>
      </w:r>
    </w:p>
    <w:p w14:paraId="5460B00F">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建设单位根据土地位置设计并铺设</w:t>
      </w:r>
      <w:r>
        <w:rPr>
          <w:rFonts w:hint="default" w:ascii="Times New Roman" w:hAnsi="Times New Roman" w:eastAsia="宋体" w:cs="Times New Roman"/>
          <w:color w:val="000000" w:themeColor="text1"/>
          <w:lang w:eastAsia="zh-CN"/>
          <w14:textFill>
            <w14:solidFill>
              <w14:schemeClr w14:val="tx1"/>
            </w14:solidFill>
          </w14:textFill>
        </w:rPr>
        <w:t>粪污</w:t>
      </w:r>
      <w:r>
        <w:rPr>
          <w:rFonts w:hint="default" w:ascii="Times New Roman" w:hAnsi="Times New Roman" w:eastAsia="宋体" w:cs="Times New Roman"/>
          <w:color w:val="000000" w:themeColor="text1"/>
          <w14:textFill>
            <w14:solidFill>
              <w14:schemeClr w14:val="tx1"/>
            </w14:solidFill>
          </w14:textFill>
        </w:rPr>
        <w:t>输送管网等综合利用配套设施，施肥区内只需通过软管和预留口连接，在田间采用滴灌的方式对农田进行施肥，禁止采取漫灌的方式。同时根据施肥计划，按需求将</w:t>
      </w:r>
      <w:r>
        <w:rPr>
          <w:rFonts w:hint="default" w:ascii="Times New Roman" w:hAnsi="Times New Roman" w:eastAsia="宋体" w:cs="Times New Roman"/>
          <w:color w:val="000000" w:themeColor="text1"/>
          <w:lang w:eastAsia="zh-CN"/>
          <w14:textFill>
            <w14:solidFill>
              <w14:schemeClr w14:val="tx1"/>
            </w14:solidFill>
          </w14:textFill>
        </w:rPr>
        <w:t>粪污</w:t>
      </w:r>
      <w:r>
        <w:rPr>
          <w:rFonts w:hint="default" w:ascii="Times New Roman" w:hAnsi="Times New Roman" w:eastAsia="宋体" w:cs="Times New Roman"/>
          <w:color w:val="000000" w:themeColor="text1"/>
          <w14:textFill>
            <w14:solidFill>
              <w14:schemeClr w14:val="tx1"/>
            </w14:solidFill>
          </w14:textFill>
        </w:rPr>
        <w:t>运往分散的氧化塘，及时利用。</w:t>
      </w:r>
    </w:p>
    <w:p w14:paraId="7BF49DF3">
      <w:pPr>
        <w:ind w:firstLine="480"/>
        <w:rPr>
          <w:rFonts w:hint="default" w:ascii="Times New Roman" w:hAnsi="Times New Roman" w:eastAsia="宋体" w:cs="Times New Roman"/>
          <w:b/>
          <w:bCs/>
          <w:color w:val="000000" w:themeColor="text1"/>
          <w14:textFill>
            <w14:solidFill>
              <w14:schemeClr w14:val="tx1"/>
            </w14:solidFill>
          </w14:textFill>
        </w:rPr>
      </w:pPr>
      <w:bookmarkStart w:id="332" w:name="_Toc6259"/>
      <w:r>
        <w:rPr>
          <w:rFonts w:hint="default" w:ascii="Times New Roman" w:hAnsi="Times New Roman" w:eastAsia="宋体" w:cs="Times New Roman"/>
          <w:color w:val="000000" w:themeColor="text1"/>
          <w14:textFill>
            <w14:solidFill>
              <w14:schemeClr w14:val="tx1"/>
            </w14:solidFill>
          </w14:textFill>
        </w:rPr>
        <w:t>通过采取以上措施，在保证稳定、有效运行的情况下，运营期内大气污染物均能达标排放，对外环境的影响是能够接受的。</w:t>
      </w:r>
      <w:bookmarkEnd w:id="332"/>
    </w:p>
    <w:p w14:paraId="670283DA">
      <w:pPr>
        <w:ind w:firstLine="482"/>
        <w:outlineLvl w:val="2"/>
        <w:rPr>
          <w:rFonts w:hint="default" w:ascii="Times New Roman" w:hAnsi="Times New Roman" w:eastAsia="宋体" w:cs="Times New Roman"/>
          <w:b/>
          <w:bCs/>
          <w:color w:val="000000" w:themeColor="text1"/>
          <w14:textFill>
            <w14:solidFill>
              <w14:schemeClr w14:val="tx1"/>
            </w14:solidFill>
          </w14:textFill>
        </w:rPr>
      </w:pPr>
      <w:bookmarkStart w:id="333" w:name="bookmark51"/>
      <w:bookmarkEnd w:id="333"/>
      <w:bookmarkStart w:id="334" w:name="_Toc30992"/>
      <w:r>
        <w:rPr>
          <w:rFonts w:hint="default" w:ascii="Times New Roman" w:hAnsi="Times New Roman" w:eastAsia="宋体" w:cs="Times New Roman"/>
          <w:b/>
          <w:bCs/>
          <w:color w:val="000000" w:themeColor="text1"/>
          <w14:textFill>
            <w14:solidFill>
              <w14:schemeClr w14:val="tx1"/>
            </w14:solidFill>
          </w14:textFill>
        </w:rPr>
        <w:t>7.2.2废水污染的治理措施可行性分析</w:t>
      </w:r>
      <w:bookmarkEnd w:id="334"/>
    </w:p>
    <w:p w14:paraId="49FA7257">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fldChar w:fldCharType="begin"/>
      </w:r>
      <w:r>
        <w:rPr>
          <w:rFonts w:hint="default" w:ascii="Times New Roman" w:hAnsi="Times New Roman" w:eastAsia="宋体" w:cs="Times New Roman"/>
          <w:color w:val="000000" w:themeColor="text1"/>
          <w14:textFill>
            <w14:solidFill>
              <w14:schemeClr w14:val="tx1"/>
            </w14:solidFill>
          </w14:textFill>
        </w:rPr>
        <w:instrText xml:space="preserve"> HYPERLINK "file:///C:\\Users\\Administrator\\Desktop\\科右前旗现代农牧业园区核心育种场养殖项目-修改稿\\6.2.2.1" </w:instrText>
      </w:r>
      <w:r>
        <w:rPr>
          <w:rFonts w:hint="default" w:ascii="Times New Roman" w:hAnsi="Times New Roman" w:eastAsia="宋体" w:cs="Times New Roman"/>
          <w:color w:val="000000" w:themeColor="text1"/>
          <w14:textFill>
            <w14:solidFill>
              <w14:schemeClr w14:val="tx1"/>
            </w14:solidFill>
          </w14:textFill>
        </w:rPr>
        <w:fldChar w:fldCharType="separate"/>
      </w:r>
      <w:r>
        <w:rPr>
          <w:rFonts w:hint="default" w:ascii="Times New Roman" w:hAnsi="Times New Roman" w:eastAsia="宋体" w:cs="Times New Roman"/>
          <w:color w:val="000000" w:themeColor="text1"/>
          <w14:textFill>
            <w14:solidFill>
              <w14:schemeClr w14:val="tx1"/>
            </w14:solidFill>
          </w14:textFill>
        </w:rPr>
        <w:t>7.2.2.1</w:t>
      </w:r>
      <w:r>
        <w:rPr>
          <w:rFonts w:hint="default" w:ascii="Times New Roman" w:hAnsi="Times New Roman" w:eastAsia="宋体" w:cs="Times New Roman"/>
          <w:color w:val="000000" w:themeColor="text1"/>
          <w14:textFill>
            <w14:solidFill>
              <w14:schemeClr w14:val="tx1"/>
            </w14:solidFill>
          </w14:textFill>
        </w:rPr>
        <w:fldChar w:fldCharType="end"/>
      </w:r>
      <w:r>
        <w:rPr>
          <w:rFonts w:hint="default" w:ascii="Times New Roman" w:hAnsi="Times New Roman" w:eastAsia="宋体" w:cs="Times New Roman"/>
          <w:color w:val="000000" w:themeColor="text1"/>
          <w14:textFill>
            <w14:solidFill>
              <w14:schemeClr w14:val="tx1"/>
            </w14:solidFill>
          </w14:textFill>
        </w:rPr>
        <w:t>粪污水处理工艺及其可行性分析</w:t>
      </w:r>
    </w:p>
    <w:p w14:paraId="0D76C650">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本项目实施雨污分流制，雨水进入雨水收集池，生活污废水排至化粪池处理后再与养殖废水排至场区厌氧系统集中处理（食堂污废水先经隔油池处理后再进入化粪池）。</w:t>
      </w:r>
      <w:r>
        <w:rPr>
          <w:rFonts w:hint="default" w:ascii="Times New Roman" w:hAnsi="Times New Roman" w:eastAsia="宋体" w:cs="Times New Roman"/>
          <w:color w:val="000000" w:themeColor="text1"/>
          <w:lang w:eastAsia="zh-CN"/>
          <w14:textFill>
            <w14:solidFill>
              <w14:schemeClr w14:val="tx1"/>
            </w14:solidFill>
          </w14:textFill>
        </w:rPr>
        <w:t>粪污</w:t>
      </w:r>
      <w:r>
        <w:rPr>
          <w:rFonts w:hint="default" w:ascii="Times New Roman" w:hAnsi="Times New Roman" w:eastAsia="宋体" w:cs="Times New Roman"/>
          <w:color w:val="000000" w:themeColor="text1"/>
          <w14:textFill>
            <w14:solidFill>
              <w14:schemeClr w14:val="tx1"/>
            </w14:solidFill>
          </w14:textFill>
        </w:rPr>
        <w:t>在耕作施肥期用于配套消纳地的综合利用，在非耕作期于场内氧化塘中暂存，不外排。青贮窖渗滤液设置地下防渗青贮液池进行收集和暂存，定期用吸粪车吸走排入废水收集池，与其他污废水混合处理。</w:t>
      </w:r>
    </w:p>
    <w:p w14:paraId="2BEFD9D7">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项目废水采用“固液分离+</w:t>
      </w:r>
      <w:r>
        <w:rPr>
          <w:rFonts w:hint="eastAsia" w:cs="Times New Roman"/>
          <w:color w:val="000000" w:themeColor="text1"/>
          <w:lang w:val="en-US" w:eastAsia="zh-CN"/>
          <w14:textFill>
            <w14:solidFill>
              <w14:schemeClr w14:val="tx1"/>
            </w14:solidFill>
          </w14:textFill>
        </w:rPr>
        <w:t>好</w:t>
      </w:r>
      <w:r>
        <w:rPr>
          <w:rFonts w:hint="default" w:ascii="Times New Roman" w:hAnsi="Times New Roman" w:eastAsia="宋体" w:cs="Times New Roman"/>
          <w:color w:val="000000" w:themeColor="text1"/>
          <w14:textFill>
            <w14:solidFill>
              <w14:schemeClr w14:val="tx1"/>
            </w14:solidFill>
          </w14:textFill>
        </w:rPr>
        <w:t>氧发酵”的处理工艺，处理后产生的</w:t>
      </w:r>
      <w:r>
        <w:rPr>
          <w:rFonts w:hint="default" w:ascii="Times New Roman" w:hAnsi="Times New Roman" w:eastAsia="宋体" w:cs="Times New Roman"/>
          <w:color w:val="000000" w:themeColor="text1"/>
          <w:lang w:eastAsia="zh-CN"/>
          <w14:textFill>
            <w14:solidFill>
              <w14:schemeClr w14:val="tx1"/>
            </w14:solidFill>
          </w14:textFill>
        </w:rPr>
        <w:t>粪污</w:t>
      </w:r>
      <w:r>
        <w:rPr>
          <w:rFonts w:hint="default" w:ascii="Times New Roman" w:hAnsi="Times New Roman" w:eastAsia="宋体" w:cs="Times New Roman"/>
          <w:color w:val="000000" w:themeColor="text1"/>
          <w14:textFill>
            <w14:solidFill>
              <w14:schemeClr w14:val="tx1"/>
            </w14:solidFill>
          </w14:textFill>
        </w:rPr>
        <w:t>综合利用。</w:t>
      </w:r>
    </w:p>
    <w:p w14:paraId="1CF80279">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（1）工程废水处理工艺</w:t>
      </w:r>
    </w:p>
    <w:p w14:paraId="24DF08C9">
      <w:pPr>
        <w:ind w:firstLine="480"/>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养殖废水经固液分离后，液体进入氧化塘去除大部分有机物，固粪和</w:t>
      </w:r>
      <w:r>
        <w:rPr>
          <w:rFonts w:hint="eastAsia" w:cs="Times New Roman"/>
          <w:color w:val="000000" w:themeColor="text1"/>
          <w:lang w:val="en-US" w:eastAsia="zh-CN"/>
          <w14:textFill>
            <w14:solidFill>
              <w14:schemeClr w14:val="tx1"/>
            </w14:solidFill>
          </w14:textFill>
        </w:rPr>
        <w:t>氧化塘粪</w:t>
      </w:r>
      <w:r>
        <w:rPr>
          <w:rFonts w:hint="default" w:ascii="Times New Roman" w:hAnsi="Times New Roman" w:eastAsia="宋体" w:cs="Times New Roman"/>
          <w:color w:val="000000" w:themeColor="text1"/>
          <w14:textFill>
            <w14:solidFill>
              <w14:schemeClr w14:val="tx1"/>
            </w14:solidFill>
          </w14:textFill>
        </w:rPr>
        <w:t>渣运至</w:t>
      </w:r>
      <w:r>
        <w:rPr>
          <w:rFonts w:hint="eastAsia" w:cs="Times New Roman"/>
          <w:color w:val="000000" w:themeColor="text1"/>
          <w:lang w:val="en-US" w:eastAsia="zh-CN"/>
          <w14:textFill>
            <w14:solidFill>
              <w14:schemeClr w14:val="tx1"/>
            </w14:solidFill>
          </w14:textFill>
        </w:rPr>
        <w:t>固液分离车间粪污区</w:t>
      </w:r>
      <w:r>
        <w:rPr>
          <w:rFonts w:hint="default" w:ascii="Times New Roman" w:hAnsi="Times New Roman" w:eastAsia="宋体" w:cs="Times New Roman"/>
          <w:color w:val="000000" w:themeColor="text1"/>
          <w14:textFill>
            <w14:solidFill>
              <w14:schemeClr w14:val="tx1"/>
            </w14:solidFill>
          </w14:textFill>
        </w:rPr>
        <w:t>进行堆肥发酵，作为粪肥还田，</w:t>
      </w:r>
      <w:r>
        <w:rPr>
          <w:rFonts w:hint="default" w:ascii="Times New Roman" w:hAnsi="Times New Roman" w:eastAsia="宋体" w:cs="Times New Roman"/>
          <w:color w:val="000000" w:themeColor="text1"/>
          <w:lang w:eastAsia="zh-CN"/>
          <w14:textFill>
            <w14:solidFill>
              <w14:schemeClr w14:val="tx1"/>
            </w14:solidFill>
          </w14:textFill>
        </w:rPr>
        <w:t>粪污</w:t>
      </w:r>
      <w:r>
        <w:rPr>
          <w:rFonts w:hint="default" w:ascii="Times New Roman" w:hAnsi="Times New Roman" w:eastAsia="宋体" w:cs="Times New Roman"/>
          <w:color w:val="000000" w:themeColor="text1"/>
          <w14:textFill>
            <w14:solidFill>
              <w14:schemeClr w14:val="tx1"/>
            </w14:solidFill>
          </w14:textFill>
        </w:rPr>
        <w:t>在施肥季节还田利用。厌氧发酵后降低了废水中有机物的含量，有效去除了粪便污水的臭味，遏制了蚊虫滋生和病菌的传播。</w:t>
      </w:r>
    </w:p>
    <w:p w14:paraId="373170E6">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根据《畜禽养殖业污染治理工程技术规范》（HJ497-2009），本项目采用养殖场粪污处理的工艺中模式Ⅱ。模式Ⅱ工艺适用于能源需求不大，主要以进行污染物无害化处理、降低有机物浓度、减少</w:t>
      </w:r>
      <w:r>
        <w:rPr>
          <w:rFonts w:hint="default" w:ascii="Times New Roman" w:hAnsi="Times New Roman" w:eastAsia="宋体" w:cs="Times New Roman"/>
          <w:color w:val="000000" w:themeColor="text1"/>
          <w:lang w:eastAsia="zh-CN"/>
          <w14:textFill>
            <w14:solidFill>
              <w14:schemeClr w14:val="tx1"/>
            </w14:solidFill>
          </w14:textFill>
        </w:rPr>
        <w:t>粪污</w:t>
      </w:r>
      <w:r>
        <w:rPr>
          <w:rFonts w:hint="default" w:ascii="Times New Roman" w:hAnsi="Times New Roman" w:eastAsia="宋体" w:cs="Times New Roman"/>
          <w:color w:val="000000" w:themeColor="text1"/>
          <w14:textFill>
            <w14:solidFill>
              <w14:schemeClr w14:val="tx1"/>
            </w14:solidFill>
          </w14:textFill>
        </w:rPr>
        <w:t>消纳所需配套的土地面积为目的。</w:t>
      </w:r>
    </w:p>
    <w:p w14:paraId="542ECBDE">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本项目采用干清粪工艺，将粪便和污水单独处理。废水采用收集沉淀池+固液分离+氧化塘工艺处理后，</w:t>
      </w:r>
      <w:r>
        <w:rPr>
          <w:rFonts w:hint="default" w:ascii="Times New Roman" w:hAnsi="Times New Roman" w:eastAsia="宋体" w:cs="Times New Roman"/>
          <w:color w:val="000000" w:themeColor="text1"/>
          <w:lang w:eastAsia="zh-CN"/>
          <w14:textFill>
            <w14:solidFill>
              <w14:schemeClr w14:val="tx1"/>
            </w14:solidFill>
          </w14:textFill>
        </w:rPr>
        <w:t>粪污</w:t>
      </w:r>
      <w:r>
        <w:rPr>
          <w:rFonts w:hint="default" w:ascii="Times New Roman" w:hAnsi="Times New Roman" w:eastAsia="宋体" w:cs="Times New Roman"/>
          <w:color w:val="000000" w:themeColor="text1"/>
          <w14:textFill>
            <w14:solidFill>
              <w14:schemeClr w14:val="tx1"/>
            </w14:solidFill>
          </w14:textFill>
        </w:rPr>
        <w:t>全部做为肥料施用于周边农田。</w:t>
      </w:r>
    </w:p>
    <w:p w14:paraId="40797D79">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项目周边有一定农田消纳项目产生的</w:t>
      </w:r>
      <w:r>
        <w:rPr>
          <w:rFonts w:hint="default" w:ascii="Times New Roman" w:hAnsi="Times New Roman" w:eastAsia="宋体" w:cs="Times New Roman"/>
          <w:color w:val="000000" w:themeColor="text1"/>
          <w:lang w:eastAsia="zh-CN"/>
          <w14:textFill>
            <w14:solidFill>
              <w14:schemeClr w14:val="tx1"/>
            </w14:solidFill>
          </w14:textFill>
        </w:rPr>
        <w:t>粪污</w:t>
      </w:r>
      <w:r>
        <w:rPr>
          <w:rFonts w:hint="default" w:ascii="Times New Roman" w:hAnsi="Times New Roman" w:eastAsia="宋体" w:cs="Times New Roman"/>
          <w:color w:val="000000" w:themeColor="text1"/>
          <w14:textFill>
            <w14:solidFill>
              <w14:schemeClr w14:val="tx1"/>
            </w14:solidFill>
          </w14:textFill>
        </w:rPr>
        <w:t>及粪肥。</w:t>
      </w:r>
    </w:p>
    <w:p w14:paraId="6447E43B">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本项目氧化塘是在开挖好的土方基础上，采用优质HDPE材料。氧化塘主体工程位于地面以下，底部</w:t>
      </w:r>
      <w:r>
        <w:rPr>
          <w:rFonts w:hint="eastAsia" w:cs="Times New Roman"/>
          <w:color w:val="000000" w:themeColor="text1"/>
          <w:lang w:val="en-US" w:eastAsia="zh-CN"/>
          <w14:textFill>
            <w14:solidFill>
              <w14:schemeClr w14:val="tx1"/>
            </w14:solidFill>
          </w14:textFill>
        </w:rPr>
        <w:t>铺设</w:t>
      </w:r>
      <w:r>
        <w:rPr>
          <w:rFonts w:hint="default" w:ascii="Times New Roman" w:hAnsi="Times New Roman" w:eastAsia="宋体" w:cs="Times New Roman"/>
          <w:color w:val="000000" w:themeColor="text1"/>
          <w14:textFill>
            <w14:solidFill>
              <w14:schemeClr w14:val="tx1"/>
            </w14:solidFill>
          </w14:textFill>
        </w:rPr>
        <w:t>HDPE膜。经调查在室外温度2℃，进水温度15.8℃的环境中，经氧化塘发酵后的出水温度达19℃；在室外温度-1℃，进水温度13.6℃的环境中，发酵后的出水温度达17.9℃。污水在池内的滞留期长（35天及以上），厌氧发酵充分</w:t>
      </w:r>
      <w:r>
        <w:rPr>
          <w:rFonts w:hint="eastAsia" w:cs="Times New Roman"/>
          <w:color w:val="000000" w:themeColor="text1"/>
          <w:lang w:val="en-US" w:eastAsia="zh-CN"/>
          <w14:textFill>
            <w14:solidFill>
              <w14:schemeClr w14:val="tx1"/>
            </w14:solidFill>
          </w14:textFill>
        </w:rPr>
        <w:t>后</w:t>
      </w:r>
      <w:r>
        <w:rPr>
          <w:rFonts w:hint="default" w:ascii="Times New Roman" w:hAnsi="Times New Roman" w:eastAsia="宋体" w:cs="Times New Roman"/>
          <w:color w:val="000000" w:themeColor="text1"/>
          <w14:textFill>
            <w14:solidFill>
              <w14:schemeClr w14:val="tx1"/>
            </w14:solidFill>
          </w14:textFill>
        </w:rPr>
        <w:t>，COD去除率可达到75%以上，处理后的</w:t>
      </w:r>
      <w:r>
        <w:rPr>
          <w:rFonts w:hint="default" w:ascii="Times New Roman" w:hAnsi="Times New Roman" w:eastAsia="宋体" w:cs="Times New Roman"/>
          <w:color w:val="000000" w:themeColor="text1"/>
          <w:lang w:eastAsia="zh-CN"/>
          <w14:textFill>
            <w14:solidFill>
              <w14:schemeClr w14:val="tx1"/>
            </w14:solidFill>
          </w14:textFill>
        </w:rPr>
        <w:t>粪污</w:t>
      </w:r>
      <w:r>
        <w:rPr>
          <w:rFonts w:hint="default" w:ascii="Times New Roman" w:hAnsi="Times New Roman" w:eastAsia="宋体" w:cs="Times New Roman"/>
          <w:color w:val="000000" w:themeColor="text1"/>
          <w14:textFill>
            <w14:solidFill>
              <w14:schemeClr w14:val="tx1"/>
            </w14:solidFill>
          </w14:textFill>
        </w:rPr>
        <w:t>可以达到《畜禽粪便无害化处理技术规范》（GB/T36195-2018）表2液体畜禽粪便厌氧处理卫生学要求。</w:t>
      </w:r>
    </w:p>
    <w:p w14:paraId="7FFF60CD">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（2）</w:t>
      </w:r>
      <w:r>
        <w:rPr>
          <w:rFonts w:hint="eastAsia" w:cs="Times New Roman"/>
          <w:color w:val="000000" w:themeColor="text1"/>
          <w:lang w:val="en-US" w:eastAsia="zh-CN"/>
          <w14:textFill>
            <w14:solidFill>
              <w14:schemeClr w14:val="tx1"/>
            </w14:solidFill>
          </w14:textFill>
        </w:rPr>
        <w:t>粪</w:t>
      </w:r>
      <w:r>
        <w:rPr>
          <w:rFonts w:hint="default" w:ascii="Times New Roman" w:hAnsi="Times New Roman" w:eastAsia="宋体" w:cs="Times New Roman"/>
          <w:color w:val="000000" w:themeColor="text1"/>
          <w14:textFill>
            <w14:solidFill>
              <w14:schemeClr w14:val="tx1"/>
            </w14:solidFill>
          </w14:textFill>
        </w:rPr>
        <w:t>污水处理规模</w:t>
      </w:r>
    </w:p>
    <w:p w14:paraId="7C0C9FBC">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本项目</w:t>
      </w:r>
      <w:r>
        <w:rPr>
          <w:rFonts w:hint="eastAsia" w:cs="Times New Roman"/>
          <w:color w:val="000000" w:themeColor="text1"/>
          <w:lang w:val="en-US" w:eastAsia="zh-CN"/>
          <w14:textFill>
            <w14:solidFill>
              <w14:schemeClr w14:val="tx1"/>
            </w14:solidFill>
          </w14:textFill>
        </w:rPr>
        <w:t>粪</w:t>
      </w:r>
      <w:r>
        <w:rPr>
          <w:rFonts w:hint="default" w:ascii="Times New Roman" w:hAnsi="Times New Roman" w:eastAsia="宋体" w:cs="Times New Roman"/>
          <w:color w:val="000000" w:themeColor="text1"/>
          <w14:textFill>
            <w14:solidFill>
              <w14:schemeClr w14:val="tx1"/>
            </w14:solidFill>
          </w14:textFill>
        </w:rPr>
        <w:t>污水处理系统的废水量（</w:t>
      </w:r>
      <w:r>
        <w:rPr>
          <w:rFonts w:hint="eastAsia" w:cs="Times New Roman"/>
          <w:color w:val="000000" w:themeColor="text1"/>
          <w:lang w:val="en-US" w:eastAsia="zh-CN"/>
          <w14:textFill>
            <w14:solidFill>
              <w14:schemeClr w14:val="tx1"/>
            </w14:solidFill>
          </w14:textFill>
        </w:rPr>
        <w:t>36.9</w:t>
      </w:r>
      <w:r>
        <w:rPr>
          <w:rFonts w:hint="default" w:ascii="Times New Roman" w:hAnsi="Times New Roman" w:eastAsia="宋体" w:cs="Times New Roman"/>
          <w:color w:val="000000" w:themeColor="text1"/>
          <w14:textFill>
            <w14:solidFill>
              <w14:schemeClr w14:val="tx1"/>
            </w14:solidFill>
          </w14:textFill>
        </w:rPr>
        <w:t>m</w:t>
      </w:r>
      <w:r>
        <w:rPr>
          <w:rFonts w:hint="default" w:ascii="Times New Roman" w:hAnsi="Times New Roman" w:eastAsia="宋体" w:cs="Times New Roman"/>
          <w:color w:val="000000" w:themeColor="text1"/>
          <w:vertAlign w:val="superscript"/>
          <w14:textFill>
            <w14:solidFill>
              <w14:schemeClr w14:val="tx1"/>
            </w14:solidFill>
          </w14:textFill>
        </w:rPr>
        <w:t>3</w:t>
      </w:r>
      <w:r>
        <w:rPr>
          <w:rFonts w:hint="default" w:ascii="Times New Roman" w:hAnsi="Times New Roman" w:eastAsia="宋体" w:cs="Times New Roman"/>
          <w:color w:val="000000" w:themeColor="text1"/>
          <w14:textFill>
            <w14:solidFill>
              <w14:schemeClr w14:val="tx1"/>
            </w14:solidFill>
          </w14:textFill>
        </w:rPr>
        <w:t>/d）为基础，项目氧化塘设计水力停留时间为45天，则氧化塘总容积不低于</w:t>
      </w:r>
      <w:r>
        <w:rPr>
          <w:rFonts w:hint="eastAsia" w:cs="Times New Roman"/>
          <w:color w:val="000000" w:themeColor="text1"/>
          <w:lang w:val="en-US" w:eastAsia="zh-CN"/>
          <w14:textFill>
            <w14:solidFill>
              <w14:schemeClr w14:val="tx1"/>
            </w14:solidFill>
          </w14:textFill>
        </w:rPr>
        <w:t>1660.5</w:t>
      </w:r>
      <w:r>
        <w:rPr>
          <w:rFonts w:hint="default" w:ascii="Times New Roman" w:hAnsi="Times New Roman" w:eastAsia="宋体" w:cs="Times New Roman"/>
          <w:color w:val="000000" w:themeColor="text1"/>
          <w14:textFill>
            <w14:solidFill>
              <w14:schemeClr w14:val="tx1"/>
            </w14:solidFill>
          </w14:textFill>
        </w:rPr>
        <w:t>m</w:t>
      </w:r>
      <w:r>
        <w:rPr>
          <w:rFonts w:hint="default" w:ascii="Times New Roman" w:hAnsi="Times New Roman" w:eastAsia="宋体" w:cs="Times New Roman"/>
          <w:color w:val="000000" w:themeColor="text1"/>
          <w:vertAlign w:val="superscript"/>
          <w14:textFill>
            <w14:solidFill>
              <w14:schemeClr w14:val="tx1"/>
            </w14:solidFill>
          </w14:textFill>
        </w:rPr>
        <w:t>3</w:t>
      </w:r>
      <w:r>
        <w:rPr>
          <w:rFonts w:hint="default" w:ascii="Times New Roman" w:hAnsi="Times New Roman" w:eastAsia="宋体" w:cs="Times New Roman"/>
          <w:color w:val="000000" w:themeColor="text1"/>
          <w14:textFill>
            <w14:solidFill>
              <w14:schemeClr w14:val="tx1"/>
            </w14:solidFill>
          </w14:textFill>
        </w:rPr>
        <w:t>，建设单位将氧化塘的总容积设计为9000m</w:t>
      </w:r>
      <w:r>
        <w:rPr>
          <w:rFonts w:hint="default" w:ascii="Times New Roman" w:hAnsi="Times New Roman" w:eastAsia="宋体" w:cs="Times New Roman"/>
          <w:color w:val="000000" w:themeColor="text1"/>
          <w:vertAlign w:val="superscript"/>
          <w14:textFill>
            <w14:solidFill>
              <w14:schemeClr w14:val="tx1"/>
            </w14:solidFill>
          </w14:textFill>
        </w:rPr>
        <w:t>3</w:t>
      </w:r>
      <w:r>
        <w:rPr>
          <w:rFonts w:hint="default" w:ascii="Times New Roman" w:hAnsi="Times New Roman" w:eastAsia="宋体" w:cs="Times New Roman"/>
          <w:color w:val="000000" w:themeColor="text1"/>
          <w14:textFill>
            <w14:solidFill>
              <w14:schemeClr w14:val="tx1"/>
            </w14:solidFill>
          </w14:textFill>
        </w:rPr>
        <w:t>，满足</w:t>
      </w:r>
      <w:r>
        <w:rPr>
          <w:rFonts w:hint="eastAsia" w:cs="Times New Roman"/>
          <w:color w:val="000000" w:themeColor="text1"/>
          <w:lang w:val="en-US" w:eastAsia="zh-CN"/>
          <w14:textFill>
            <w14:solidFill>
              <w14:schemeClr w14:val="tx1"/>
            </w14:solidFill>
          </w14:textFill>
        </w:rPr>
        <w:t>粪</w:t>
      </w:r>
      <w:r>
        <w:rPr>
          <w:rFonts w:hint="default" w:ascii="Times New Roman" w:hAnsi="Times New Roman" w:eastAsia="宋体" w:cs="Times New Roman"/>
          <w:color w:val="000000" w:themeColor="text1"/>
          <w14:textFill>
            <w14:solidFill>
              <w14:schemeClr w14:val="tx1"/>
            </w14:solidFill>
          </w14:textFill>
        </w:rPr>
        <w:t>水处理要求。本项目氧化塘主体工程位于</w:t>
      </w:r>
      <w:r>
        <w:rPr>
          <w:rFonts w:hint="default" w:ascii="Times New Roman" w:hAnsi="Times New Roman" w:eastAsia="宋体" w:cs="Times New Roman"/>
          <w:color w:val="000000" w:themeColor="text1"/>
          <w:highlight w:val="yellow"/>
          <w14:textFill>
            <w14:solidFill>
              <w14:schemeClr w14:val="tx1"/>
            </w14:solidFill>
          </w14:textFill>
        </w:rPr>
        <w:t>地面以</w:t>
      </w:r>
      <w:r>
        <w:rPr>
          <w:rFonts w:hint="eastAsia" w:cs="Times New Roman"/>
          <w:color w:val="000000" w:themeColor="text1"/>
          <w:highlight w:val="yellow"/>
          <w:lang w:val="en-US" w:eastAsia="zh-CN"/>
          <w14:textFill>
            <w14:solidFill>
              <w14:schemeClr w14:val="tx1"/>
            </w14:solidFill>
          </w14:textFill>
        </w:rPr>
        <w:t>下</w:t>
      </w:r>
      <w:r>
        <w:rPr>
          <w:rFonts w:hint="default" w:ascii="Times New Roman" w:hAnsi="Times New Roman" w:eastAsia="宋体" w:cs="Times New Roman"/>
          <w:color w:val="000000" w:themeColor="text1"/>
          <w:highlight w:val="yellow"/>
          <w14:textFill>
            <w14:solidFill>
              <w14:schemeClr w14:val="tx1"/>
            </w14:solidFill>
          </w14:textFill>
        </w:rPr>
        <w:t>，底部</w:t>
      </w:r>
      <w:r>
        <w:rPr>
          <w:rFonts w:hint="eastAsia" w:cs="Times New Roman"/>
          <w:color w:val="000000" w:themeColor="text1"/>
          <w:highlight w:val="yellow"/>
          <w:lang w:val="en-US" w:eastAsia="zh-CN"/>
          <w14:textFill>
            <w14:solidFill>
              <w14:schemeClr w14:val="tx1"/>
            </w14:solidFill>
          </w14:textFill>
        </w:rPr>
        <w:t>铺设2mm后高密度聚乙烯</w:t>
      </w:r>
      <w:r>
        <w:rPr>
          <w:rFonts w:hint="default" w:ascii="Times New Roman" w:hAnsi="Times New Roman" w:eastAsia="宋体" w:cs="Times New Roman"/>
          <w:color w:val="000000" w:themeColor="text1"/>
          <w14:textFill>
            <w14:solidFill>
              <w14:schemeClr w14:val="tx1"/>
            </w14:solidFill>
          </w14:textFill>
        </w:rPr>
        <w:t>。</w:t>
      </w:r>
      <w:r>
        <w:rPr>
          <w:rFonts w:hint="eastAsia" w:cs="Times New Roman"/>
          <w:color w:val="000000" w:themeColor="text1"/>
          <w:lang w:val="en-US" w:eastAsia="zh-CN"/>
          <w14:textFill>
            <w14:solidFill>
              <w14:schemeClr w14:val="tx1"/>
            </w14:solidFill>
          </w14:textFill>
        </w:rPr>
        <w:t>废</w:t>
      </w:r>
      <w:r>
        <w:rPr>
          <w:rFonts w:hint="default" w:ascii="Times New Roman" w:hAnsi="Times New Roman" w:eastAsia="宋体" w:cs="Times New Roman"/>
          <w:color w:val="000000" w:themeColor="text1"/>
          <w14:textFill>
            <w14:solidFill>
              <w14:schemeClr w14:val="tx1"/>
            </w14:solidFill>
          </w14:textFill>
        </w:rPr>
        <w:t>水处理后产生的</w:t>
      </w:r>
      <w:r>
        <w:rPr>
          <w:rFonts w:hint="default" w:ascii="Times New Roman" w:hAnsi="Times New Roman" w:eastAsia="宋体" w:cs="Times New Roman"/>
          <w:color w:val="000000" w:themeColor="text1"/>
          <w:lang w:eastAsia="zh-CN"/>
          <w14:textFill>
            <w14:solidFill>
              <w14:schemeClr w14:val="tx1"/>
            </w14:solidFill>
          </w14:textFill>
        </w:rPr>
        <w:t>粪污</w:t>
      </w:r>
      <w:r>
        <w:rPr>
          <w:rFonts w:hint="default" w:ascii="Times New Roman" w:hAnsi="Times New Roman" w:eastAsia="宋体" w:cs="Times New Roman"/>
          <w:color w:val="000000" w:themeColor="text1"/>
          <w14:textFill>
            <w14:solidFill>
              <w14:schemeClr w14:val="tx1"/>
            </w14:solidFill>
          </w14:textFill>
        </w:rPr>
        <w:t>排入氧化塘，在耕作施肥期间用于配套消纳地进行综合利用，在非施肥期间在场内氧化塘中暂存，不外排；牛粪、</w:t>
      </w:r>
      <w:r>
        <w:rPr>
          <w:rFonts w:hint="eastAsia" w:cs="Times New Roman"/>
          <w:color w:val="000000" w:themeColor="text1"/>
          <w:lang w:val="en-US" w:eastAsia="zh-CN"/>
          <w14:textFill>
            <w14:solidFill>
              <w14:schemeClr w14:val="tx1"/>
            </w14:solidFill>
          </w14:textFill>
        </w:rPr>
        <w:t>氧化塘粪</w:t>
      </w:r>
      <w:r>
        <w:rPr>
          <w:rFonts w:hint="default" w:ascii="Times New Roman" w:hAnsi="Times New Roman" w:eastAsia="宋体" w:cs="Times New Roman"/>
          <w:color w:val="000000" w:themeColor="text1"/>
          <w14:textFill>
            <w14:solidFill>
              <w14:schemeClr w14:val="tx1"/>
            </w14:solidFill>
          </w14:textFill>
        </w:rPr>
        <w:t>渣运至固粪处理区进行堆肥发酵，作为粪肥还田，满足《畜禽养殖业污染防治技术规范》（HJ/T81-2001）相关要求。废水处理工程所需设备及工程建设内容见表7.2-1。</w:t>
      </w:r>
    </w:p>
    <w:p w14:paraId="7641E8D3">
      <w:pPr>
        <w:pStyle w:val="2"/>
        <w:rPr>
          <w:rFonts w:hint="default"/>
        </w:rPr>
      </w:pPr>
    </w:p>
    <w:p w14:paraId="731446EF">
      <w:pPr>
        <w:ind w:left="0" w:leftChars="0" w:firstLine="0" w:firstLineChars="0"/>
        <w:jc w:val="center"/>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表7.2-1废水处理工程主要构筑物设计</w:t>
      </w:r>
    </w:p>
    <w:tbl>
      <w:tblPr>
        <w:tblStyle w:val="35"/>
        <w:tblW w:w="8619" w:type="dxa"/>
        <w:tblInd w:w="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797"/>
        <w:gridCol w:w="1618"/>
        <w:gridCol w:w="1416"/>
        <w:gridCol w:w="1698"/>
        <w:gridCol w:w="3090"/>
      </w:tblGrid>
      <w:tr w14:paraId="583443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7" w:hRule="atLeast"/>
        </w:trPr>
        <w:tc>
          <w:tcPr>
            <w:tcW w:w="797" w:type="dxa"/>
          </w:tcPr>
          <w:p w14:paraId="427B8CC2">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序号</w:t>
            </w:r>
          </w:p>
        </w:tc>
        <w:tc>
          <w:tcPr>
            <w:tcW w:w="1618" w:type="dxa"/>
          </w:tcPr>
          <w:p w14:paraId="689CA1C2">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工程内容</w:t>
            </w:r>
          </w:p>
        </w:tc>
        <w:tc>
          <w:tcPr>
            <w:tcW w:w="1416" w:type="dxa"/>
          </w:tcPr>
          <w:p w14:paraId="4801B248">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设计规模</w:t>
            </w:r>
          </w:p>
        </w:tc>
        <w:tc>
          <w:tcPr>
            <w:tcW w:w="1698" w:type="dxa"/>
          </w:tcPr>
          <w:p w14:paraId="06014413">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数量（台/座）</w:t>
            </w:r>
          </w:p>
        </w:tc>
        <w:tc>
          <w:tcPr>
            <w:tcW w:w="3090" w:type="dxa"/>
          </w:tcPr>
          <w:p w14:paraId="624D32DF">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备注</w:t>
            </w:r>
          </w:p>
        </w:tc>
      </w:tr>
      <w:tr w14:paraId="2FF58F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3" w:hRule="atLeast"/>
        </w:trPr>
        <w:tc>
          <w:tcPr>
            <w:tcW w:w="797" w:type="dxa"/>
          </w:tcPr>
          <w:p w14:paraId="24BCB764">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w:t>
            </w:r>
          </w:p>
        </w:tc>
        <w:tc>
          <w:tcPr>
            <w:tcW w:w="1618" w:type="dxa"/>
          </w:tcPr>
          <w:p w14:paraId="6354DE71">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固液分离车间</w:t>
            </w:r>
          </w:p>
        </w:tc>
        <w:tc>
          <w:tcPr>
            <w:tcW w:w="1416" w:type="dxa"/>
          </w:tcPr>
          <w:p w14:paraId="51751D10">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625m</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2</w:t>
            </w:r>
          </w:p>
        </w:tc>
        <w:tc>
          <w:tcPr>
            <w:tcW w:w="1698" w:type="dxa"/>
          </w:tcPr>
          <w:p w14:paraId="04DE9403">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w:t>
            </w:r>
          </w:p>
        </w:tc>
        <w:tc>
          <w:tcPr>
            <w:tcW w:w="3090" w:type="dxa"/>
          </w:tcPr>
          <w:p w14:paraId="683AAF09">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混凝土防渗，牛粪暂存</w:t>
            </w:r>
          </w:p>
        </w:tc>
      </w:tr>
      <w:tr w14:paraId="08722E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2" w:hRule="atLeast"/>
        </w:trPr>
        <w:tc>
          <w:tcPr>
            <w:tcW w:w="797" w:type="dxa"/>
          </w:tcPr>
          <w:p w14:paraId="0B4F7847">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3</w:t>
            </w:r>
          </w:p>
        </w:tc>
        <w:tc>
          <w:tcPr>
            <w:tcW w:w="1618" w:type="dxa"/>
          </w:tcPr>
          <w:p w14:paraId="0DDEA7C4">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固液分离机</w:t>
            </w:r>
          </w:p>
        </w:tc>
        <w:tc>
          <w:tcPr>
            <w:tcW w:w="1416" w:type="dxa"/>
          </w:tcPr>
          <w:p w14:paraId="0CE2B00C">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40m</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3</w:t>
            </w:r>
            <w:r>
              <w:rPr>
                <w:rFonts w:hint="default" w:ascii="Times New Roman" w:hAnsi="Times New Roman" w:eastAsia="宋体" w:cs="Times New Roman"/>
                <w:color w:val="000000" w:themeColor="text1"/>
                <w:sz w:val="21"/>
                <w:szCs w:val="21"/>
                <w14:textFill>
                  <w14:solidFill>
                    <w14:schemeClr w14:val="tx1"/>
                  </w14:solidFill>
                </w14:textFill>
              </w:rPr>
              <w:t>/h</w:t>
            </w:r>
          </w:p>
        </w:tc>
        <w:tc>
          <w:tcPr>
            <w:tcW w:w="1698" w:type="dxa"/>
          </w:tcPr>
          <w:p w14:paraId="18475BF2">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w:t>
            </w:r>
          </w:p>
        </w:tc>
        <w:tc>
          <w:tcPr>
            <w:tcW w:w="3090" w:type="dxa"/>
          </w:tcPr>
          <w:p w14:paraId="737D9AFE">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p>
        </w:tc>
      </w:tr>
      <w:tr w14:paraId="2A7754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3" w:hRule="atLeast"/>
        </w:trPr>
        <w:tc>
          <w:tcPr>
            <w:tcW w:w="797" w:type="dxa"/>
          </w:tcPr>
          <w:p w14:paraId="35A7C64B">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4</w:t>
            </w:r>
          </w:p>
        </w:tc>
        <w:tc>
          <w:tcPr>
            <w:tcW w:w="1618" w:type="dxa"/>
          </w:tcPr>
          <w:p w14:paraId="456D18ED">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氧化塘</w:t>
            </w:r>
          </w:p>
        </w:tc>
        <w:tc>
          <w:tcPr>
            <w:tcW w:w="1416" w:type="dxa"/>
          </w:tcPr>
          <w:p w14:paraId="4035ABDB">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9</w:t>
            </w:r>
            <w:r>
              <w:rPr>
                <w:rFonts w:hint="default" w:ascii="Times New Roman" w:hAnsi="Times New Roman" w:eastAsia="宋体" w:cs="Times New Roman"/>
                <w:color w:val="000000" w:themeColor="text1"/>
                <w:sz w:val="21"/>
                <w:szCs w:val="21"/>
                <w14:textFill>
                  <w14:solidFill>
                    <w14:schemeClr w14:val="tx1"/>
                  </w14:solidFill>
                </w14:textFill>
              </w:rPr>
              <w:t>000m</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3</w:t>
            </w:r>
          </w:p>
        </w:tc>
        <w:tc>
          <w:tcPr>
            <w:tcW w:w="1698" w:type="dxa"/>
          </w:tcPr>
          <w:p w14:paraId="17250F8B">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3</w:t>
            </w:r>
          </w:p>
        </w:tc>
        <w:tc>
          <w:tcPr>
            <w:tcW w:w="3090" w:type="dxa"/>
          </w:tcPr>
          <w:p w14:paraId="7C888B09">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素土压实+</w:t>
            </w:r>
            <w:r>
              <w:rPr>
                <w:rFonts w:hint="eastAsia" w:cs="Times New Roman"/>
                <w:color w:val="000000" w:themeColor="text1"/>
                <w:sz w:val="21"/>
                <w:szCs w:val="21"/>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14:textFill>
                  <w14:solidFill>
                    <w14:schemeClr w14:val="tx1"/>
                  </w14:solidFill>
                </w14:textFill>
              </w:rPr>
              <w:t>mmHDPE膜</w:t>
            </w:r>
          </w:p>
        </w:tc>
      </w:tr>
    </w:tbl>
    <w:p w14:paraId="1EC668DC">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综上，本项目废水治理措施可行。</w:t>
      </w:r>
    </w:p>
    <w:p w14:paraId="7DB27074">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fldChar w:fldCharType="begin"/>
      </w:r>
      <w:r>
        <w:rPr>
          <w:rFonts w:hint="default" w:ascii="Times New Roman" w:hAnsi="Times New Roman" w:eastAsia="宋体" w:cs="Times New Roman"/>
          <w:color w:val="000000" w:themeColor="text1"/>
          <w14:textFill>
            <w14:solidFill>
              <w14:schemeClr w14:val="tx1"/>
            </w14:solidFill>
          </w14:textFill>
        </w:rPr>
        <w:instrText xml:space="preserve"> HYPERLINK "file:///C:\\Users\\Administrator\\Desktop\\科右前旗现代农牧业园区核心育种场养殖项目-修改稿\\6.2.2.2" </w:instrText>
      </w:r>
      <w:r>
        <w:rPr>
          <w:rFonts w:hint="default" w:ascii="Times New Roman" w:hAnsi="Times New Roman" w:eastAsia="宋体" w:cs="Times New Roman"/>
          <w:color w:val="000000" w:themeColor="text1"/>
          <w14:textFill>
            <w14:solidFill>
              <w14:schemeClr w14:val="tx1"/>
            </w14:solidFill>
          </w14:textFill>
        </w:rPr>
        <w:fldChar w:fldCharType="separate"/>
      </w:r>
      <w:r>
        <w:rPr>
          <w:rFonts w:hint="default" w:ascii="Times New Roman" w:hAnsi="Times New Roman" w:eastAsia="宋体" w:cs="Times New Roman"/>
          <w:color w:val="000000" w:themeColor="text1"/>
          <w14:textFill>
            <w14:solidFill>
              <w14:schemeClr w14:val="tx1"/>
            </w14:solidFill>
          </w14:textFill>
        </w:rPr>
        <w:t>7.2.2.2</w:t>
      </w:r>
      <w:r>
        <w:rPr>
          <w:rFonts w:hint="default" w:ascii="Times New Roman" w:hAnsi="Times New Roman" w:eastAsia="宋体" w:cs="Times New Roman"/>
          <w:color w:val="000000" w:themeColor="text1"/>
          <w14:textFill>
            <w14:solidFill>
              <w14:schemeClr w14:val="tx1"/>
            </w14:solidFill>
          </w14:textFill>
        </w:rPr>
        <w:fldChar w:fldCharType="end"/>
      </w:r>
      <w:r>
        <w:rPr>
          <w:rFonts w:hint="default" w:ascii="Times New Roman" w:hAnsi="Times New Roman" w:eastAsia="宋体" w:cs="Times New Roman"/>
          <w:color w:val="000000" w:themeColor="text1"/>
          <w14:textFill>
            <w14:solidFill>
              <w14:schemeClr w14:val="tx1"/>
            </w14:solidFill>
          </w14:textFill>
        </w:rPr>
        <w:t>畜禽养殖废水处理后作为液态肥料的政策可行性</w:t>
      </w:r>
    </w:p>
    <w:p w14:paraId="0582958D">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环保部、农业部2016年10月联合印发的《畜禽养殖禁养区划定技术指南》明确指出，养殖场将畜禽粪便等废弃物依法合规进行还田等利用不造成环境污染的，不属于排放污染物。畜禽粪便、养殖废水经过无害化处理用作肥料还田，符合法律法规以及国家和地方相关标准规范的要求，不造成环境污染的，不属于排放污染物。</w:t>
      </w:r>
    </w:p>
    <w:p w14:paraId="21B22E4D">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国务院办公厅2017年6月出具的《关于加快推进畜禽养殖废弃物资源化利用的意见》明确表明：畜禽粪污处理原则为因地制宜、多元利用，根据不同区域、不同畜种、不同规模，肥料化利用为基础，采取经济高效适用的处理规模，宜肥则肥、宜气则气，宜电则电，实现粪污就地就近利用；新建或改扩建畜禽规模养殖场，应突出养分综合利用，配套与养殖规模和处理工艺相适应的粪污消纳用地，配备必要的粪污收集、贮存、处理、利用设施；根据不同资源条件、不同畜种、不同规模，推广粪污全量收集还田利用、专业化能源利用、固体粪便肥料化利用、异位发酵床、粪便垫料回用、污水肥料利用、污水达标排放等经济实用技术模式。</w:t>
      </w:r>
    </w:p>
    <w:p w14:paraId="0603ADE3">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2017年6月农业部、财政部发布的《关于做好畜禽粪污资源化利用项目实施工作的通知》指出，要坚持种养结合，统筹考虑资源环境承载能力、畜产品供给保障能力、畜禽粪污资源化利用能力，科学规划农牧业发展布局，推进种养结合、循环发展，实现区域内种养基本平衡，畜禽粪污就地就近消纳；以种养结合为路径，建设相对完善的规模养殖场粪污处理、畜禽粪污集中处理、农用有机肥生产、</w:t>
      </w:r>
      <w:r>
        <w:rPr>
          <w:rFonts w:hint="default" w:ascii="Times New Roman" w:hAnsi="Times New Roman" w:eastAsia="宋体" w:cs="Times New Roman"/>
          <w:color w:val="000000" w:themeColor="text1"/>
          <w:lang w:eastAsia="zh-CN"/>
          <w14:textFill>
            <w14:solidFill>
              <w14:schemeClr w14:val="tx1"/>
            </w14:solidFill>
          </w14:textFill>
        </w:rPr>
        <w:t>粪污</w:t>
      </w:r>
      <w:r>
        <w:rPr>
          <w:rFonts w:hint="default" w:ascii="Times New Roman" w:hAnsi="Times New Roman" w:eastAsia="宋体" w:cs="Times New Roman"/>
          <w:color w:val="000000" w:themeColor="text1"/>
          <w14:textFill>
            <w14:solidFill>
              <w14:schemeClr w14:val="tx1"/>
            </w14:solidFill>
          </w14:textFill>
        </w:rPr>
        <w:t>储运等配套设施，打通粪污肥料化、能源化利用通道，实现畜禽粪污就地就近消纳。</w:t>
      </w:r>
    </w:p>
    <w:p w14:paraId="2B17D89B">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2019年12月19日，农业农村部、生态环境部联合发布的《农业农村部办公厅生态环境部办公厅关于促进畜禽粪污还田利用依法加强养殖污染治理的指导意见》（农办牧【2019】84号）指出：立足我国畜牧业和种植业特点，健全粪肥还田监管体系和制度，推广经济高效、灵活多样的种养结合模式，引导养殖场户配套种植用地，培育粪肥经纪公司、经纪人等社会化服务主体，调动种植户使用粪肥积极性，形成有效衔接、相互匹配的种养业发展格局。粪肥还田利用设施装备进一步完善、成本进一步降低，耕地地力不断提高，农作物品质明显提升，畜禽粪肥还田机制逐步健全违法排污得到有效控制，畜牧业的生态效益进一步增强。到2025年，畜禽粪污综合利用率达到80％；到2035年，畜禽粪污综合利用率达到90%。</w:t>
      </w:r>
    </w:p>
    <w:p w14:paraId="576D6250">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2020年6月4日，农业农村部、生态环境部联合发布的《农业农村部办公厅、生态环境部办公厅关于进一步明确畜禽粪污还田利用要求强化养殖污染监管的通知》（农办牧[2020]23号）中指出：畜禽粪污的处理应根据排放去向或利用方式的不同执行相应的标准规范。对配套土地充足的养殖场户，粪污经无害化处理后还田利用具体要求及限量应符合《畜禽粪便无害化处理技术规范》（GB/T36195）和《畜禽类便还田技术规范》（GB/T25246），配套土地面积应达到《畜禽粪污土地承载力测算技术指南》（以下简称《指南》）要求的最小面积。对配套土地不足的养殖场户，粪污经处理后向环境排放的，应符合《畜禽养殖业污染物排放标准》（GB18596）和地方有关排放标准。用于土地施用的，应符合《农田灌溉水质标准》（GB5084）。</w:t>
      </w:r>
    </w:p>
    <w:p w14:paraId="4F7322BE">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本项目养殖规模总共700头，属于规模化养殖场，本项目养殖废水及员工生活污水由高效厌氧反应系统处理后产生的</w:t>
      </w:r>
      <w:r>
        <w:rPr>
          <w:rFonts w:hint="default" w:ascii="Times New Roman" w:hAnsi="Times New Roman" w:eastAsia="宋体" w:cs="Times New Roman"/>
          <w:color w:val="000000" w:themeColor="text1"/>
          <w:lang w:eastAsia="zh-CN"/>
          <w14:textFill>
            <w14:solidFill>
              <w14:schemeClr w14:val="tx1"/>
            </w14:solidFill>
          </w14:textFill>
        </w:rPr>
        <w:t>粪污</w:t>
      </w:r>
      <w:r>
        <w:rPr>
          <w:rFonts w:hint="default" w:ascii="Times New Roman" w:hAnsi="Times New Roman" w:eastAsia="宋体" w:cs="Times New Roman"/>
          <w:color w:val="000000" w:themeColor="text1"/>
          <w14:textFill>
            <w14:solidFill>
              <w14:schemeClr w14:val="tx1"/>
            </w14:solidFill>
          </w14:textFill>
        </w:rPr>
        <w:t>由管道输送到氧化塘储存。</w:t>
      </w:r>
      <w:r>
        <w:rPr>
          <w:rFonts w:hint="default" w:ascii="Times New Roman" w:hAnsi="Times New Roman" w:eastAsia="宋体" w:cs="Times New Roman"/>
          <w:color w:val="000000" w:themeColor="text1"/>
          <w:lang w:eastAsia="zh-CN"/>
          <w14:textFill>
            <w14:solidFill>
              <w14:schemeClr w14:val="tx1"/>
            </w14:solidFill>
          </w14:textFill>
        </w:rPr>
        <w:t>粪污</w:t>
      </w:r>
      <w:r>
        <w:rPr>
          <w:rFonts w:hint="default" w:ascii="Times New Roman" w:hAnsi="Times New Roman" w:eastAsia="宋体" w:cs="Times New Roman"/>
          <w:color w:val="000000" w:themeColor="text1"/>
          <w14:textFill>
            <w14:solidFill>
              <w14:schemeClr w14:val="tx1"/>
            </w14:solidFill>
          </w14:textFill>
        </w:rPr>
        <w:t>在耕作施肥期用于配套消纳地的综合利用，在非耕作期于场内氧化塘中暂存，不外排。</w:t>
      </w:r>
      <w:r>
        <w:rPr>
          <w:rFonts w:hint="eastAsia" w:cs="Times New Roman"/>
          <w:color w:val="000000" w:themeColor="text1"/>
          <w:lang w:eastAsia="zh-CN"/>
          <w14:textFill>
            <w14:solidFill>
              <w14:schemeClr w14:val="tx1"/>
            </w14:solidFill>
          </w14:textFill>
        </w:rPr>
        <w:t>粪渣</w:t>
      </w:r>
      <w:r>
        <w:rPr>
          <w:rFonts w:hint="default" w:ascii="Times New Roman" w:hAnsi="Times New Roman" w:eastAsia="宋体" w:cs="Times New Roman"/>
          <w:color w:val="000000" w:themeColor="text1"/>
          <w14:textFill>
            <w14:solidFill>
              <w14:schemeClr w14:val="tx1"/>
            </w14:solidFill>
          </w14:textFill>
        </w:rPr>
        <w:t>运至牛粪堆肥车间堆肥，因此，不属于污染物。本项目配套土地1000亩，可以实现肥料化利用。</w:t>
      </w:r>
    </w:p>
    <w:p w14:paraId="633A95E4">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本项目采用全混合氧化塘、中温发酵方式。厌氧发酵采用全混合厌氧消化池发酵工艺，全混合消化池又称传统或常规消化池，废水定期或连续进入池中．经消化的污泥和废水分别由消化池底和上部排出，废水进行厌氧消化后，</w:t>
      </w:r>
      <w:r>
        <w:rPr>
          <w:rFonts w:hint="eastAsia" w:cs="Times New Roman"/>
          <w:color w:val="000000" w:themeColor="text1"/>
          <w:lang w:val="en-US" w:eastAsia="zh-CN"/>
          <w14:textFill>
            <w14:solidFill>
              <w14:schemeClr w14:val="tx1"/>
            </w14:solidFill>
          </w14:textFill>
        </w:rPr>
        <w:t>粪</w:t>
      </w:r>
      <w:r>
        <w:rPr>
          <w:rFonts w:hint="default" w:ascii="Times New Roman" w:hAnsi="Times New Roman" w:eastAsia="宋体" w:cs="Times New Roman"/>
          <w:color w:val="000000" w:themeColor="text1"/>
          <w14:textFill>
            <w14:solidFill>
              <w14:schemeClr w14:val="tx1"/>
            </w14:solidFill>
          </w14:textFill>
        </w:rPr>
        <w:t>渣、</w:t>
      </w:r>
      <w:r>
        <w:rPr>
          <w:rFonts w:hint="default" w:ascii="Times New Roman" w:hAnsi="Times New Roman" w:eastAsia="宋体" w:cs="Times New Roman"/>
          <w:color w:val="000000" w:themeColor="text1"/>
          <w:lang w:eastAsia="zh-CN"/>
          <w14:textFill>
            <w14:solidFill>
              <w14:schemeClr w14:val="tx1"/>
            </w14:solidFill>
          </w14:textFill>
        </w:rPr>
        <w:t>粪污</w:t>
      </w:r>
      <w:r>
        <w:rPr>
          <w:rFonts w:hint="default" w:ascii="Times New Roman" w:hAnsi="Times New Roman" w:eastAsia="宋体" w:cs="Times New Roman"/>
          <w:color w:val="000000" w:themeColor="text1"/>
          <w14:textFill>
            <w14:solidFill>
              <w14:schemeClr w14:val="tx1"/>
            </w14:solidFill>
          </w14:textFill>
        </w:rPr>
        <w:t>经平板滤池过滤脱水，分离的</w:t>
      </w:r>
      <w:r>
        <w:rPr>
          <w:rFonts w:hint="eastAsia" w:cs="Times New Roman"/>
          <w:color w:val="000000" w:themeColor="text1"/>
          <w:lang w:val="en-US" w:eastAsia="zh-CN"/>
          <w14:textFill>
            <w14:solidFill>
              <w14:schemeClr w14:val="tx1"/>
            </w14:solidFill>
          </w14:textFill>
        </w:rPr>
        <w:t>粪</w:t>
      </w:r>
      <w:r>
        <w:rPr>
          <w:rFonts w:hint="default" w:ascii="Times New Roman" w:hAnsi="Times New Roman" w:eastAsia="宋体" w:cs="Times New Roman"/>
          <w:color w:val="000000" w:themeColor="text1"/>
          <w14:textFill>
            <w14:solidFill>
              <w14:schemeClr w14:val="tx1"/>
            </w14:solidFill>
          </w14:textFill>
        </w:rPr>
        <w:t>渣生产堆肥，分离的</w:t>
      </w:r>
      <w:r>
        <w:rPr>
          <w:rFonts w:hint="default" w:ascii="Times New Roman" w:hAnsi="Times New Roman" w:eastAsia="宋体" w:cs="Times New Roman"/>
          <w:color w:val="000000" w:themeColor="text1"/>
          <w:lang w:eastAsia="zh-CN"/>
          <w14:textFill>
            <w14:solidFill>
              <w14:schemeClr w14:val="tx1"/>
            </w14:solidFill>
          </w14:textFill>
        </w:rPr>
        <w:t>粪污</w:t>
      </w:r>
      <w:r>
        <w:rPr>
          <w:rFonts w:hint="default" w:ascii="Times New Roman" w:hAnsi="Times New Roman" w:eastAsia="宋体" w:cs="Times New Roman"/>
          <w:color w:val="000000" w:themeColor="text1"/>
          <w14:textFill>
            <w14:solidFill>
              <w14:schemeClr w14:val="tx1"/>
            </w14:solidFill>
          </w14:textFill>
        </w:rPr>
        <w:t>流入贮存池，部分</w:t>
      </w:r>
      <w:r>
        <w:rPr>
          <w:rFonts w:hint="default" w:ascii="Times New Roman" w:hAnsi="Times New Roman" w:eastAsia="宋体" w:cs="Times New Roman"/>
          <w:color w:val="000000" w:themeColor="text1"/>
          <w:lang w:eastAsia="zh-CN"/>
          <w14:textFill>
            <w14:solidFill>
              <w14:schemeClr w14:val="tx1"/>
            </w14:solidFill>
          </w14:textFill>
        </w:rPr>
        <w:t>粪污</w:t>
      </w:r>
      <w:r>
        <w:rPr>
          <w:rFonts w:hint="default" w:ascii="Times New Roman" w:hAnsi="Times New Roman" w:eastAsia="宋体" w:cs="Times New Roman"/>
          <w:color w:val="000000" w:themeColor="text1"/>
          <w14:textFill>
            <w14:solidFill>
              <w14:schemeClr w14:val="tx1"/>
            </w14:solidFill>
          </w14:textFill>
        </w:rPr>
        <w:t>回流进集水池，其余部分作为液体堆肥用于周边农田。项目采用的粪污处置工艺满足《畜禽养殖业污染治理工程技术规范》（HJ497-2009）有关规定，工艺可行。</w:t>
      </w:r>
    </w:p>
    <w:p w14:paraId="72839A10">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fldChar w:fldCharType="begin"/>
      </w:r>
      <w:r>
        <w:rPr>
          <w:rFonts w:hint="default" w:ascii="Times New Roman" w:hAnsi="Times New Roman" w:eastAsia="宋体" w:cs="Times New Roman"/>
          <w:color w:val="000000" w:themeColor="text1"/>
          <w14:textFill>
            <w14:solidFill>
              <w14:schemeClr w14:val="tx1"/>
            </w14:solidFill>
          </w14:textFill>
        </w:rPr>
        <w:instrText xml:space="preserve"> HYPERLINK "file:///C:\\Users\\Administrator\\Desktop\\科右前旗现代农牧业园区核心育种场养殖项目-修改稿\\6.2.2.3" </w:instrText>
      </w:r>
      <w:r>
        <w:rPr>
          <w:rFonts w:hint="default" w:ascii="Times New Roman" w:hAnsi="Times New Roman" w:eastAsia="宋体" w:cs="Times New Roman"/>
          <w:color w:val="000000" w:themeColor="text1"/>
          <w14:textFill>
            <w14:solidFill>
              <w14:schemeClr w14:val="tx1"/>
            </w14:solidFill>
          </w14:textFill>
        </w:rPr>
        <w:fldChar w:fldCharType="separate"/>
      </w:r>
      <w:r>
        <w:rPr>
          <w:rFonts w:hint="default" w:ascii="Times New Roman" w:hAnsi="Times New Roman" w:eastAsia="宋体" w:cs="Times New Roman"/>
          <w:color w:val="000000" w:themeColor="text1"/>
          <w14:textFill>
            <w14:solidFill>
              <w14:schemeClr w14:val="tx1"/>
            </w14:solidFill>
          </w14:textFill>
        </w:rPr>
        <w:t>7.2.2.3</w:t>
      </w:r>
      <w:r>
        <w:rPr>
          <w:rFonts w:hint="default" w:ascii="Times New Roman" w:hAnsi="Times New Roman" w:eastAsia="宋体" w:cs="Times New Roman"/>
          <w:color w:val="000000" w:themeColor="text1"/>
          <w14:textFill>
            <w14:solidFill>
              <w14:schemeClr w14:val="tx1"/>
            </w14:solidFill>
          </w14:textFill>
        </w:rPr>
        <w:fldChar w:fldCharType="end"/>
      </w:r>
      <w:r>
        <w:rPr>
          <w:rFonts w:hint="default" w:ascii="Times New Roman" w:hAnsi="Times New Roman" w:eastAsia="宋体" w:cs="Times New Roman"/>
          <w:color w:val="000000" w:themeColor="text1"/>
          <w14:textFill>
            <w14:solidFill>
              <w14:schemeClr w14:val="tx1"/>
            </w14:solidFill>
          </w14:textFill>
        </w:rPr>
        <w:t>肥水综合利用可行性分析</w:t>
      </w:r>
    </w:p>
    <w:p w14:paraId="29C4920D">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根据国内外大量实验研究及实际运用表明，尤其是养殖废水不仅含有作物所需丰富的N、P、K等大量元素外，还含有硼、铜、铁、锰、钙、锌等中微量元素，以及大量的有机质、多种氨基酸和维生素等。施用养殖废水，不仅能显著改良土壤、增加作物产量、确保农作物生长所需要的良好微生态系还有利于增强其抗冻、抗旱、抗虫能力。因此养殖废水是一种非常理想的液态肥料。对养殖废水进行农田利用总体是可行的。</w:t>
      </w:r>
    </w:p>
    <w:p w14:paraId="69830A38">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本项目</w:t>
      </w:r>
      <w:r>
        <w:rPr>
          <w:rFonts w:hint="default" w:ascii="Times New Roman" w:hAnsi="Times New Roman" w:eastAsia="宋体" w:cs="Times New Roman"/>
          <w:color w:val="000000" w:themeColor="text1"/>
          <w:lang w:eastAsia="zh-CN"/>
          <w14:textFill>
            <w14:solidFill>
              <w14:schemeClr w14:val="tx1"/>
            </w14:solidFill>
          </w14:textFill>
        </w:rPr>
        <w:t>粪污</w:t>
      </w:r>
      <w:r>
        <w:rPr>
          <w:rFonts w:hint="default" w:ascii="Times New Roman" w:hAnsi="Times New Roman" w:eastAsia="宋体" w:cs="Times New Roman"/>
          <w:color w:val="000000" w:themeColor="text1"/>
          <w14:textFill>
            <w14:solidFill>
              <w14:schemeClr w14:val="tx1"/>
            </w14:solidFill>
          </w14:textFill>
        </w:rPr>
        <w:t>在耕作施肥期用于配套消纳地的综合利用，在非耕作期于场内</w:t>
      </w:r>
      <w:r>
        <w:rPr>
          <w:rFonts w:hint="default" w:ascii="Times New Roman" w:hAnsi="Times New Roman" w:eastAsia="宋体" w:cs="Times New Roman"/>
          <w:color w:val="000000" w:themeColor="text1"/>
          <w:lang w:eastAsia="zh-CN"/>
          <w14:textFill>
            <w14:solidFill>
              <w14:schemeClr w14:val="tx1"/>
            </w14:solidFill>
          </w14:textFill>
        </w:rPr>
        <w:t>粪污</w:t>
      </w:r>
      <w:r>
        <w:rPr>
          <w:rFonts w:hint="default" w:ascii="Times New Roman" w:hAnsi="Times New Roman" w:eastAsia="宋体" w:cs="Times New Roman"/>
          <w:color w:val="000000" w:themeColor="text1"/>
          <w14:textFill>
            <w14:solidFill>
              <w14:schemeClr w14:val="tx1"/>
            </w14:solidFill>
          </w14:textFill>
        </w:rPr>
        <w:t>储存池中暂存。</w:t>
      </w:r>
    </w:p>
    <w:p w14:paraId="3884DE5A">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项目运营产生的</w:t>
      </w:r>
      <w:r>
        <w:rPr>
          <w:rFonts w:hint="eastAsia" w:cs="Times New Roman"/>
          <w:color w:val="000000" w:themeColor="text1"/>
          <w:lang w:val="en-US" w:eastAsia="zh-CN"/>
          <w14:textFill>
            <w14:solidFill>
              <w14:schemeClr w14:val="tx1"/>
            </w14:solidFill>
          </w14:textFill>
        </w:rPr>
        <w:t>粪</w:t>
      </w:r>
      <w:r>
        <w:rPr>
          <w:rFonts w:hint="default" w:ascii="Times New Roman" w:hAnsi="Times New Roman" w:eastAsia="宋体" w:cs="Times New Roman"/>
          <w:color w:val="000000" w:themeColor="text1"/>
          <w14:textFill>
            <w14:solidFill>
              <w14:schemeClr w14:val="tx1"/>
            </w14:solidFill>
          </w14:textFill>
        </w:rPr>
        <w:t>水施用于周边农田，具体使用方法及要求如下：</w:t>
      </w:r>
    </w:p>
    <w:p w14:paraId="0B7AD8FA">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①项目养殖废水必须经发酵后才能施用，不可直接用于农业生产。</w:t>
      </w:r>
    </w:p>
    <w:p w14:paraId="77F1BA93">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②由于土地利用存在季节性，故本项目设有容积</w:t>
      </w:r>
      <w:r>
        <w:rPr>
          <w:rFonts w:hint="eastAsia" w:cs="Times New Roman"/>
          <w:color w:val="000000" w:themeColor="text1"/>
          <w:lang w:val="en-US" w:eastAsia="zh-CN"/>
          <w14:textFill>
            <w14:solidFill>
              <w14:schemeClr w14:val="tx1"/>
            </w14:solidFill>
          </w14:textFill>
        </w:rPr>
        <w:t>9</w:t>
      </w:r>
      <w:r>
        <w:rPr>
          <w:rFonts w:hint="default" w:ascii="Times New Roman" w:hAnsi="Times New Roman" w:eastAsia="宋体" w:cs="Times New Roman"/>
          <w:color w:val="000000" w:themeColor="text1"/>
          <w14:textFill>
            <w14:solidFill>
              <w14:schemeClr w14:val="tx1"/>
            </w14:solidFill>
          </w14:textFill>
        </w:rPr>
        <w:t>000m</w:t>
      </w:r>
      <w:r>
        <w:rPr>
          <w:rFonts w:hint="default" w:ascii="Times New Roman" w:hAnsi="Times New Roman" w:eastAsia="宋体" w:cs="Times New Roman"/>
          <w:color w:val="000000" w:themeColor="text1"/>
          <w:vertAlign w:val="superscript"/>
          <w14:textFill>
            <w14:solidFill>
              <w14:schemeClr w14:val="tx1"/>
            </w14:solidFill>
          </w14:textFill>
        </w:rPr>
        <w:t>3</w:t>
      </w:r>
      <w:r>
        <w:rPr>
          <w:rFonts w:hint="default" w:ascii="Times New Roman" w:hAnsi="Times New Roman" w:eastAsia="宋体" w:cs="Times New Roman"/>
          <w:color w:val="000000" w:themeColor="text1"/>
          <w14:textFill>
            <w14:solidFill>
              <w14:schemeClr w14:val="tx1"/>
            </w14:solidFill>
          </w14:textFill>
        </w:rPr>
        <w:t>氧化塘，可同时储存180天的</w:t>
      </w:r>
      <w:r>
        <w:rPr>
          <w:rFonts w:hint="default" w:ascii="Times New Roman" w:hAnsi="Times New Roman" w:eastAsia="宋体" w:cs="Times New Roman"/>
          <w:color w:val="000000" w:themeColor="text1"/>
          <w:lang w:eastAsia="zh-CN"/>
          <w14:textFill>
            <w14:solidFill>
              <w14:schemeClr w14:val="tx1"/>
            </w14:solidFill>
          </w14:textFill>
        </w:rPr>
        <w:t>粪污</w:t>
      </w:r>
      <w:r>
        <w:rPr>
          <w:rFonts w:hint="default" w:ascii="Times New Roman" w:hAnsi="Times New Roman" w:eastAsia="宋体" w:cs="Times New Roman"/>
          <w:color w:val="000000" w:themeColor="text1"/>
          <w14:textFill>
            <w14:solidFill>
              <w14:schemeClr w14:val="tx1"/>
            </w14:solidFill>
          </w14:textFill>
        </w:rPr>
        <w:t>，并在相应的符合条件的消纳地铺设</w:t>
      </w:r>
      <w:r>
        <w:rPr>
          <w:rFonts w:hint="default" w:ascii="Times New Roman" w:hAnsi="Times New Roman" w:eastAsia="宋体" w:cs="Times New Roman"/>
          <w:color w:val="000000" w:themeColor="text1"/>
          <w:lang w:eastAsia="zh-CN"/>
          <w14:textFill>
            <w14:solidFill>
              <w14:schemeClr w14:val="tx1"/>
            </w14:solidFill>
          </w14:textFill>
        </w:rPr>
        <w:t>粪污</w:t>
      </w:r>
      <w:r>
        <w:rPr>
          <w:rFonts w:hint="default" w:ascii="Times New Roman" w:hAnsi="Times New Roman" w:eastAsia="宋体" w:cs="Times New Roman"/>
          <w:color w:val="000000" w:themeColor="text1"/>
          <w14:textFill>
            <w14:solidFill>
              <w14:schemeClr w14:val="tx1"/>
            </w14:solidFill>
          </w14:textFill>
        </w:rPr>
        <w:t>施肥主要管网，在施肥季节通过铺设好的管网将</w:t>
      </w:r>
      <w:r>
        <w:rPr>
          <w:rFonts w:hint="default" w:ascii="Times New Roman" w:hAnsi="Times New Roman" w:eastAsia="宋体" w:cs="Times New Roman"/>
          <w:color w:val="000000" w:themeColor="text1"/>
          <w:lang w:eastAsia="zh-CN"/>
          <w14:textFill>
            <w14:solidFill>
              <w14:schemeClr w14:val="tx1"/>
            </w14:solidFill>
          </w14:textFill>
        </w:rPr>
        <w:t>粪污</w:t>
      </w:r>
      <w:r>
        <w:rPr>
          <w:rFonts w:hint="default" w:ascii="Times New Roman" w:hAnsi="Times New Roman" w:eastAsia="宋体" w:cs="Times New Roman"/>
          <w:color w:val="000000" w:themeColor="text1"/>
          <w14:textFill>
            <w14:solidFill>
              <w14:schemeClr w14:val="tx1"/>
            </w14:solidFill>
          </w14:textFill>
        </w:rPr>
        <w:t>输送至消纳地。</w:t>
      </w:r>
    </w:p>
    <w:p w14:paraId="6B3D9B4C">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③当</w:t>
      </w:r>
      <w:r>
        <w:rPr>
          <w:rFonts w:hint="eastAsia" w:cs="Times New Roman"/>
          <w:color w:val="000000" w:themeColor="text1"/>
          <w:lang w:val="en-US" w:eastAsia="zh-CN"/>
          <w14:textFill>
            <w14:solidFill>
              <w14:schemeClr w14:val="tx1"/>
            </w14:solidFill>
          </w14:textFill>
        </w:rPr>
        <w:t>粪</w:t>
      </w:r>
      <w:r>
        <w:rPr>
          <w:rFonts w:hint="default" w:ascii="Times New Roman" w:hAnsi="Times New Roman" w:eastAsia="宋体" w:cs="Times New Roman"/>
          <w:color w:val="000000" w:themeColor="text1"/>
          <w14:textFill>
            <w14:solidFill>
              <w14:schemeClr w14:val="tx1"/>
            </w14:solidFill>
          </w14:textFill>
        </w:rPr>
        <w:t>水作为基肥施入田地后，应及时进行翻耕或覆土，防止农田施肥不匀引起的地下水污染问题。</w:t>
      </w:r>
    </w:p>
    <w:p w14:paraId="0AC1C982">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④合理安排使用时间，避免雨天施用。</w:t>
      </w:r>
    </w:p>
    <w:p w14:paraId="2681EC48">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⑤安排专人负责施肥前对</w:t>
      </w:r>
      <w:r>
        <w:rPr>
          <w:rFonts w:hint="default" w:ascii="Times New Roman" w:hAnsi="Times New Roman" w:eastAsia="宋体" w:cs="Times New Roman"/>
          <w:color w:val="000000" w:themeColor="text1"/>
          <w:lang w:eastAsia="zh-CN"/>
          <w14:textFill>
            <w14:solidFill>
              <w14:schemeClr w14:val="tx1"/>
            </w14:solidFill>
          </w14:textFill>
        </w:rPr>
        <w:t>粪污</w:t>
      </w:r>
      <w:r>
        <w:rPr>
          <w:rFonts w:hint="default" w:ascii="Times New Roman" w:hAnsi="Times New Roman" w:eastAsia="宋体" w:cs="Times New Roman"/>
          <w:color w:val="000000" w:themeColor="text1"/>
          <w14:textFill>
            <w14:solidFill>
              <w14:schemeClr w14:val="tx1"/>
            </w14:solidFill>
          </w14:textFill>
        </w:rPr>
        <w:t>输送管线进行巡查检修，定期对输送泵等设备进行维护；在施肥时各施肥单元需有专人进行监督并记录施肥时间和施肥量，并归档。</w:t>
      </w:r>
    </w:p>
    <w:p w14:paraId="3AFD3F38">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通过采取上述模式，从污染治理角度分析，本项目所采取的的工程措施符合《禽畜养殖业污染治理工程技术规范》（HJ497-2009）要求，技术上是可行的。</w:t>
      </w:r>
    </w:p>
    <w:p w14:paraId="36041DA7">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本项目处理技术符合《畜禽粪便无害化处理技术规范》（GB/T36195-2018）中“7.2.1液态畜禽粪便宜采用氧化塘贮存后进行农田利用，或采用固液分离、厌氧发酵、好氧或其他生物处理等单一或组合技术进行无害化处理。”的要求。</w:t>
      </w:r>
    </w:p>
    <w:p w14:paraId="5C883C2E">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fldChar w:fldCharType="begin"/>
      </w:r>
      <w:r>
        <w:rPr>
          <w:rFonts w:hint="default" w:ascii="Times New Roman" w:hAnsi="Times New Roman" w:eastAsia="宋体" w:cs="Times New Roman"/>
          <w:color w:val="000000" w:themeColor="text1"/>
          <w14:textFill>
            <w14:solidFill>
              <w14:schemeClr w14:val="tx1"/>
            </w14:solidFill>
          </w14:textFill>
        </w:rPr>
        <w:instrText xml:space="preserve"> HYPERLINK "file:///C:\\Users\\Administrator\\Desktop\\科右前旗现代农牧业园区核心育种场养殖项目-修改稿\\6.2.2.4" </w:instrText>
      </w:r>
      <w:r>
        <w:rPr>
          <w:rFonts w:hint="default" w:ascii="Times New Roman" w:hAnsi="Times New Roman" w:eastAsia="宋体" w:cs="Times New Roman"/>
          <w:color w:val="000000" w:themeColor="text1"/>
          <w14:textFill>
            <w14:solidFill>
              <w14:schemeClr w14:val="tx1"/>
            </w14:solidFill>
          </w14:textFill>
        </w:rPr>
        <w:fldChar w:fldCharType="separate"/>
      </w:r>
      <w:r>
        <w:rPr>
          <w:rFonts w:hint="default" w:ascii="Times New Roman" w:hAnsi="Times New Roman" w:eastAsia="宋体" w:cs="Times New Roman"/>
          <w:color w:val="000000" w:themeColor="text1"/>
          <w14:textFill>
            <w14:solidFill>
              <w14:schemeClr w14:val="tx1"/>
            </w14:solidFill>
          </w14:textFill>
        </w:rPr>
        <w:t>7.2.2.4</w:t>
      </w:r>
      <w:r>
        <w:rPr>
          <w:rFonts w:hint="default" w:ascii="Times New Roman" w:hAnsi="Times New Roman" w:eastAsia="宋体" w:cs="Times New Roman"/>
          <w:color w:val="000000" w:themeColor="text1"/>
          <w14:textFill>
            <w14:solidFill>
              <w14:schemeClr w14:val="tx1"/>
            </w14:solidFill>
          </w14:textFill>
        </w:rPr>
        <w:fldChar w:fldCharType="end"/>
      </w:r>
      <w:r>
        <w:rPr>
          <w:rFonts w:hint="default" w:ascii="Times New Roman" w:hAnsi="Times New Roman" w:eastAsia="宋体" w:cs="Times New Roman"/>
          <w:color w:val="000000" w:themeColor="text1"/>
          <w14:textFill>
            <w14:solidFill>
              <w14:schemeClr w14:val="tx1"/>
            </w14:solidFill>
          </w14:textFill>
        </w:rPr>
        <w:t>资源利用可行性</w:t>
      </w:r>
    </w:p>
    <w:p w14:paraId="2DA3DB1E">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根据《畜禽养殖业污染防治技术规范》（HJ/T81-2001）要求，畜禽养殖过程中产生的污水应坚持种养结合的原则，经无害化处理后尽量充分还田。故本环评结合养殖场所在区域环境及农林经济发展水平，对养殖污水实行“肥水归田”的资源化利用可行性做如下分析论证：</w:t>
      </w:r>
    </w:p>
    <w:p w14:paraId="0EFD3788">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根据《畜禽粪污土地承载力测算技术指南》测算原则，畜禽粪污土地承载力及规模养殖场配套土地面积测算以粪肥氮养分供给和植物氮养分需求为基础进行核算，对于设施蔬菜等作物为主或土壤本底值磷含量较高的特殊区域或农用地，可选择以磷为基础进行测算。项目土壤本底值磷含量较低，因此采用粪肥氮养分供给和植物氮养分需求为基础对消纳农田进行测算。</w:t>
      </w:r>
    </w:p>
    <w:p w14:paraId="0293803C">
      <w:pPr>
        <w:keepNext w:val="0"/>
        <w:keepLines w:val="0"/>
        <w:pageBreakBefore w:val="0"/>
        <w:widowControl w:val="0"/>
        <w:kinsoku/>
        <w:wordWrap/>
        <w:overflowPunct/>
        <w:topLinePunct w:val="0"/>
        <w:autoSpaceDE/>
        <w:autoSpaceDN/>
        <w:bidi w:val="0"/>
        <w:adjustRightInd/>
        <w:snapToGrid/>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color w:val="000000" w:themeColor="text1"/>
          <w14:textFill>
            <w14:solidFill>
              <w14:schemeClr w14:val="tx1"/>
            </w14:solidFill>
          </w14:textFill>
        </w:rPr>
        <w:t>规模养殖场配套土地面积等于规模养殖场粪肥养分供给</w:t>
      </w:r>
      <w:r>
        <w:rPr>
          <w:rFonts w:hint="default" w:ascii="Times New Roman" w:hAnsi="Times New Roman" w:eastAsia="宋体" w:cs="Times New Roman"/>
          <w:color w:val="000000" w:themeColor="text1"/>
          <w14:textFill>
            <w14:solidFill>
              <w14:schemeClr w14:val="tx1"/>
            </w14:solidFill>
          </w14:textFill>
        </w:rPr>
        <w:t>量（对外销售部分不计算在内）除以单位土地粪肥养分需求量。</w:t>
      </w:r>
    </w:p>
    <w:p w14:paraId="1F025182">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bookmarkStart w:id="335" w:name="_Toc14117"/>
      <w:bookmarkStart w:id="336" w:name="_Toc11576"/>
      <w:bookmarkStart w:id="337" w:name="_Toc27630"/>
      <w:r>
        <w:rPr>
          <w:rFonts w:hint="default" w:ascii="Times New Roman" w:hAnsi="Times New Roman" w:eastAsia="宋体" w:cs="Times New Roman"/>
          <w:color w:val="000000" w:themeColor="text1"/>
          <w14:textFill>
            <w14:solidFill>
              <w14:schemeClr w14:val="tx1"/>
            </w14:solidFill>
          </w14:textFill>
        </w:rPr>
        <w:t>（1）规模养殖场粪肥养分供给量</w:t>
      </w:r>
      <w:bookmarkEnd w:id="335"/>
      <w:bookmarkEnd w:id="336"/>
      <w:bookmarkEnd w:id="337"/>
    </w:p>
    <w:p w14:paraId="756C36FE">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根据规模养殖场饲养畜禽存栏量、畜禽氮排泄量、养分留存率测算，计算公式如下：</w:t>
      </w:r>
    </w:p>
    <w:p w14:paraId="62329769">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综合考虑畜禽粪污养分在收集、处理和贮存过程中的损失，单位猪当量氮养分供给量为7.0kg（1头猪为1个猪当量）。</w:t>
      </w:r>
    </w:p>
    <w:p w14:paraId="7D6F576C">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本项目固体粪便委托处置，污水氧化塘贮存或</w:t>
      </w:r>
      <w:r>
        <w:rPr>
          <w:rFonts w:hint="eastAsia" w:cs="Times New Roman"/>
          <w:color w:val="000000" w:themeColor="text1"/>
          <w:lang w:val="en-US" w:eastAsia="zh-CN"/>
          <w14:textFill>
            <w14:solidFill>
              <w14:schemeClr w14:val="tx1"/>
            </w14:solidFill>
          </w14:textFill>
        </w:rPr>
        <w:t>好</w:t>
      </w:r>
      <w:r>
        <w:rPr>
          <w:rFonts w:hint="default" w:ascii="Times New Roman" w:hAnsi="Times New Roman" w:eastAsia="宋体" w:cs="Times New Roman"/>
          <w:color w:val="000000" w:themeColor="text1"/>
          <w14:textFill>
            <w14:solidFill>
              <w14:schemeClr w14:val="tx1"/>
            </w14:solidFill>
          </w14:textFill>
        </w:rPr>
        <w:t>氧发酵后农田利用为主的，粪污收集处理过程中氮留存率推荐值62%。</w:t>
      </w:r>
    </w:p>
    <w:p w14:paraId="09AF526A">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其中：按存栏量折算1头奶牛折算成10头猪，项目存栏量（奶牛700头）按猪当量计为7000头猪；</w:t>
      </w:r>
    </w:p>
    <w:p w14:paraId="3D915F28">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本项目牛粪委托处置，粪肥养分供给量按50%计，经计算可知：粪肥养分供给量为96203.3kg。</w:t>
      </w:r>
    </w:p>
    <w:p w14:paraId="5B1B2EB6">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bookmarkStart w:id="338" w:name="_Toc1218"/>
      <w:bookmarkStart w:id="339" w:name="_Toc7591"/>
      <w:bookmarkStart w:id="340" w:name="_Toc14520"/>
      <w:r>
        <w:rPr>
          <w:rFonts w:hint="default" w:ascii="Times New Roman" w:hAnsi="Times New Roman" w:eastAsia="宋体" w:cs="Times New Roman"/>
          <w:color w:val="000000" w:themeColor="text1"/>
          <w14:textFill>
            <w14:solidFill>
              <w14:schemeClr w14:val="tx1"/>
            </w14:solidFill>
          </w14:textFill>
        </w:rPr>
        <w:t>（2）单位土地养分需求量</w:t>
      </w:r>
      <w:bookmarkEnd w:id="338"/>
      <w:bookmarkEnd w:id="339"/>
      <w:bookmarkEnd w:id="340"/>
    </w:p>
    <w:p w14:paraId="07F0CC24">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根据不同土壤肥力下，单位土地养分需求量、施肥比例、粪肥占施肥比例和粪</w:t>
      </w:r>
    </w:p>
    <w:p w14:paraId="4833DA33">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肥当季利用效率测算，计算方式如下：</w:t>
      </w:r>
    </w:p>
    <w:p w14:paraId="66EB7DA5">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其中：根据表1单位土地养分需求量取11.5kg</w:t>
      </w:r>
    </w:p>
    <w:p w14:paraId="3BA9982C">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施肥供给养分占比取45%，</w:t>
      </w:r>
    </w:p>
    <w:p w14:paraId="6D1E7441">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粪肥占施肥比例取50%，</w:t>
      </w:r>
    </w:p>
    <w:p w14:paraId="752AC546">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根据当地实际情况，粪肥中氮素当季利用率取值范围推荐值为25%。</w:t>
      </w:r>
    </w:p>
    <w:p w14:paraId="3BCAD05E">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经计算可知：单位土地粪肥养分需求量为10.35kg。</w:t>
      </w:r>
    </w:p>
    <w:p w14:paraId="3946DD5C">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bookmarkStart w:id="341" w:name="_Toc9146"/>
      <w:bookmarkStart w:id="342" w:name="_Toc32277"/>
      <w:bookmarkStart w:id="343" w:name="_Toc10270"/>
      <w:r>
        <w:rPr>
          <w:rFonts w:hint="default" w:ascii="Times New Roman" w:hAnsi="Times New Roman" w:eastAsia="宋体" w:cs="Times New Roman"/>
          <w:color w:val="000000" w:themeColor="text1"/>
          <w14:textFill>
            <w14:solidFill>
              <w14:schemeClr w14:val="tx1"/>
            </w14:solidFill>
          </w14:textFill>
        </w:rPr>
        <w:t>（3）本项目应配套土地面积测算</w:t>
      </w:r>
      <w:bookmarkEnd w:id="341"/>
      <w:bookmarkEnd w:id="342"/>
      <w:bookmarkEnd w:id="343"/>
    </w:p>
    <w:p w14:paraId="04FE8B8E">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兴安盟耕作种植为一年一熟，常年以玉米种植为主，玉米产量约500kg/亩。根据《农业部办公厅关于印发&lt;畜禽粪污土地承载力测算技术指南&gt;的通知》，每100kg玉米需要氮/N2.3kg，项目粪肥养分供给量为96203.3kg（以氮为基础），项目配套土地面积按照粪肥养分供给量除以单位土地粪肥养分需求量得出，经计算规模养殖场配套土地面积应为亩。</w:t>
      </w:r>
    </w:p>
    <w:p w14:paraId="6CA60972">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根据建设单位提供资料，建设单位利用土地1</w:t>
      </w:r>
      <w:r>
        <w:rPr>
          <w:rFonts w:hint="eastAsia" w:cs="Times New Roman"/>
          <w:color w:val="000000" w:themeColor="text1"/>
          <w:lang w:val="en-US" w:eastAsia="zh-CN"/>
          <w14:textFill>
            <w14:solidFill>
              <w14:schemeClr w14:val="tx1"/>
            </w14:solidFill>
          </w14:textFill>
        </w:rPr>
        <w:t>0</w:t>
      </w:r>
      <w:r>
        <w:rPr>
          <w:rFonts w:hint="default" w:ascii="Times New Roman" w:hAnsi="Times New Roman" w:eastAsia="宋体" w:cs="Times New Roman"/>
          <w:color w:val="000000" w:themeColor="text1"/>
          <w14:textFill>
            <w14:solidFill>
              <w14:schemeClr w14:val="tx1"/>
            </w14:solidFill>
          </w14:textFill>
        </w:rPr>
        <w:t>00亩消纳项目产生的</w:t>
      </w:r>
      <w:r>
        <w:rPr>
          <w:rFonts w:hint="default" w:ascii="Times New Roman" w:hAnsi="Times New Roman" w:eastAsia="宋体" w:cs="Times New Roman"/>
          <w:color w:val="000000" w:themeColor="text1"/>
          <w:lang w:eastAsia="zh-CN"/>
          <w14:textFill>
            <w14:solidFill>
              <w14:schemeClr w14:val="tx1"/>
            </w14:solidFill>
          </w14:textFill>
        </w:rPr>
        <w:t>粪污</w:t>
      </w:r>
      <w:r>
        <w:rPr>
          <w:rFonts w:hint="default" w:ascii="Times New Roman" w:hAnsi="Times New Roman" w:eastAsia="宋体" w:cs="Times New Roman"/>
          <w:color w:val="000000" w:themeColor="text1"/>
          <w14:textFill>
            <w14:solidFill>
              <w14:schemeClr w14:val="tx1"/>
            </w14:solidFill>
          </w14:textFill>
        </w:rPr>
        <w:t>。施肥区由当地农民根据需要自己种植作物，公司负责无偿将</w:t>
      </w:r>
      <w:r>
        <w:rPr>
          <w:rFonts w:hint="default" w:ascii="Times New Roman" w:hAnsi="Times New Roman" w:eastAsia="宋体" w:cs="Times New Roman"/>
          <w:color w:val="000000" w:themeColor="text1"/>
          <w:lang w:eastAsia="zh-CN"/>
          <w14:textFill>
            <w14:solidFill>
              <w14:schemeClr w14:val="tx1"/>
            </w14:solidFill>
          </w14:textFill>
        </w:rPr>
        <w:t>粪污</w:t>
      </w:r>
      <w:r>
        <w:rPr>
          <w:rFonts w:hint="default" w:ascii="Times New Roman" w:hAnsi="Times New Roman" w:eastAsia="宋体" w:cs="Times New Roman"/>
          <w:color w:val="000000" w:themeColor="text1"/>
          <w14:textFill>
            <w14:solidFill>
              <w14:schemeClr w14:val="tx1"/>
            </w14:solidFill>
          </w14:textFill>
        </w:rPr>
        <w:t>输送至田间地头，养殖场附近土地采用管道输送，并定期派出管理和技术人员指导农户合理施用</w:t>
      </w:r>
      <w:r>
        <w:rPr>
          <w:rFonts w:hint="default" w:ascii="Times New Roman" w:hAnsi="Times New Roman" w:eastAsia="宋体" w:cs="Times New Roman"/>
          <w:color w:val="000000" w:themeColor="text1"/>
          <w:lang w:eastAsia="zh-CN"/>
          <w14:textFill>
            <w14:solidFill>
              <w14:schemeClr w14:val="tx1"/>
            </w14:solidFill>
          </w14:textFill>
        </w:rPr>
        <w:t>粪污</w:t>
      </w:r>
      <w:r>
        <w:rPr>
          <w:rFonts w:hint="default" w:ascii="Times New Roman" w:hAnsi="Times New Roman" w:eastAsia="宋体" w:cs="Times New Roman"/>
          <w:color w:val="000000" w:themeColor="text1"/>
          <w14:textFill>
            <w14:solidFill>
              <w14:schemeClr w14:val="tx1"/>
            </w14:solidFill>
          </w14:textFill>
        </w:rPr>
        <w:t>。</w:t>
      </w:r>
    </w:p>
    <w:p w14:paraId="6CAD4814">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根据《畜禽粪污土地承载力测算技术指南》（农办牧[2018]1号）计算需消纳区面积为875亩。项目区周边有土地1</w:t>
      </w:r>
      <w:r>
        <w:rPr>
          <w:rFonts w:hint="eastAsia" w:cs="Times New Roman"/>
          <w:color w:val="000000" w:themeColor="text1"/>
          <w:lang w:val="en-US" w:eastAsia="zh-CN"/>
          <w14:textFill>
            <w14:solidFill>
              <w14:schemeClr w14:val="tx1"/>
            </w14:solidFill>
          </w14:textFill>
        </w:rPr>
        <w:t>0</w:t>
      </w:r>
      <w:r>
        <w:rPr>
          <w:rFonts w:hint="default" w:ascii="Times New Roman" w:hAnsi="Times New Roman" w:eastAsia="宋体" w:cs="Times New Roman"/>
          <w:color w:val="000000" w:themeColor="text1"/>
          <w14:textFill>
            <w14:solidFill>
              <w14:schemeClr w14:val="tx1"/>
            </w14:solidFill>
          </w14:textFill>
        </w:rPr>
        <w:t>00亩，因此可完全消纳本项目粪肥。</w:t>
      </w:r>
    </w:p>
    <w:p w14:paraId="72310A0C">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bookmarkStart w:id="344" w:name="_Toc14283"/>
      <w:bookmarkStart w:id="345" w:name="_Toc13551"/>
      <w:r>
        <w:rPr>
          <w:rFonts w:hint="default" w:ascii="Times New Roman" w:hAnsi="Times New Roman" w:eastAsia="宋体" w:cs="Times New Roman"/>
          <w:color w:val="000000" w:themeColor="text1"/>
          <w14:textFill>
            <w14:solidFill>
              <w14:schemeClr w14:val="tx1"/>
            </w14:solidFill>
          </w14:textFill>
        </w:rPr>
        <w:fldChar w:fldCharType="begin"/>
      </w:r>
      <w:r>
        <w:rPr>
          <w:rFonts w:hint="default" w:ascii="Times New Roman" w:hAnsi="Times New Roman" w:eastAsia="宋体" w:cs="Times New Roman"/>
          <w:color w:val="000000" w:themeColor="text1"/>
          <w14:textFill>
            <w14:solidFill>
              <w14:schemeClr w14:val="tx1"/>
            </w14:solidFill>
          </w14:textFill>
        </w:rPr>
        <w:instrText xml:space="preserve">HYPERLINK "C:\\Users\\Administrator\\Desktop\\科右前旗现代农牧业园区核心育种场养殖项目-修改稿\\6.2.2.5"</w:instrText>
      </w:r>
      <w:r>
        <w:rPr>
          <w:rFonts w:hint="default" w:ascii="Times New Roman" w:hAnsi="Times New Roman" w:eastAsia="宋体" w:cs="Times New Roman"/>
          <w:color w:val="000000" w:themeColor="text1"/>
          <w14:textFill>
            <w14:solidFill>
              <w14:schemeClr w14:val="tx1"/>
            </w14:solidFill>
          </w14:textFill>
        </w:rPr>
        <w:fldChar w:fldCharType="separate"/>
      </w:r>
      <w:r>
        <w:rPr>
          <w:rFonts w:hint="default" w:ascii="Times New Roman" w:hAnsi="Times New Roman" w:eastAsia="宋体" w:cs="Times New Roman"/>
          <w:color w:val="000000" w:themeColor="text1"/>
          <w14:textFill>
            <w14:solidFill>
              <w14:schemeClr w14:val="tx1"/>
            </w14:solidFill>
          </w14:textFill>
        </w:rPr>
        <w:t>7.2.2.5</w:t>
      </w:r>
      <w:r>
        <w:rPr>
          <w:rFonts w:hint="default" w:ascii="Times New Roman" w:hAnsi="Times New Roman" w:eastAsia="宋体" w:cs="Times New Roman"/>
          <w:color w:val="000000" w:themeColor="text1"/>
          <w14:textFill>
            <w14:solidFill>
              <w14:schemeClr w14:val="tx1"/>
            </w14:solidFill>
          </w14:textFill>
        </w:rPr>
        <w:fldChar w:fldCharType="end"/>
      </w:r>
      <w:r>
        <w:rPr>
          <w:rFonts w:hint="default" w:ascii="Times New Roman" w:hAnsi="Times New Roman" w:eastAsia="宋体" w:cs="Times New Roman"/>
          <w:color w:val="000000" w:themeColor="text1"/>
          <w:lang w:eastAsia="zh-CN"/>
          <w14:textFill>
            <w14:solidFill>
              <w14:schemeClr w14:val="tx1"/>
            </w14:solidFill>
          </w14:textFill>
        </w:rPr>
        <w:t>粪污</w:t>
      </w:r>
      <w:r>
        <w:rPr>
          <w:rFonts w:hint="default" w:ascii="Times New Roman" w:hAnsi="Times New Roman" w:eastAsia="宋体" w:cs="Times New Roman"/>
          <w:color w:val="000000" w:themeColor="text1"/>
          <w14:textFill>
            <w14:solidFill>
              <w14:schemeClr w14:val="tx1"/>
            </w14:solidFill>
          </w14:textFill>
        </w:rPr>
        <w:t>农肥利用及实施方案</w:t>
      </w:r>
      <w:bookmarkEnd w:id="344"/>
      <w:bookmarkEnd w:id="345"/>
    </w:p>
    <w:p w14:paraId="13312060">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本项目</w:t>
      </w:r>
      <w:r>
        <w:rPr>
          <w:rFonts w:hint="default" w:ascii="Times New Roman" w:hAnsi="Times New Roman" w:eastAsia="宋体" w:cs="Times New Roman"/>
          <w:color w:val="000000" w:themeColor="text1"/>
          <w:lang w:eastAsia="zh-CN"/>
          <w14:textFill>
            <w14:solidFill>
              <w14:schemeClr w14:val="tx1"/>
            </w14:solidFill>
          </w14:textFill>
        </w:rPr>
        <w:t>粪污</w:t>
      </w:r>
      <w:r>
        <w:rPr>
          <w:rFonts w:hint="default" w:ascii="Times New Roman" w:hAnsi="Times New Roman" w:eastAsia="宋体" w:cs="Times New Roman"/>
          <w:color w:val="000000" w:themeColor="text1"/>
          <w14:textFill>
            <w14:solidFill>
              <w14:schemeClr w14:val="tx1"/>
            </w14:solidFill>
          </w14:textFill>
        </w:rPr>
        <w:t>消纳量为</w:t>
      </w:r>
      <w:r>
        <w:rPr>
          <w:rFonts w:hint="eastAsia" w:cs="Times New Roman"/>
          <w:color w:val="000000" w:themeColor="text1"/>
          <w:lang w:val="en-US" w:eastAsia="zh-CN"/>
          <w14:textFill>
            <w14:solidFill>
              <w14:schemeClr w14:val="tx1"/>
            </w14:solidFill>
          </w14:textFill>
        </w:rPr>
        <w:t>6570</w:t>
      </w:r>
      <w:r>
        <w:rPr>
          <w:rFonts w:hint="default" w:ascii="Times New Roman" w:hAnsi="Times New Roman" w:eastAsia="宋体" w:cs="Times New Roman"/>
          <w:color w:val="000000" w:themeColor="text1"/>
          <w14:textFill>
            <w14:solidFill>
              <w14:schemeClr w14:val="tx1"/>
            </w14:solidFill>
          </w14:textFill>
        </w:rPr>
        <w:t>m</w:t>
      </w:r>
      <w:r>
        <w:rPr>
          <w:rFonts w:hint="default" w:ascii="Times New Roman" w:hAnsi="Times New Roman" w:eastAsia="宋体" w:cs="Times New Roman"/>
          <w:color w:val="000000" w:themeColor="text1"/>
          <w:vertAlign w:val="superscript"/>
          <w14:textFill>
            <w14:solidFill>
              <w14:schemeClr w14:val="tx1"/>
            </w14:solidFill>
          </w14:textFill>
        </w:rPr>
        <w:t>3</w:t>
      </w:r>
      <w:r>
        <w:rPr>
          <w:rFonts w:hint="default" w:ascii="Times New Roman" w:hAnsi="Times New Roman" w:eastAsia="宋体" w:cs="Times New Roman"/>
          <w:color w:val="000000" w:themeColor="text1"/>
          <w14:textFill>
            <w14:solidFill>
              <w14:schemeClr w14:val="tx1"/>
            </w14:solidFill>
          </w14:textFill>
        </w:rPr>
        <w:t>/a，</w:t>
      </w:r>
      <w:r>
        <w:rPr>
          <w:rFonts w:hint="default" w:ascii="Times New Roman" w:hAnsi="Times New Roman" w:eastAsia="宋体" w:cs="Times New Roman"/>
          <w:color w:val="000000" w:themeColor="text1"/>
          <w:lang w:eastAsia="zh-CN"/>
          <w14:textFill>
            <w14:solidFill>
              <w14:schemeClr w14:val="tx1"/>
            </w14:solidFill>
          </w14:textFill>
        </w:rPr>
        <w:t>粪污</w:t>
      </w:r>
      <w:r>
        <w:rPr>
          <w:rFonts w:hint="default" w:ascii="Times New Roman" w:hAnsi="Times New Roman" w:eastAsia="宋体" w:cs="Times New Roman"/>
          <w:color w:val="000000" w:themeColor="text1"/>
          <w14:textFill>
            <w14:solidFill>
              <w14:schemeClr w14:val="tx1"/>
            </w14:solidFill>
          </w14:textFill>
        </w:rPr>
        <w:t>施肥区面积为1000亩。建设单位</w:t>
      </w:r>
      <w:r>
        <w:rPr>
          <w:rFonts w:hint="eastAsia" w:cs="Times New Roman"/>
          <w:color w:val="000000" w:themeColor="text1"/>
          <w:lang w:val="en-US" w:eastAsia="zh-CN"/>
          <w14:textFill>
            <w14:solidFill>
              <w14:schemeClr w14:val="tx1"/>
            </w14:solidFill>
          </w14:textFill>
        </w:rPr>
        <w:t>采用粪污车将粪污运至</w:t>
      </w:r>
      <w:r>
        <w:rPr>
          <w:rFonts w:hint="default" w:ascii="Times New Roman" w:hAnsi="Times New Roman" w:eastAsia="宋体" w:cs="Times New Roman"/>
          <w:color w:val="000000" w:themeColor="text1"/>
          <w14:textFill>
            <w14:solidFill>
              <w14:schemeClr w14:val="tx1"/>
            </w14:solidFill>
          </w14:textFill>
        </w:rPr>
        <w:t>消纳地，结合当地施肥规律，建议</w:t>
      </w:r>
      <w:r>
        <w:rPr>
          <w:rFonts w:hint="default" w:ascii="Times New Roman" w:hAnsi="Times New Roman" w:eastAsia="宋体" w:cs="Times New Roman"/>
          <w:color w:val="000000" w:themeColor="text1"/>
          <w:lang w:eastAsia="zh-CN"/>
          <w14:textFill>
            <w14:solidFill>
              <w14:schemeClr w14:val="tx1"/>
            </w14:solidFill>
          </w14:textFill>
        </w:rPr>
        <w:t>粪污</w:t>
      </w:r>
      <w:r>
        <w:rPr>
          <w:rFonts w:hint="default" w:ascii="Times New Roman" w:hAnsi="Times New Roman" w:eastAsia="宋体" w:cs="Times New Roman"/>
          <w:color w:val="000000" w:themeColor="text1"/>
          <w14:textFill>
            <w14:solidFill>
              <w14:schemeClr w14:val="tx1"/>
            </w14:solidFill>
          </w14:textFill>
        </w:rPr>
        <w:t>施用规律为用作基肥和追肥（基肥时间大约在4月份，追肥时间大约在7月份）。</w:t>
      </w:r>
    </w:p>
    <w:p w14:paraId="09806DDF">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在非施肥季节，</w:t>
      </w:r>
      <w:r>
        <w:rPr>
          <w:rFonts w:hint="default" w:ascii="Times New Roman" w:hAnsi="Times New Roman" w:eastAsia="宋体" w:cs="Times New Roman"/>
          <w:color w:val="000000" w:themeColor="text1"/>
          <w:lang w:eastAsia="zh-CN"/>
          <w14:textFill>
            <w14:solidFill>
              <w14:schemeClr w14:val="tx1"/>
            </w14:solidFill>
          </w14:textFill>
        </w:rPr>
        <w:t>粪污</w:t>
      </w:r>
      <w:r>
        <w:rPr>
          <w:rFonts w:hint="default" w:ascii="Times New Roman" w:hAnsi="Times New Roman" w:eastAsia="宋体" w:cs="Times New Roman"/>
          <w:color w:val="000000" w:themeColor="text1"/>
          <w14:textFill>
            <w14:solidFill>
              <w14:schemeClr w14:val="tx1"/>
            </w14:solidFill>
          </w14:textFill>
        </w:rPr>
        <w:t>在场区氧化塘中暂存，不外排。</w:t>
      </w:r>
    </w:p>
    <w:p w14:paraId="420A8CAA">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①施肥期</w:t>
      </w:r>
      <w:r>
        <w:rPr>
          <w:rFonts w:hint="default" w:ascii="Times New Roman" w:hAnsi="Times New Roman" w:eastAsia="宋体" w:cs="Times New Roman"/>
          <w:color w:val="000000" w:themeColor="text1"/>
          <w:lang w:eastAsia="zh-CN"/>
          <w14:textFill>
            <w14:solidFill>
              <w14:schemeClr w14:val="tx1"/>
            </w14:solidFill>
          </w14:textFill>
        </w:rPr>
        <w:t>粪污</w:t>
      </w:r>
      <w:r>
        <w:rPr>
          <w:rFonts w:hint="default" w:ascii="Times New Roman" w:hAnsi="Times New Roman" w:eastAsia="宋体" w:cs="Times New Roman"/>
          <w:color w:val="000000" w:themeColor="text1"/>
          <w14:textFill>
            <w14:solidFill>
              <w14:schemeClr w14:val="tx1"/>
            </w14:solidFill>
          </w14:textFill>
        </w:rPr>
        <w:t>流进</w:t>
      </w:r>
      <w:r>
        <w:rPr>
          <w:rFonts w:hint="default" w:ascii="Times New Roman" w:hAnsi="Times New Roman" w:eastAsia="宋体" w:cs="Times New Roman"/>
          <w:color w:val="000000" w:themeColor="text1"/>
          <w:lang w:eastAsia="zh-CN"/>
          <w14:textFill>
            <w14:solidFill>
              <w14:schemeClr w14:val="tx1"/>
            </w14:solidFill>
          </w14:textFill>
        </w:rPr>
        <w:t>粪污</w:t>
      </w:r>
      <w:r>
        <w:rPr>
          <w:rFonts w:hint="default" w:ascii="Times New Roman" w:hAnsi="Times New Roman" w:eastAsia="宋体" w:cs="Times New Roman"/>
          <w:color w:val="000000" w:themeColor="text1"/>
          <w14:textFill>
            <w14:solidFill>
              <w14:schemeClr w14:val="tx1"/>
            </w14:solidFill>
          </w14:textFill>
        </w:rPr>
        <w:t>主干管，再从主干管流入支管，在支管的末端设置有阀门。主干管直径为160mm；支管直径分别为110mm、75mm。材质为PVC管。</w:t>
      </w:r>
    </w:p>
    <w:p w14:paraId="283EEA0D">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②</w:t>
      </w:r>
      <w:r>
        <w:rPr>
          <w:rFonts w:hint="default" w:ascii="Times New Roman" w:hAnsi="Times New Roman" w:eastAsia="宋体" w:cs="Times New Roman"/>
          <w:color w:val="000000" w:themeColor="text1"/>
          <w:lang w:eastAsia="zh-CN"/>
          <w14:textFill>
            <w14:solidFill>
              <w14:schemeClr w14:val="tx1"/>
            </w14:solidFill>
          </w14:textFill>
        </w:rPr>
        <w:t>粪污</w:t>
      </w:r>
      <w:r>
        <w:rPr>
          <w:rFonts w:hint="default" w:ascii="Times New Roman" w:hAnsi="Times New Roman" w:eastAsia="宋体" w:cs="Times New Roman"/>
          <w:color w:val="000000" w:themeColor="text1"/>
          <w14:textFill>
            <w14:solidFill>
              <w14:schemeClr w14:val="tx1"/>
            </w14:solidFill>
          </w14:textFill>
        </w:rPr>
        <w:t>管为地埋式，在铺设过程中需开挖出宽约50cm、深约80m的明沟，将管材铺设在沟内，然后将沟填埋。</w:t>
      </w:r>
    </w:p>
    <w:p w14:paraId="7E489726">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③阀门：每个施肥口设有阀门，每两个施肥口间隔50～80m。</w:t>
      </w:r>
    </w:p>
    <w:p w14:paraId="048040E1">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④地下水观测井：在场</w:t>
      </w:r>
      <w:r>
        <w:rPr>
          <w:rFonts w:hint="eastAsia" w:cs="Times New Roman"/>
          <w:color w:val="000000" w:themeColor="text1"/>
          <w:lang w:val="en-US" w:eastAsia="zh-CN"/>
          <w14:textFill>
            <w14:solidFill>
              <w14:schemeClr w14:val="tx1"/>
            </w14:solidFill>
          </w14:textFill>
        </w:rPr>
        <w:t>区内</w:t>
      </w:r>
      <w:r>
        <w:rPr>
          <w:rFonts w:hint="default" w:ascii="Times New Roman" w:hAnsi="Times New Roman" w:eastAsia="宋体" w:cs="Times New Roman"/>
          <w:color w:val="000000" w:themeColor="text1"/>
          <w:lang w:eastAsia="zh-CN"/>
          <w14:textFill>
            <w14:solidFill>
              <w14:schemeClr w14:val="tx1"/>
            </w14:solidFill>
          </w14:textFill>
        </w:rPr>
        <w:t>粪污</w:t>
      </w:r>
      <w:r>
        <w:rPr>
          <w:rFonts w:hint="eastAsia" w:cs="Times New Roman"/>
          <w:color w:val="000000" w:themeColor="text1"/>
          <w:lang w:val="en-US" w:eastAsia="zh-CN"/>
          <w14:textFill>
            <w14:solidFill>
              <w14:schemeClr w14:val="tx1"/>
            </w14:solidFill>
          </w14:textFill>
        </w:rPr>
        <w:t>处理区</w:t>
      </w:r>
      <w:r>
        <w:rPr>
          <w:rFonts w:hint="default" w:ascii="Times New Roman" w:hAnsi="Times New Roman" w:eastAsia="宋体" w:cs="Times New Roman"/>
          <w:color w:val="000000" w:themeColor="text1"/>
          <w14:textFill>
            <w14:solidFill>
              <w14:schemeClr w14:val="tx1"/>
            </w14:solidFill>
          </w14:textFill>
        </w:rPr>
        <w:t>下游设置1眼地下水观测井，每半年一次对施肥区农田水质进行监测，分析水质情况。</w:t>
      </w:r>
    </w:p>
    <w:p w14:paraId="194A3B94">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根据</w:t>
      </w:r>
      <w:r>
        <w:rPr>
          <w:rFonts w:hint="default" w:ascii="Times New Roman" w:hAnsi="Times New Roman" w:eastAsia="宋体" w:cs="Times New Roman"/>
          <w:color w:val="000000" w:themeColor="text1"/>
          <w:lang w:eastAsia="zh-CN"/>
          <w14:textFill>
            <w14:solidFill>
              <w14:schemeClr w14:val="tx1"/>
            </w14:solidFill>
          </w14:textFill>
        </w:rPr>
        <w:t>粪污</w:t>
      </w:r>
      <w:r>
        <w:rPr>
          <w:rFonts w:hint="default" w:ascii="Times New Roman" w:hAnsi="Times New Roman" w:eastAsia="宋体" w:cs="Times New Roman"/>
          <w:color w:val="000000" w:themeColor="text1"/>
          <w14:textFill>
            <w14:solidFill>
              <w14:schemeClr w14:val="tx1"/>
            </w14:solidFill>
          </w14:textFill>
        </w:rPr>
        <w:t>综合利用协议可知，</w:t>
      </w:r>
      <w:r>
        <w:rPr>
          <w:rFonts w:hint="eastAsia" w:cs="Times New Roman"/>
          <w:color w:val="000000" w:themeColor="text1"/>
          <w:lang w:val="en-US" w:eastAsia="zh-CN"/>
          <w14:textFill>
            <w14:solidFill>
              <w14:schemeClr w14:val="tx1"/>
            </w14:solidFill>
          </w14:textFill>
        </w:rPr>
        <w:t>项目还田土地位于厂区北侧，3公里的六合嘎查，</w:t>
      </w:r>
      <w:r>
        <w:rPr>
          <w:rFonts w:hint="default" w:ascii="Times New Roman" w:hAnsi="Times New Roman" w:eastAsia="宋体" w:cs="Times New Roman"/>
          <w:color w:val="000000" w:themeColor="text1"/>
          <w14:textFill>
            <w14:solidFill>
              <w14:schemeClr w14:val="tx1"/>
            </w14:solidFill>
          </w14:textFill>
        </w:rPr>
        <w:t>根据农民土地位置</w:t>
      </w:r>
      <w:r>
        <w:rPr>
          <w:rFonts w:hint="eastAsia" w:cs="Times New Roman"/>
          <w:color w:val="000000" w:themeColor="text1"/>
          <w:lang w:eastAsia="zh-CN"/>
          <w14:textFill>
            <w14:solidFill>
              <w14:schemeClr w14:val="tx1"/>
            </w14:solidFill>
          </w14:textFill>
        </w:rPr>
        <w:t>，</w:t>
      </w:r>
      <w:r>
        <w:rPr>
          <w:rFonts w:hint="eastAsia" w:cs="Times New Roman"/>
          <w:color w:val="000000" w:themeColor="text1"/>
          <w:lang w:val="en-US" w:eastAsia="zh-CN"/>
          <w14:textFill>
            <w14:solidFill>
              <w14:schemeClr w14:val="tx1"/>
            </w14:solidFill>
          </w14:textFill>
        </w:rPr>
        <w:t>项目粪污运输采用封闭式粪污车进行运输</w:t>
      </w:r>
      <w:r>
        <w:rPr>
          <w:rFonts w:hint="default" w:ascii="Times New Roman" w:hAnsi="Times New Roman" w:eastAsia="宋体" w:cs="Times New Roman"/>
          <w:color w:val="000000" w:themeColor="text1"/>
          <w14:textFill>
            <w14:solidFill>
              <w14:schemeClr w14:val="tx1"/>
            </w14:solidFill>
          </w14:textFill>
        </w:rPr>
        <w:t>，在田间采用喷灌的方式对农田进行施肥。另外，根据施肥需求建设单位定期派出管理和技术人员指导农户合理施用</w:t>
      </w:r>
      <w:r>
        <w:rPr>
          <w:rFonts w:hint="default" w:ascii="Times New Roman" w:hAnsi="Times New Roman" w:eastAsia="宋体" w:cs="Times New Roman"/>
          <w:color w:val="000000" w:themeColor="text1"/>
          <w:lang w:eastAsia="zh-CN"/>
          <w14:textFill>
            <w14:solidFill>
              <w14:schemeClr w14:val="tx1"/>
            </w14:solidFill>
          </w14:textFill>
        </w:rPr>
        <w:t>粪污</w:t>
      </w:r>
      <w:r>
        <w:rPr>
          <w:rFonts w:hint="default" w:ascii="Times New Roman" w:hAnsi="Times New Roman" w:eastAsia="宋体" w:cs="Times New Roman"/>
          <w:color w:val="000000" w:themeColor="text1"/>
          <w14:textFill>
            <w14:solidFill>
              <w14:schemeClr w14:val="tx1"/>
            </w14:solidFill>
          </w14:textFill>
        </w:rPr>
        <w:t>。</w:t>
      </w:r>
    </w:p>
    <w:p w14:paraId="7EA1109B">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bookmarkStart w:id="346" w:name="_Toc7461"/>
      <w:bookmarkStart w:id="347" w:name="_Toc29808"/>
      <w:r>
        <w:rPr>
          <w:rFonts w:hint="default" w:ascii="Times New Roman" w:hAnsi="Times New Roman" w:eastAsia="宋体" w:cs="Times New Roman"/>
          <w:color w:val="000000" w:themeColor="text1"/>
          <w14:textFill>
            <w14:solidFill>
              <w14:schemeClr w14:val="tx1"/>
            </w14:solidFill>
          </w14:textFill>
        </w:rPr>
        <w:fldChar w:fldCharType="begin"/>
      </w:r>
      <w:r>
        <w:rPr>
          <w:rFonts w:hint="default" w:ascii="Times New Roman" w:hAnsi="Times New Roman" w:eastAsia="宋体" w:cs="Times New Roman"/>
          <w:color w:val="000000" w:themeColor="text1"/>
          <w14:textFill>
            <w14:solidFill>
              <w14:schemeClr w14:val="tx1"/>
            </w14:solidFill>
          </w14:textFill>
        </w:rPr>
        <w:instrText xml:space="preserve">HYPERLINK "C:\\Users\\Administrator\\Desktop\\科右前旗现代农牧业园区核心育种场养殖项目-修改稿\\6.2.2.6"</w:instrText>
      </w:r>
      <w:r>
        <w:rPr>
          <w:rFonts w:hint="default" w:ascii="Times New Roman" w:hAnsi="Times New Roman" w:eastAsia="宋体" w:cs="Times New Roman"/>
          <w:color w:val="000000" w:themeColor="text1"/>
          <w14:textFill>
            <w14:solidFill>
              <w14:schemeClr w14:val="tx1"/>
            </w14:solidFill>
          </w14:textFill>
        </w:rPr>
        <w:fldChar w:fldCharType="separate"/>
      </w:r>
      <w:r>
        <w:rPr>
          <w:rFonts w:hint="default" w:ascii="Times New Roman" w:hAnsi="Times New Roman" w:eastAsia="宋体" w:cs="Times New Roman"/>
          <w:color w:val="000000" w:themeColor="text1"/>
          <w14:textFill>
            <w14:solidFill>
              <w14:schemeClr w14:val="tx1"/>
            </w14:solidFill>
          </w14:textFill>
        </w:rPr>
        <w:t>7.2.2.6</w:t>
      </w:r>
      <w:r>
        <w:rPr>
          <w:rFonts w:hint="default" w:ascii="Times New Roman" w:hAnsi="Times New Roman" w:eastAsia="宋体" w:cs="Times New Roman"/>
          <w:color w:val="000000" w:themeColor="text1"/>
          <w14:textFill>
            <w14:solidFill>
              <w14:schemeClr w14:val="tx1"/>
            </w14:solidFill>
          </w14:textFill>
        </w:rPr>
        <w:fldChar w:fldCharType="end"/>
      </w:r>
      <w:r>
        <w:rPr>
          <w:rFonts w:hint="default" w:ascii="Times New Roman" w:hAnsi="Times New Roman" w:eastAsia="宋体" w:cs="Times New Roman"/>
          <w:color w:val="000000" w:themeColor="text1"/>
          <w14:textFill>
            <w14:solidFill>
              <w14:schemeClr w14:val="tx1"/>
            </w14:solidFill>
          </w14:textFill>
        </w:rPr>
        <w:t>农田利用系统二次污染防治措施</w:t>
      </w:r>
      <w:bookmarkEnd w:id="346"/>
      <w:bookmarkEnd w:id="347"/>
    </w:p>
    <w:p w14:paraId="5420AE03">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①</w:t>
      </w:r>
      <w:r>
        <w:rPr>
          <w:rFonts w:hint="default" w:ascii="Times New Roman" w:hAnsi="Times New Roman" w:eastAsia="宋体" w:cs="Times New Roman"/>
          <w:color w:val="000000" w:themeColor="text1"/>
          <w:lang w:eastAsia="zh-CN"/>
          <w14:textFill>
            <w14:solidFill>
              <w14:schemeClr w14:val="tx1"/>
            </w14:solidFill>
          </w14:textFill>
        </w:rPr>
        <w:t>粪污</w:t>
      </w:r>
      <w:r>
        <w:rPr>
          <w:rFonts w:hint="eastAsia" w:cs="Times New Roman"/>
          <w:color w:val="000000" w:themeColor="text1"/>
          <w:lang w:val="en-US" w:eastAsia="zh-CN"/>
          <w14:textFill>
            <w14:solidFill>
              <w14:schemeClr w14:val="tx1"/>
            </w14:solidFill>
          </w14:textFill>
        </w:rPr>
        <w:t>运输车</w:t>
      </w:r>
      <w:r>
        <w:rPr>
          <w:rFonts w:hint="default" w:ascii="Times New Roman" w:hAnsi="Times New Roman" w:eastAsia="宋体" w:cs="Times New Roman"/>
          <w:color w:val="000000" w:themeColor="text1"/>
          <w14:textFill>
            <w14:solidFill>
              <w14:schemeClr w14:val="tx1"/>
            </w14:solidFill>
          </w14:textFill>
        </w:rPr>
        <w:t>，定期进行检修，一旦发现滴漏，</w:t>
      </w:r>
      <w:r>
        <w:rPr>
          <w:rFonts w:hint="default" w:ascii="Times New Roman" w:hAnsi="Times New Roman" w:eastAsia="宋体" w:cs="Times New Roman"/>
          <w:color w:val="000000" w:themeColor="text1"/>
          <w:lang w:eastAsia="zh-CN"/>
          <w14:textFill>
            <w14:solidFill>
              <w14:schemeClr w14:val="tx1"/>
            </w14:solidFill>
          </w14:textFill>
        </w:rPr>
        <w:t>粪污</w:t>
      </w:r>
      <w:r>
        <w:rPr>
          <w:rFonts w:hint="default" w:ascii="Times New Roman" w:hAnsi="Times New Roman" w:eastAsia="宋体" w:cs="Times New Roman"/>
          <w:color w:val="000000" w:themeColor="text1"/>
          <w14:textFill>
            <w14:solidFill>
              <w14:schemeClr w14:val="tx1"/>
            </w14:solidFill>
          </w14:textFill>
        </w:rPr>
        <w:t>排入</w:t>
      </w:r>
      <w:r>
        <w:rPr>
          <w:rFonts w:hint="eastAsia" w:cs="Times New Roman"/>
          <w:color w:val="000000" w:themeColor="text1"/>
          <w:lang w:val="en-US" w:eastAsia="zh-CN"/>
          <w14:textFill>
            <w14:solidFill>
              <w14:schemeClr w14:val="tx1"/>
            </w14:solidFill>
          </w14:textFill>
        </w:rPr>
        <w:t>氧化塘暂存</w:t>
      </w:r>
      <w:r>
        <w:rPr>
          <w:rFonts w:hint="default" w:ascii="Times New Roman" w:hAnsi="Times New Roman" w:eastAsia="宋体" w:cs="Times New Roman"/>
          <w:color w:val="000000" w:themeColor="text1"/>
          <w14:textFill>
            <w14:solidFill>
              <w14:schemeClr w14:val="tx1"/>
            </w14:solidFill>
          </w14:textFill>
        </w:rPr>
        <w:t>，待维护完毕后方可输送；</w:t>
      </w:r>
    </w:p>
    <w:p w14:paraId="0F2D075E">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②</w:t>
      </w:r>
      <w:r>
        <w:rPr>
          <w:rFonts w:hint="default" w:ascii="Times New Roman" w:hAnsi="Times New Roman" w:eastAsia="宋体" w:cs="Times New Roman"/>
          <w:color w:val="000000" w:themeColor="text1"/>
          <w:lang w:eastAsia="zh-CN"/>
          <w14:textFill>
            <w14:solidFill>
              <w14:schemeClr w14:val="tx1"/>
            </w14:solidFill>
          </w14:textFill>
        </w:rPr>
        <w:t>粪污</w:t>
      </w:r>
      <w:r>
        <w:rPr>
          <w:rFonts w:hint="default" w:ascii="Times New Roman" w:hAnsi="Times New Roman" w:eastAsia="宋体" w:cs="Times New Roman"/>
          <w:color w:val="000000" w:themeColor="text1"/>
          <w14:textFill>
            <w14:solidFill>
              <w14:schemeClr w14:val="tx1"/>
            </w14:solidFill>
          </w14:textFill>
        </w:rPr>
        <w:t>施肥区根据地形进行单元划分，分单元进行开沟施肥，施肥完毕后要进行覆土处理，防止农田施肥不匀引起的地下水污染问题；</w:t>
      </w:r>
    </w:p>
    <w:p w14:paraId="265652E4">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③企业在</w:t>
      </w:r>
      <w:r>
        <w:rPr>
          <w:rFonts w:hint="default" w:ascii="Times New Roman" w:hAnsi="Times New Roman" w:eastAsia="宋体" w:cs="Times New Roman"/>
          <w:color w:val="000000" w:themeColor="text1"/>
          <w:lang w:eastAsia="zh-CN"/>
          <w14:textFill>
            <w14:solidFill>
              <w14:schemeClr w14:val="tx1"/>
            </w14:solidFill>
          </w14:textFill>
        </w:rPr>
        <w:t>粪污</w:t>
      </w:r>
      <w:r>
        <w:rPr>
          <w:rFonts w:hint="default" w:ascii="Times New Roman" w:hAnsi="Times New Roman" w:eastAsia="宋体" w:cs="Times New Roman"/>
          <w:color w:val="000000" w:themeColor="text1"/>
          <w14:textFill>
            <w14:solidFill>
              <w14:schemeClr w14:val="tx1"/>
            </w14:solidFill>
          </w14:textFill>
        </w:rPr>
        <w:t>施肥过程中要建立</w:t>
      </w:r>
      <w:r>
        <w:rPr>
          <w:rFonts w:hint="default" w:ascii="Times New Roman" w:hAnsi="Times New Roman" w:eastAsia="宋体" w:cs="Times New Roman"/>
          <w:color w:val="000000" w:themeColor="text1"/>
          <w:lang w:eastAsia="zh-CN"/>
          <w14:textFill>
            <w14:solidFill>
              <w14:schemeClr w14:val="tx1"/>
            </w14:solidFill>
          </w14:textFill>
        </w:rPr>
        <w:t>粪污</w:t>
      </w:r>
      <w:r>
        <w:rPr>
          <w:rFonts w:hint="default" w:ascii="Times New Roman" w:hAnsi="Times New Roman" w:eastAsia="宋体" w:cs="Times New Roman"/>
          <w:color w:val="000000" w:themeColor="text1"/>
          <w14:textFill>
            <w14:solidFill>
              <w14:schemeClr w14:val="tx1"/>
            </w14:solidFill>
          </w14:textFill>
        </w:rPr>
        <w:t>的使用台账（记录），需详细记录</w:t>
      </w:r>
      <w:r>
        <w:rPr>
          <w:rFonts w:hint="default" w:ascii="Times New Roman" w:hAnsi="Times New Roman" w:eastAsia="宋体" w:cs="Times New Roman"/>
          <w:color w:val="000000" w:themeColor="text1"/>
          <w:lang w:eastAsia="zh-CN"/>
          <w14:textFill>
            <w14:solidFill>
              <w14:schemeClr w14:val="tx1"/>
            </w14:solidFill>
          </w14:textFill>
        </w:rPr>
        <w:t>粪污</w:t>
      </w:r>
      <w:r>
        <w:rPr>
          <w:rFonts w:hint="default" w:ascii="Times New Roman" w:hAnsi="Times New Roman" w:eastAsia="宋体" w:cs="Times New Roman"/>
          <w:color w:val="000000" w:themeColor="text1"/>
          <w14:textFill>
            <w14:solidFill>
              <w14:schemeClr w14:val="tx1"/>
            </w14:solidFill>
          </w14:textFill>
        </w:rPr>
        <w:t>的去处及用量。</w:t>
      </w:r>
    </w:p>
    <w:p w14:paraId="15B005D9">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④严格根据评价要求，控制施肥量，严禁突击浇灌，在非施肥季节，</w:t>
      </w:r>
      <w:r>
        <w:rPr>
          <w:rFonts w:hint="default" w:ascii="Times New Roman" w:hAnsi="Times New Roman" w:eastAsia="宋体" w:cs="Times New Roman"/>
          <w:color w:val="000000" w:themeColor="text1"/>
          <w:lang w:eastAsia="zh-CN"/>
          <w14:textFill>
            <w14:solidFill>
              <w14:schemeClr w14:val="tx1"/>
            </w14:solidFill>
          </w14:textFill>
        </w:rPr>
        <w:t>粪污</w:t>
      </w:r>
      <w:r>
        <w:rPr>
          <w:rFonts w:hint="default" w:ascii="Times New Roman" w:hAnsi="Times New Roman" w:eastAsia="宋体" w:cs="Times New Roman"/>
          <w:color w:val="000000" w:themeColor="text1"/>
          <w14:textFill>
            <w14:solidFill>
              <w14:schemeClr w14:val="tx1"/>
            </w14:solidFill>
          </w14:textFill>
        </w:rPr>
        <w:t>在场区氧化塘中暂存，不外排。</w:t>
      </w:r>
    </w:p>
    <w:p w14:paraId="66C58F21">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项目使用的氧化塘、氧化塘底部首先进行清场夯压，要做到池底无特殊工艺孔设置且内表面积较大，施工所在地土质情况单一，碎砖块等尖锐性杂物较少，具备</w:t>
      </w:r>
      <w:r>
        <w:rPr>
          <w:rFonts w:hint="default" w:ascii="Times New Roman" w:hAnsi="Times New Roman" w:eastAsia="宋体" w:cs="Times New Roman"/>
          <w:color w:val="000000" w:themeColor="text1"/>
          <w14:textFill>
            <w14:solidFill>
              <w14:schemeClr w14:val="tx1"/>
            </w14:solidFill>
          </w14:textFill>
        </w:rPr>
        <w:fldChar w:fldCharType="begin"/>
      </w:r>
      <w:r>
        <w:rPr>
          <w:rFonts w:hint="default" w:ascii="Times New Roman" w:hAnsi="Times New Roman" w:eastAsia="宋体" w:cs="Times New Roman"/>
          <w:color w:val="000000" w:themeColor="text1"/>
          <w14:textFill>
            <w14:solidFill>
              <w14:schemeClr w14:val="tx1"/>
            </w14:solidFill>
          </w14:textFill>
        </w:rPr>
        <w:instrText xml:space="preserve"> HYPERLINK "http://www.tajchy.com/newsinfo_508.html" </w:instrText>
      </w:r>
      <w:r>
        <w:rPr>
          <w:rFonts w:hint="default" w:ascii="Times New Roman" w:hAnsi="Times New Roman" w:eastAsia="宋体" w:cs="Times New Roman"/>
          <w:color w:val="000000" w:themeColor="text1"/>
          <w14:textFill>
            <w14:solidFill>
              <w14:schemeClr w14:val="tx1"/>
            </w14:solidFill>
          </w14:textFill>
        </w:rPr>
        <w:fldChar w:fldCharType="separate"/>
      </w:r>
      <w:r>
        <w:rPr>
          <w:rFonts w:hint="default" w:ascii="Times New Roman" w:hAnsi="Times New Roman" w:eastAsia="宋体" w:cs="Times New Roman"/>
          <w:color w:val="000000" w:themeColor="text1"/>
          <w14:textFill>
            <w14:solidFill>
              <w14:schemeClr w14:val="tx1"/>
            </w14:solidFill>
          </w14:textFill>
        </w:rPr>
        <w:t>防渗膜</w:t>
      </w:r>
      <w:r>
        <w:rPr>
          <w:rFonts w:hint="default" w:ascii="Times New Roman" w:hAnsi="Times New Roman" w:eastAsia="宋体" w:cs="Times New Roman"/>
          <w:color w:val="000000" w:themeColor="text1"/>
          <w14:textFill>
            <w14:solidFill>
              <w14:schemeClr w14:val="tx1"/>
            </w14:solidFill>
          </w14:textFill>
        </w:rPr>
        <w:fldChar w:fldCharType="end"/>
      </w:r>
      <w:r>
        <w:rPr>
          <w:rFonts w:hint="default" w:ascii="Times New Roman" w:hAnsi="Times New Roman" w:eastAsia="宋体" w:cs="Times New Roman"/>
          <w:color w:val="000000" w:themeColor="text1"/>
          <w14:textFill>
            <w14:solidFill>
              <w14:schemeClr w14:val="tx1"/>
            </w14:solidFill>
          </w14:textFill>
        </w:rPr>
        <w:t>铺设的要求。其次，池底部设置排气沟，最底部排气沟中放置排水管，并设置导流渠，以防止污染地下水，同时各废水输送管道应做到防泄露、跑冒等。最后在此基础上铺设HDPE膜，具有良好的断裂延伸率，能抵抗基础沉降或基础变形，正常使用情况下可以防止池内水下渗对地下水的污染。</w:t>
      </w:r>
    </w:p>
    <w:p w14:paraId="0B2282FD">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⑤对</w:t>
      </w:r>
      <w:r>
        <w:rPr>
          <w:rFonts w:hint="default" w:ascii="Times New Roman" w:hAnsi="Times New Roman" w:eastAsia="宋体" w:cs="Times New Roman"/>
          <w:color w:val="000000" w:themeColor="text1"/>
          <w:lang w:eastAsia="zh-CN"/>
          <w14:textFill>
            <w14:solidFill>
              <w14:schemeClr w14:val="tx1"/>
            </w14:solidFill>
          </w14:textFill>
        </w:rPr>
        <w:t>粪污</w:t>
      </w:r>
      <w:r>
        <w:rPr>
          <w:rFonts w:hint="default" w:ascii="Times New Roman" w:hAnsi="Times New Roman" w:eastAsia="宋体" w:cs="Times New Roman"/>
          <w:color w:val="000000" w:themeColor="text1"/>
          <w14:textFill>
            <w14:solidFill>
              <w14:schemeClr w14:val="tx1"/>
            </w14:solidFill>
          </w14:textFill>
        </w:rPr>
        <w:t>施肥农田区域定期进行观测，环评建议应对项目消纳地跟踪监测土壤养分变化范围及变化规律，分析养料供需平衡，并按照农作物生长情况科学控制</w:t>
      </w:r>
      <w:r>
        <w:rPr>
          <w:rFonts w:hint="default" w:ascii="Times New Roman" w:hAnsi="Times New Roman" w:eastAsia="宋体" w:cs="Times New Roman"/>
          <w:color w:val="000000" w:themeColor="text1"/>
          <w:lang w:eastAsia="zh-CN"/>
          <w14:textFill>
            <w14:solidFill>
              <w14:schemeClr w14:val="tx1"/>
            </w14:solidFill>
          </w14:textFill>
        </w:rPr>
        <w:t>粪污</w:t>
      </w:r>
      <w:r>
        <w:rPr>
          <w:rFonts w:hint="default" w:ascii="Times New Roman" w:hAnsi="Times New Roman" w:eastAsia="宋体" w:cs="Times New Roman"/>
          <w:color w:val="000000" w:themeColor="text1"/>
          <w14:textFill>
            <w14:solidFill>
              <w14:schemeClr w14:val="tx1"/>
            </w14:solidFill>
          </w14:textFill>
        </w:rPr>
        <w:t>的施用量，避免盲目追求肥效，过量施肥，超过土壤承载能力，对地下水产生污染。</w:t>
      </w:r>
    </w:p>
    <w:p w14:paraId="58C05C18">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bookmarkStart w:id="348" w:name="_Toc16034"/>
      <w:bookmarkStart w:id="349" w:name="_Toc12464"/>
      <w:r>
        <w:rPr>
          <w:rFonts w:hint="default" w:ascii="Times New Roman" w:hAnsi="Times New Roman" w:eastAsia="宋体" w:cs="Times New Roman"/>
          <w:color w:val="000000" w:themeColor="text1"/>
          <w14:textFill>
            <w14:solidFill>
              <w14:schemeClr w14:val="tx1"/>
            </w14:solidFill>
          </w14:textFill>
        </w:rPr>
        <w:fldChar w:fldCharType="begin"/>
      </w:r>
      <w:r>
        <w:rPr>
          <w:rFonts w:hint="default" w:ascii="Times New Roman" w:hAnsi="Times New Roman" w:eastAsia="宋体" w:cs="Times New Roman"/>
          <w:color w:val="000000" w:themeColor="text1"/>
          <w14:textFill>
            <w14:solidFill>
              <w14:schemeClr w14:val="tx1"/>
            </w14:solidFill>
          </w14:textFill>
        </w:rPr>
        <w:instrText xml:space="preserve">HYPERLINK "C:\\Users\\Administrator\\Desktop\\科右前旗现代农牧业园区核心育种场养殖项目-修改稿\\6.2.2.7"</w:instrText>
      </w:r>
      <w:r>
        <w:rPr>
          <w:rFonts w:hint="default" w:ascii="Times New Roman" w:hAnsi="Times New Roman" w:eastAsia="宋体" w:cs="Times New Roman"/>
          <w:color w:val="000000" w:themeColor="text1"/>
          <w14:textFill>
            <w14:solidFill>
              <w14:schemeClr w14:val="tx1"/>
            </w14:solidFill>
          </w14:textFill>
        </w:rPr>
        <w:fldChar w:fldCharType="separate"/>
      </w:r>
      <w:r>
        <w:rPr>
          <w:rFonts w:hint="default" w:ascii="Times New Roman" w:hAnsi="Times New Roman" w:eastAsia="宋体" w:cs="Times New Roman"/>
          <w:color w:val="000000" w:themeColor="text1"/>
          <w14:textFill>
            <w14:solidFill>
              <w14:schemeClr w14:val="tx1"/>
            </w14:solidFill>
          </w14:textFill>
        </w:rPr>
        <w:t>7.2.2.7</w:t>
      </w:r>
      <w:r>
        <w:rPr>
          <w:rFonts w:hint="default" w:ascii="Times New Roman" w:hAnsi="Times New Roman" w:eastAsia="宋体" w:cs="Times New Roman"/>
          <w:color w:val="000000" w:themeColor="text1"/>
          <w14:textFill>
            <w14:solidFill>
              <w14:schemeClr w14:val="tx1"/>
            </w14:solidFill>
          </w14:textFill>
        </w:rPr>
        <w:fldChar w:fldCharType="end"/>
      </w:r>
      <w:r>
        <w:rPr>
          <w:rFonts w:hint="default" w:ascii="Times New Roman" w:hAnsi="Times New Roman" w:eastAsia="宋体" w:cs="Times New Roman"/>
          <w:color w:val="000000" w:themeColor="text1"/>
          <w:lang w:eastAsia="zh-CN"/>
          <w14:textFill>
            <w14:solidFill>
              <w14:schemeClr w14:val="tx1"/>
            </w14:solidFill>
          </w14:textFill>
        </w:rPr>
        <w:t>粪污</w:t>
      </w:r>
      <w:r>
        <w:rPr>
          <w:rFonts w:hint="default" w:ascii="Times New Roman" w:hAnsi="Times New Roman" w:eastAsia="宋体" w:cs="Times New Roman"/>
          <w:color w:val="000000" w:themeColor="text1"/>
          <w14:textFill>
            <w14:solidFill>
              <w14:schemeClr w14:val="tx1"/>
            </w14:solidFill>
          </w14:textFill>
        </w:rPr>
        <w:t>利用工程的管理要求</w:t>
      </w:r>
      <w:bookmarkEnd w:id="348"/>
      <w:bookmarkEnd w:id="349"/>
    </w:p>
    <w:p w14:paraId="3714A099">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①基本要求</w:t>
      </w:r>
    </w:p>
    <w:p w14:paraId="45F3FEAD">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企业建立相应的管理机构，安排专人管理，落实足够的运行管理经费，制定切实可行的管理规章和工程维修养护制度，并对管理人员进行技术培训和岗位考核。同时指定专人负责整个场区的</w:t>
      </w:r>
      <w:r>
        <w:rPr>
          <w:rFonts w:hint="default" w:ascii="Times New Roman" w:hAnsi="Times New Roman" w:eastAsia="宋体" w:cs="Times New Roman"/>
          <w:color w:val="000000" w:themeColor="text1"/>
          <w:lang w:eastAsia="zh-CN"/>
          <w14:textFill>
            <w14:solidFill>
              <w14:schemeClr w14:val="tx1"/>
            </w14:solidFill>
          </w14:textFill>
        </w:rPr>
        <w:t>粪污</w:t>
      </w:r>
      <w:r>
        <w:rPr>
          <w:rFonts w:hint="default" w:ascii="Times New Roman" w:hAnsi="Times New Roman" w:eastAsia="宋体" w:cs="Times New Roman"/>
          <w:color w:val="000000" w:themeColor="text1"/>
          <w14:textFill>
            <w14:solidFill>
              <w14:schemeClr w14:val="tx1"/>
            </w14:solidFill>
          </w14:textFill>
        </w:rPr>
        <w:t>还田工作，并将</w:t>
      </w:r>
      <w:r>
        <w:rPr>
          <w:rFonts w:hint="default" w:ascii="Times New Roman" w:hAnsi="Times New Roman" w:eastAsia="宋体" w:cs="Times New Roman"/>
          <w:color w:val="000000" w:themeColor="text1"/>
          <w:lang w:eastAsia="zh-CN"/>
          <w14:textFill>
            <w14:solidFill>
              <w14:schemeClr w14:val="tx1"/>
            </w14:solidFill>
          </w14:textFill>
        </w:rPr>
        <w:t>粪污</w:t>
      </w:r>
      <w:r>
        <w:rPr>
          <w:rFonts w:hint="default" w:ascii="Times New Roman" w:hAnsi="Times New Roman" w:eastAsia="宋体" w:cs="Times New Roman"/>
          <w:color w:val="000000" w:themeColor="text1"/>
          <w14:textFill>
            <w14:solidFill>
              <w14:schemeClr w14:val="tx1"/>
            </w14:solidFill>
          </w14:textFill>
        </w:rPr>
        <w:t>施肥区划分成块，每个片区指定1人专门负责该片区的</w:t>
      </w:r>
      <w:r>
        <w:rPr>
          <w:rFonts w:hint="default" w:ascii="Times New Roman" w:hAnsi="Times New Roman" w:eastAsia="宋体" w:cs="Times New Roman"/>
          <w:color w:val="000000" w:themeColor="text1"/>
          <w:lang w:eastAsia="zh-CN"/>
          <w14:textFill>
            <w14:solidFill>
              <w14:schemeClr w14:val="tx1"/>
            </w14:solidFill>
          </w14:textFill>
        </w:rPr>
        <w:t>粪污</w:t>
      </w:r>
      <w:r>
        <w:rPr>
          <w:rFonts w:hint="default" w:ascii="Times New Roman" w:hAnsi="Times New Roman" w:eastAsia="宋体" w:cs="Times New Roman"/>
          <w:color w:val="000000" w:themeColor="text1"/>
          <w14:textFill>
            <w14:solidFill>
              <w14:schemeClr w14:val="tx1"/>
            </w14:solidFill>
          </w14:textFill>
        </w:rPr>
        <w:t>消纳工作；同时建立台账制度，责任到人，严格记录</w:t>
      </w:r>
      <w:r>
        <w:rPr>
          <w:rFonts w:hint="default" w:ascii="Times New Roman" w:hAnsi="Times New Roman" w:eastAsia="宋体" w:cs="Times New Roman"/>
          <w:color w:val="000000" w:themeColor="text1"/>
          <w:lang w:eastAsia="zh-CN"/>
          <w14:textFill>
            <w14:solidFill>
              <w14:schemeClr w14:val="tx1"/>
            </w14:solidFill>
          </w14:textFill>
        </w:rPr>
        <w:t>粪污</w:t>
      </w:r>
      <w:r>
        <w:rPr>
          <w:rFonts w:hint="default" w:ascii="Times New Roman" w:hAnsi="Times New Roman" w:eastAsia="宋体" w:cs="Times New Roman"/>
          <w:color w:val="000000" w:themeColor="text1"/>
          <w14:textFill>
            <w14:solidFill>
              <w14:schemeClr w14:val="tx1"/>
            </w14:solidFill>
          </w14:textFill>
        </w:rPr>
        <w:t>的消纳情况；严格根据评价要求，控制施肥量，严禁突击施肥，在非施肥季节及雨季，</w:t>
      </w:r>
      <w:r>
        <w:rPr>
          <w:rFonts w:hint="default" w:ascii="Times New Roman" w:hAnsi="Times New Roman" w:eastAsia="宋体" w:cs="Times New Roman"/>
          <w:color w:val="000000" w:themeColor="text1"/>
          <w:lang w:eastAsia="zh-CN"/>
          <w14:textFill>
            <w14:solidFill>
              <w14:schemeClr w14:val="tx1"/>
            </w14:solidFill>
          </w14:textFill>
        </w:rPr>
        <w:t>粪污</w:t>
      </w:r>
      <w:r>
        <w:rPr>
          <w:rFonts w:hint="default" w:ascii="Times New Roman" w:hAnsi="Times New Roman" w:eastAsia="宋体" w:cs="Times New Roman"/>
          <w:color w:val="000000" w:themeColor="text1"/>
          <w14:textFill>
            <w14:solidFill>
              <w14:schemeClr w14:val="tx1"/>
            </w14:solidFill>
          </w14:textFill>
        </w:rPr>
        <w:t>由氧化塘暂存；做到对</w:t>
      </w:r>
      <w:r>
        <w:rPr>
          <w:rFonts w:hint="default" w:ascii="Times New Roman" w:hAnsi="Times New Roman" w:eastAsia="宋体" w:cs="Times New Roman"/>
          <w:color w:val="000000" w:themeColor="text1"/>
          <w:lang w:eastAsia="zh-CN"/>
          <w14:textFill>
            <w14:solidFill>
              <w14:schemeClr w14:val="tx1"/>
            </w14:solidFill>
          </w14:textFill>
        </w:rPr>
        <w:t>粪污</w:t>
      </w:r>
      <w:r>
        <w:rPr>
          <w:rFonts w:hint="default" w:ascii="Times New Roman" w:hAnsi="Times New Roman" w:eastAsia="宋体" w:cs="Times New Roman"/>
          <w:color w:val="000000" w:themeColor="text1"/>
          <w14:textFill>
            <w14:solidFill>
              <w14:schemeClr w14:val="tx1"/>
            </w14:solidFill>
          </w14:textFill>
        </w:rPr>
        <w:t>利用工程进行经常性的维护、季节性的整修和临时性的抢修以及系统运行效果和污染物的监测与处理。</w:t>
      </w:r>
    </w:p>
    <w:p w14:paraId="5A6670B1">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②管道养护</w:t>
      </w:r>
    </w:p>
    <w:p w14:paraId="73D72DD4">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要经常对管道进行巡查维护，发现管道漏水、爆裂及时修补，发现</w:t>
      </w:r>
      <w:r>
        <w:rPr>
          <w:rFonts w:hint="default" w:ascii="Times New Roman" w:hAnsi="Times New Roman" w:eastAsia="宋体" w:cs="Times New Roman"/>
          <w:color w:val="000000" w:themeColor="text1"/>
          <w:lang w:eastAsia="zh-CN"/>
          <w14:textFill>
            <w14:solidFill>
              <w14:schemeClr w14:val="tx1"/>
            </w14:solidFill>
          </w14:textFill>
        </w:rPr>
        <w:t>粪污</w:t>
      </w:r>
      <w:r>
        <w:rPr>
          <w:rFonts w:hint="default" w:ascii="Times New Roman" w:hAnsi="Times New Roman" w:eastAsia="宋体" w:cs="Times New Roman"/>
          <w:color w:val="000000" w:themeColor="text1"/>
          <w14:textFill>
            <w14:solidFill>
              <w14:schemeClr w14:val="tx1"/>
            </w14:solidFill>
          </w14:textFill>
        </w:rPr>
        <w:t>出水明显减少，要及时监测、疏通污物收集装置，确保</w:t>
      </w:r>
      <w:r>
        <w:rPr>
          <w:rFonts w:hint="default" w:ascii="Times New Roman" w:hAnsi="Times New Roman" w:eastAsia="宋体" w:cs="Times New Roman"/>
          <w:color w:val="000000" w:themeColor="text1"/>
          <w:lang w:eastAsia="zh-CN"/>
          <w14:textFill>
            <w14:solidFill>
              <w14:schemeClr w14:val="tx1"/>
            </w14:solidFill>
          </w14:textFill>
        </w:rPr>
        <w:t>粪污</w:t>
      </w:r>
      <w:r>
        <w:rPr>
          <w:rFonts w:hint="default" w:ascii="Times New Roman" w:hAnsi="Times New Roman" w:eastAsia="宋体" w:cs="Times New Roman"/>
          <w:color w:val="000000" w:themeColor="text1"/>
          <w14:textFill>
            <w14:solidFill>
              <w14:schemeClr w14:val="tx1"/>
            </w14:solidFill>
          </w14:textFill>
        </w:rPr>
        <w:t>输送通畅和设施完好、运行正常。</w:t>
      </w:r>
    </w:p>
    <w:p w14:paraId="041A2265">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③设施维修保养</w:t>
      </w:r>
    </w:p>
    <w:p w14:paraId="22A5D127">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建立处理、暂存池等主要建筑结构和管网、机电设备的检修制度或维修养护办法，确保各类设施设备完整，做到无损、无漏、无裂，闸门启闭灵活。安装的</w:t>
      </w:r>
      <w:r>
        <w:rPr>
          <w:rFonts w:hint="default" w:ascii="Times New Roman" w:hAnsi="Times New Roman" w:eastAsia="宋体" w:cs="Times New Roman"/>
          <w:color w:val="000000" w:themeColor="text1"/>
          <w:lang w:eastAsia="zh-CN"/>
          <w14:textFill>
            <w14:solidFill>
              <w14:schemeClr w14:val="tx1"/>
            </w14:solidFill>
          </w14:textFill>
        </w:rPr>
        <w:t>粪污</w:t>
      </w:r>
      <w:r>
        <w:rPr>
          <w:rFonts w:hint="default" w:ascii="Times New Roman" w:hAnsi="Times New Roman" w:eastAsia="宋体" w:cs="Times New Roman"/>
          <w:color w:val="000000" w:themeColor="text1"/>
          <w14:textFill>
            <w14:solidFill>
              <w14:schemeClr w14:val="tx1"/>
            </w14:solidFill>
          </w14:textFill>
        </w:rPr>
        <w:t>泵、动力设备与电气设备应每年全面检修一次，确保安全运行。及时清除泵站前池、污物收集装置、氧化塘中的各种杂质淤泥。</w:t>
      </w:r>
    </w:p>
    <w:p w14:paraId="03E8E4D5">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bookmarkStart w:id="350" w:name="_Toc17881"/>
      <w:bookmarkStart w:id="351" w:name="_Toc2683"/>
      <w:r>
        <w:rPr>
          <w:rFonts w:hint="default" w:ascii="Times New Roman" w:hAnsi="Times New Roman" w:eastAsia="宋体" w:cs="Times New Roman"/>
          <w:color w:val="000000" w:themeColor="text1"/>
          <w14:textFill>
            <w14:solidFill>
              <w14:schemeClr w14:val="tx1"/>
            </w14:solidFill>
          </w14:textFill>
        </w:rPr>
        <w:fldChar w:fldCharType="begin"/>
      </w:r>
      <w:r>
        <w:rPr>
          <w:rFonts w:hint="default" w:ascii="Times New Roman" w:hAnsi="Times New Roman" w:eastAsia="宋体" w:cs="Times New Roman"/>
          <w:color w:val="000000" w:themeColor="text1"/>
          <w14:textFill>
            <w14:solidFill>
              <w14:schemeClr w14:val="tx1"/>
            </w14:solidFill>
          </w14:textFill>
        </w:rPr>
        <w:instrText xml:space="preserve">HYPERLINK "C:\\Users\\Administrator\\Desktop\\科右前旗现代农牧业园区核心育种场养殖项目-修改稿\\6.2.2.8"</w:instrText>
      </w:r>
      <w:r>
        <w:rPr>
          <w:rFonts w:hint="default" w:ascii="Times New Roman" w:hAnsi="Times New Roman" w:eastAsia="宋体" w:cs="Times New Roman"/>
          <w:color w:val="000000" w:themeColor="text1"/>
          <w14:textFill>
            <w14:solidFill>
              <w14:schemeClr w14:val="tx1"/>
            </w14:solidFill>
          </w14:textFill>
        </w:rPr>
        <w:fldChar w:fldCharType="separate"/>
      </w:r>
      <w:r>
        <w:rPr>
          <w:rFonts w:hint="default" w:ascii="Times New Roman" w:hAnsi="Times New Roman" w:eastAsia="宋体" w:cs="Times New Roman"/>
          <w:color w:val="000000" w:themeColor="text1"/>
          <w14:textFill>
            <w14:solidFill>
              <w14:schemeClr w14:val="tx1"/>
            </w14:solidFill>
          </w14:textFill>
        </w:rPr>
        <w:t>7.2.2.8</w:t>
      </w:r>
      <w:r>
        <w:rPr>
          <w:rFonts w:hint="default" w:ascii="Times New Roman" w:hAnsi="Times New Roman" w:eastAsia="宋体" w:cs="Times New Roman"/>
          <w:color w:val="000000" w:themeColor="text1"/>
          <w14:textFill>
            <w14:solidFill>
              <w14:schemeClr w14:val="tx1"/>
            </w14:solidFill>
          </w14:textFill>
        </w:rPr>
        <w:fldChar w:fldCharType="end"/>
      </w:r>
      <w:r>
        <w:rPr>
          <w:rFonts w:hint="default" w:ascii="Times New Roman" w:hAnsi="Times New Roman" w:eastAsia="宋体" w:cs="Times New Roman"/>
          <w:color w:val="000000" w:themeColor="text1"/>
          <w14:textFill>
            <w14:solidFill>
              <w14:schemeClr w14:val="tx1"/>
            </w14:solidFill>
          </w14:textFill>
        </w:rPr>
        <w:t>.雨污分流措施</w:t>
      </w:r>
      <w:bookmarkEnd w:id="350"/>
      <w:bookmarkEnd w:id="351"/>
    </w:p>
    <w:p w14:paraId="0D2CBA1C">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项目采用雨污分流自流式排水，育肥区牛舍屋面设置合适坡度，以利雨水的排出；牛舍屋面雨水、道路雨水采用自流式排水，经过雨水管道排入厂区排水沟，沿道路排水沟排出，项目清净雨水，通过场区雨水管道自流式排出。</w:t>
      </w:r>
    </w:p>
    <w:p w14:paraId="34A15363">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繁育区雨水利用繁育区尿液收集设施收集进入收集沉淀池。利用厂区</w:t>
      </w:r>
      <w:r>
        <w:rPr>
          <w:rFonts w:hint="default" w:ascii="Times New Roman" w:hAnsi="Times New Roman" w:eastAsia="宋体" w:cs="Times New Roman"/>
          <w:color w:val="000000" w:themeColor="text1"/>
          <w:lang w:eastAsia="zh-CN"/>
          <w14:textFill>
            <w14:solidFill>
              <w14:schemeClr w14:val="tx1"/>
            </w14:solidFill>
          </w14:textFill>
        </w:rPr>
        <w:t>粪污</w:t>
      </w:r>
      <w:r>
        <w:rPr>
          <w:rFonts w:hint="default" w:ascii="Times New Roman" w:hAnsi="Times New Roman" w:eastAsia="宋体" w:cs="Times New Roman"/>
          <w:color w:val="000000" w:themeColor="text1"/>
          <w14:textFill>
            <w14:solidFill>
              <w14:schemeClr w14:val="tx1"/>
            </w14:solidFill>
          </w14:textFill>
        </w:rPr>
        <w:t>消纳管道输送至农田施肥。运动场设置挡水坡道，防止场外雨水进入运动场。</w:t>
      </w:r>
    </w:p>
    <w:p w14:paraId="2C1508EE">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综上，采用上述措施是可行的。</w:t>
      </w:r>
    </w:p>
    <w:p w14:paraId="0148C49C">
      <w:pPr>
        <w:ind w:firstLine="482"/>
        <w:outlineLvl w:val="2"/>
        <w:rPr>
          <w:rFonts w:hint="default" w:ascii="Times New Roman" w:hAnsi="Times New Roman" w:eastAsia="宋体" w:cs="Times New Roman"/>
          <w:b/>
          <w:bCs/>
          <w:color w:val="000000" w:themeColor="text1"/>
          <w14:textFill>
            <w14:solidFill>
              <w14:schemeClr w14:val="tx1"/>
            </w14:solidFill>
          </w14:textFill>
        </w:rPr>
      </w:pPr>
      <w:bookmarkStart w:id="352" w:name="bookmark52"/>
      <w:bookmarkEnd w:id="352"/>
      <w:bookmarkStart w:id="353" w:name="_Toc25694"/>
      <w:r>
        <w:rPr>
          <w:rFonts w:hint="default" w:ascii="Times New Roman" w:hAnsi="Times New Roman" w:eastAsia="宋体" w:cs="Times New Roman"/>
          <w:b/>
          <w:bCs/>
          <w:color w:val="000000" w:themeColor="text1"/>
          <w14:textFill>
            <w14:solidFill>
              <w14:schemeClr w14:val="tx1"/>
            </w14:solidFill>
          </w14:textFill>
        </w:rPr>
        <w:t>7.2.3地下水防治措施</w:t>
      </w:r>
      <w:bookmarkEnd w:id="353"/>
    </w:p>
    <w:p w14:paraId="33627E4A">
      <w:pPr>
        <w:keepNext w:val="0"/>
        <w:keepLines w:val="0"/>
        <w:pageBreakBefore w:val="0"/>
        <w:kinsoku/>
        <w:wordWrap/>
        <w:overflowPunct/>
        <w:topLinePunct w:val="0"/>
        <w:autoSpaceDE w:val="0"/>
        <w:autoSpaceDN w:val="0"/>
        <w:bidi w:val="0"/>
        <w:adjustRightInd w:val="0"/>
        <w:spacing w:line="460" w:lineRule="exact"/>
        <w:ind w:firstLine="480"/>
        <w:textAlignment w:val="auto"/>
        <w:outlineLvl w:val="9"/>
        <w:rPr>
          <w:rFonts w:hint="default" w:ascii="Times New Roman" w:hAnsi="Times New Roman" w:eastAsia="宋体" w:cs="Times New Roman"/>
          <w:color w:val="000000" w:themeColor="text1"/>
          <w:kern w:val="0"/>
          <w14:textFill>
            <w14:solidFill>
              <w14:schemeClr w14:val="tx1"/>
            </w14:solidFill>
          </w14:textFill>
        </w:rPr>
      </w:pPr>
      <w:r>
        <w:rPr>
          <w:rFonts w:hint="default" w:ascii="Times New Roman" w:hAnsi="Times New Roman" w:eastAsia="宋体" w:cs="Times New Roman"/>
          <w:color w:val="000000" w:themeColor="text1"/>
          <w:kern w:val="0"/>
          <w14:textFill>
            <w14:solidFill>
              <w14:schemeClr w14:val="tx1"/>
            </w14:solidFill>
          </w14:textFill>
        </w:rPr>
        <w:t>针对可能产生地下水污染的各种污染因素，为防止项目废水对地下水造成污染，本项目采取以下措施：</w:t>
      </w:r>
    </w:p>
    <w:p w14:paraId="39FD7474">
      <w:pPr>
        <w:pStyle w:val="56"/>
        <w:keepNext w:val="0"/>
        <w:keepLines w:val="0"/>
        <w:pageBreakBefore w:val="0"/>
        <w:kinsoku/>
        <w:wordWrap/>
        <w:overflowPunct/>
        <w:topLinePunct w:val="0"/>
        <w:bidi w:val="0"/>
        <w:spacing w:line="460" w:lineRule="exact"/>
        <w:ind w:firstLine="480"/>
        <w:textAlignment w:val="auto"/>
        <w:outlineLvl w:val="9"/>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1）《畜禽养殖业污染防治技术规范》（HJ/T81-2001）规定，养殖场的排水系统应实施雨水和污水收集输送系统分离，在场区内设置的污水收集输送系统，不得采用明沟布设。排水沟应采取水泥硬化防渗措施或采用水泥排水管进行输送，防止随处溢流和下渗污染。</w:t>
      </w:r>
    </w:p>
    <w:p w14:paraId="43B32D9A">
      <w:pPr>
        <w:pStyle w:val="56"/>
        <w:keepNext w:val="0"/>
        <w:keepLines w:val="0"/>
        <w:pageBreakBefore w:val="0"/>
        <w:kinsoku/>
        <w:wordWrap/>
        <w:overflowPunct/>
        <w:topLinePunct w:val="0"/>
        <w:bidi w:val="0"/>
        <w:spacing w:line="460" w:lineRule="exact"/>
        <w:ind w:firstLine="480"/>
        <w:textAlignment w:val="auto"/>
        <w:outlineLvl w:val="9"/>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2）污水处理设施</w:t>
      </w:r>
      <w:r>
        <w:rPr>
          <w:rFonts w:hint="eastAsia" w:cs="Times New Roman"/>
          <w:color w:val="000000" w:themeColor="text1"/>
          <w:sz w:val="24"/>
          <w:lang w:eastAsia="zh-CN"/>
          <w14:textFill>
            <w14:solidFill>
              <w14:schemeClr w14:val="tx1"/>
            </w14:solidFill>
          </w14:textFill>
        </w:rPr>
        <w:t>粪渣</w:t>
      </w:r>
      <w:r>
        <w:rPr>
          <w:rFonts w:hint="default" w:ascii="Times New Roman" w:hAnsi="Times New Roman" w:eastAsia="宋体" w:cs="Times New Roman"/>
          <w:color w:val="000000" w:themeColor="text1"/>
          <w:sz w:val="24"/>
          <w14:textFill>
            <w14:solidFill>
              <w14:schemeClr w14:val="tx1"/>
            </w14:solidFill>
          </w14:textFill>
        </w:rPr>
        <w:t>及堆粪场设施应采取有效地防渗处理工艺，防止粪便滤液污染地下水。</w:t>
      </w:r>
    </w:p>
    <w:p w14:paraId="29B96EDC">
      <w:pPr>
        <w:pStyle w:val="56"/>
        <w:keepNext w:val="0"/>
        <w:keepLines w:val="0"/>
        <w:pageBreakBefore w:val="0"/>
        <w:kinsoku/>
        <w:wordWrap/>
        <w:overflowPunct/>
        <w:topLinePunct w:val="0"/>
        <w:bidi w:val="0"/>
        <w:spacing w:line="460" w:lineRule="exact"/>
        <w:ind w:firstLine="480"/>
        <w:textAlignment w:val="auto"/>
        <w:outlineLvl w:val="9"/>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3）做好污水处理工程等的防渗工作，应充分考虑农间作期时间和雨季影响，能够保证有足够的容量以容纳养殖场产生的废水。养殖场废水处理污水处理工程应按期清淤，各池建设时应高出地面至少20cm以上，以保证大雨时雨水不进入、污水不外溢。</w:t>
      </w:r>
    </w:p>
    <w:p w14:paraId="18BC2E70">
      <w:pPr>
        <w:pStyle w:val="56"/>
        <w:keepNext w:val="0"/>
        <w:keepLines w:val="0"/>
        <w:pageBreakBefore w:val="0"/>
        <w:kinsoku/>
        <w:wordWrap/>
        <w:overflowPunct/>
        <w:topLinePunct w:val="0"/>
        <w:bidi w:val="0"/>
        <w:spacing w:line="460" w:lineRule="exact"/>
        <w:ind w:firstLine="480"/>
        <w:textAlignment w:val="auto"/>
        <w:outlineLvl w:val="9"/>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4）充分做好排污管道的防渗处理，杜绝污水防漏，确保污水收集处理系统衔接良好，严格用水管理，防止污水“跑、冒、低、漏”现象的发生。</w:t>
      </w:r>
    </w:p>
    <w:p w14:paraId="0C5F83E4">
      <w:pPr>
        <w:pStyle w:val="56"/>
        <w:keepNext w:val="0"/>
        <w:keepLines w:val="0"/>
        <w:pageBreakBefore w:val="0"/>
        <w:kinsoku/>
        <w:wordWrap/>
        <w:overflowPunct/>
        <w:topLinePunct w:val="0"/>
        <w:bidi w:val="0"/>
        <w:spacing w:line="460" w:lineRule="exact"/>
        <w:ind w:firstLine="480"/>
        <w:textAlignment w:val="auto"/>
        <w:outlineLvl w:val="9"/>
        <w:rPr>
          <w:rFonts w:hint="default" w:ascii="Times New Roman" w:hAnsi="Times New Roman" w:eastAsia="宋体" w:cs="Times New Roman"/>
          <w:color w:val="000000" w:themeColor="text1"/>
          <w:sz w:val="24"/>
          <w:lang w:val="en-US"/>
          <w14:textFill>
            <w14:solidFill>
              <w14:schemeClr w14:val="tx1"/>
            </w14:solidFill>
          </w14:textFill>
        </w:rPr>
      </w:pPr>
      <w:r>
        <w:rPr>
          <w:rFonts w:hint="default" w:ascii="Times New Roman" w:hAnsi="Times New Roman" w:eastAsia="宋体" w:cs="Times New Roman"/>
          <w:color w:val="000000" w:themeColor="text1"/>
          <w:sz w:val="24"/>
          <w:lang w:val="en-US"/>
          <w14:textFill>
            <w14:solidFill>
              <w14:schemeClr w14:val="tx1"/>
            </w14:solidFill>
          </w14:textFill>
        </w:rPr>
        <w:t>5）防渗</w:t>
      </w:r>
    </w:p>
    <w:p w14:paraId="0F6B4CDB">
      <w:pPr>
        <w:keepNext w:val="0"/>
        <w:keepLines w:val="0"/>
        <w:pageBreakBefore w:val="0"/>
        <w:kinsoku/>
        <w:wordWrap/>
        <w:overflowPunct/>
        <w:topLinePunct w:val="0"/>
        <w:autoSpaceDE w:val="0"/>
        <w:autoSpaceDN w:val="0"/>
        <w:bidi w:val="0"/>
        <w:spacing w:line="460" w:lineRule="exact"/>
        <w:ind w:right="-43" w:rightChars="-18" w:firstLine="440"/>
        <w:textAlignment w:val="auto"/>
        <w:outlineLvl w:val="9"/>
        <w:rPr>
          <w:rFonts w:hint="default" w:ascii="Times New Roman" w:hAnsi="Times New Roman" w:eastAsia="宋体" w:cs="Times New Roman"/>
          <w:color w:val="000000" w:themeColor="text1"/>
          <w:spacing w:val="-9"/>
          <w14:textFill>
            <w14:solidFill>
              <w14:schemeClr w14:val="tx1"/>
            </w14:solidFill>
          </w14:textFill>
        </w:rPr>
      </w:pPr>
      <w:r>
        <w:rPr>
          <w:rFonts w:hint="default" w:ascii="Times New Roman" w:hAnsi="Times New Roman" w:eastAsia="宋体" w:cs="Times New Roman"/>
          <w:color w:val="000000" w:themeColor="text1"/>
          <w:spacing w:val="-10"/>
          <w14:textFill>
            <w14:solidFill>
              <w14:schemeClr w14:val="tx1"/>
            </w14:solidFill>
          </w14:textFill>
        </w:rPr>
        <w:t>正常情况下，本项目产生的废水不外排，废水经</w:t>
      </w:r>
      <w:r>
        <w:rPr>
          <w:rFonts w:hint="eastAsia" w:cs="Times New Roman"/>
          <w:color w:val="000000" w:themeColor="text1"/>
          <w:spacing w:val="-10"/>
          <w:lang w:val="en-US" w:eastAsia="zh-CN"/>
          <w14:textFill>
            <w14:solidFill>
              <w14:schemeClr w14:val="tx1"/>
            </w14:solidFill>
          </w14:textFill>
        </w:rPr>
        <w:t>氧化塘</w:t>
      </w:r>
      <w:r>
        <w:rPr>
          <w:rFonts w:hint="default" w:ascii="Times New Roman" w:hAnsi="Times New Roman" w:eastAsia="宋体" w:cs="Times New Roman"/>
          <w:color w:val="000000" w:themeColor="text1"/>
          <w:spacing w:val="-10"/>
          <w14:textFill>
            <w14:solidFill>
              <w14:schemeClr w14:val="tx1"/>
            </w14:solidFill>
          </w14:textFill>
        </w:rPr>
        <w:t>发酵处理后外售到周边农户用作肥料。为</w:t>
      </w:r>
      <w:r>
        <w:rPr>
          <w:rFonts w:hint="default" w:ascii="Times New Roman" w:hAnsi="Times New Roman" w:eastAsia="宋体" w:cs="Times New Roman"/>
          <w:color w:val="000000" w:themeColor="text1"/>
          <w:spacing w:val="-9"/>
          <w14:textFill>
            <w14:solidFill>
              <w14:schemeClr w14:val="tx1"/>
            </w14:solidFill>
          </w14:textFill>
        </w:rPr>
        <w:t>降低非正常情况下，</w:t>
      </w:r>
      <w:r>
        <w:rPr>
          <w:rFonts w:hint="default" w:ascii="Times New Roman" w:hAnsi="Times New Roman" w:eastAsia="宋体" w:cs="Times New Roman"/>
          <w:color w:val="000000" w:themeColor="text1"/>
          <w:lang w:val="en-US" w:eastAsia="zh-CN"/>
          <w14:textFill>
            <w14:solidFill>
              <w14:schemeClr w14:val="tx1"/>
            </w14:solidFill>
          </w14:textFill>
        </w:rPr>
        <w:t>氧化塘</w:t>
      </w:r>
      <w:r>
        <w:rPr>
          <w:rFonts w:hint="default" w:ascii="Times New Roman" w:hAnsi="Times New Roman" w:eastAsia="宋体" w:cs="Times New Roman"/>
          <w:color w:val="000000" w:themeColor="text1"/>
          <w:spacing w:val="-9"/>
          <w14:textFill>
            <w14:solidFill>
              <w14:schemeClr w14:val="tx1"/>
            </w14:solidFill>
          </w14:textFill>
        </w:rPr>
        <w:t>池体、堆粪场等区域出现泄漏导致污水下泄事故的发生，本项目按照“源头控制、分区防控、污染监控、应急响应”的地下水环境保护原则，对项目各区域进行分区防渗。</w:t>
      </w:r>
    </w:p>
    <w:p w14:paraId="5AA91724">
      <w:pPr>
        <w:keepNext w:val="0"/>
        <w:keepLines w:val="0"/>
        <w:pageBreakBefore w:val="0"/>
        <w:kinsoku/>
        <w:wordWrap/>
        <w:overflowPunct/>
        <w:topLinePunct w:val="0"/>
        <w:bidi w:val="0"/>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①对于重点防渗区，按照《环境影响评价技术导则--地下水环境》（HJ610-2016）中的重点防渗区的防渗要求进行防渗设计：防渗层的防渗性能等效于厚度≥6m，渗透系数≤1.0×10</w:t>
      </w:r>
      <w:r>
        <w:rPr>
          <w:rFonts w:hint="default" w:ascii="Times New Roman" w:hAnsi="Times New Roman" w:eastAsia="宋体" w:cs="Times New Roman"/>
          <w:color w:val="000000" w:themeColor="text1"/>
          <w:vertAlign w:val="superscript"/>
          <w14:textFill>
            <w14:solidFill>
              <w14:schemeClr w14:val="tx1"/>
            </w14:solidFill>
          </w14:textFill>
        </w:rPr>
        <w:t>-10</w:t>
      </w:r>
      <w:r>
        <w:rPr>
          <w:rFonts w:hint="default" w:ascii="Times New Roman" w:hAnsi="Times New Roman" w:eastAsia="宋体" w:cs="Times New Roman"/>
          <w:color w:val="000000" w:themeColor="text1"/>
          <w14:textFill>
            <w14:solidFill>
              <w14:schemeClr w14:val="tx1"/>
            </w14:solidFill>
          </w14:textFill>
        </w:rPr>
        <w:t>cm/s的粘土层的防渗性能。</w:t>
      </w:r>
    </w:p>
    <w:p w14:paraId="04B6128C">
      <w:pPr>
        <w:keepNext w:val="0"/>
        <w:keepLines w:val="0"/>
        <w:pageBreakBefore w:val="0"/>
        <w:kinsoku/>
        <w:wordWrap/>
        <w:overflowPunct/>
        <w:topLinePunct w:val="0"/>
        <w:bidi w:val="0"/>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②对于一般防渗区，按照《环境影响评价技术导则--地下水环境》（HJ610-2016）中的重点防渗区的防渗要求进行防渗设计：防渗层的防渗性能等效于厚度≥1.5m，渗透系数≤1.0×10</w:t>
      </w:r>
      <w:r>
        <w:rPr>
          <w:rFonts w:hint="default" w:ascii="Times New Roman" w:hAnsi="Times New Roman" w:eastAsia="宋体" w:cs="Times New Roman"/>
          <w:color w:val="000000" w:themeColor="text1"/>
          <w:vertAlign w:val="superscript"/>
          <w14:textFill>
            <w14:solidFill>
              <w14:schemeClr w14:val="tx1"/>
            </w14:solidFill>
          </w14:textFill>
        </w:rPr>
        <w:t>-7</w:t>
      </w:r>
      <w:r>
        <w:rPr>
          <w:rFonts w:hint="default" w:ascii="Times New Roman" w:hAnsi="Times New Roman" w:eastAsia="宋体" w:cs="Times New Roman"/>
          <w:color w:val="000000" w:themeColor="text1"/>
          <w14:textFill>
            <w14:solidFill>
              <w14:schemeClr w14:val="tx1"/>
            </w14:solidFill>
          </w14:textFill>
        </w:rPr>
        <w:t>cm/s的粘土层的防渗性能。</w:t>
      </w:r>
    </w:p>
    <w:p w14:paraId="645BB993">
      <w:pPr>
        <w:keepNext w:val="0"/>
        <w:keepLines w:val="0"/>
        <w:pageBreakBefore w:val="0"/>
        <w:kinsoku/>
        <w:wordWrap/>
        <w:overflowPunct/>
        <w:topLinePunct w:val="0"/>
        <w:bidi w:val="0"/>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③对于简单防渗区，不采取专门针对地下水污染的防治措施，地面可采用混凝土硬化。</w:t>
      </w:r>
    </w:p>
    <w:p w14:paraId="61F950DC">
      <w:pPr>
        <w:keepNext w:val="0"/>
        <w:keepLines w:val="0"/>
        <w:pageBreakBefore w:val="0"/>
        <w:kinsoku/>
        <w:wordWrap/>
        <w:overflowPunct/>
        <w:topLinePunct w:val="0"/>
        <w:bidi w:val="0"/>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bookmarkStart w:id="354" w:name="_Toc18118"/>
      <w:bookmarkStart w:id="355" w:name="_Toc25574"/>
      <w:r>
        <w:rPr>
          <w:rFonts w:hint="default" w:ascii="Times New Roman" w:hAnsi="Times New Roman" w:eastAsia="宋体" w:cs="Times New Roman"/>
          <w:color w:val="000000" w:themeColor="text1"/>
          <w14:textFill>
            <w14:solidFill>
              <w14:schemeClr w14:val="tx1"/>
            </w14:solidFill>
          </w14:textFill>
        </w:rPr>
        <w:fldChar w:fldCharType="begin"/>
      </w:r>
      <w:r>
        <w:rPr>
          <w:rFonts w:hint="default" w:ascii="Times New Roman" w:hAnsi="Times New Roman" w:eastAsia="宋体" w:cs="Times New Roman"/>
          <w:color w:val="000000" w:themeColor="text1"/>
          <w14:textFill>
            <w14:solidFill>
              <w14:schemeClr w14:val="tx1"/>
            </w14:solidFill>
          </w14:textFill>
        </w:rPr>
        <w:instrText xml:space="preserve">HYPERLINK "C:\\Users\\Administrator\\Desktop\\科右前旗现代农牧业园区核心育种场养殖项目-修改稿\\6.2.3.3"</w:instrText>
      </w:r>
      <w:r>
        <w:rPr>
          <w:rFonts w:hint="default" w:ascii="Times New Roman" w:hAnsi="Times New Roman" w:eastAsia="宋体" w:cs="Times New Roman"/>
          <w:color w:val="000000" w:themeColor="text1"/>
          <w14:textFill>
            <w14:solidFill>
              <w14:schemeClr w14:val="tx1"/>
            </w14:solidFill>
          </w14:textFill>
        </w:rPr>
        <w:fldChar w:fldCharType="separate"/>
      </w:r>
      <w:r>
        <w:rPr>
          <w:rFonts w:hint="default" w:ascii="Times New Roman" w:hAnsi="Times New Roman" w:eastAsia="宋体" w:cs="Times New Roman"/>
          <w:color w:val="000000" w:themeColor="text1"/>
          <w14:textFill>
            <w14:solidFill>
              <w14:schemeClr w14:val="tx1"/>
            </w14:solidFill>
          </w14:textFill>
        </w:rPr>
        <w:t>7.2.3.1</w:t>
      </w:r>
      <w:r>
        <w:rPr>
          <w:rFonts w:hint="default" w:ascii="Times New Roman" w:hAnsi="Times New Roman" w:eastAsia="宋体" w:cs="Times New Roman"/>
          <w:color w:val="000000" w:themeColor="text1"/>
          <w14:textFill>
            <w14:solidFill>
              <w14:schemeClr w14:val="tx1"/>
            </w14:solidFill>
          </w14:textFill>
        </w:rPr>
        <w:fldChar w:fldCharType="end"/>
      </w:r>
      <w:r>
        <w:rPr>
          <w:rFonts w:hint="default" w:ascii="Times New Roman" w:hAnsi="Times New Roman" w:eastAsia="宋体" w:cs="Times New Roman"/>
          <w:color w:val="000000" w:themeColor="text1"/>
          <w14:textFill>
            <w14:solidFill>
              <w14:schemeClr w14:val="tx1"/>
            </w14:solidFill>
          </w14:textFill>
        </w:rPr>
        <w:t>分区控制措施</w:t>
      </w:r>
      <w:bookmarkEnd w:id="354"/>
      <w:bookmarkEnd w:id="355"/>
    </w:p>
    <w:p w14:paraId="78FC65E8">
      <w:pPr>
        <w:keepNext w:val="0"/>
        <w:keepLines w:val="0"/>
        <w:pageBreakBefore w:val="0"/>
        <w:kinsoku/>
        <w:wordWrap/>
        <w:overflowPunct/>
        <w:topLinePunct w:val="0"/>
        <w:bidi w:val="0"/>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根据地下水污染预测结果，泄漏事故会导致场地及其下游地区的含水层污染，且污染持续时间较长，但污染物整体运移速度较慢。一般情况下，污染不会对下游潜水含水层产生影响。按照《环境影响评价技术导则地下水环境》（HJ610－2016）的要求：应根据建设项目场地天然包气带防污性能、污染控制难易程度和污染物特性，参照地下水污染防渗分区参照表，进行污染防渗分区划分。结合当地的水文地质条件，针对不同的污染防渗分区，具体见表7.2-4。</w:t>
      </w:r>
    </w:p>
    <w:p w14:paraId="49355AAD">
      <w:pPr>
        <w:keepNext w:val="0"/>
        <w:keepLines w:val="0"/>
        <w:pageBreakBefore w:val="0"/>
        <w:kinsoku/>
        <w:wordWrap/>
        <w:overflowPunct/>
        <w:topLinePunct w:val="0"/>
        <w:bidi w:val="0"/>
        <w:ind w:firstLine="480"/>
        <w:jc w:val="center"/>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表7.2-4污染防治分区表</w:t>
      </w:r>
    </w:p>
    <w:tbl>
      <w:tblPr>
        <w:tblStyle w:val="35"/>
        <w:tblW w:w="8668" w:type="dxa"/>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910"/>
        <w:gridCol w:w="2166"/>
        <w:gridCol w:w="1797"/>
        <w:gridCol w:w="3795"/>
      </w:tblGrid>
      <w:tr w14:paraId="6D217C9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25" w:hRule="atLeast"/>
          <w:jc w:val="center"/>
        </w:trPr>
        <w:tc>
          <w:tcPr>
            <w:tcW w:w="910" w:type="dxa"/>
            <w:vAlign w:val="center"/>
          </w:tcPr>
          <w:p w14:paraId="41A35DBB">
            <w:pPr>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序号</w:t>
            </w:r>
          </w:p>
        </w:tc>
        <w:tc>
          <w:tcPr>
            <w:tcW w:w="2166" w:type="dxa"/>
            <w:vAlign w:val="center"/>
          </w:tcPr>
          <w:p w14:paraId="5DA5C27D">
            <w:pPr>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名称</w:t>
            </w:r>
          </w:p>
        </w:tc>
        <w:tc>
          <w:tcPr>
            <w:tcW w:w="1797" w:type="dxa"/>
            <w:vAlign w:val="center"/>
          </w:tcPr>
          <w:p w14:paraId="2712C3D7">
            <w:pPr>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防渗区域及部位</w:t>
            </w:r>
          </w:p>
        </w:tc>
        <w:tc>
          <w:tcPr>
            <w:tcW w:w="3795" w:type="dxa"/>
            <w:vAlign w:val="center"/>
          </w:tcPr>
          <w:p w14:paraId="5CA1E837">
            <w:pPr>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防渗分区等级</w:t>
            </w:r>
          </w:p>
        </w:tc>
      </w:tr>
      <w:tr w14:paraId="4D545F4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25" w:hRule="atLeast"/>
          <w:jc w:val="center"/>
        </w:trPr>
        <w:tc>
          <w:tcPr>
            <w:tcW w:w="910" w:type="dxa"/>
            <w:vAlign w:val="center"/>
          </w:tcPr>
          <w:p w14:paraId="70E07EA2">
            <w:pPr>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w:t>
            </w:r>
          </w:p>
        </w:tc>
        <w:tc>
          <w:tcPr>
            <w:tcW w:w="2166" w:type="dxa"/>
            <w:vAlign w:val="center"/>
          </w:tcPr>
          <w:p w14:paraId="4E49671E">
            <w:pPr>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危废暂存间、机修车间</w:t>
            </w:r>
          </w:p>
        </w:tc>
        <w:tc>
          <w:tcPr>
            <w:tcW w:w="1797" w:type="dxa"/>
            <w:vAlign w:val="center"/>
          </w:tcPr>
          <w:p w14:paraId="1E86BB92">
            <w:pPr>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地面及裙角</w:t>
            </w:r>
          </w:p>
        </w:tc>
        <w:tc>
          <w:tcPr>
            <w:tcW w:w="3795" w:type="dxa"/>
            <w:vAlign w:val="center"/>
          </w:tcPr>
          <w:p w14:paraId="6215D330">
            <w:pPr>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《危险废物贮存污染控制标准》（GB18597-2023）</w:t>
            </w:r>
          </w:p>
        </w:tc>
      </w:tr>
      <w:tr w14:paraId="61DBDBA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25" w:hRule="atLeast"/>
          <w:jc w:val="center"/>
        </w:trPr>
        <w:tc>
          <w:tcPr>
            <w:tcW w:w="910" w:type="dxa"/>
            <w:vAlign w:val="center"/>
          </w:tcPr>
          <w:p w14:paraId="69AF057F">
            <w:pPr>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w:t>
            </w:r>
          </w:p>
        </w:tc>
        <w:tc>
          <w:tcPr>
            <w:tcW w:w="2166" w:type="dxa"/>
            <w:vAlign w:val="center"/>
          </w:tcPr>
          <w:p w14:paraId="75F4D92D">
            <w:pPr>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氧化塘、</w:t>
            </w:r>
            <w:r>
              <w:rPr>
                <w:rFonts w:hint="default" w:ascii="Times New Roman" w:hAnsi="Times New Roman" w:eastAsia="宋体" w:cs="Times New Roman"/>
                <w:color w:val="000000" w:themeColor="text1"/>
                <w:sz w:val="21"/>
                <w:szCs w:val="21"/>
                <w14:textFill>
                  <w14:solidFill>
                    <w14:schemeClr w14:val="tx1"/>
                  </w14:solidFill>
                </w14:textFill>
              </w:rPr>
              <w:t>集粪沟渠</w:t>
            </w:r>
          </w:p>
        </w:tc>
        <w:tc>
          <w:tcPr>
            <w:tcW w:w="1797" w:type="dxa"/>
            <w:vAlign w:val="center"/>
          </w:tcPr>
          <w:p w14:paraId="1CE5FB28">
            <w:pPr>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池底、池壁</w:t>
            </w:r>
          </w:p>
        </w:tc>
        <w:tc>
          <w:tcPr>
            <w:tcW w:w="3795" w:type="dxa"/>
            <w:vAlign w:val="center"/>
          </w:tcPr>
          <w:p w14:paraId="6D4AA68D">
            <w:pPr>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《环境影响评价技术导则地下水环境》（HJ610－2016）的重点防渗区要求</w:t>
            </w:r>
          </w:p>
        </w:tc>
      </w:tr>
      <w:tr w14:paraId="048BF24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25" w:hRule="atLeast"/>
          <w:jc w:val="center"/>
        </w:trPr>
        <w:tc>
          <w:tcPr>
            <w:tcW w:w="910" w:type="dxa"/>
            <w:vAlign w:val="center"/>
          </w:tcPr>
          <w:p w14:paraId="7EBDF081">
            <w:pPr>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3</w:t>
            </w:r>
          </w:p>
        </w:tc>
        <w:tc>
          <w:tcPr>
            <w:tcW w:w="2166" w:type="dxa"/>
            <w:vAlign w:val="center"/>
          </w:tcPr>
          <w:p w14:paraId="52105582">
            <w:pPr>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牛舍、运动场</w:t>
            </w:r>
          </w:p>
        </w:tc>
        <w:tc>
          <w:tcPr>
            <w:tcW w:w="1797" w:type="dxa"/>
            <w:vAlign w:val="center"/>
          </w:tcPr>
          <w:p w14:paraId="2162FE37">
            <w:pPr>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地面</w:t>
            </w:r>
          </w:p>
        </w:tc>
        <w:tc>
          <w:tcPr>
            <w:tcW w:w="3795" w:type="dxa"/>
            <w:vAlign w:val="center"/>
          </w:tcPr>
          <w:p w14:paraId="5C3A8A88">
            <w:pPr>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《环境影响评价技术导则地下水环境》（HJ610－2016）要求一般防渗区</w:t>
            </w:r>
          </w:p>
        </w:tc>
      </w:tr>
      <w:tr w14:paraId="569EC84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25" w:hRule="atLeast"/>
          <w:jc w:val="center"/>
        </w:trPr>
        <w:tc>
          <w:tcPr>
            <w:tcW w:w="910" w:type="dxa"/>
            <w:vAlign w:val="center"/>
          </w:tcPr>
          <w:p w14:paraId="497E1D02">
            <w:pPr>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4</w:t>
            </w:r>
          </w:p>
        </w:tc>
        <w:tc>
          <w:tcPr>
            <w:tcW w:w="2166" w:type="dxa"/>
            <w:vAlign w:val="center"/>
          </w:tcPr>
          <w:p w14:paraId="4BC139F3">
            <w:pPr>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精料库、干草库</w:t>
            </w:r>
          </w:p>
        </w:tc>
        <w:tc>
          <w:tcPr>
            <w:tcW w:w="1797" w:type="dxa"/>
            <w:vAlign w:val="center"/>
          </w:tcPr>
          <w:p w14:paraId="111544EB">
            <w:pPr>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地面</w:t>
            </w:r>
          </w:p>
        </w:tc>
        <w:tc>
          <w:tcPr>
            <w:tcW w:w="3795" w:type="dxa"/>
            <w:vAlign w:val="center"/>
          </w:tcPr>
          <w:p w14:paraId="4E67AD1B">
            <w:pPr>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简单防渗区</w:t>
            </w:r>
          </w:p>
        </w:tc>
      </w:tr>
    </w:tbl>
    <w:p w14:paraId="5DCCB376">
      <w:pPr>
        <w:keepNext w:val="0"/>
        <w:keepLines w:val="0"/>
        <w:pageBreakBefore w:val="0"/>
        <w:kinsoku/>
        <w:wordWrap/>
        <w:overflowPunct/>
        <w:topLinePunct w:val="0"/>
        <w:bidi w:val="0"/>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①重点防渗区</w:t>
      </w:r>
    </w:p>
    <w:p w14:paraId="30425C0C">
      <w:pPr>
        <w:keepNext w:val="0"/>
        <w:keepLines w:val="0"/>
        <w:pageBreakBefore w:val="0"/>
        <w:kinsoku/>
        <w:wordWrap/>
        <w:overflowPunct/>
        <w:topLinePunct w:val="0"/>
        <w:bidi w:val="0"/>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项目危废暂存间、机修车间防渗根据《危险废物贮存污染控制标准》（GB18597-2023）防渗要求，危险废物暂存间、机修车间采用防渗混凝土+高密度聚乙烯膜（至少2mm厚、渗透系数不高于1.0×10</w:t>
      </w:r>
      <w:r>
        <w:rPr>
          <w:rFonts w:hint="default" w:ascii="Times New Roman" w:hAnsi="Times New Roman" w:eastAsia="宋体" w:cs="Times New Roman"/>
          <w:color w:val="000000" w:themeColor="text1"/>
          <w:vertAlign w:val="superscript"/>
          <w14:textFill>
            <w14:solidFill>
              <w14:schemeClr w14:val="tx1"/>
            </w14:solidFill>
          </w14:textFill>
        </w:rPr>
        <w:t>-10</w:t>
      </w:r>
      <w:r>
        <w:rPr>
          <w:rFonts w:hint="default" w:ascii="Times New Roman" w:hAnsi="Times New Roman" w:eastAsia="宋体" w:cs="Times New Roman"/>
          <w:color w:val="000000" w:themeColor="text1"/>
          <w14:textFill>
            <w14:solidFill>
              <w14:schemeClr w14:val="tx1"/>
            </w14:solidFill>
          </w14:textFill>
        </w:rPr>
        <w:t>cm/s的HDPE膜作为防渗层）；</w:t>
      </w:r>
    </w:p>
    <w:p w14:paraId="4FDE63B1">
      <w:pPr>
        <w:keepNext w:val="0"/>
        <w:keepLines w:val="0"/>
        <w:pageBreakBefore w:val="0"/>
        <w:kinsoku/>
        <w:wordWrap/>
        <w:overflowPunct/>
        <w:topLinePunct w:val="0"/>
        <w:bidi w:val="0"/>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项目固液分离车间防渗按照《环境影响评价技术导则地下水环境》（HJ610－2016）的重点防渗区要求，达到等效黏土防渗层Mb≥7.0m，K≤1×10</w:t>
      </w:r>
      <w:r>
        <w:rPr>
          <w:rFonts w:hint="default" w:ascii="Times New Roman" w:hAnsi="Times New Roman" w:eastAsia="宋体" w:cs="Times New Roman"/>
          <w:color w:val="000000" w:themeColor="text1"/>
          <w:vertAlign w:val="superscript"/>
          <w14:textFill>
            <w14:solidFill>
              <w14:schemeClr w14:val="tx1"/>
            </w14:solidFill>
          </w14:textFill>
        </w:rPr>
        <w:t>-7</w:t>
      </w:r>
      <w:r>
        <w:rPr>
          <w:rFonts w:hint="default" w:ascii="Times New Roman" w:hAnsi="Times New Roman" w:eastAsia="宋体" w:cs="Times New Roman"/>
          <w:color w:val="000000" w:themeColor="text1"/>
          <w14:textFill>
            <w14:solidFill>
              <w14:schemeClr w14:val="tx1"/>
            </w14:solidFill>
          </w14:textFill>
        </w:rPr>
        <w:t>cm/s。重点防渗区的防渗技术要求：等效黏土防渗层Mb≥7.0m，K≤1×10</w:t>
      </w:r>
      <w:r>
        <w:rPr>
          <w:rFonts w:hint="default" w:ascii="Times New Roman" w:hAnsi="Times New Roman" w:eastAsia="宋体" w:cs="Times New Roman"/>
          <w:color w:val="000000" w:themeColor="text1"/>
          <w:vertAlign w:val="superscript"/>
          <w14:textFill>
            <w14:solidFill>
              <w14:schemeClr w14:val="tx1"/>
            </w14:solidFill>
          </w14:textFill>
        </w:rPr>
        <w:t>-7</w:t>
      </w:r>
      <w:r>
        <w:rPr>
          <w:rFonts w:hint="default" w:ascii="Times New Roman" w:hAnsi="Times New Roman" w:eastAsia="宋体" w:cs="Times New Roman"/>
          <w:color w:val="000000" w:themeColor="text1"/>
          <w14:textFill>
            <w14:solidFill>
              <w14:schemeClr w14:val="tx1"/>
            </w14:solidFill>
          </w14:textFill>
        </w:rPr>
        <w:t>cm/s。重点防渗区除对地坪地基采取上述防渗措施外，进一步采取如下的措施：高密度聚乙烯膜（至少2mm厚、渗透系数不高于1.0×10</w:t>
      </w:r>
      <w:r>
        <w:rPr>
          <w:rFonts w:hint="default" w:ascii="Times New Roman" w:hAnsi="Times New Roman" w:eastAsia="宋体" w:cs="Times New Roman"/>
          <w:color w:val="000000" w:themeColor="text1"/>
          <w:vertAlign w:val="superscript"/>
          <w14:textFill>
            <w14:solidFill>
              <w14:schemeClr w14:val="tx1"/>
            </w14:solidFill>
          </w14:textFill>
        </w:rPr>
        <w:t>-10</w:t>
      </w:r>
      <w:r>
        <w:rPr>
          <w:rFonts w:hint="default" w:ascii="Times New Roman" w:hAnsi="Times New Roman" w:eastAsia="宋体" w:cs="Times New Roman"/>
          <w:color w:val="000000" w:themeColor="text1"/>
          <w14:textFill>
            <w14:solidFill>
              <w14:schemeClr w14:val="tx1"/>
            </w14:solidFill>
          </w14:textFill>
        </w:rPr>
        <w:t>cm/s的HDPE膜作为防渗层）；</w:t>
      </w:r>
    </w:p>
    <w:p w14:paraId="6CBA8F37">
      <w:pPr>
        <w:keepNext w:val="0"/>
        <w:keepLines w:val="0"/>
        <w:pageBreakBefore w:val="0"/>
        <w:kinsoku/>
        <w:wordWrap/>
        <w:overflowPunct/>
        <w:topLinePunct w:val="0"/>
        <w:bidi w:val="0"/>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②一般防渗区</w:t>
      </w:r>
    </w:p>
    <w:p w14:paraId="692D09F7">
      <w:pPr>
        <w:keepNext w:val="0"/>
        <w:keepLines w:val="0"/>
        <w:pageBreakBefore w:val="0"/>
        <w:kinsoku/>
        <w:wordWrap/>
        <w:overflowPunct/>
        <w:topLinePunct w:val="0"/>
        <w:bidi w:val="0"/>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一般污染防渗区是指污染较容易控制的区域，包括各类牛舍、消毒更衣间、青贮窖、青贮液收集池等。一般防渗区根据《环境影响评价技术导则地下水环境》（HJ610-2016）的防渗技术要求：等效黏土防渗层Mb≥1.5m，K≤1×10</w:t>
      </w:r>
      <w:r>
        <w:rPr>
          <w:rFonts w:hint="default" w:ascii="Times New Roman" w:hAnsi="Times New Roman" w:eastAsia="宋体" w:cs="Times New Roman"/>
          <w:color w:val="000000" w:themeColor="text1"/>
          <w:vertAlign w:val="superscript"/>
          <w14:textFill>
            <w14:solidFill>
              <w14:schemeClr w14:val="tx1"/>
            </w14:solidFill>
          </w14:textFill>
        </w:rPr>
        <w:t>-7</w:t>
      </w:r>
      <w:r>
        <w:rPr>
          <w:rFonts w:hint="default" w:ascii="Times New Roman" w:hAnsi="Times New Roman" w:eastAsia="宋体" w:cs="Times New Roman"/>
          <w:color w:val="000000" w:themeColor="text1"/>
          <w14:textFill>
            <w14:solidFill>
              <w14:schemeClr w14:val="tx1"/>
            </w14:solidFill>
          </w14:textFill>
        </w:rPr>
        <w:t>cm/s。</w:t>
      </w:r>
    </w:p>
    <w:p w14:paraId="63DBEBC4">
      <w:pPr>
        <w:keepNext w:val="0"/>
        <w:keepLines w:val="0"/>
        <w:pageBreakBefore w:val="0"/>
        <w:kinsoku/>
        <w:wordWrap/>
        <w:overflowPunct/>
        <w:topLinePunct w:val="0"/>
        <w:bidi w:val="0"/>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③干草棚、精料库、办公生活区等设置为简单防渗区。</w:t>
      </w:r>
    </w:p>
    <w:p w14:paraId="5510448E">
      <w:pPr>
        <w:pStyle w:val="2"/>
        <w:rPr>
          <w:rFonts w:hint="default" w:ascii="Times New Roman" w:hAnsi="Times New Roman" w:eastAsia="宋体" w:cs="Times New Roman"/>
          <w:lang w:eastAsia="zh-CN"/>
        </w:rPr>
        <w:sectPr>
          <w:footerReference r:id="rId17" w:type="default"/>
          <w:pgSz w:w="11906" w:h="16839"/>
          <w:pgMar w:top="1431" w:right="1309" w:bottom="1259" w:left="1309" w:header="964" w:footer="794" w:gutter="0"/>
          <w:pgNumType w:fmt="decimal"/>
          <w:cols w:space="720" w:num="1"/>
        </w:sectPr>
      </w:pPr>
      <w:r>
        <w:rPr>
          <w:rFonts w:hint="default" w:ascii="Times New Roman" w:hAnsi="Times New Roman" w:eastAsia="宋体" w:cs="Times New Roman"/>
          <w:lang w:val="en-US" w:eastAsia="zh-CN"/>
        </w:rPr>
        <w:t>项目厂区分区防渗图见图7.2-1。</w:t>
      </w:r>
    </w:p>
    <w:p w14:paraId="3628CB73">
      <w:pPr>
        <w:pStyle w:val="2"/>
        <w:jc w:val="left"/>
        <w:rPr>
          <w:rFonts w:hint="default"/>
          <w:lang w:val="en-US" w:eastAsia="zh-CN"/>
        </w:rPr>
      </w:pPr>
      <w:r>
        <w:rPr>
          <w:sz w:val="24"/>
        </w:rPr>
        <mc:AlternateContent>
          <mc:Choice Requires="wps">
            <w:drawing>
              <wp:anchor distT="0" distB="0" distL="114300" distR="114300" simplePos="0" relativeHeight="251684864" behindDoc="0" locked="0" layoutInCell="1" allowOverlap="1">
                <wp:simplePos x="0" y="0"/>
                <wp:positionH relativeFrom="column">
                  <wp:posOffset>6595110</wp:posOffset>
                </wp:positionH>
                <wp:positionV relativeFrom="paragraph">
                  <wp:posOffset>273050</wp:posOffset>
                </wp:positionV>
                <wp:extent cx="706755" cy="439420"/>
                <wp:effectExtent l="24130" t="41275" r="31115" b="43180"/>
                <wp:wrapNone/>
                <wp:docPr id="66" name="矩形 66"/>
                <wp:cNvGraphicFramePr/>
                <a:graphic xmlns:a="http://schemas.openxmlformats.org/drawingml/2006/main">
                  <a:graphicData uri="http://schemas.microsoft.com/office/word/2010/wordprocessingShape">
                    <wps:wsp>
                      <wps:cNvSpPr/>
                      <wps:spPr>
                        <a:xfrm rot="21180000">
                          <a:off x="7394575" y="1130300"/>
                          <a:ext cx="706755" cy="439420"/>
                        </a:xfrm>
                        <a:prstGeom prst="rect">
                          <a:avLst/>
                        </a:prstGeom>
                        <a:solidFill>
                          <a:srgbClr val="B4B4B4">
                            <a:alpha val="60000"/>
                          </a:srgbClr>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19.3pt;margin-top:21.5pt;height:34.6pt;width:55.65pt;rotation:-458752f;z-index:251684864;v-text-anchor:middle;mso-width-relative:page;mso-height-relative:page;" fillcolor="#B4B4B4" filled="t" stroked="f" coordsize="21600,21600" o:gfxdata="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C3kyoc2gAAAAwB&#10;AAAPAAAAAAAAAAEAIAAAACIAAABkcnMvZG93bnJldi54bWxQSwECFAAUAAAACACHTuJALtq3S4sC&#10;AAAIBQAADgAAAAAAAAABACAAAAApAQAAZHJzL2Uyb0RvYy54bWxQSwUGAAAAAAYABgBZAQAAJgYA&#10;AAAA&#10;">
                <v:fill on="t" opacity="39321f" focussize="0,0"/>
                <v:stroke on="f" weight="1pt" miterlimit="8" joinstyle="miter"/>
                <v:imagedata o:title=""/>
                <o:lock v:ext="edit" aspectratio="f"/>
              </v:rect>
            </w:pict>
          </mc:Fallback>
        </mc:AlternateContent>
      </w:r>
      <w:r>
        <w:rPr>
          <w:sz w:val="24"/>
        </w:rPr>
        <mc:AlternateContent>
          <mc:Choice Requires="wps">
            <w:drawing>
              <wp:anchor distT="0" distB="0" distL="114300" distR="114300" simplePos="0" relativeHeight="251681792" behindDoc="0" locked="0" layoutInCell="1" allowOverlap="1">
                <wp:simplePos x="0" y="0"/>
                <wp:positionH relativeFrom="column">
                  <wp:posOffset>7378065</wp:posOffset>
                </wp:positionH>
                <wp:positionV relativeFrom="paragraph">
                  <wp:posOffset>4669155</wp:posOffset>
                </wp:positionV>
                <wp:extent cx="197485" cy="139065"/>
                <wp:effectExtent l="0" t="0" r="2540" b="3810"/>
                <wp:wrapNone/>
                <wp:docPr id="59" name="矩形 59"/>
                <wp:cNvGraphicFramePr/>
                <a:graphic xmlns:a="http://schemas.openxmlformats.org/drawingml/2006/main">
                  <a:graphicData uri="http://schemas.microsoft.com/office/word/2010/wordprocessingShape">
                    <wps:wsp>
                      <wps:cNvSpPr/>
                      <wps:spPr>
                        <a:xfrm>
                          <a:off x="8154035" y="5526405"/>
                          <a:ext cx="197485" cy="139065"/>
                        </a:xfrm>
                        <a:prstGeom prst="rect">
                          <a:avLst/>
                        </a:prstGeom>
                        <a:solidFill>
                          <a:srgbClr val="FFB6FF"/>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80.95pt;margin-top:367.65pt;height:10.95pt;width:15.55pt;z-index:251681792;v-text-anchor:middle;mso-width-relative:page;mso-height-relative:page;" fillcolor="#FFB6FF" filled="t" stroked="f" coordsize="21600,21600" o:gfxdata="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B5wJ2w2wAAAA0BAAAPAAAAAAAAAAEAIAAA&#10;ACIAAABkcnMvZG93bnJldi54bWxQSwECFAAUAAAACACHTuJA6w4Ay3sCAADYBAAADgAAAAAAAAAB&#10;ACAAAAAqAQAAZHJzL2Uyb0RvYy54bWxQSwUGAAAAAAYABgBZAQAAFwYAAAAA&#10;">
                <v:fill on="t" focussize="0,0"/>
                <v:stroke on="f" weight="1pt" miterlimit="8" joinstyle="miter"/>
                <v:imagedata o:title=""/>
                <o:lock v:ext="edit" aspectratio="f"/>
              </v:rect>
            </w:pict>
          </mc:Fallback>
        </mc:AlternateContent>
      </w:r>
      <w:r>
        <w:rPr>
          <w:sz w:val="24"/>
        </w:rPr>
        <mc:AlternateContent>
          <mc:Choice Requires="wps">
            <w:drawing>
              <wp:anchor distT="0" distB="0" distL="114300" distR="114300" simplePos="0" relativeHeight="251683840" behindDoc="0" locked="0" layoutInCell="1" allowOverlap="1">
                <wp:simplePos x="0" y="0"/>
                <wp:positionH relativeFrom="column">
                  <wp:posOffset>7363460</wp:posOffset>
                </wp:positionH>
                <wp:positionV relativeFrom="paragraph">
                  <wp:posOffset>5252085</wp:posOffset>
                </wp:positionV>
                <wp:extent cx="219710" cy="142875"/>
                <wp:effectExtent l="0" t="0" r="8890" b="0"/>
                <wp:wrapNone/>
                <wp:docPr id="64" name="矩形 64"/>
                <wp:cNvGraphicFramePr/>
                <a:graphic xmlns:a="http://schemas.openxmlformats.org/drawingml/2006/main">
                  <a:graphicData uri="http://schemas.microsoft.com/office/word/2010/wordprocessingShape">
                    <wps:wsp>
                      <wps:cNvSpPr/>
                      <wps:spPr>
                        <a:xfrm>
                          <a:off x="0" y="0"/>
                          <a:ext cx="219710" cy="142875"/>
                        </a:xfrm>
                        <a:prstGeom prst="rect">
                          <a:avLst/>
                        </a:prstGeom>
                        <a:solidFill>
                          <a:srgbClr val="B4B4B4"/>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79.8pt;margin-top:413.55pt;height:11.25pt;width:17.3pt;z-index:251683840;v-text-anchor:middle;mso-width-relative:page;mso-height-relative:page;" fillcolor="#B4B4B4" filled="t" stroked="f" coordsize="21600,21600" o:gfxdata="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OwnpEPaAAAADQEAAA8AAAAAAAAAAQAgAAAAIgAAAGRycy9kb3ducmV2&#10;LnhtbFBLAQIUABQAAAAIAIdO4kBS+3vGbAIAAMwEAAAOAAAAAAAAAAEAIAAAACkBAABkcnMvZTJv&#10;RG9jLnhtbFBLBQYAAAAABgAGAFkBAAAHBgAAAAA=&#10;">
                <v:fill on="t" focussize="0,0"/>
                <v:stroke on="f" weight="1pt" miterlimit="8" joinstyle="miter"/>
                <v:imagedata o:title=""/>
                <o:lock v:ext="edit" aspectratio="f"/>
              </v:rect>
            </w:pict>
          </mc:Fallback>
        </mc:AlternateContent>
      </w:r>
      <w:r>
        <w:rPr>
          <w:sz w:val="24"/>
        </w:rPr>
        <mc:AlternateContent>
          <mc:Choice Requires="wps">
            <w:drawing>
              <wp:anchor distT="0" distB="0" distL="114300" distR="114300" simplePos="0" relativeHeight="251682816" behindDoc="0" locked="0" layoutInCell="1" allowOverlap="1">
                <wp:simplePos x="0" y="0"/>
                <wp:positionH relativeFrom="column">
                  <wp:posOffset>7366635</wp:posOffset>
                </wp:positionH>
                <wp:positionV relativeFrom="paragraph">
                  <wp:posOffset>4943475</wp:posOffset>
                </wp:positionV>
                <wp:extent cx="219710" cy="142875"/>
                <wp:effectExtent l="0" t="0" r="8890" b="0"/>
                <wp:wrapNone/>
                <wp:docPr id="60" name="矩形 60"/>
                <wp:cNvGraphicFramePr/>
                <a:graphic xmlns:a="http://schemas.openxmlformats.org/drawingml/2006/main">
                  <a:graphicData uri="http://schemas.microsoft.com/office/word/2010/wordprocessingShape">
                    <wps:wsp>
                      <wps:cNvSpPr/>
                      <wps:spPr>
                        <a:xfrm>
                          <a:off x="8220075" y="5775325"/>
                          <a:ext cx="219710" cy="142875"/>
                        </a:xfrm>
                        <a:prstGeom prst="rect">
                          <a:avLst/>
                        </a:prstGeom>
                        <a:solidFill>
                          <a:srgbClr val="FF000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80.05pt;margin-top:389.25pt;height:11.25pt;width:17.3pt;z-index:251682816;v-text-anchor:middle;mso-width-relative:page;mso-height-relative:page;" fillcolor="#FF0000" filled="t" stroked="f" coordsize="21600,21600" o:gfxdata="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rdR5ZNYAAAANAQAADwAAAAAAAAABACAAAAAiAAAAZHJzL2Rv&#10;d25yZXYueG1sUEsBAhQAFAAAAAgAh07iQIqJUL51AgAA2AQAAA4AAAAAAAAAAQAgAAAAJQEAAGRy&#10;cy9lMm9Eb2MueG1sUEsFBgAAAAAGAAYAWQEAAAwGAAAAAA==&#10;">
                <v:fill on="t" focussize="0,0"/>
                <v:stroke on="f" weight="1pt" miterlimit="8" joinstyle="miter"/>
                <v:imagedata o:title=""/>
                <o:lock v:ext="edit" aspectratio="f"/>
              </v:rect>
            </w:pict>
          </mc:Fallback>
        </mc:AlternateContent>
      </w:r>
      <w:r>
        <w:rPr>
          <w:sz w:val="24"/>
        </w:rPr>
        <mc:AlternateContent>
          <mc:Choice Requires="wps">
            <w:drawing>
              <wp:anchor distT="0" distB="0" distL="114300" distR="114300" simplePos="0" relativeHeight="251680768" behindDoc="0" locked="0" layoutInCell="1" allowOverlap="1">
                <wp:simplePos x="0" y="0"/>
                <wp:positionH relativeFrom="column">
                  <wp:posOffset>2653665</wp:posOffset>
                </wp:positionH>
                <wp:positionV relativeFrom="paragraph">
                  <wp:posOffset>2705100</wp:posOffset>
                </wp:positionV>
                <wp:extent cx="751840" cy="187325"/>
                <wp:effectExtent l="11430" t="93980" r="17780" b="99695"/>
                <wp:wrapNone/>
                <wp:docPr id="58" name="矩形 58"/>
                <wp:cNvGraphicFramePr/>
                <a:graphic xmlns:a="http://schemas.openxmlformats.org/drawingml/2006/main">
                  <a:graphicData uri="http://schemas.microsoft.com/office/word/2010/wordprocessingShape">
                    <wps:wsp>
                      <wps:cNvSpPr/>
                      <wps:spPr>
                        <a:xfrm rot="20700000">
                          <a:off x="3468370" y="3613785"/>
                          <a:ext cx="751840" cy="187325"/>
                        </a:xfrm>
                        <a:prstGeom prst="rect">
                          <a:avLst/>
                        </a:prstGeom>
                        <a:solidFill>
                          <a:srgbClr val="FFB6FF">
                            <a:alpha val="50000"/>
                          </a:srgbClr>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08.95pt;margin-top:213pt;height:14.75pt;width:59.2pt;rotation:-983040f;z-index:251680768;v-text-anchor:middle;mso-width-relative:page;mso-height-relative:page;" fillcolor="#FFB6FF" filled="t" stroked="f" coordsize="21600,21600" o:gfxdata="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">
                <v:fill on="t" opacity="32768f" focussize="0,0"/>
                <v:stroke on="f" weight="1pt" miterlimit="8" joinstyle="miter"/>
                <v:imagedata o:title=""/>
                <o:lock v:ext="edit" aspectratio="f"/>
              </v:rect>
            </w:pict>
          </mc:Fallback>
        </mc:AlternateContent>
      </w:r>
      <w:r>
        <w:rPr>
          <w:sz w:val="24"/>
        </w:rPr>
        <mc:AlternateContent>
          <mc:Choice Requires="wps">
            <w:drawing>
              <wp:anchor distT="0" distB="0" distL="114300" distR="114300" simplePos="0" relativeHeight="251679744" behindDoc="0" locked="0" layoutInCell="1" allowOverlap="1">
                <wp:simplePos x="0" y="0"/>
                <wp:positionH relativeFrom="column">
                  <wp:posOffset>1677035</wp:posOffset>
                </wp:positionH>
                <wp:positionV relativeFrom="paragraph">
                  <wp:posOffset>3042285</wp:posOffset>
                </wp:positionV>
                <wp:extent cx="1663065" cy="341630"/>
                <wp:effectExtent l="17145" t="182880" r="24765" b="189865"/>
                <wp:wrapNone/>
                <wp:docPr id="55" name="矩形 55"/>
                <wp:cNvGraphicFramePr/>
                <a:graphic xmlns:a="http://schemas.openxmlformats.org/drawingml/2006/main">
                  <a:graphicData uri="http://schemas.microsoft.com/office/word/2010/wordprocessingShape">
                    <wps:wsp>
                      <wps:cNvSpPr/>
                      <wps:spPr>
                        <a:xfrm rot="20820000">
                          <a:off x="2432050" y="4072255"/>
                          <a:ext cx="1663065" cy="341630"/>
                        </a:xfrm>
                        <a:prstGeom prst="rect">
                          <a:avLst/>
                        </a:prstGeom>
                        <a:solidFill>
                          <a:srgbClr val="FFB6FF">
                            <a:alpha val="50000"/>
                          </a:srgbClr>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32.05pt;margin-top:239.55pt;height:26.9pt;width:130.95pt;rotation:-851968f;z-index:251679744;v-text-anchor:middle;mso-width-relative:page;mso-height-relative:page;" fillcolor="#FFB6FF" filled="t" stroked="f" coordsize="21600,21600" o:gfxdata="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CfbLf82wAA&#10;AAsBAAAPAAAAAAAAAAEAIAAAACIAAABkcnMvZG93bnJldi54bWxQSwECFAAUAAAACACHTuJAfOAa&#10;6I0CAAAJBQAADgAAAAAAAAABACAAAAAqAQAAZHJzL2Uyb0RvYy54bWxQSwUGAAAAAAYABgBZAQAA&#10;KQYAAAAA&#10;">
                <v:fill on="t" opacity="32768f" focussize="0,0"/>
                <v:stroke on="f" weight="1pt" miterlimit="8" joinstyle="miter"/>
                <v:imagedata o:title=""/>
                <o:lock v:ext="edit" aspectratio="f"/>
              </v:rect>
            </w:pict>
          </mc:Fallback>
        </mc:AlternateContent>
      </w:r>
      <w:r>
        <w:rPr>
          <w:sz w:val="24"/>
        </w:rPr>
        <mc:AlternateContent>
          <mc:Choice Requires="wps">
            <w:drawing>
              <wp:anchor distT="0" distB="0" distL="114300" distR="114300" simplePos="0" relativeHeight="251678720" behindDoc="0" locked="0" layoutInCell="1" allowOverlap="1">
                <wp:simplePos x="0" y="0"/>
                <wp:positionH relativeFrom="column">
                  <wp:posOffset>3592195</wp:posOffset>
                </wp:positionH>
                <wp:positionV relativeFrom="paragraph">
                  <wp:posOffset>4500245</wp:posOffset>
                </wp:positionV>
                <wp:extent cx="374015" cy="146685"/>
                <wp:effectExtent l="12700" t="48895" r="13335" b="52070"/>
                <wp:wrapNone/>
                <wp:docPr id="53" name="矩形 53"/>
                <wp:cNvGraphicFramePr/>
                <a:graphic xmlns:a="http://schemas.openxmlformats.org/drawingml/2006/main">
                  <a:graphicData uri="http://schemas.microsoft.com/office/word/2010/wordprocessingShape">
                    <wps:wsp>
                      <wps:cNvSpPr/>
                      <wps:spPr>
                        <a:xfrm rot="20640000">
                          <a:off x="4391660" y="5367020"/>
                          <a:ext cx="374015" cy="146685"/>
                        </a:xfrm>
                        <a:prstGeom prst="rect">
                          <a:avLst/>
                        </a:prstGeom>
                        <a:solidFill>
                          <a:srgbClr val="FF0000">
                            <a:alpha val="50000"/>
                          </a:srgbClr>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82.85pt;margin-top:354.35pt;height:11.55pt;width:29.45pt;rotation:-1048576f;z-index:251678720;v-text-anchor:middle;mso-width-relative:page;mso-height-relative:page;" fillcolor="#FF0000" filled="t" stroked="f" coordsize="21600,21600" o:gfxdata="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C7AtWt2QAAAAsB&#10;AAAPAAAAAAAAAAEAIAAAACIAAABkcnMvZG93bnJldi54bWxQSwECFAAUAAAACACHTuJAklGyyowC&#10;AAAIBQAADgAAAAAAAAABACAAAAAoAQAAZHJzL2Uyb0RvYy54bWxQSwUGAAAAAAYABgBZAQAAJgYA&#10;AAAA&#10;">
                <v:fill on="t" opacity="32768f" focussize="0,0"/>
                <v:stroke on="f" weight="1pt" miterlimit="8" joinstyle="miter"/>
                <v:imagedata o:title=""/>
                <o:lock v:ext="edit" aspectratio="f"/>
              </v:rect>
            </w:pict>
          </mc:Fallback>
        </mc:AlternateContent>
      </w:r>
      <w:r>
        <w:rPr>
          <w:sz w:val="24"/>
        </w:rPr>
        <mc:AlternateContent>
          <mc:Choice Requires="wps">
            <w:drawing>
              <wp:anchor distT="0" distB="0" distL="114300" distR="114300" simplePos="0" relativeHeight="251677696" behindDoc="0" locked="0" layoutInCell="1" allowOverlap="1">
                <wp:simplePos x="0" y="0"/>
                <wp:positionH relativeFrom="column">
                  <wp:posOffset>4097655</wp:posOffset>
                </wp:positionH>
                <wp:positionV relativeFrom="paragraph">
                  <wp:posOffset>4204335</wp:posOffset>
                </wp:positionV>
                <wp:extent cx="952500" cy="241300"/>
                <wp:effectExtent l="22860" t="127000" r="24765" b="127000"/>
                <wp:wrapNone/>
                <wp:docPr id="37" name="矩形 37"/>
                <wp:cNvGraphicFramePr/>
                <a:graphic xmlns:a="http://schemas.openxmlformats.org/drawingml/2006/main">
                  <a:graphicData uri="http://schemas.microsoft.com/office/word/2010/wordprocessingShape">
                    <wps:wsp>
                      <wps:cNvSpPr/>
                      <wps:spPr>
                        <a:xfrm rot="20700000">
                          <a:off x="4897120" y="5121910"/>
                          <a:ext cx="952500" cy="241300"/>
                        </a:xfrm>
                        <a:prstGeom prst="rect">
                          <a:avLst/>
                        </a:prstGeom>
                        <a:solidFill>
                          <a:srgbClr val="FF0000">
                            <a:alpha val="50000"/>
                          </a:srgbClr>
                        </a:solid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22.65pt;margin-top:331.05pt;height:19pt;width:75pt;rotation:-983040f;z-index:251677696;v-text-anchor:middle;mso-width-relative:page;mso-height-relative:page;" fillcolor="#FF0000" filled="t" stroked="t" coordsize="21600,21600" o:gfxdata="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">
                <v:fill on="t" opacity="32768f" focussize="0,0"/>
                <v:stroke weight="1pt" color="#2E54A1 [2404]" miterlimit="8" joinstyle="miter"/>
                <v:imagedata o:title=""/>
                <o:lock v:ext="edit" aspectratio="f"/>
              </v:rect>
            </w:pict>
          </mc:Fallback>
        </mc:AlternateContent>
      </w:r>
      <w:r>
        <w:rPr>
          <w:sz w:val="24"/>
        </w:rPr>
        <mc:AlternateContent>
          <mc:Choice Requires="wps">
            <w:drawing>
              <wp:anchor distT="0" distB="0" distL="114300" distR="114300" simplePos="0" relativeHeight="251676672" behindDoc="0" locked="0" layoutInCell="1" allowOverlap="1">
                <wp:simplePos x="0" y="0"/>
                <wp:positionH relativeFrom="column">
                  <wp:posOffset>7122160</wp:posOffset>
                </wp:positionH>
                <wp:positionV relativeFrom="paragraph">
                  <wp:posOffset>4258310</wp:posOffset>
                </wp:positionV>
                <wp:extent cx="1769745" cy="1270000"/>
                <wp:effectExtent l="6350" t="6350" r="14605" b="9525"/>
                <wp:wrapNone/>
                <wp:docPr id="3" name="矩形 3"/>
                <wp:cNvGraphicFramePr/>
                <a:graphic xmlns:a="http://schemas.openxmlformats.org/drawingml/2006/main">
                  <a:graphicData uri="http://schemas.microsoft.com/office/word/2010/wordprocessingShape">
                    <wps:wsp>
                      <wps:cNvSpPr/>
                      <wps:spPr>
                        <a:xfrm>
                          <a:off x="8627745" y="3527425"/>
                          <a:ext cx="1769745" cy="1270000"/>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2EE695A7">
                            <w:pPr>
                              <w:ind w:left="0" w:leftChars="0" w:firstLine="0" w:firstLineChars="0"/>
                              <w:jc w:val="both"/>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图例：</w:t>
                            </w:r>
                          </w:p>
                          <w:p w14:paraId="2D3B085B">
                            <w:pPr>
                              <w:pStyle w:val="2"/>
                              <w:ind w:firstLine="720" w:firstLineChars="30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：一般防渗区</w:t>
                            </w:r>
                          </w:p>
                          <w:p w14:paraId="1414D4A1">
                            <w:pPr>
                              <w:pStyle w:val="2"/>
                              <w:ind w:firstLine="720" w:firstLineChars="30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：重点防渗区</w:t>
                            </w:r>
                          </w:p>
                          <w:p w14:paraId="780D3C36">
                            <w:pPr>
                              <w:pStyle w:val="2"/>
                              <w:ind w:firstLine="720" w:firstLineChars="30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：简单防渗区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60.8pt;margin-top:335.3pt;height:100pt;width:139.35pt;z-index:251676672;v-text-anchor:middle;mso-width-relative:page;mso-height-relative:page;" filled="f" stroked="t" coordsize="21600,21600" o:gfxdata="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&#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OpqtMTZAAAADQEAAA8AAAAAAAAAAQAgAAAAIgAAAGRy&#10;cy9kb3ducmV2LnhtbFBLAQIUABQAAAAIAIdO4kB3VYVpdgIAAOMEAAAOAAAAAAAAAAEAIAAAACgB&#10;AABkcnMvZTJvRG9jLnhtbFBLBQYAAAAABgAGAFkBAAAQBgAAAAA=&#10;">
                <v:fill on="f" focussize="0,0"/>
                <v:stroke weight="1pt" color="#000000 [3213]" miterlimit="8" joinstyle="miter"/>
                <v:imagedata o:title=""/>
                <o:lock v:ext="edit" aspectratio="f"/>
                <v:textbox>
                  <w:txbxContent>
                    <w:p w14:paraId="2EE695A7">
                      <w:pPr>
                        <w:ind w:left="0" w:leftChars="0" w:firstLine="0" w:firstLineChars="0"/>
                        <w:jc w:val="both"/>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图例：</w:t>
                      </w:r>
                    </w:p>
                    <w:p w14:paraId="2D3B085B">
                      <w:pPr>
                        <w:pStyle w:val="2"/>
                        <w:ind w:firstLine="720" w:firstLineChars="30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：一般防渗区</w:t>
                      </w:r>
                    </w:p>
                    <w:p w14:paraId="1414D4A1">
                      <w:pPr>
                        <w:pStyle w:val="2"/>
                        <w:ind w:firstLine="720" w:firstLineChars="30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：重点防渗区</w:t>
                      </w:r>
                    </w:p>
                    <w:p w14:paraId="780D3C36">
                      <w:pPr>
                        <w:pStyle w:val="2"/>
                        <w:ind w:firstLine="720" w:firstLineChars="30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：简单防渗区</w:t>
                      </w:r>
                    </w:p>
                  </w:txbxContent>
                </v:textbox>
              </v:rect>
            </w:pict>
          </mc:Fallback>
        </mc:AlternateContent>
      </w:r>
      <w:r>
        <w:rPr>
          <w:rFonts w:hint="default"/>
          <w:lang w:val="en-US" w:eastAsia="zh-CN"/>
        </w:rPr>
        <w:drawing>
          <wp:inline distT="0" distB="0" distL="114300" distR="114300">
            <wp:extent cx="7788275" cy="5505450"/>
            <wp:effectExtent l="0" t="0" r="3175" b="0"/>
            <wp:docPr id="2" name="图片 2" descr="2.附件，附图，终_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2.附件，附图，终_27"/>
                    <pic:cNvPicPr>
                      <a:picLocks noChangeAspect="1"/>
                    </pic:cNvPicPr>
                  </pic:nvPicPr>
                  <pic:blipFill>
                    <a:blip r:embed="rId73"/>
                    <a:srcRect l="8838" t="13752" r="25663" b="9834"/>
                    <a:stretch>
                      <a:fillRect/>
                    </a:stretch>
                  </pic:blipFill>
                  <pic:spPr>
                    <a:xfrm>
                      <a:off x="0" y="0"/>
                      <a:ext cx="7788275" cy="5505450"/>
                    </a:xfrm>
                    <a:prstGeom prst="rect">
                      <a:avLst/>
                    </a:prstGeom>
                  </pic:spPr>
                </pic:pic>
              </a:graphicData>
            </a:graphic>
          </wp:inline>
        </w:drawing>
      </w:r>
    </w:p>
    <w:p w14:paraId="242D63EA">
      <w:pPr>
        <w:ind w:left="0" w:leftChars="0" w:firstLine="0" w:firstLineChars="0"/>
        <w:jc w:val="center"/>
        <w:rPr>
          <w:rFonts w:hint="eastAsia" w:cs="Times New Roman"/>
          <w:b/>
          <w:bCs/>
          <w:color w:val="000000" w:themeColor="text1"/>
          <w:lang w:val="en-US" w:eastAsia="zh-CN"/>
          <w14:textFill>
            <w14:solidFill>
              <w14:schemeClr w14:val="tx1"/>
            </w14:solidFill>
          </w14:textFill>
        </w:rPr>
      </w:pPr>
      <w:r>
        <w:rPr>
          <w:rFonts w:hint="eastAsia" w:cs="Times New Roman"/>
          <w:b/>
          <w:bCs/>
          <w:color w:val="000000" w:themeColor="text1"/>
          <w:lang w:val="en-US" w:eastAsia="zh-CN"/>
          <w14:textFill>
            <w14:solidFill>
              <w14:schemeClr w14:val="tx1"/>
            </w14:solidFill>
          </w14:textFill>
        </w:rPr>
        <w:t>图7.2-1项目厂区分区防渗图</w:t>
      </w:r>
    </w:p>
    <w:p w14:paraId="7A3C6B66">
      <w:pPr>
        <w:keepNext w:val="0"/>
        <w:keepLines w:val="0"/>
        <w:pageBreakBefore w:val="0"/>
        <w:kinsoku/>
        <w:wordWrap/>
        <w:overflowPunct/>
        <w:topLinePunct w:val="0"/>
        <w:bidi w:val="0"/>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sectPr>
          <w:pgSz w:w="16839" w:h="11906" w:orient="landscape"/>
          <w:pgMar w:top="1310" w:right="1431" w:bottom="1310" w:left="1259" w:header="964" w:footer="794" w:gutter="0"/>
          <w:pgNumType w:fmt="decimal"/>
          <w:cols w:space="0" w:num="1"/>
          <w:rtlGutter w:val="0"/>
          <w:docGrid w:linePitch="0" w:charSpace="0"/>
        </w:sectPr>
      </w:pPr>
      <w:bookmarkStart w:id="356" w:name="_Toc16208"/>
      <w:bookmarkStart w:id="357" w:name="_Toc21018"/>
    </w:p>
    <w:p w14:paraId="0653BD00">
      <w:pPr>
        <w:keepNext w:val="0"/>
        <w:keepLines w:val="0"/>
        <w:pageBreakBefore w:val="0"/>
        <w:kinsoku/>
        <w:wordWrap/>
        <w:overflowPunct/>
        <w:topLinePunct w:val="0"/>
        <w:bidi w:val="0"/>
        <w:ind w:firstLine="480"/>
        <w:textAlignment w:val="auto"/>
        <w:outlineLvl w:val="9"/>
        <w:rPr>
          <w:rFonts w:hint="default" w:ascii="Times New Roman" w:hAnsi="Times New Roman" w:eastAsia="宋体" w:cs="Times New Roman"/>
          <w:color w:val="0000FF"/>
        </w:rPr>
      </w:pPr>
      <w:r>
        <w:rPr>
          <w:rFonts w:hint="default" w:ascii="Times New Roman" w:hAnsi="Times New Roman" w:eastAsia="宋体" w:cs="Times New Roman"/>
          <w:color w:val="0000FF"/>
        </w:rPr>
        <w:fldChar w:fldCharType="begin"/>
      </w:r>
      <w:r>
        <w:rPr>
          <w:rFonts w:hint="default" w:ascii="Times New Roman" w:hAnsi="Times New Roman" w:eastAsia="宋体" w:cs="Times New Roman"/>
          <w:color w:val="0000FF"/>
        </w:rPr>
        <w:instrText xml:space="preserve">HYPERLINK "C:\\Users\\Administrator\\Desktop\\科右前旗现代农牧业园区核心育种场养殖项目-修改稿\\6.2.3.4"</w:instrText>
      </w:r>
      <w:r>
        <w:rPr>
          <w:rFonts w:hint="default" w:ascii="Times New Roman" w:hAnsi="Times New Roman" w:eastAsia="宋体" w:cs="Times New Roman"/>
          <w:color w:val="0000FF"/>
        </w:rPr>
        <w:fldChar w:fldCharType="separate"/>
      </w:r>
      <w:r>
        <w:rPr>
          <w:rFonts w:hint="default" w:ascii="Times New Roman" w:hAnsi="Times New Roman" w:eastAsia="宋体" w:cs="Times New Roman"/>
          <w:color w:val="0000FF"/>
        </w:rPr>
        <w:t>7.2.3.2</w:t>
      </w:r>
      <w:r>
        <w:rPr>
          <w:rFonts w:hint="default" w:ascii="Times New Roman" w:hAnsi="Times New Roman" w:eastAsia="宋体" w:cs="Times New Roman"/>
          <w:color w:val="0000FF"/>
        </w:rPr>
        <w:fldChar w:fldCharType="end"/>
      </w:r>
      <w:r>
        <w:rPr>
          <w:rFonts w:hint="default" w:ascii="Times New Roman" w:hAnsi="Times New Roman" w:eastAsia="宋体" w:cs="Times New Roman"/>
          <w:color w:val="0000FF"/>
        </w:rPr>
        <w:t>地下水监测与管理</w:t>
      </w:r>
      <w:bookmarkEnd w:id="356"/>
      <w:bookmarkEnd w:id="357"/>
    </w:p>
    <w:p w14:paraId="6B0CC2BC">
      <w:pPr>
        <w:keepNext w:val="0"/>
        <w:keepLines w:val="0"/>
        <w:pageBreakBefore w:val="0"/>
        <w:kinsoku/>
        <w:wordWrap/>
        <w:overflowPunct/>
        <w:topLinePunct w:val="0"/>
        <w:autoSpaceDE w:val="0"/>
        <w:autoSpaceDN w:val="0"/>
        <w:bidi w:val="0"/>
        <w:ind w:firstLine="480"/>
        <w:jc w:val="left"/>
        <w:textAlignment w:val="auto"/>
        <w:outlineLvl w:val="9"/>
        <w:rPr>
          <w:rFonts w:hint="default" w:ascii="Times New Roman" w:hAnsi="Times New Roman" w:eastAsia="宋体" w:cs="Times New Roman"/>
          <w:color w:val="0000FF"/>
          <w:kern w:val="0"/>
        </w:rPr>
      </w:pPr>
      <w:bookmarkStart w:id="358" w:name="_Toc29314"/>
      <w:r>
        <w:rPr>
          <w:rFonts w:hint="default" w:ascii="Times New Roman" w:hAnsi="Times New Roman" w:eastAsia="宋体" w:cs="Times New Roman"/>
          <w:color w:val="0000FF"/>
          <w:kern w:val="0"/>
        </w:rPr>
        <w:t>本项目设置地下水长期监控系统，建立完善的监测制度，配备先进的检测仪器和设备，以便及时发现问题并且及时控制。</w:t>
      </w:r>
    </w:p>
    <w:p w14:paraId="2BDCE241">
      <w:pPr>
        <w:keepNext w:val="0"/>
        <w:keepLines w:val="0"/>
        <w:pageBreakBefore w:val="0"/>
        <w:kinsoku/>
        <w:wordWrap/>
        <w:overflowPunct/>
        <w:topLinePunct w:val="0"/>
        <w:autoSpaceDE w:val="0"/>
        <w:autoSpaceDN w:val="0"/>
        <w:bidi w:val="0"/>
        <w:ind w:firstLine="480"/>
        <w:jc w:val="left"/>
        <w:textAlignment w:val="auto"/>
        <w:outlineLvl w:val="9"/>
        <w:rPr>
          <w:rFonts w:hint="default" w:ascii="Times New Roman" w:hAnsi="Times New Roman" w:eastAsia="宋体" w:cs="Times New Roman"/>
          <w:color w:val="0000FF"/>
          <w:kern w:val="0"/>
        </w:rPr>
      </w:pPr>
      <w:r>
        <w:rPr>
          <w:rFonts w:hint="default" w:ascii="Times New Roman" w:hAnsi="Times New Roman" w:eastAsia="宋体" w:cs="Times New Roman"/>
          <w:color w:val="0000FF"/>
        </w:rPr>
        <w:t>根据《环境影响评价技术导则</w:t>
      </w:r>
      <w:r>
        <w:rPr>
          <w:rFonts w:hint="eastAsia" w:cs="Times New Roman"/>
          <w:color w:val="0000FF"/>
          <w:lang w:val="en-US" w:eastAsia="zh-CN"/>
        </w:rPr>
        <w:t>-</w:t>
      </w:r>
      <w:r>
        <w:rPr>
          <w:rFonts w:hint="default" w:ascii="Times New Roman" w:hAnsi="Times New Roman" w:eastAsia="宋体" w:cs="Times New Roman"/>
          <w:color w:val="0000FF"/>
        </w:rPr>
        <w:t>地下水环境》</w:t>
      </w:r>
      <w:r>
        <w:rPr>
          <w:rFonts w:hint="eastAsia" w:cs="Times New Roman"/>
          <w:color w:val="0000FF"/>
          <w:lang w:eastAsia="zh-CN"/>
        </w:rPr>
        <w:t>（</w:t>
      </w:r>
      <w:r>
        <w:rPr>
          <w:rFonts w:hint="default" w:ascii="Times New Roman" w:hAnsi="Times New Roman" w:eastAsia="宋体" w:cs="Times New Roman"/>
          <w:color w:val="0000FF"/>
        </w:rPr>
        <w:t>HJ610-2016</w:t>
      </w:r>
      <w:r>
        <w:rPr>
          <w:rFonts w:hint="eastAsia" w:cs="Times New Roman"/>
          <w:color w:val="0000FF"/>
          <w:lang w:eastAsia="zh-CN"/>
        </w:rPr>
        <w:t>）</w:t>
      </w:r>
      <w:r>
        <w:rPr>
          <w:rFonts w:hint="default" w:ascii="Times New Roman" w:hAnsi="Times New Roman" w:eastAsia="宋体" w:cs="Times New Roman"/>
          <w:color w:val="0000FF"/>
        </w:rPr>
        <w:t>，</w:t>
      </w:r>
      <w:r>
        <w:rPr>
          <w:rFonts w:hint="default" w:ascii="Times New Roman" w:hAnsi="Times New Roman" w:eastAsia="宋体" w:cs="Times New Roman"/>
          <w:color w:val="0000FF"/>
          <w:kern w:val="0"/>
        </w:rPr>
        <w:t>本项目地下水环境监测结合研究区含水层系统和地下水径流系统特征，考虑潜在污染源、环境保护目标等因素，布设地下水水质监测井1眼。在厂区下游东南侧设置1个地下水质监测井。详见下表。</w:t>
      </w:r>
    </w:p>
    <w:p w14:paraId="53D40E25">
      <w:pPr>
        <w:keepNext w:val="0"/>
        <w:keepLines w:val="0"/>
        <w:pageBreakBefore w:val="0"/>
        <w:kinsoku/>
        <w:wordWrap/>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b/>
          <w:color w:val="0000FF"/>
        </w:rPr>
      </w:pPr>
      <w:r>
        <w:rPr>
          <w:rFonts w:hint="default" w:ascii="Times New Roman" w:hAnsi="Times New Roman" w:eastAsia="宋体" w:cs="Times New Roman"/>
          <w:b/>
          <w:color w:val="0000FF"/>
          <w:kern w:val="0"/>
        </w:rPr>
        <w:t>表7.2-5地下水跟踪监测井基本情况统计表</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605"/>
        <w:gridCol w:w="1185"/>
        <w:gridCol w:w="1839"/>
        <w:gridCol w:w="1569"/>
        <w:gridCol w:w="1449"/>
        <w:gridCol w:w="2651"/>
      </w:tblGrid>
      <w:tr w14:paraId="3C1A56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 w:hRule="atLeast"/>
        </w:trPr>
        <w:tc>
          <w:tcPr>
            <w:tcW w:w="476" w:type="dxa"/>
            <w:tcBorders>
              <w:tl2br w:val="nil"/>
              <w:tr2bl w:val="nil"/>
            </w:tcBorders>
            <w:vAlign w:val="center"/>
          </w:tcPr>
          <w:p w14:paraId="7567676A">
            <w:pPr>
              <w:keepNext w:val="0"/>
              <w:keepLines w:val="0"/>
              <w:pageBreakBefore w:val="0"/>
              <w:kinsoku/>
              <w:wordWrap/>
              <w:overflowPunct/>
              <w:topLinePunct w:val="0"/>
              <w:bidi w:val="0"/>
              <w:spacing w:line="240" w:lineRule="auto"/>
              <w:ind w:firstLine="0" w:firstLineChars="0"/>
              <w:jc w:val="center"/>
              <w:textAlignment w:val="auto"/>
              <w:outlineLvl w:val="9"/>
              <w:rPr>
                <w:rFonts w:hint="default" w:ascii="Times New Roman" w:hAnsi="Times New Roman" w:eastAsia="宋体" w:cs="Times New Roman"/>
                <w:color w:val="0000FF"/>
                <w:kern w:val="0"/>
                <w:sz w:val="21"/>
                <w:szCs w:val="21"/>
                <w:lang w:val="zh-TW" w:eastAsia="zh-TW"/>
              </w:rPr>
            </w:pPr>
            <w:r>
              <w:rPr>
                <w:rFonts w:hint="default" w:ascii="Times New Roman" w:hAnsi="Times New Roman" w:eastAsia="宋体" w:cs="Times New Roman"/>
                <w:color w:val="0000FF"/>
                <w:kern w:val="0"/>
                <w:sz w:val="21"/>
                <w:szCs w:val="21"/>
                <w:lang w:val="zh-TW" w:eastAsia="zh-TW"/>
              </w:rPr>
              <w:t>孔号</w:t>
            </w:r>
          </w:p>
        </w:tc>
        <w:tc>
          <w:tcPr>
            <w:tcW w:w="934" w:type="dxa"/>
            <w:tcBorders>
              <w:tl2br w:val="nil"/>
              <w:tr2bl w:val="nil"/>
            </w:tcBorders>
            <w:vAlign w:val="center"/>
          </w:tcPr>
          <w:p w14:paraId="533F2DD3">
            <w:pPr>
              <w:keepNext w:val="0"/>
              <w:keepLines w:val="0"/>
              <w:pageBreakBefore w:val="0"/>
              <w:kinsoku/>
              <w:wordWrap/>
              <w:overflowPunct/>
              <w:topLinePunct w:val="0"/>
              <w:bidi w:val="0"/>
              <w:spacing w:line="240" w:lineRule="auto"/>
              <w:ind w:firstLine="0" w:firstLineChars="0"/>
              <w:jc w:val="center"/>
              <w:textAlignment w:val="auto"/>
              <w:outlineLvl w:val="9"/>
              <w:rPr>
                <w:rFonts w:hint="eastAsia" w:ascii="Times New Roman" w:hAnsi="Times New Roman" w:eastAsia="宋体" w:cs="Times New Roman"/>
                <w:color w:val="0000FF"/>
                <w:kern w:val="0"/>
                <w:sz w:val="21"/>
                <w:szCs w:val="21"/>
                <w:lang w:val="zh-TW" w:eastAsia="zh-CN"/>
              </w:rPr>
            </w:pPr>
            <w:r>
              <w:rPr>
                <w:rFonts w:hint="default" w:ascii="Times New Roman" w:hAnsi="Times New Roman" w:eastAsia="宋体" w:cs="Times New Roman"/>
                <w:color w:val="0000FF"/>
                <w:kern w:val="0"/>
                <w:sz w:val="21"/>
                <w:szCs w:val="21"/>
                <w:lang w:val="zh-TW" w:eastAsia="zh-TW"/>
              </w:rPr>
              <w:t>孔深</w:t>
            </w:r>
            <w:r>
              <w:rPr>
                <w:rFonts w:hint="eastAsia" w:cs="Times New Roman"/>
                <w:color w:val="0000FF"/>
                <w:kern w:val="0"/>
                <w:sz w:val="21"/>
                <w:szCs w:val="21"/>
                <w:lang w:val="zh-TW" w:eastAsia="zh-CN"/>
              </w:rPr>
              <w:t>（</w:t>
            </w:r>
            <w:r>
              <w:rPr>
                <w:rFonts w:hint="default" w:ascii="Times New Roman" w:hAnsi="Times New Roman" w:eastAsia="宋体" w:cs="Times New Roman"/>
                <w:color w:val="0000FF"/>
                <w:kern w:val="0"/>
                <w:sz w:val="21"/>
                <w:szCs w:val="21"/>
                <w:lang w:val="zh-TW" w:eastAsia="zh-TW"/>
              </w:rPr>
              <w:t>m</w:t>
            </w:r>
            <w:r>
              <w:rPr>
                <w:rFonts w:hint="eastAsia" w:cs="Times New Roman"/>
                <w:color w:val="0000FF"/>
                <w:kern w:val="0"/>
                <w:sz w:val="21"/>
                <w:szCs w:val="21"/>
                <w:lang w:val="zh-TW" w:eastAsia="zh-CN"/>
              </w:rPr>
              <w:t>）</w:t>
            </w:r>
          </w:p>
        </w:tc>
        <w:tc>
          <w:tcPr>
            <w:tcW w:w="1449" w:type="dxa"/>
            <w:tcBorders>
              <w:tl2br w:val="nil"/>
              <w:tr2bl w:val="nil"/>
            </w:tcBorders>
            <w:vAlign w:val="center"/>
          </w:tcPr>
          <w:p w14:paraId="64E243E3">
            <w:pPr>
              <w:keepNext w:val="0"/>
              <w:keepLines w:val="0"/>
              <w:pageBreakBefore w:val="0"/>
              <w:kinsoku/>
              <w:wordWrap/>
              <w:overflowPunct/>
              <w:topLinePunct w:val="0"/>
              <w:bidi w:val="0"/>
              <w:spacing w:line="240" w:lineRule="auto"/>
              <w:ind w:firstLine="0" w:firstLineChars="0"/>
              <w:jc w:val="center"/>
              <w:textAlignment w:val="auto"/>
              <w:outlineLvl w:val="9"/>
              <w:rPr>
                <w:rFonts w:hint="default" w:ascii="Times New Roman" w:hAnsi="Times New Roman" w:eastAsia="宋体" w:cs="Times New Roman"/>
                <w:color w:val="0000FF"/>
                <w:kern w:val="0"/>
                <w:sz w:val="21"/>
                <w:szCs w:val="21"/>
                <w:lang w:val="zh-TW"/>
              </w:rPr>
            </w:pPr>
            <w:r>
              <w:rPr>
                <w:rFonts w:hint="default" w:ascii="Times New Roman" w:hAnsi="Times New Roman" w:eastAsia="宋体" w:cs="Times New Roman"/>
                <w:color w:val="0000FF"/>
                <w:kern w:val="0"/>
                <w:sz w:val="21"/>
                <w:szCs w:val="21"/>
                <w:lang w:val="zh-TW" w:eastAsia="zh-TW"/>
              </w:rPr>
              <w:t>井孔结构</w:t>
            </w:r>
          </w:p>
        </w:tc>
        <w:tc>
          <w:tcPr>
            <w:tcW w:w="1236" w:type="dxa"/>
            <w:tcBorders>
              <w:tl2br w:val="nil"/>
              <w:tr2bl w:val="nil"/>
            </w:tcBorders>
            <w:vAlign w:val="center"/>
          </w:tcPr>
          <w:p w14:paraId="016069D4">
            <w:pPr>
              <w:keepNext w:val="0"/>
              <w:keepLines w:val="0"/>
              <w:pageBreakBefore w:val="0"/>
              <w:kinsoku/>
              <w:wordWrap/>
              <w:overflowPunct/>
              <w:topLinePunct w:val="0"/>
              <w:bidi w:val="0"/>
              <w:spacing w:line="240" w:lineRule="auto"/>
              <w:ind w:firstLine="0" w:firstLineChars="0"/>
              <w:jc w:val="center"/>
              <w:textAlignment w:val="auto"/>
              <w:outlineLvl w:val="9"/>
              <w:rPr>
                <w:rFonts w:hint="default" w:ascii="Times New Roman" w:hAnsi="Times New Roman" w:eastAsia="宋体" w:cs="Times New Roman"/>
                <w:color w:val="0000FF"/>
                <w:kern w:val="0"/>
                <w:sz w:val="21"/>
                <w:szCs w:val="21"/>
                <w:lang w:val="zh-TW" w:eastAsia="zh-TW"/>
              </w:rPr>
            </w:pPr>
            <w:r>
              <w:rPr>
                <w:rFonts w:hint="default" w:ascii="Times New Roman" w:hAnsi="Times New Roman" w:eastAsia="宋体" w:cs="Times New Roman"/>
                <w:color w:val="0000FF"/>
                <w:kern w:val="0"/>
                <w:sz w:val="21"/>
                <w:szCs w:val="21"/>
                <w:lang w:val="zh-TW"/>
              </w:rPr>
              <w:t>位置</w:t>
            </w:r>
          </w:p>
        </w:tc>
        <w:tc>
          <w:tcPr>
            <w:tcW w:w="1142" w:type="dxa"/>
            <w:tcBorders>
              <w:tl2br w:val="nil"/>
              <w:tr2bl w:val="nil"/>
            </w:tcBorders>
            <w:vAlign w:val="center"/>
          </w:tcPr>
          <w:p w14:paraId="3E5C267F">
            <w:pPr>
              <w:keepNext w:val="0"/>
              <w:keepLines w:val="0"/>
              <w:pageBreakBefore w:val="0"/>
              <w:kinsoku/>
              <w:wordWrap/>
              <w:overflowPunct/>
              <w:topLinePunct w:val="0"/>
              <w:bidi w:val="0"/>
              <w:spacing w:line="240" w:lineRule="auto"/>
              <w:ind w:firstLine="0" w:firstLineChars="0"/>
              <w:jc w:val="center"/>
              <w:textAlignment w:val="auto"/>
              <w:outlineLvl w:val="9"/>
              <w:rPr>
                <w:rFonts w:hint="default" w:ascii="Times New Roman" w:hAnsi="Times New Roman" w:eastAsia="宋体" w:cs="Times New Roman"/>
                <w:color w:val="0000FF"/>
                <w:kern w:val="0"/>
                <w:sz w:val="21"/>
                <w:szCs w:val="21"/>
                <w:lang w:val="zh-TW" w:eastAsia="zh-TW"/>
              </w:rPr>
            </w:pPr>
            <w:r>
              <w:rPr>
                <w:rFonts w:hint="default" w:ascii="Times New Roman" w:hAnsi="Times New Roman" w:eastAsia="宋体" w:cs="Times New Roman"/>
                <w:color w:val="0000FF"/>
                <w:kern w:val="0"/>
                <w:sz w:val="21"/>
                <w:szCs w:val="21"/>
                <w:lang w:val="zh-TW" w:eastAsia="zh-TW"/>
              </w:rPr>
              <w:t>监测频率</w:t>
            </w:r>
          </w:p>
        </w:tc>
        <w:tc>
          <w:tcPr>
            <w:tcW w:w="2089" w:type="dxa"/>
            <w:tcBorders>
              <w:tl2br w:val="nil"/>
              <w:tr2bl w:val="nil"/>
            </w:tcBorders>
            <w:vAlign w:val="center"/>
          </w:tcPr>
          <w:p w14:paraId="2F1CE3C1">
            <w:pPr>
              <w:keepNext w:val="0"/>
              <w:keepLines w:val="0"/>
              <w:pageBreakBefore w:val="0"/>
              <w:kinsoku/>
              <w:wordWrap/>
              <w:overflowPunct/>
              <w:topLinePunct w:val="0"/>
              <w:bidi w:val="0"/>
              <w:spacing w:line="240" w:lineRule="auto"/>
              <w:ind w:firstLine="0" w:firstLineChars="0"/>
              <w:jc w:val="center"/>
              <w:textAlignment w:val="auto"/>
              <w:outlineLvl w:val="9"/>
              <w:rPr>
                <w:rFonts w:hint="default" w:ascii="Times New Roman" w:hAnsi="Times New Roman" w:eastAsia="宋体" w:cs="Times New Roman"/>
                <w:color w:val="0000FF"/>
                <w:kern w:val="0"/>
                <w:sz w:val="21"/>
                <w:szCs w:val="21"/>
                <w:lang w:val="zh-TW" w:eastAsia="zh-TW"/>
              </w:rPr>
            </w:pPr>
            <w:r>
              <w:rPr>
                <w:rFonts w:hint="default" w:ascii="Times New Roman" w:hAnsi="Times New Roman" w:eastAsia="宋体" w:cs="Times New Roman"/>
                <w:color w:val="0000FF"/>
                <w:kern w:val="0"/>
                <w:sz w:val="21"/>
                <w:szCs w:val="21"/>
                <w:lang w:val="zh-TW" w:eastAsia="zh-TW"/>
              </w:rPr>
              <w:t>监测项目</w:t>
            </w:r>
          </w:p>
        </w:tc>
      </w:tr>
      <w:tr w14:paraId="320AFE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4" w:hRule="atLeast"/>
        </w:trPr>
        <w:tc>
          <w:tcPr>
            <w:tcW w:w="476" w:type="dxa"/>
            <w:tcBorders>
              <w:tl2br w:val="nil"/>
              <w:tr2bl w:val="nil"/>
            </w:tcBorders>
            <w:vAlign w:val="center"/>
          </w:tcPr>
          <w:p w14:paraId="60B799A8">
            <w:pPr>
              <w:keepNext w:val="0"/>
              <w:keepLines w:val="0"/>
              <w:pageBreakBefore w:val="0"/>
              <w:kinsoku/>
              <w:wordWrap/>
              <w:overflowPunct/>
              <w:topLinePunct w:val="0"/>
              <w:bidi w:val="0"/>
              <w:spacing w:line="240" w:lineRule="auto"/>
              <w:ind w:firstLine="0" w:firstLineChars="0"/>
              <w:jc w:val="center"/>
              <w:textAlignment w:val="auto"/>
              <w:outlineLvl w:val="9"/>
              <w:rPr>
                <w:rFonts w:hint="default" w:ascii="Times New Roman" w:hAnsi="Times New Roman" w:eastAsia="宋体" w:cs="Times New Roman"/>
                <w:color w:val="0000FF"/>
                <w:kern w:val="0"/>
                <w:sz w:val="21"/>
                <w:szCs w:val="21"/>
                <w:lang w:val="zh-TW" w:eastAsia="zh-TW"/>
              </w:rPr>
            </w:pPr>
            <w:r>
              <w:rPr>
                <w:rFonts w:hint="default" w:ascii="Times New Roman" w:hAnsi="Times New Roman" w:eastAsia="宋体" w:cs="Times New Roman"/>
                <w:color w:val="0000FF"/>
                <w:kern w:val="0"/>
                <w:sz w:val="21"/>
                <w:szCs w:val="21"/>
                <w:lang w:val="zh-TW" w:eastAsia="zh-TW"/>
              </w:rPr>
              <w:t>1#</w:t>
            </w:r>
          </w:p>
        </w:tc>
        <w:tc>
          <w:tcPr>
            <w:tcW w:w="934" w:type="dxa"/>
            <w:tcBorders>
              <w:tl2br w:val="nil"/>
              <w:tr2bl w:val="nil"/>
            </w:tcBorders>
            <w:vAlign w:val="center"/>
          </w:tcPr>
          <w:p w14:paraId="40FD616C">
            <w:pPr>
              <w:keepNext w:val="0"/>
              <w:keepLines w:val="0"/>
              <w:pageBreakBefore w:val="0"/>
              <w:kinsoku/>
              <w:wordWrap/>
              <w:overflowPunct/>
              <w:topLinePunct w:val="0"/>
              <w:bidi w:val="0"/>
              <w:spacing w:line="240" w:lineRule="auto"/>
              <w:ind w:firstLine="0" w:firstLineChars="0"/>
              <w:jc w:val="center"/>
              <w:textAlignment w:val="auto"/>
              <w:outlineLvl w:val="9"/>
              <w:rPr>
                <w:rFonts w:hint="default" w:ascii="Times New Roman" w:hAnsi="Times New Roman" w:eastAsia="宋体" w:cs="Times New Roman"/>
                <w:color w:val="0000FF"/>
                <w:kern w:val="0"/>
                <w:sz w:val="21"/>
                <w:szCs w:val="21"/>
                <w:lang w:val="zh-TW"/>
              </w:rPr>
            </w:pPr>
            <w:r>
              <w:rPr>
                <w:rFonts w:hint="default" w:ascii="Times New Roman" w:hAnsi="Times New Roman" w:eastAsia="宋体" w:cs="Times New Roman"/>
                <w:color w:val="0000FF"/>
                <w:kern w:val="0"/>
                <w:sz w:val="21"/>
                <w:szCs w:val="21"/>
                <w:lang w:val="zh-TW" w:eastAsia="zh-TW"/>
              </w:rPr>
              <w:t>钻入</w:t>
            </w:r>
            <w:r>
              <w:rPr>
                <w:rFonts w:hint="default" w:ascii="Times New Roman" w:hAnsi="Times New Roman" w:eastAsia="宋体" w:cs="Times New Roman"/>
                <w:color w:val="0000FF"/>
                <w:kern w:val="0"/>
                <w:sz w:val="21"/>
                <w:szCs w:val="21"/>
                <w:lang w:val="zh-TW"/>
              </w:rPr>
              <w:t>潜水</w:t>
            </w:r>
            <w:r>
              <w:rPr>
                <w:rFonts w:hint="default" w:ascii="Times New Roman" w:hAnsi="Times New Roman" w:eastAsia="宋体" w:cs="Times New Roman"/>
                <w:color w:val="0000FF"/>
                <w:kern w:val="0"/>
                <w:sz w:val="21"/>
                <w:szCs w:val="21"/>
                <w:lang w:val="zh-TW" w:eastAsia="zh-TW"/>
              </w:rPr>
              <w:t>含水层</w:t>
            </w:r>
            <w:r>
              <w:rPr>
                <w:rFonts w:hint="default" w:ascii="Times New Roman" w:hAnsi="Times New Roman" w:eastAsia="宋体" w:cs="Times New Roman"/>
                <w:color w:val="0000FF"/>
                <w:kern w:val="0"/>
                <w:sz w:val="21"/>
                <w:szCs w:val="21"/>
                <w:lang w:val="zh-TW"/>
              </w:rPr>
              <w:t>，大约20m</w:t>
            </w:r>
          </w:p>
        </w:tc>
        <w:tc>
          <w:tcPr>
            <w:tcW w:w="1449" w:type="dxa"/>
            <w:tcBorders>
              <w:tl2br w:val="nil"/>
              <w:tr2bl w:val="nil"/>
            </w:tcBorders>
            <w:vAlign w:val="center"/>
          </w:tcPr>
          <w:p w14:paraId="111199B8">
            <w:pPr>
              <w:keepNext w:val="0"/>
              <w:keepLines w:val="0"/>
              <w:pageBreakBefore w:val="0"/>
              <w:kinsoku/>
              <w:wordWrap/>
              <w:overflowPunct/>
              <w:topLinePunct w:val="0"/>
              <w:bidi w:val="0"/>
              <w:spacing w:line="240" w:lineRule="auto"/>
              <w:ind w:firstLine="0" w:firstLineChars="0"/>
              <w:jc w:val="center"/>
              <w:textAlignment w:val="auto"/>
              <w:outlineLvl w:val="9"/>
              <w:rPr>
                <w:rFonts w:hint="default" w:ascii="Times New Roman" w:hAnsi="Times New Roman" w:eastAsia="宋体" w:cs="Times New Roman"/>
                <w:color w:val="0000FF"/>
                <w:kern w:val="0"/>
                <w:sz w:val="21"/>
                <w:szCs w:val="21"/>
                <w:lang w:val="zh-TW" w:eastAsia="zh-TW"/>
              </w:rPr>
            </w:pPr>
            <w:r>
              <w:rPr>
                <w:rFonts w:hint="default" w:ascii="Times New Roman" w:hAnsi="Times New Roman" w:eastAsia="宋体" w:cs="Times New Roman"/>
                <w:color w:val="0000FF"/>
                <w:kern w:val="0"/>
                <w:sz w:val="21"/>
                <w:szCs w:val="21"/>
                <w:lang w:val="zh-TW" w:eastAsia="zh-TW"/>
              </w:rPr>
              <w:t>Φ≥147mm，孔口以下2.0m采用粘土或水泥止水，下部为滤水管</w:t>
            </w:r>
          </w:p>
        </w:tc>
        <w:tc>
          <w:tcPr>
            <w:tcW w:w="1236" w:type="dxa"/>
            <w:tcBorders>
              <w:tl2br w:val="nil"/>
              <w:tr2bl w:val="nil"/>
            </w:tcBorders>
            <w:vAlign w:val="center"/>
          </w:tcPr>
          <w:p w14:paraId="7D7A056A">
            <w:pPr>
              <w:keepNext w:val="0"/>
              <w:keepLines w:val="0"/>
              <w:pageBreakBefore w:val="0"/>
              <w:kinsoku/>
              <w:wordWrap/>
              <w:overflowPunct/>
              <w:topLinePunct w:val="0"/>
              <w:bidi w:val="0"/>
              <w:spacing w:line="240" w:lineRule="auto"/>
              <w:ind w:firstLine="0" w:firstLineChars="0"/>
              <w:jc w:val="center"/>
              <w:textAlignment w:val="auto"/>
              <w:outlineLvl w:val="9"/>
              <w:rPr>
                <w:rFonts w:hint="default" w:ascii="Times New Roman" w:hAnsi="Times New Roman" w:eastAsia="宋体" w:cs="Times New Roman"/>
                <w:color w:val="0000FF"/>
                <w:sz w:val="21"/>
                <w:szCs w:val="21"/>
                <w:lang w:val="zh-TW"/>
              </w:rPr>
            </w:pPr>
            <w:r>
              <w:rPr>
                <w:rFonts w:hint="default" w:ascii="Times New Roman" w:hAnsi="Times New Roman" w:eastAsia="宋体" w:cs="Times New Roman"/>
                <w:color w:val="0000FF"/>
                <w:sz w:val="21"/>
                <w:szCs w:val="21"/>
                <w:lang w:val="zh-TW"/>
              </w:rPr>
              <w:t>场</w:t>
            </w:r>
            <w:r>
              <w:rPr>
                <w:rFonts w:hint="eastAsia" w:cs="Times New Roman"/>
                <w:color w:val="0000FF"/>
                <w:sz w:val="21"/>
                <w:szCs w:val="21"/>
                <w:lang w:val="en-US" w:eastAsia="zh-CN"/>
              </w:rPr>
              <w:t>区粪污处理区</w:t>
            </w:r>
            <w:r>
              <w:rPr>
                <w:rFonts w:hint="default" w:ascii="Times New Roman" w:hAnsi="Times New Roman" w:eastAsia="宋体" w:cs="Times New Roman"/>
                <w:color w:val="0000FF"/>
                <w:sz w:val="21"/>
                <w:szCs w:val="21"/>
                <w:lang w:val="zh-TW"/>
              </w:rPr>
              <w:t>下游</w:t>
            </w:r>
          </w:p>
          <w:p w14:paraId="7150D5FC">
            <w:pPr>
              <w:keepNext w:val="0"/>
              <w:keepLines w:val="0"/>
              <w:pageBreakBefore w:val="0"/>
              <w:kinsoku/>
              <w:wordWrap/>
              <w:overflowPunct/>
              <w:topLinePunct w:val="0"/>
              <w:bidi w:val="0"/>
              <w:spacing w:line="240" w:lineRule="auto"/>
              <w:ind w:firstLine="0" w:firstLineChars="0"/>
              <w:jc w:val="center"/>
              <w:textAlignment w:val="auto"/>
              <w:outlineLvl w:val="9"/>
              <w:rPr>
                <w:rFonts w:hint="default" w:ascii="Times New Roman" w:hAnsi="Times New Roman" w:eastAsia="宋体" w:cs="Times New Roman"/>
                <w:color w:val="0000FF"/>
                <w:sz w:val="21"/>
                <w:szCs w:val="21"/>
                <w:lang w:val="zh-TW"/>
              </w:rPr>
            </w:pPr>
            <w:r>
              <w:rPr>
                <w:rFonts w:hint="default" w:ascii="Times New Roman" w:hAnsi="Times New Roman" w:eastAsia="宋体" w:cs="Times New Roman"/>
                <w:color w:val="0000FF"/>
                <w:sz w:val="21"/>
                <w:szCs w:val="21"/>
                <w:lang w:val="zh-TW"/>
              </w:rPr>
              <w:t>（东南侧）</w:t>
            </w:r>
          </w:p>
        </w:tc>
        <w:tc>
          <w:tcPr>
            <w:tcW w:w="1142" w:type="dxa"/>
            <w:tcBorders>
              <w:tl2br w:val="nil"/>
              <w:tr2bl w:val="nil"/>
            </w:tcBorders>
            <w:vAlign w:val="center"/>
          </w:tcPr>
          <w:p w14:paraId="6A87CE86">
            <w:pPr>
              <w:keepNext w:val="0"/>
              <w:keepLines w:val="0"/>
              <w:pageBreakBefore w:val="0"/>
              <w:kinsoku/>
              <w:wordWrap/>
              <w:overflowPunct/>
              <w:topLinePunct w:val="0"/>
              <w:bidi w:val="0"/>
              <w:spacing w:line="240" w:lineRule="auto"/>
              <w:ind w:firstLine="0" w:firstLineChars="0"/>
              <w:jc w:val="center"/>
              <w:textAlignment w:val="auto"/>
              <w:outlineLvl w:val="9"/>
              <w:rPr>
                <w:rFonts w:hint="default" w:ascii="Times New Roman" w:hAnsi="Times New Roman" w:eastAsia="宋体" w:cs="Times New Roman"/>
                <w:color w:val="0000FF"/>
                <w:kern w:val="0"/>
                <w:sz w:val="21"/>
                <w:szCs w:val="21"/>
                <w:lang w:val="zh-TW" w:eastAsia="zh-TW"/>
              </w:rPr>
            </w:pPr>
            <w:r>
              <w:rPr>
                <w:rFonts w:hint="default" w:ascii="Times New Roman" w:hAnsi="Times New Roman" w:eastAsia="宋体" w:cs="Times New Roman"/>
                <w:color w:val="0000FF"/>
                <w:kern w:val="0"/>
                <w:sz w:val="21"/>
                <w:szCs w:val="21"/>
                <w:lang w:val="zh-TW" w:eastAsia="zh-TW"/>
              </w:rPr>
              <w:t>每</w:t>
            </w:r>
            <w:r>
              <w:rPr>
                <w:rFonts w:hint="default" w:ascii="Times New Roman" w:hAnsi="Times New Roman" w:eastAsia="宋体" w:cs="Times New Roman"/>
                <w:color w:val="0000FF"/>
                <w:kern w:val="0"/>
                <w:sz w:val="21"/>
                <w:szCs w:val="21"/>
                <w:lang w:val="zh-TW"/>
              </w:rPr>
              <w:t>年</w:t>
            </w:r>
            <w:r>
              <w:rPr>
                <w:rFonts w:hint="default" w:ascii="Times New Roman" w:hAnsi="Times New Roman" w:eastAsia="宋体" w:cs="Times New Roman"/>
                <w:color w:val="0000FF"/>
                <w:kern w:val="0"/>
                <w:sz w:val="21"/>
                <w:szCs w:val="21"/>
                <w:lang w:val="zh-TW" w:eastAsia="zh-TW"/>
              </w:rPr>
              <w:t>一次</w:t>
            </w:r>
          </w:p>
        </w:tc>
        <w:tc>
          <w:tcPr>
            <w:tcW w:w="2089" w:type="dxa"/>
            <w:tcBorders>
              <w:tl2br w:val="nil"/>
              <w:tr2bl w:val="nil"/>
            </w:tcBorders>
            <w:vAlign w:val="center"/>
          </w:tcPr>
          <w:p w14:paraId="53075005">
            <w:pPr>
              <w:keepNext w:val="0"/>
              <w:keepLines w:val="0"/>
              <w:pageBreakBefore w:val="0"/>
              <w:kinsoku/>
              <w:wordWrap/>
              <w:overflowPunct/>
              <w:topLinePunct w:val="0"/>
              <w:bidi w:val="0"/>
              <w:spacing w:line="240" w:lineRule="auto"/>
              <w:ind w:firstLine="0" w:firstLineChars="0"/>
              <w:jc w:val="center"/>
              <w:textAlignment w:val="auto"/>
              <w:outlineLvl w:val="9"/>
              <w:rPr>
                <w:rFonts w:hint="default" w:ascii="Times New Roman" w:hAnsi="Times New Roman" w:eastAsia="宋体" w:cs="Times New Roman"/>
                <w:color w:val="0000FF"/>
                <w:kern w:val="0"/>
                <w:sz w:val="21"/>
                <w:szCs w:val="21"/>
                <w:lang w:val="zh-TW"/>
              </w:rPr>
            </w:pPr>
            <w:r>
              <w:rPr>
                <w:rFonts w:hint="default" w:ascii="Times New Roman" w:hAnsi="Times New Roman" w:eastAsia="宋体" w:cs="Times New Roman"/>
                <w:color w:val="0000FF"/>
                <w:sz w:val="21"/>
                <w:szCs w:val="21"/>
                <w:lang w:bidi="en-US"/>
              </w:rPr>
              <w:t>pH、总硬度、溶解性总固体、硝酸盐氮、亚硝酸盐氮、</w:t>
            </w:r>
            <w:r>
              <w:rPr>
                <w:rFonts w:hint="default" w:ascii="Times New Roman" w:hAnsi="Times New Roman" w:eastAsia="宋体" w:cs="Times New Roman"/>
                <w:color w:val="0000FF"/>
                <w:kern w:val="0"/>
                <w:sz w:val="21"/>
                <w:szCs w:val="21"/>
              </w:rPr>
              <w:t>COD、</w:t>
            </w:r>
            <w:r>
              <w:rPr>
                <w:rFonts w:hint="default" w:ascii="Times New Roman" w:hAnsi="Times New Roman" w:eastAsia="宋体" w:cs="Times New Roman"/>
                <w:color w:val="0000FF"/>
                <w:sz w:val="21"/>
                <w:szCs w:val="21"/>
                <w:lang w:bidi="en-US"/>
              </w:rPr>
              <w:t>氨氮、总氮、总磷、</w:t>
            </w:r>
            <w:r>
              <w:rPr>
                <w:rFonts w:hint="default" w:ascii="Times New Roman" w:hAnsi="Times New Roman" w:eastAsia="宋体" w:cs="Times New Roman"/>
                <w:color w:val="0000FF"/>
                <w:kern w:val="0"/>
                <w:sz w:val="21"/>
                <w:szCs w:val="21"/>
              </w:rPr>
              <w:t>阴离子表面活性剂、总大肠菌群、细菌总数</w:t>
            </w:r>
          </w:p>
        </w:tc>
      </w:tr>
    </w:tbl>
    <w:p w14:paraId="046A3C2C">
      <w:pPr>
        <w:keepNext w:val="0"/>
        <w:keepLines w:val="0"/>
        <w:pageBreakBefore w:val="0"/>
        <w:kinsoku/>
        <w:wordWrap/>
        <w:overflowPunct/>
        <w:topLinePunct w:val="0"/>
        <w:autoSpaceDE w:val="0"/>
        <w:autoSpaceDN w:val="0"/>
        <w:bidi w:val="0"/>
        <w:adjustRightInd/>
        <w:snapToGrid/>
        <w:spacing w:line="360" w:lineRule="auto"/>
        <w:ind w:firstLine="480"/>
        <w:jc w:val="both"/>
        <w:textAlignment w:val="auto"/>
        <w:outlineLvl w:val="9"/>
        <w:rPr>
          <w:rFonts w:hint="default" w:ascii="Times New Roman" w:hAnsi="Times New Roman" w:eastAsia="宋体" w:cs="Times New Roman"/>
          <w:color w:val="0000FF"/>
          <w:kern w:val="0"/>
        </w:rPr>
      </w:pPr>
      <w:r>
        <w:rPr>
          <w:rFonts w:hint="default" w:ascii="Times New Roman" w:hAnsi="Times New Roman" w:eastAsia="宋体" w:cs="Times New Roman"/>
          <w:color w:val="0000FF"/>
          <w:kern w:val="0"/>
        </w:rPr>
        <w:t>监控井保护措施：设置20cm高保护井台；进口做好密封，防止监测井被污染。</w:t>
      </w:r>
    </w:p>
    <w:p w14:paraId="337DF212">
      <w:pPr>
        <w:keepNext w:val="0"/>
        <w:keepLines w:val="0"/>
        <w:pageBreakBefore w:val="0"/>
        <w:kinsoku/>
        <w:wordWrap/>
        <w:overflowPunct/>
        <w:topLinePunct w:val="0"/>
        <w:bidi w:val="0"/>
        <w:adjustRightInd/>
        <w:snapToGrid/>
        <w:spacing w:line="360" w:lineRule="auto"/>
        <w:ind w:firstLine="480"/>
        <w:jc w:val="both"/>
        <w:textAlignment w:val="auto"/>
        <w:outlineLvl w:val="9"/>
        <w:rPr>
          <w:rFonts w:hint="default" w:ascii="Times New Roman" w:hAnsi="Times New Roman" w:eastAsia="宋体" w:cs="Times New Roman"/>
          <w:color w:val="0000FF"/>
          <w:kern w:val="0"/>
        </w:rPr>
      </w:pPr>
      <w:r>
        <w:rPr>
          <w:rFonts w:hint="default" w:ascii="Times New Roman" w:hAnsi="Times New Roman" w:eastAsia="宋体" w:cs="Times New Roman"/>
          <w:color w:val="0000FF"/>
          <w:kern w:val="0"/>
        </w:rPr>
        <w:t>监测数据要及时公开，上报有关环境保护部门。</w:t>
      </w:r>
    </w:p>
    <w:p w14:paraId="7F799F44">
      <w:pPr>
        <w:keepNext w:val="0"/>
        <w:keepLines w:val="0"/>
        <w:pageBreakBefore w:val="0"/>
        <w:kinsoku/>
        <w:wordWrap/>
        <w:overflowPunct/>
        <w:topLinePunct w:val="0"/>
        <w:bidi w:val="0"/>
        <w:adjustRightInd/>
        <w:snapToGrid/>
        <w:spacing w:line="360" w:lineRule="auto"/>
        <w:ind w:firstLine="480"/>
        <w:jc w:val="both"/>
        <w:textAlignment w:val="auto"/>
        <w:outlineLvl w:val="9"/>
        <w:rPr>
          <w:rFonts w:hint="default" w:ascii="Times New Roman" w:hAnsi="Times New Roman" w:eastAsia="宋体" w:cs="Times New Roman"/>
          <w:color w:val="0000FF"/>
        </w:rPr>
      </w:pPr>
      <w:r>
        <w:rPr>
          <w:rFonts w:hint="default" w:ascii="Times New Roman" w:hAnsi="Times New Roman" w:eastAsia="宋体" w:cs="Times New Roman"/>
          <w:color w:val="0000FF"/>
          <w:kern w:val="0"/>
        </w:rPr>
        <w:t>监测一旦发现污染物泄漏情况，对厂区范围内以及周边布设的监测井进行紧急抽水，并进行水质化验分析。监测频率：每年一次，直至水质恢复正常。同时及时通知有关管理部门和附近居民，做好应急防范工作，立即查找渗漏点，进行修补。</w:t>
      </w:r>
    </w:p>
    <w:bookmarkEnd w:id="358"/>
    <w:p w14:paraId="33EDAAB0">
      <w:pPr>
        <w:keepNext w:val="0"/>
        <w:keepLines w:val="0"/>
        <w:pageBreakBefore w:val="0"/>
        <w:kinsoku/>
        <w:wordWrap/>
        <w:overflowPunct/>
        <w:topLinePunct w:val="0"/>
        <w:bidi w:val="0"/>
        <w:adjustRightInd/>
        <w:snapToGrid/>
        <w:spacing w:line="360" w:lineRule="auto"/>
        <w:ind w:firstLine="480"/>
        <w:jc w:val="both"/>
        <w:textAlignment w:val="auto"/>
        <w:outlineLvl w:val="9"/>
        <w:rPr>
          <w:rFonts w:hint="default" w:ascii="Times New Roman" w:hAnsi="Times New Roman" w:eastAsia="宋体" w:cs="Times New Roman"/>
          <w:color w:val="000000" w:themeColor="text1"/>
          <w14:textFill>
            <w14:solidFill>
              <w14:schemeClr w14:val="tx1"/>
            </w14:solidFill>
          </w14:textFill>
        </w:rPr>
      </w:pPr>
      <w:bookmarkStart w:id="359" w:name="_Toc20547"/>
      <w:bookmarkStart w:id="360" w:name="_Toc7475"/>
      <w:bookmarkStart w:id="361" w:name="_Toc12653"/>
      <w:r>
        <w:rPr>
          <w:rFonts w:hint="default" w:ascii="Times New Roman" w:hAnsi="Times New Roman" w:eastAsia="宋体" w:cs="Times New Roman"/>
          <w:color w:val="000000" w:themeColor="text1"/>
          <w14:textFill>
            <w14:solidFill>
              <w14:schemeClr w14:val="tx1"/>
            </w14:solidFill>
          </w14:textFill>
        </w:rPr>
        <w:fldChar w:fldCharType="begin"/>
      </w:r>
      <w:r>
        <w:rPr>
          <w:rFonts w:hint="default" w:ascii="Times New Roman" w:hAnsi="Times New Roman" w:eastAsia="宋体" w:cs="Times New Roman"/>
          <w:color w:val="000000" w:themeColor="text1"/>
          <w14:textFill>
            <w14:solidFill>
              <w14:schemeClr w14:val="tx1"/>
            </w14:solidFill>
          </w14:textFill>
        </w:rPr>
        <w:instrText xml:space="preserve">HYPERLINK "C:\\Users\\Administrator\\Desktop\\科右前旗现代农牧业园区核心育种场养殖项目\\6.2.3.4"</w:instrText>
      </w:r>
      <w:r>
        <w:rPr>
          <w:rFonts w:hint="default" w:ascii="Times New Roman" w:hAnsi="Times New Roman" w:eastAsia="宋体" w:cs="Times New Roman"/>
          <w:color w:val="000000" w:themeColor="text1"/>
          <w14:textFill>
            <w14:solidFill>
              <w14:schemeClr w14:val="tx1"/>
            </w14:solidFill>
          </w14:textFill>
        </w:rPr>
        <w:fldChar w:fldCharType="separate"/>
      </w:r>
      <w:r>
        <w:rPr>
          <w:rFonts w:hint="default" w:ascii="Times New Roman" w:hAnsi="Times New Roman" w:eastAsia="宋体" w:cs="Times New Roman"/>
          <w:color w:val="000000" w:themeColor="text1"/>
          <w14:textFill>
            <w14:solidFill>
              <w14:schemeClr w14:val="tx1"/>
            </w14:solidFill>
          </w14:textFill>
        </w:rPr>
        <w:t>7.2.3.3</w:t>
      </w:r>
      <w:r>
        <w:rPr>
          <w:rFonts w:hint="default" w:ascii="Times New Roman" w:hAnsi="Times New Roman" w:eastAsia="宋体" w:cs="Times New Roman"/>
          <w:color w:val="000000" w:themeColor="text1"/>
          <w14:textFill>
            <w14:solidFill>
              <w14:schemeClr w14:val="tx1"/>
            </w14:solidFill>
          </w14:textFill>
        </w:rPr>
        <w:fldChar w:fldCharType="end"/>
      </w:r>
      <w:r>
        <w:rPr>
          <w:rFonts w:hint="default" w:ascii="Times New Roman" w:hAnsi="Times New Roman" w:eastAsia="宋体" w:cs="Times New Roman"/>
          <w:color w:val="000000" w:themeColor="text1"/>
          <w14:textFill>
            <w14:solidFill>
              <w14:schemeClr w14:val="tx1"/>
            </w14:solidFill>
          </w14:textFill>
        </w:rPr>
        <w:t>总结</w:t>
      </w:r>
      <w:bookmarkEnd w:id="359"/>
      <w:bookmarkEnd w:id="360"/>
    </w:p>
    <w:p w14:paraId="403A7EF2">
      <w:pPr>
        <w:pStyle w:val="56"/>
        <w:keepNext w:val="0"/>
        <w:keepLines w:val="0"/>
        <w:pageBreakBefore w:val="0"/>
        <w:kinsoku/>
        <w:wordWrap/>
        <w:overflowPunct/>
        <w:topLinePunct w:val="0"/>
        <w:bidi w:val="0"/>
        <w:adjustRightInd/>
        <w:snapToGrid/>
        <w:spacing w:line="360" w:lineRule="auto"/>
        <w:ind w:firstLine="480"/>
        <w:jc w:val="both"/>
        <w:textAlignment w:val="auto"/>
        <w:outlineLvl w:val="9"/>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经采取上述措施后，可有效避免粪污下渗或外溢对地下水造成污染，项目建成后猪舍周边的地面、道路采取硬化防渗处理，对地下水涵养带来了负面影响。</w:t>
      </w:r>
    </w:p>
    <w:p w14:paraId="7AD897F5">
      <w:pPr>
        <w:pStyle w:val="56"/>
        <w:keepNext w:val="0"/>
        <w:keepLines w:val="0"/>
        <w:pageBreakBefore w:val="0"/>
        <w:kinsoku/>
        <w:wordWrap/>
        <w:overflowPunct/>
        <w:topLinePunct w:val="0"/>
        <w:bidi w:val="0"/>
        <w:adjustRightInd/>
        <w:snapToGrid/>
        <w:spacing w:line="360" w:lineRule="auto"/>
        <w:ind w:firstLine="480"/>
        <w:jc w:val="both"/>
        <w:textAlignment w:val="auto"/>
        <w:outlineLvl w:val="9"/>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因此建设一定的生态绿地是解决雨水下渗补充地下水资源的有效途径。绿地不仅渗透能力强，而且植物根系能对雨水径流中的悬浮物、杂质等起到一定净化作用。</w:t>
      </w:r>
    </w:p>
    <w:p w14:paraId="02D359D6">
      <w:pPr>
        <w:pStyle w:val="56"/>
        <w:keepNext w:val="0"/>
        <w:keepLines w:val="0"/>
        <w:pageBreakBefore w:val="0"/>
        <w:kinsoku/>
        <w:wordWrap/>
        <w:overflowPunct/>
        <w:topLinePunct w:val="0"/>
        <w:bidi w:val="0"/>
        <w:adjustRightInd/>
        <w:snapToGrid/>
        <w:spacing w:line="360" w:lineRule="auto"/>
        <w:ind w:firstLine="480"/>
        <w:jc w:val="both"/>
        <w:textAlignment w:val="auto"/>
        <w:outlineLvl w:val="9"/>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场区内硬化地面、人行道等可使用透水方砖或植草砖铺设，下面用透水材料铺垫，孔隙间种植草本植物，这样既增加了绿地面积，又增加了雨水下渗量，可有效减缓地面硬化对地下水涵养产生的不利影响。</w:t>
      </w:r>
    </w:p>
    <w:p w14:paraId="0FCF6C86">
      <w:pPr>
        <w:keepNext w:val="0"/>
        <w:keepLines w:val="0"/>
        <w:pageBreakBefore w:val="0"/>
        <w:kinsoku/>
        <w:wordWrap/>
        <w:overflowPunct/>
        <w:topLinePunct w:val="0"/>
        <w:bidi w:val="0"/>
        <w:adjustRightInd/>
        <w:snapToGrid/>
        <w:spacing w:line="360" w:lineRule="auto"/>
        <w:ind w:firstLine="480"/>
        <w:jc w:val="both"/>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据现场踏勘，项目附近无特定的地下水保护目标，通过以上地下水保护措施，不会影响区域地下水环境，不会因项目建设而改变区域地下水环境功能。项目采取以上地下水防护措施后，做好定期检查，生产工艺中加强节水措施，减少废水的排放量，严禁“跑、冒、滴、漏”现象的发生，厂区布局设计时按照雨污分流原则进行，采取以上措施后，本项目污染物能得到有效控制，能够避免因下渗或泄露对地下水造成影响。</w:t>
      </w:r>
    </w:p>
    <w:bookmarkEnd w:id="361"/>
    <w:p w14:paraId="1E0EDC72">
      <w:pPr>
        <w:ind w:firstLine="482"/>
        <w:outlineLvl w:val="2"/>
        <w:rPr>
          <w:rFonts w:hint="default" w:ascii="Times New Roman" w:hAnsi="Times New Roman" w:eastAsia="宋体" w:cs="Times New Roman"/>
          <w:b/>
          <w:bCs/>
          <w:color w:val="000000" w:themeColor="text1"/>
          <w14:textFill>
            <w14:solidFill>
              <w14:schemeClr w14:val="tx1"/>
            </w14:solidFill>
          </w14:textFill>
        </w:rPr>
      </w:pPr>
      <w:bookmarkStart w:id="362" w:name="bookmark53"/>
      <w:bookmarkEnd w:id="362"/>
      <w:bookmarkStart w:id="363" w:name="_Toc15773"/>
      <w:r>
        <w:rPr>
          <w:rFonts w:hint="default" w:ascii="Times New Roman" w:hAnsi="Times New Roman" w:eastAsia="宋体" w:cs="Times New Roman"/>
          <w:b/>
          <w:bCs/>
          <w:color w:val="000000" w:themeColor="text1"/>
          <w14:textFill>
            <w14:solidFill>
              <w14:schemeClr w14:val="tx1"/>
            </w14:solidFill>
          </w14:textFill>
        </w:rPr>
        <w:t>7.2.4噪声控制措施</w:t>
      </w:r>
      <w:bookmarkEnd w:id="363"/>
    </w:p>
    <w:p w14:paraId="0E1D2F36">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项目噪声主要来源于饲料搅拌设备、牛舍清粪设备、牛叫声以及风机等，此外牛的叫声、车辆往来也会产生一定噪声。噪声控制的基本原则是产生噪音超过95dB（A）的设备应当安装在专用的噪声隔离区，声压等级在85～95dB（A）之间的可通过安装单独的消声装置，拟采取的噪声治理具体措施如下：</w:t>
      </w:r>
    </w:p>
    <w:p w14:paraId="40F4CB96">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改进设备结构、材料尽量选择先进可靠的低噪声设备（如屏蔽泵），结合生产实际选择适当的设备结构和材料，从根本上减少噪声污染。</w:t>
      </w:r>
    </w:p>
    <w:p w14:paraId="7FE1F2B7">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各种泵类、饲料搅拌设备等采用隔声进行密闭、减振材料支撑，可降低声压级20-30dB（A）。</w:t>
      </w:r>
    </w:p>
    <w:p w14:paraId="4077921D">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在总图布置上同时考虑利用地形、高大建筑物、树木阻隔噪声。结合噪声预测结果，可知拟建工程噪声防治措施是成熟可行的，可一定程度减轻噪声源强和车间噪声。应注意的是在工程建设时，强噪设备布置时应充分考虑强噪设备与厂界的距离及厂界噪声限值，布置位置尽可能远离厂界。</w:t>
      </w:r>
    </w:p>
    <w:p w14:paraId="336C03AE">
      <w:pPr>
        <w:ind w:firstLine="482"/>
        <w:outlineLvl w:val="2"/>
        <w:rPr>
          <w:rFonts w:hint="default" w:ascii="Times New Roman" w:hAnsi="Times New Roman" w:eastAsia="宋体" w:cs="Times New Roman"/>
          <w:b/>
          <w:bCs/>
          <w:color w:val="000000" w:themeColor="text1"/>
          <w14:textFill>
            <w14:solidFill>
              <w14:schemeClr w14:val="tx1"/>
            </w14:solidFill>
          </w14:textFill>
        </w:rPr>
      </w:pPr>
      <w:bookmarkStart w:id="364" w:name="bookmark54"/>
      <w:bookmarkEnd w:id="364"/>
      <w:bookmarkStart w:id="365" w:name="_Toc9970"/>
      <w:r>
        <w:rPr>
          <w:rFonts w:hint="default" w:ascii="Times New Roman" w:hAnsi="Times New Roman" w:eastAsia="宋体" w:cs="Times New Roman"/>
          <w:b/>
          <w:bCs/>
          <w:color w:val="000000" w:themeColor="text1"/>
          <w14:textFill>
            <w14:solidFill>
              <w14:schemeClr w14:val="tx1"/>
            </w14:solidFill>
          </w14:textFill>
        </w:rPr>
        <w:t>7.2.5土壤环境污染防治措施</w:t>
      </w:r>
      <w:bookmarkEnd w:id="365"/>
    </w:p>
    <w:p w14:paraId="66C63CA7">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（1）严格实行雨污分流制，雨水进入雨水收集排放系统，污水收集系统采用管道或暗渠收集，避免与雨水混合；</w:t>
      </w:r>
    </w:p>
    <w:p w14:paraId="2A385889">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bookmarkStart w:id="366" w:name="_Toc26619"/>
      <w:bookmarkStart w:id="367" w:name="_Toc26168"/>
      <w:bookmarkStart w:id="368" w:name="_Toc29472"/>
      <w:r>
        <w:rPr>
          <w:rFonts w:hint="default" w:ascii="Times New Roman" w:hAnsi="Times New Roman" w:eastAsia="宋体" w:cs="Times New Roman"/>
          <w:color w:val="000000" w:themeColor="text1"/>
          <w14:textFill>
            <w14:solidFill>
              <w14:schemeClr w14:val="tx1"/>
            </w14:solidFill>
          </w14:textFill>
        </w:rPr>
        <w:t>（2）畜禽养殖废水不得随意排放。</w:t>
      </w:r>
      <w:bookmarkEnd w:id="366"/>
      <w:bookmarkEnd w:id="367"/>
      <w:bookmarkEnd w:id="368"/>
    </w:p>
    <w:p w14:paraId="34704445">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（3）</w:t>
      </w:r>
      <w:r>
        <w:rPr>
          <w:rFonts w:hint="default" w:ascii="Times New Roman" w:hAnsi="Times New Roman" w:eastAsia="宋体" w:cs="Times New Roman"/>
          <w:color w:val="000000" w:themeColor="text1"/>
          <w:lang w:eastAsia="zh-CN"/>
          <w14:textFill>
            <w14:solidFill>
              <w14:schemeClr w14:val="tx1"/>
            </w14:solidFill>
          </w14:textFill>
        </w:rPr>
        <w:t>粪污</w:t>
      </w:r>
      <w:r>
        <w:rPr>
          <w:rFonts w:hint="default" w:ascii="Times New Roman" w:hAnsi="Times New Roman" w:eastAsia="宋体" w:cs="Times New Roman"/>
          <w:color w:val="000000" w:themeColor="text1"/>
          <w14:textFill>
            <w14:solidFill>
              <w14:schemeClr w14:val="tx1"/>
            </w14:solidFill>
          </w14:textFill>
        </w:rPr>
        <w:t>施肥前需满足《沼肥施用技术规范》（NY/T2065-2011）、《畜禽粪便还田技术规范》（GB/T25246-2012）等相关要求。同时严格按照《沼肥施用技术规范》（NY/T2065-2011）定量施肥，避免过量施肥进而污染外环境。</w:t>
      </w:r>
    </w:p>
    <w:p w14:paraId="4F683C75">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（4）配套</w:t>
      </w:r>
      <w:r>
        <w:rPr>
          <w:rFonts w:hint="default" w:ascii="Times New Roman" w:hAnsi="Times New Roman" w:eastAsia="宋体" w:cs="Times New Roman"/>
          <w:color w:val="000000" w:themeColor="text1"/>
          <w:lang w:eastAsia="zh-CN"/>
          <w14:textFill>
            <w14:solidFill>
              <w14:schemeClr w14:val="tx1"/>
            </w14:solidFill>
          </w14:textFill>
        </w:rPr>
        <w:t>粪污</w:t>
      </w:r>
      <w:r>
        <w:rPr>
          <w:rFonts w:hint="default" w:ascii="Times New Roman" w:hAnsi="Times New Roman" w:eastAsia="宋体" w:cs="Times New Roman"/>
          <w:color w:val="000000" w:themeColor="text1"/>
          <w14:textFill>
            <w14:solidFill>
              <w14:schemeClr w14:val="tx1"/>
            </w14:solidFill>
          </w14:textFill>
        </w:rPr>
        <w:t>施用农田面积需满足《畜禽粪污土地承载力测算技术指南》、《畜禽养殖业污染治理工程技术规范》（HJ497－2009）的相关要求。</w:t>
      </w:r>
    </w:p>
    <w:p w14:paraId="0CAE9C40">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bookmarkStart w:id="369" w:name="_Toc24893"/>
      <w:bookmarkStart w:id="370" w:name="_Toc20730"/>
      <w:bookmarkStart w:id="371" w:name="_Toc9914"/>
      <w:r>
        <w:rPr>
          <w:rFonts w:hint="default" w:ascii="Times New Roman" w:hAnsi="Times New Roman" w:eastAsia="宋体" w:cs="Times New Roman"/>
          <w:color w:val="000000" w:themeColor="text1"/>
          <w14:textFill>
            <w14:solidFill>
              <w14:schemeClr w14:val="tx1"/>
            </w14:solidFill>
          </w14:textFill>
        </w:rPr>
        <w:t>（5）加强施肥指导宣传，科学合理按需施用</w:t>
      </w:r>
      <w:r>
        <w:rPr>
          <w:rFonts w:hint="default" w:ascii="Times New Roman" w:hAnsi="Times New Roman" w:eastAsia="宋体" w:cs="Times New Roman"/>
          <w:color w:val="000000" w:themeColor="text1"/>
          <w:lang w:eastAsia="zh-CN"/>
          <w14:textFill>
            <w14:solidFill>
              <w14:schemeClr w14:val="tx1"/>
            </w14:solidFill>
          </w14:textFill>
        </w:rPr>
        <w:t>粪污</w:t>
      </w:r>
      <w:r>
        <w:rPr>
          <w:rFonts w:hint="default" w:ascii="Times New Roman" w:hAnsi="Times New Roman" w:eastAsia="宋体" w:cs="Times New Roman"/>
          <w:color w:val="000000" w:themeColor="text1"/>
          <w14:textFill>
            <w14:solidFill>
              <w14:schemeClr w14:val="tx1"/>
            </w14:solidFill>
          </w14:textFill>
        </w:rPr>
        <w:t>，避免过量施肥。</w:t>
      </w:r>
      <w:bookmarkEnd w:id="369"/>
      <w:bookmarkEnd w:id="370"/>
      <w:bookmarkEnd w:id="371"/>
    </w:p>
    <w:p w14:paraId="37D3760A">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（6）加强</w:t>
      </w:r>
      <w:r>
        <w:rPr>
          <w:rFonts w:hint="default" w:ascii="Times New Roman" w:hAnsi="Times New Roman" w:eastAsia="宋体" w:cs="Times New Roman"/>
          <w:color w:val="000000" w:themeColor="text1"/>
          <w:lang w:eastAsia="zh-CN"/>
          <w14:textFill>
            <w14:solidFill>
              <w14:schemeClr w14:val="tx1"/>
            </w14:solidFill>
          </w14:textFill>
        </w:rPr>
        <w:t>粪污</w:t>
      </w:r>
      <w:r>
        <w:rPr>
          <w:rFonts w:hint="default" w:ascii="Times New Roman" w:hAnsi="Times New Roman" w:eastAsia="宋体" w:cs="Times New Roman"/>
          <w:color w:val="000000" w:themeColor="text1"/>
          <w14:textFill>
            <w14:solidFill>
              <w14:schemeClr w14:val="tx1"/>
            </w14:solidFill>
          </w14:textFill>
        </w:rPr>
        <w:t>消纳区土壤环境质量的跟踪监测，监测指标为pH，铜、铅、镍、汞、砷、镉、铬（六价）以及氮、磷、钾等土壤养分的跟踪检测，每年监测1次。</w:t>
      </w:r>
    </w:p>
    <w:p w14:paraId="6CFBDDE4">
      <w:pPr>
        <w:keepNext w:val="0"/>
        <w:keepLines w:val="0"/>
        <w:pageBreakBefore w:val="0"/>
        <w:widowControl w:val="0"/>
        <w:kinsoku/>
        <w:wordWrap/>
        <w:overflowPunct/>
        <w:topLinePunct w:val="0"/>
        <w:autoSpaceDE/>
        <w:autoSpaceDN/>
        <w:bidi w:val="0"/>
        <w:adjustRightInd/>
        <w:snapToGrid/>
        <w:ind w:firstLine="482"/>
        <w:textAlignment w:val="auto"/>
        <w:outlineLvl w:val="9"/>
        <w:rPr>
          <w:rFonts w:hint="default" w:ascii="Times New Roman" w:hAnsi="Times New Roman" w:eastAsia="宋体" w:cs="Times New Roman"/>
          <w:b/>
          <w:bCs/>
          <w:color w:val="000000" w:themeColor="text1"/>
          <w14:textFill>
            <w14:solidFill>
              <w14:schemeClr w14:val="tx1"/>
            </w14:solidFill>
          </w14:textFill>
        </w:rPr>
      </w:pPr>
      <w:bookmarkStart w:id="372" w:name="bookmark55"/>
      <w:bookmarkEnd w:id="372"/>
      <w:r>
        <w:rPr>
          <w:rFonts w:hint="default" w:ascii="Times New Roman" w:hAnsi="Times New Roman" w:eastAsia="宋体" w:cs="Times New Roman"/>
          <w:b/>
          <w:bCs/>
          <w:color w:val="000000" w:themeColor="text1"/>
          <w14:textFill>
            <w14:solidFill>
              <w14:schemeClr w14:val="tx1"/>
            </w14:solidFill>
          </w14:textFill>
        </w:rPr>
        <w:t>7.2.6固体废物污染防治对策</w:t>
      </w:r>
    </w:p>
    <w:p w14:paraId="4C8F9CF5">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fldChar w:fldCharType="begin"/>
      </w:r>
      <w:r>
        <w:rPr>
          <w:rFonts w:hint="default" w:ascii="Times New Roman" w:hAnsi="Times New Roman" w:eastAsia="宋体" w:cs="Times New Roman"/>
          <w:color w:val="000000" w:themeColor="text1"/>
          <w14:textFill>
            <w14:solidFill>
              <w14:schemeClr w14:val="tx1"/>
            </w14:solidFill>
          </w14:textFill>
        </w:rPr>
        <w:instrText xml:space="preserve"> HYPERLINK "file:///C:\\Users\\Administrator\\Desktop\\科右前旗现代农牧业园区核心育种场养殖项目-修改稿\\6.2.6.1" </w:instrText>
      </w:r>
      <w:r>
        <w:rPr>
          <w:rFonts w:hint="default" w:ascii="Times New Roman" w:hAnsi="Times New Roman" w:eastAsia="宋体" w:cs="Times New Roman"/>
          <w:color w:val="000000" w:themeColor="text1"/>
          <w14:textFill>
            <w14:solidFill>
              <w14:schemeClr w14:val="tx1"/>
            </w14:solidFill>
          </w14:textFill>
        </w:rPr>
        <w:fldChar w:fldCharType="separate"/>
      </w:r>
      <w:r>
        <w:rPr>
          <w:rFonts w:hint="default" w:ascii="Times New Roman" w:hAnsi="Times New Roman" w:eastAsia="宋体" w:cs="Times New Roman"/>
          <w:color w:val="000000" w:themeColor="text1"/>
          <w14:textFill>
            <w14:solidFill>
              <w14:schemeClr w14:val="tx1"/>
            </w14:solidFill>
          </w14:textFill>
        </w:rPr>
        <w:t>7.2.6.1</w:t>
      </w:r>
      <w:r>
        <w:rPr>
          <w:rFonts w:hint="default" w:ascii="Times New Roman" w:hAnsi="Times New Roman" w:eastAsia="宋体" w:cs="Times New Roman"/>
          <w:color w:val="000000" w:themeColor="text1"/>
          <w14:textFill>
            <w14:solidFill>
              <w14:schemeClr w14:val="tx1"/>
            </w14:solidFill>
          </w14:textFill>
        </w:rPr>
        <w:fldChar w:fldCharType="end"/>
      </w:r>
      <w:r>
        <w:rPr>
          <w:rFonts w:hint="default" w:ascii="Times New Roman" w:hAnsi="Times New Roman" w:eastAsia="宋体" w:cs="Times New Roman"/>
          <w:color w:val="000000" w:themeColor="text1"/>
          <w14:textFill>
            <w14:solidFill>
              <w14:schemeClr w14:val="tx1"/>
            </w14:solidFill>
          </w14:textFill>
        </w:rPr>
        <w:t>病死牛</w:t>
      </w:r>
    </w:p>
    <w:p w14:paraId="6938D361">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对病死牛尸体及分娩废物采取</w:t>
      </w:r>
      <w:r>
        <w:rPr>
          <w:rFonts w:hint="default" w:ascii="Times New Roman" w:hAnsi="Times New Roman" w:eastAsia="宋体" w:cs="Times New Roman"/>
          <w:color w:val="000000" w:themeColor="text1"/>
          <w14:textFill>
            <w14:solidFill>
              <w14:schemeClr w14:val="tx1"/>
            </w14:solidFill>
          </w14:textFill>
        </w:rPr>
        <w:t>喷雾消毒</w:t>
      </w:r>
      <w:r>
        <w:rPr>
          <w:rFonts w:hint="default" w:ascii="Times New Roman" w:hAnsi="Times New Roman" w:eastAsia="宋体" w:cs="Times New Roman"/>
          <w:color w:val="000000" w:themeColor="text1"/>
          <w:lang w:val="en-US" w:eastAsia="zh-CN"/>
          <w14:textFill>
            <w14:solidFill>
              <w14:schemeClr w14:val="tx1"/>
            </w14:solidFill>
          </w14:textFill>
        </w:rPr>
        <w:t>措施后，</w:t>
      </w:r>
      <w:r>
        <w:rPr>
          <w:rFonts w:hint="default" w:ascii="Times New Roman" w:hAnsi="Times New Roman" w:eastAsia="宋体" w:cs="Times New Roman"/>
          <w:color w:val="000000" w:themeColor="text1"/>
          <w14:textFill>
            <w14:solidFill>
              <w14:schemeClr w14:val="tx1"/>
            </w14:solidFill>
          </w14:textFill>
        </w:rPr>
        <w:t>及时委托有资质</w:t>
      </w:r>
      <w:r>
        <w:rPr>
          <w:rFonts w:hint="default" w:ascii="Times New Roman" w:hAnsi="Times New Roman" w:eastAsia="宋体" w:cs="Times New Roman"/>
          <w:color w:val="000000" w:themeColor="text1"/>
          <w:lang w:val="en-US" w:eastAsia="zh-CN"/>
          <w14:textFill>
            <w14:solidFill>
              <w14:schemeClr w14:val="tx1"/>
            </w14:solidFill>
          </w14:textFill>
        </w:rPr>
        <w:t>的第三方</w:t>
      </w:r>
      <w:r>
        <w:rPr>
          <w:rFonts w:hint="default" w:ascii="Times New Roman" w:hAnsi="Times New Roman" w:eastAsia="宋体" w:cs="Times New Roman"/>
          <w:color w:val="000000" w:themeColor="text1"/>
          <w14:textFill>
            <w14:solidFill>
              <w14:schemeClr w14:val="tx1"/>
            </w14:solidFill>
          </w14:textFill>
        </w:rPr>
        <w:t>单位</w:t>
      </w:r>
      <w:r>
        <w:rPr>
          <w:rFonts w:hint="default" w:ascii="Times New Roman" w:hAnsi="Times New Roman" w:eastAsia="宋体" w:cs="Times New Roman"/>
          <w:color w:val="000000" w:themeColor="text1"/>
          <w:lang w:val="en-US" w:eastAsia="zh-CN"/>
          <w14:textFill>
            <w14:solidFill>
              <w14:schemeClr w14:val="tx1"/>
            </w14:solidFill>
          </w14:textFill>
        </w:rPr>
        <w:t>无害化处理</w:t>
      </w:r>
      <w:r>
        <w:rPr>
          <w:rFonts w:hint="default" w:ascii="Times New Roman" w:hAnsi="Times New Roman" w:eastAsia="宋体" w:cs="Times New Roman"/>
          <w:color w:val="000000" w:themeColor="text1"/>
          <w14:textFill>
            <w14:solidFill>
              <w14:schemeClr w14:val="tx1"/>
            </w14:solidFill>
          </w14:textFill>
        </w:rPr>
        <w:t>。</w:t>
      </w:r>
    </w:p>
    <w:p w14:paraId="073485D1">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根据</w:t>
      </w:r>
      <w:r>
        <w:rPr>
          <w:rFonts w:hint="default" w:ascii="Times New Roman" w:hAnsi="Times New Roman" w:eastAsia="宋体" w:cs="Times New Roman"/>
          <w:color w:val="000000" w:themeColor="text1"/>
          <w14:textFill>
            <w14:solidFill>
              <w14:schemeClr w14:val="tx1"/>
            </w14:solidFill>
          </w14:textFill>
        </w:rPr>
        <w:t>《病死及病害动物无害化处理技术规范》（农医发〔2017〕25号）</w:t>
      </w:r>
      <w:r>
        <w:rPr>
          <w:rFonts w:hint="default" w:ascii="Times New Roman" w:hAnsi="Times New Roman" w:eastAsia="宋体" w:cs="Times New Roman"/>
          <w:color w:val="000000" w:themeColor="text1"/>
          <w:lang w:val="en-US" w:eastAsia="zh-CN"/>
          <w14:textFill>
            <w14:solidFill>
              <w14:schemeClr w14:val="tx1"/>
            </w14:solidFill>
          </w14:textFill>
        </w:rPr>
        <w:t>和</w:t>
      </w:r>
      <w:r>
        <w:rPr>
          <w:rFonts w:hint="default" w:ascii="Times New Roman" w:hAnsi="Times New Roman" w:eastAsia="宋体" w:cs="Times New Roman"/>
          <w:color w:val="000000" w:themeColor="text1"/>
          <w14:textFill>
            <w14:solidFill>
              <w14:schemeClr w14:val="tx1"/>
            </w14:solidFill>
          </w14:textFill>
        </w:rPr>
        <w:t>《农业农村部财政部关于进一步加强病死畜禽无害化处理工作的通知》（农牧发〔2020]6号）的相关要求</w:t>
      </w:r>
      <w:r>
        <w:rPr>
          <w:rFonts w:hint="default" w:ascii="Times New Roman" w:hAnsi="Times New Roman" w:eastAsia="宋体" w:cs="Times New Roman"/>
          <w:color w:val="000000" w:themeColor="text1"/>
          <w:lang w:eastAsia="zh-CN"/>
          <w14:textFill>
            <w14:solidFill>
              <w14:schemeClr w14:val="tx1"/>
            </w14:solidFill>
          </w14:textFill>
        </w:rPr>
        <w:t>，</w:t>
      </w:r>
      <w:r>
        <w:rPr>
          <w:rFonts w:hint="default" w:ascii="Times New Roman" w:hAnsi="Times New Roman" w:eastAsia="宋体" w:cs="Times New Roman"/>
          <w:color w:val="000000" w:themeColor="text1"/>
          <w14:textFill>
            <w14:solidFill>
              <w14:schemeClr w14:val="tx1"/>
            </w14:solidFill>
          </w14:textFill>
        </w:rPr>
        <w:t>本项目养殖过程产生的病死牛尸体及分娩废物</w:t>
      </w:r>
      <w:r>
        <w:rPr>
          <w:rFonts w:hint="default" w:ascii="Times New Roman" w:hAnsi="Times New Roman" w:eastAsia="宋体" w:cs="Times New Roman"/>
          <w:color w:val="000000" w:themeColor="text1"/>
          <w:lang w:val="en-US" w:eastAsia="zh-CN"/>
          <w14:textFill>
            <w14:solidFill>
              <w14:schemeClr w14:val="tx1"/>
            </w14:solidFill>
          </w14:textFill>
        </w:rPr>
        <w:t>采取以上措施是可行的。</w:t>
      </w:r>
    </w:p>
    <w:p w14:paraId="4060C6C9">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fldChar w:fldCharType="begin"/>
      </w:r>
      <w:r>
        <w:rPr>
          <w:rFonts w:hint="default" w:ascii="Times New Roman" w:hAnsi="Times New Roman" w:eastAsia="宋体" w:cs="Times New Roman"/>
          <w:color w:val="000000" w:themeColor="text1"/>
          <w14:textFill>
            <w14:solidFill>
              <w14:schemeClr w14:val="tx1"/>
            </w14:solidFill>
          </w14:textFill>
        </w:rPr>
        <w:instrText xml:space="preserve"> HYPERLINK "file:///C:\\Users\\Administrator\\Desktop\\科右前旗现代农牧业园区核心育种场养殖项目-修改稿\\6.2.6.2" </w:instrText>
      </w:r>
      <w:r>
        <w:rPr>
          <w:rFonts w:hint="default" w:ascii="Times New Roman" w:hAnsi="Times New Roman" w:eastAsia="宋体" w:cs="Times New Roman"/>
          <w:color w:val="000000" w:themeColor="text1"/>
          <w14:textFill>
            <w14:solidFill>
              <w14:schemeClr w14:val="tx1"/>
            </w14:solidFill>
          </w14:textFill>
        </w:rPr>
        <w:fldChar w:fldCharType="separate"/>
      </w:r>
      <w:r>
        <w:rPr>
          <w:rFonts w:hint="default" w:ascii="Times New Roman" w:hAnsi="Times New Roman" w:eastAsia="宋体" w:cs="Times New Roman"/>
          <w:color w:val="000000" w:themeColor="text1"/>
          <w14:textFill>
            <w14:solidFill>
              <w14:schemeClr w14:val="tx1"/>
            </w14:solidFill>
          </w14:textFill>
        </w:rPr>
        <w:t>7.2.6.2</w:t>
      </w:r>
      <w:r>
        <w:rPr>
          <w:rFonts w:hint="default" w:ascii="Times New Roman" w:hAnsi="Times New Roman" w:eastAsia="宋体" w:cs="Times New Roman"/>
          <w:color w:val="000000" w:themeColor="text1"/>
          <w14:textFill>
            <w14:solidFill>
              <w14:schemeClr w14:val="tx1"/>
            </w14:solidFill>
          </w14:textFill>
        </w:rPr>
        <w:fldChar w:fldCharType="end"/>
      </w:r>
      <w:r>
        <w:rPr>
          <w:rFonts w:hint="default" w:ascii="Times New Roman" w:hAnsi="Times New Roman" w:eastAsia="宋体" w:cs="Times New Roman"/>
          <w:color w:val="000000" w:themeColor="text1"/>
          <w14:textFill>
            <w14:solidFill>
              <w14:schemeClr w14:val="tx1"/>
            </w14:solidFill>
          </w14:textFill>
        </w:rPr>
        <w:t>防疫医疗废物</w:t>
      </w:r>
    </w:p>
    <w:p w14:paraId="04F28F2C">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防疫医疗废物主要为牛只防疫及治愈生病牛只产生的废弃医疗器具、药物包装袋及玻璃器皿等。对照《国家危险废物名录（2020版）》，本项目医疗废物属于“HW01医疗废物”中“900-001-01为防治动物传染病而需要收集和处置的废物”类废物危险废物，经高温灭活消毒，密封装袋后，暂存于危废暂存间，由建设单位委托有资质单位定期处理。医疗废物暂存间按照《危险废物贮存污染控制标准》（GB18597-2023）要求设置，防渗系数不大于1.0×10</w:t>
      </w:r>
      <w:r>
        <w:rPr>
          <w:rFonts w:hint="default" w:ascii="Times New Roman" w:hAnsi="Times New Roman" w:eastAsia="宋体" w:cs="Times New Roman"/>
          <w:color w:val="000000" w:themeColor="text1"/>
          <w:vertAlign w:val="superscript"/>
          <w14:textFill>
            <w14:solidFill>
              <w14:schemeClr w14:val="tx1"/>
            </w14:solidFill>
          </w14:textFill>
        </w:rPr>
        <w:t>-10</w:t>
      </w:r>
      <w:r>
        <w:rPr>
          <w:rFonts w:hint="default" w:ascii="Times New Roman" w:hAnsi="Times New Roman" w:eastAsia="宋体" w:cs="Times New Roman"/>
          <w:color w:val="000000" w:themeColor="text1"/>
          <w14:textFill>
            <w14:solidFill>
              <w14:schemeClr w14:val="tx1"/>
            </w14:solidFill>
          </w14:textFill>
        </w:rPr>
        <w:t>cm/s。</w:t>
      </w:r>
    </w:p>
    <w:p w14:paraId="1A57EAFE">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防疫医疗废物暂存于全封闭医疗废物暂存间，根据</w:t>
      </w:r>
      <w:r>
        <w:rPr>
          <w:rFonts w:hint="default" w:ascii="Times New Roman" w:hAnsi="Times New Roman" w:eastAsia="宋体" w:cs="Times New Roman"/>
          <w:color w:val="000000" w:themeColor="text1"/>
          <w14:textFill>
            <w14:solidFill>
              <w14:schemeClr w14:val="tx1"/>
            </w14:solidFill>
          </w14:textFill>
        </w:rPr>
        <w:fldChar w:fldCharType="begin"/>
      </w:r>
      <w:r>
        <w:rPr>
          <w:rFonts w:hint="default" w:ascii="Times New Roman" w:hAnsi="Times New Roman" w:eastAsia="宋体" w:cs="Times New Roman"/>
          <w:color w:val="000000" w:themeColor="text1"/>
          <w14:textFill>
            <w14:solidFill>
              <w14:schemeClr w14:val="tx1"/>
            </w14:solidFill>
          </w14:textFill>
        </w:rPr>
        <w:instrText xml:space="preserve"> HYPERLINK "https://www.baidu.com/s?wd=%E3%80%8A%E5%8C%BB%E7%96%97%E5%BA%9F%E7%89%A9%E7%AE%A1%E7%90%86%E6%9D%A1%E4%BE%8B%E3%80%8B&amp;tn=SE_PcZhidaonwhc_ngpagmjz&amp;rsv_dl=gh_pc_zhidao" </w:instrText>
      </w:r>
      <w:r>
        <w:rPr>
          <w:rFonts w:hint="default" w:ascii="Times New Roman" w:hAnsi="Times New Roman" w:eastAsia="宋体" w:cs="Times New Roman"/>
          <w:color w:val="000000" w:themeColor="text1"/>
          <w14:textFill>
            <w14:solidFill>
              <w14:schemeClr w14:val="tx1"/>
            </w14:solidFill>
          </w14:textFill>
        </w:rPr>
        <w:fldChar w:fldCharType="separate"/>
      </w:r>
      <w:r>
        <w:rPr>
          <w:rFonts w:hint="default" w:ascii="Times New Roman" w:hAnsi="Times New Roman" w:eastAsia="宋体" w:cs="Times New Roman"/>
          <w:color w:val="000000" w:themeColor="text1"/>
          <w14:textFill>
            <w14:solidFill>
              <w14:schemeClr w14:val="tx1"/>
            </w14:solidFill>
          </w14:textFill>
        </w:rPr>
        <w:t>《医疗废物管理条例》</w:t>
      </w:r>
      <w:r>
        <w:rPr>
          <w:rFonts w:hint="default" w:ascii="Times New Roman" w:hAnsi="Times New Roman" w:eastAsia="宋体" w:cs="Times New Roman"/>
          <w:color w:val="000000" w:themeColor="text1"/>
          <w14:textFill>
            <w14:solidFill>
              <w14:schemeClr w14:val="tx1"/>
            </w14:solidFill>
          </w14:textFill>
        </w:rPr>
        <w:fldChar w:fldCharType="end"/>
      </w:r>
      <w:r>
        <w:rPr>
          <w:rFonts w:hint="default" w:ascii="Times New Roman" w:hAnsi="Times New Roman" w:eastAsia="宋体" w:cs="Times New Roman"/>
          <w:color w:val="000000" w:themeColor="text1"/>
          <w14:textFill>
            <w14:solidFill>
              <w14:schemeClr w14:val="tx1"/>
            </w14:solidFill>
          </w14:textFill>
        </w:rPr>
        <w:t>（国务院令【2003】第380号，2011年修订）、《医疗卫生机构医疗废物管理办法》（中华人民共和国卫生部令第36号）、《危险废物贮存污染控制标准》（GB18597-2023）主要要求如下：</w:t>
      </w:r>
    </w:p>
    <w:p w14:paraId="5843FFB8">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医疗废物收集、暂存要求：</w:t>
      </w:r>
    </w:p>
    <w:p w14:paraId="12876D09">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根据《医疗卫生机构医疗废物管理办法》（中华人民共和国卫生部令第36号）第十一条医疗卫生机构应当按照以下要求，及时分类收集医疗废物：</w:t>
      </w:r>
    </w:p>
    <w:p w14:paraId="7ABA78C0">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（一）根据医疗废物的类别，将医疗废物分置于符合《医疗废物专用包装物、容器的标准和警示标识的规定》的包装物或者容器内；</w:t>
      </w:r>
    </w:p>
    <w:p w14:paraId="4027D34A">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（二）在盛装医疗废物前，应当对医疗废物包装物或者容器进行认真检查，确保无破损、渗漏和其他缺陷；</w:t>
      </w:r>
    </w:p>
    <w:p w14:paraId="65EB666D">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（三）感染性废物、病理性废物、损伤性废物、药物性废物及化学性废物不能混合收集。少量的药物性废物可以混入感染性废物，但应当在标签上注明；</w:t>
      </w:r>
    </w:p>
    <w:p w14:paraId="06A868F2">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（四）医疗废物中病原体的培养基、标本和菌种、毒种保存液等高危险废物，应当首先在产生地点进行压力蒸汽灭菌或者化学消毒处理，然后按感染性废物收集处理；</w:t>
      </w:r>
    </w:p>
    <w:p w14:paraId="2C861A39">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（五）放入包装物或者容器内的感染性废物、病理性废物、损伤性废物不得取出。</w:t>
      </w:r>
    </w:p>
    <w:p w14:paraId="1DD48232">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根据《医疗卫生机构医疗废物管理办法》（中华人民共和国卫生部令第36号）第二十二条：暂时贮存病理性废物，应当具备低温贮存或者防腐条件。</w:t>
      </w:r>
    </w:p>
    <w:p w14:paraId="59E623D9">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医疗废物暂存间建设要求：</w:t>
      </w:r>
    </w:p>
    <w:p w14:paraId="5E96E285">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根据</w:t>
      </w:r>
      <w:r>
        <w:rPr>
          <w:rFonts w:hint="default" w:ascii="Times New Roman" w:hAnsi="Times New Roman" w:eastAsia="宋体" w:cs="Times New Roman"/>
          <w:color w:val="000000" w:themeColor="text1"/>
          <w14:textFill>
            <w14:solidFill>
              <w14:schemeClr w14:val="tx1"/>
            </w14:solidFill>
          </w14:textFill>
        </w:rPr>
        <w:fldChar w:fldCharType="begin"/>
      </w:r>
      <w:r>
        <w:rPr>
          <w:rFonts w:hint="default" w:ascii="Times New Roman" w:hAnsi="Times New Roman" w:eastAsia="宋体" w:cs="Times New Roman"/>
          <w:color w:val="000000" w:themeColor="text1"/>
          <w14:textFill>
            <w14:solidFill>
              <w14:schemeClr w14:val="tx1"/>
            </w14:solidFill>
          </w14:textFill>
        </w:rPr>
        <w:instrText xml:space="preserve"> HYPERLINK "https://www.baidu.com/s?wd=%E3%80%8A%E5%8C%BB%E7%96%97%E5%BA%9F%E7%89%A9%E7%AE%A1%E7%90%86%E6%9D%A1%E4%BE%8B%E3%80%8B&amp;tn=SE_PcZhidaonwhc_ngpagmjz&amp;rsv_dl=gh_pc_zhidao" </w:instrText>
      </w:r>
      <w:r>
        <w:rPr>
          <w:rFonts w:hint="default" w:ascii="Times New Roman" w:hAnsi="Times New Roman" w:eastAsia="宋体" w:cs="Times New Roman"/>
          <w:color w:val="000000" w:themeColor="text1"/>
          <w14:textFill>
            <w14:solidFill>
              <w14:schemeClr w14:val="tx1"/>
            </w14:solidFill>
          </w14:textFill>
        </w:rPr>
        <w:fldChar w:fldCharType="separate"/>
      </w:r>
      <w:r>
        <w:rPr>
          <w:rFonts w:hint="default" w:ascii="Times New Roman" w:hAnsi="Times New Roman" w:eastAsia="宋体" w:cs="Times New Roman"/>
          <w:color w:val="000000" w:themeColor="text1"/>
          <w14:textFill>
            <w14:solidFill>
              <w14:schemeClr w14:val="tx1"/>
            </w14:solidFill>
          </w14:textFill>
        </w:rPr>
        <w:t>《医疗废物管理条例》</w:t>
      </w:r>
      <w:r>
        <w:rPr>
          <w:rFonts w:hint="default" w:ascii="Times New Roman" w:hAnsi="Times New Roman" w:eastAsia="宋体" w:cs="Times New Roman"/>
          <w:color w:val="000000" w:themeColor="text1"/>
          <w14:textFill>
            <w14:solidFill>
              <w14:schemeClr w14:val="tx1"/>
            </w14:solidFill>
          </w14:textFill>
        </w:rPr>
        <w:fldChar w:fldCharType="end"/>
      </w:r>
      <w:r>
        <w:rPr>
          <w:rFonts w:hint="default" w:ascii="Times New Roman" w:hAnsi="Times New Roman" w:eastAsia="宋体" w:cs="Times New Roman"/>
          <w:color w:val="000000" w:themeColor="text1"/>
          <w14:textFill>
            <w14:solidFill>
              <w14:schemeClr w14:val="tx1"/>
            </w14:solidFill>
          </w14:textFill>
        </w:rPr>
        <w:t>第十七条：医疗卫生机构应当建立医疗废物的暂时贮存设施、设备，不得露天存放医疗废物；医疗废物暂时贮存的时间不得超过2天；医疗废物的暂时贮存设施、设备，应当远离医疗区、食品加工区和人员活动区以及生活垃圾存放场所，并设置明显的警示标识和防渗漏、防鼠、防蚊蝇、防蟑螂、防盗以及预防儿童接触等安全措施；医疗废物的暂时贮存设施、设备应当定期消毒和清洁。</w:t>
      </w:r>
    </w:p>
    <w:p w14:paraId="694141E6">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fldChar w:fldCharType="begin"/>
      </w:r>
      <w:r>
        <w:rPr>
          <w:rFonts w:hint="default" w:ascii="Times New Roman" w:hAnsi="Times New Roman" w:eastAsia="宋体" w:cs="Times New Roman"/>
          <w:color w:val="000000" w:themeColor="text1"/>
          <w14:textFill>
            <w14:solidFill>
              <w14:schemeClr w14:val="tx1"/>
            </w14:solidFill>
          </w14:textFill>
        </w:rPr>
        <w:instrText xml:space="preserve"> HYPERLINK "https://www.baidu.com/s?wd=%E3%80%8A%E5%8C%BB%E7%96%97%E5%BA%9F%E7%89%A9%E7%AE%A1%E7%90%86%E6%9D%A1%E4%BE%8B%E3%80%8B&amp;tn=SE_PcZhidaonwhc_ngpagmjz&amp;rsv_dl=gh_pc_zhidao" </w:instrText>
      </w:r>
      <w:r>
        <w:rPr>
          <w:rFonts w:hint="default" w:ascii="Times New Roman" w:hAnsi="Times New Roman" w:eastAsia="宋体" w:cs="Times New Roman"/>
          <w:color w:val="000000" w:themeColor="text1"/>
          <w14:textFill>
            <w14:solidFill>
              <w14:schemeClr w14:val="tx1"/>
            </w14:solidFill>
          </w14:textFill>
        </w:rPr>
        <w:fldChar w:fldCharType="separate"/>
      </w:r>
      <w:r>
        <w:rPr>
          <w:rFonts w:hint="default" w:ascii="Times New Roman" w:hAnsi="Times New Roman" w:eastAsia="宋体" w:cs="Times New Roman"/>
          <w:color w:val="000000" w:themeColor="text1"/>
          <w14:textFill>
            <w14:solidFill>
              <w14:schemeClr w14:val="tx1"/>
            </w14:solidFill>
          </w14:textFill>
        </w:rPr>
        <w:t>根据《医疗废物管理条例》</w:t>
      </w:r>
      <w:r>
        <w:rPr>
          <w:rFonts w:hint="default" w:ascii="Times New Roman" w:hAnsi="Times New Roman" w:eastAsia="宋体" w:cs="Times New Roman"/>
          <w:color w:val="000000" w:themeColor="text1"/>
          <w14:textFill>
            <w14:solidFill>
              <w14:schemeClr w14:val="tx1"/>
            </w14:solidFill>
          </w14:textFill>
        </w:rPr>
        <w:fldChar w:fldCharType="end"/>
      </w:r>
      <w:r>
        <w:rPr>
          <w:rFonts w:hint="default" w:ascii="Times New Roman" w:hAnsi="Times New Roman" w:eastAsia="宋体" w:cs="Times New Roman"/>
          <w:color w:val="000000" w:themeColor="text1"/>
          <w14:textFill>
            <w14:solidFill>
              <w14:schemeClr w14:val="tx1"/>
            </w14:solidFill>
          </w14:textFill>
        </w:rPr>
        <w:t>第十八条：医疗废物医疗卫生机构应当使用防渗漏、防遗撒的专用运送工具，按照本单位确定的内部医疗废物运送时间、路线，将医疗废物收集、运送至暂时贮存地点。</w:t>
      </w:r>
    </w:p>
    <w:p w14:paraId="3537C53F">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医疗废物暂存间防渗要求：</w:t>
      </w:r>
    </w:p>
    <w:p w14:paraId="4A73ED21">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fldChar w:fldCharType="begin"/>
      </w:r>
      <w:r>
        <w:rPr>
          <w:rFonts w:hint="default" w:ascii="Times New Roman" w:hAnsi="Times New Roman" w:eastAsia="宋体" w:cs="Times New Roman"/>
          <w:color w:val="000000" w:themeColor="text1"/>
          <w14:textFill>
            <w14:solidFill>
              <w14:schemeClr w14:val="tx1"/>
            </w14:solidFill>
          </w14:textFill>
        </w:rPr>
        <w:instrText xml:space="preserve"> HYPERLINK "https://www.baidu.com/s?wd=%E3%80%8A%E5%8C%BB%E7%96%97%E5%BA%9F%E7%89%A9%E7%AE%A1%E7%90%86%E6%9D%A1%E4%BE%8B%E3%80%8B&amp;tn=SE_PcZhidaonwhc_ngpagmjz&amp;rsv_dl=gh_pc_zhidao" </w:instrText>
      </w:r>
      <w:r>
        <w:rPr>
          <w:rFonts w:hint="default" w:ascii="Times New Roman" w:hAnsi="Times New Roman" w:eastAsia="宋体" w:cs="Times New Roman"/>
          <w:color w:val="000000" w:themeColor="text1"/>
          <w14:textFill>
            <w14:solidFill>
              <w14:schemeClr w14:val="tx1"/>
            </w14:solidFill>
          </w14:textFill>
        </w:rPr>
        <w:fldChar w:fldCharType="separate"/>
      </w:r>
      <w:r>
        <w:rPr>
          <w:rFonts w:hint="default" w:ascii="Times New Roman" w:hAnsi="Times New Roman" w:eastAsia="宋体" w:cs="Times New Roman"/>
          <w:color w:val="000000" w:themeColor="text1"/>
          <w14:textFill>
            <w14:solidFill>
              <w14:schemeClr w14:val="tx1"/>
            </w14:solidFill>
          </w14:textFill>
        </w:rPr>
        <w:t>根据《医疗废物管理条例》</w:t>
      </w:r>
      <w:r>
        <w:rPr>
          <w:rFonts w:hint="default" w:ascii="Times New Roman" w:hAnsi="Times New Roman" w:eastAsia="宋体" w:cs="Times New Roman"/>
          <w:color w:val="000000" w:themeColor="text1"/>
          <w14:textFill>
            <w14:solidFill>
              <w14:schemeClr w14:val="tx1"/>
            </w14:solidFill>
          </w14:textFill>
        </w:rPr>
        <w:fldChar w:fldCharType="end"/>
      </w:r>
      <w:r>
        <w:rPr>
          <w:rFonts w:hint="default" w:ascii="Times New Roman" w:hAnsi="Times New Roman" w:eastAsia="宋体" w:cs="Times New Roman"/>
          <w:color w:val="000000" w:themeColor="text1"/>
          <w14:textFill>
            <w14:solidFill>
              <w14:schemeClr w14:val="tx1"/>
            </w14:solidFill>
          </w14:textFill>
        </w:rPr>
        <w:t>和</w:t>
      </w:r>
      <w:r>
        <w:rPr>
          <w:rFonts w:hint="eastAsia" w:cs="Times New Roman"/>
          <w:color w:val="000000" w:themeColor="text1"/>
          <w:lang w:eastAsia="zh-CN"/>
          <w14:textFill>
            <w14:solidFill>
              <w14:schemeClr w14:val="tx1"/>
            </w14:solidFill>
          </w14:textFill>
        </w:rPr>
        <w:t>《危险废物贮存污染控制标准》（GB18597-2023）</w:t>
      </w:r>
      <w:r>
        <w:rPr>
          <w:rFonts w:hint="default" w:ascii="Times New Roman" w:hAnsi="Times New Roman" w:eastAsia="宋体" w:cs="Times New Roman"/>
          <w:color w:val="000000" w:themeColor="text1"/>
          <w14:textFill>
            <w14:solidFill>
              <w14:schemeClr w14:val="tx1"/>
            </w14:solidFill>
          </w14:textFill>
        </w:rPr>
        <w:t>，医疗废物暂存间地面和1m高墙裙进行防渗处理，渗透系数＜10</w:t>
      </w:r>
      <w:r>
        <w:rPr>
          <w:rFonts w:hint="default" w:ascii="Times New Roman" w:hAnsi="Times New Roman" w:eastAsia="宋体" w:cs="Times New Roman"/>
          <w:color w:val="000000" w:themeColor="text1"/>
          <w:vertAlign w:val="superscript"/>
          <w14:textFill>
            <w14:solidFill>
              <w14:schemeClr w14:val="tx1"/>
            </w14:solidFill>
          </w14:textFill>
        </w:rPr>
        <w:t>-10</w:t>
      </w:r>
      <w:r>
        <w:rPr>
          <w:rFonts w:hint="default" w:ascii="Times New Roman" w:hAnsi="Times New Roman" w:eastAsia="宋体" w:cs="Times New Roman"/>
          <w:color w:val="000000" w:themeColor="text1"/>
          <w14:textFill>
            <w14:solidFill>
              <w14:schemeClr w14:val="tx1"/>
            </w14:solidFill>
          </w14:textFill>
        </w:rPr>
        <w:t>cm/s。</w:t>
      </w:r>
    </w:p>
    <w:p w14:paraId="6F840B01">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废物记录要求：</w:t>
      </w:r>
    </w:p>
    <w:p w14:paraId="2AF49C38">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根据《医疗废物管理条例》（国务院令【2003】第380号，2011年修订）第十一、十二条：医疗卫生机构要建立完善的医疗废物登记台账，登记内容应当包括医疗废物的来源、种类、重量或者数量、交接时间、处置方法、最终去向以及经办人签名等项目，登记资料至少保存3年；医疗卫生机构各科室产生的医疗废物集中转运至医疗废物暂存间后，统一交由有资质的医疗废物处置单位集中处理，医疗废物转移联单由医院至少保存五年。</w:t>
      </w:r>
    </w:p>
    <w:p w14:paraId="0A0A617C">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fldChar w:fldCharType="begin"/>
      </w:r>
      <w:r>
        <w:rPr>
          <w:rFonts w:hint="default" w:ascii="Times New Roman" w:hAnsi="Times New Roman" w:eastAsia="宋体" w:cs="Times New Roman"/>
          <w:color w:val="000000" w:themeColor="text1"/>
          <w14:textFill>
            <w14:solidFill>
              <w14:schemeClr w14:val="tx1"/>
            </w14:solidFill>
          </w14:textFill>
        </w:rPr>
        <w:instrText xml:space="preserve"> HYPERLINK "file:///C:\\Users\\Administrator\\Desktop\\科右前旗现代农牧业园区核心育种场养殖项目-修改稿\\6.2.6.3" </w:instrText>
      </w:r>
      <w:r>
        <w:rPr>
          <w:rFonts w:hint="default" w:ascii="Times New Roman" w:hAnsi="Times New Roman" w:eastAsia="宋体" w:cs="Times New Roman"/>
          <w:color w:val="000000" w:themeColor="text1"/>
          <w14:textFill>
            <w14:solidFill>
              <w14:schemeClr w14:val="tx1"/>
            </w14:solidFill>
          </w14:textFill>
        </w:rPr>
        <w:fldChar w:fldCharType="separate"/>
      </w:r>
      <w:r>
        <w:rPr>
          <w:rFonts w:hint="default" w:ascii="Times New Roman" w:hAnsi="Times New Roman" w:eastAsia="宋体" w:cs="Times New Roman"/>
          <w:color w:val="000000" w:themeColor="text1"/>
          <w14:textFill>
            <w14:solidFill>
              <w14:schemeClr w14:val="tx1"/>
            </w14:solidFill>
          </w14:textFill>
        </w:rPr>
        <w:t>7.2.6.3</w:t>
      </w:r>
      <w:r>
        <w:rPr>
          <w:rFonts w:hint="default" w:ascii="Times New Roman" w:hAnsi="Times New Roman" w:eastAsia="宋体" w:cs="Times New Roman"/>
          <w:color w:val="000000" w:themeColor="text1"/>
          <w14:textFill>
            <w14:solidFill>
              <w14:schemeClr w14:val="tx1"/>
            </w14:solidFill>
          </w14:textFill>
        </w:rPr>
        <w:fldChar w:fldCharType="end"/>
      </w:r>
      <w:r>
        <w:rPr>
          <w:rFonts w:hint="default" w:ascii="Times New Roman" w:hAnsi="Times New Roman" w:eastAsia="宋体" w:cs="Times New Roman"/>
          <w:color w:val="000000" w:themeColor="text1"/>
          <w14:textFill>
            <w14:solidFill>
              <w14:schemeClr w14:val="tx1"/>
            </w14:solidFill>
          </w14:textFill>
        </w:rPr>
        <w:t>废矿物油</w:t>
      </w:r>
      <w:r>
        <w:rPr>
          <w:rFonts w:hint="eastAsia" w:cs="Times New Roman"/>
          <w:color w:val="000000" w:themeColor="text1"/>
          <w:lang w:eastAsia="zh-CN"/>
          <w14:textFill>
            <w14:solidFill>
              <w14:schemeClr w14:val="tx1"/>
            </w14:solidFill>
          </w14:textFill>
        </w:rPr>
        <w:t>、</w:t>
      </w:r>
      <w:r>
        <w:rPr>
          <w:rFonts w:hint="eastAsia" w:cs="Times New Roman"/>
          <w:color w:val="000000" w:themeColor="text1"/>
          <w:lang w:val="en-US" w:eastAsia="zh-CN"/>
          <w14:textFill>
            <w14:solidFill>
              <w14:schemeClr w14:val="tx1"/>
            </w14:solidFill>
          </w14:textFill>
        </w:rPr>
        <w:t>酸碱液桶</w:t>
      </w:r>
    </w:p>
    <w:p w14:paraId="3ABB2C97">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项目建设占地面积为9m</w:t>
      </w:r>
      <w:r>
        <w:rPr>
          <w:rFonts w:hint="default" w:ascii="Times New Roman" w:hAnsi="Times New Roman" w:eastAsia="宋体" w:cs="Times New Roman"/>
          <w:color w:val="000000" w:themeColor="text1"/>
          <w:vertAlign w:val="superscript"/>
          <w14:textFill>
            <w14:solidFill>
              <w14:schemeClr w14:val="tx1"/>
            </w14:solidFill>
          </w14:textFill>
        </w:rPr>
        <w:t>2</w:t>
      </w:r>
      <w:r>
        <w:rPr>
          <w:rFonts w:hint="default" w:ascii="Times New Roman" w:hAnsi="Times New Roman" w:eastAsia="宋体" w:cs="Times New Roman"/>
          <w:color w:val="000000" w:themeColor="text1"/>
          <w14:textFill>
            <w14:solidFill>
              <w14:schemeClr w14:val="tx1"/>
            </w14:solidFill>
          </w14:textFill>
        </w:rPr>
        <w:t>的危险废物暂存库，主要贮存设备检修过程产生的废矿物油，危险废物暂存库按照《危险废物贮存污染控制标准》（GB18597</w:t>
      </w:r>
      <w:r>
        <w:rPr>
          <w:rFonts w:hint="eastAsia" w:cs="Times New Roman"/>
          <w:color w:val="000000" w:themeColor="text1"/>
          <w:lang w:val="en-US" w:eastAsia="zh-CN"/>
          <w14:textFill>
            <w14:solidFill>
              <w14:schemeClr w14:val="tx1"/>
            </w14:solidFill>
          </w14:textFill>
        </w:rPr>
        <w:t>-</w:t>
      </w:r>
      <w:r>
        <w:rPr>
          <w:rFonts w:hint="default" w:ascii="Times New Roman" w:hAnsi="Times New Roman" w:eastAsia="宋体" w:cs="Times New Roman"/>
          <w:color w:val="000000" w:themeColor="text1"/>
          <w14:textFill>
            <w14:solidFill>
              <w14:schemeClr w14:val="tx1"/>
            </w14:solidFill>
          </w14:textFill>
        </w:rPr>
        <w:t>2023）要求建设：</w:t>
      </w:r>
    </w:p>
    <w:p w14:paraId="2BAFBD4B">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（1）危险废物必须进行分类收集，临时贮存场所应按照《危险废物贮存污染控制标准》（GB18597-2023）进行设置，并设立危险废物标志，贮存期限不得超过国家规定，并办理相应的许可证，按有关规定进行管理。</w:t>
      </w:r>
    </w:p>
    <w:p w14:paraId="2A30BDB8">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2）环评要求危险废物厂内临时贮存、运输、最终处置，均应严格按照《危险废物贮存污染物控制标准》（GB18597-2023）的有关要求进行，其中危废贮存设施设计原则和危险废物的堆放应严格按照GB18597-20231中相关规定要求进行。危废库应设置具有防渗、防风、防雨、防晒等措施，各种危险废物应分别装入适宜容器内，容器材质应满足强度要求及应与危险废物相容（不相互反应）。</w:t>
      </w:r>
    </w:p>
    <w:p w14:paraId="644B3D07">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（3）严格按照《危险废物贮存污染控制标准》中提出的防渗要求进行设计，基础必须防渗，防渗层为至少1m厚粘土（渗透系数≤10</w:t>
      </w:r>
      <w:r>
        <w:rPr>
          <w:rFonts w:hint="default" w:ascii="Times New Roman" w:hAnsi="Times New Roman" w:eastAsia="宋体" w:cs="Times New Roman"/>
          <w:color w:val="000000" w:themeColor="text1"/>
          <w:vertAlign w:val="superscript"/>
          <w14:textFill>
            <w14:solidFill>
              <w14:schemeClr w14:val="tx1"/>
            </w14:solidFill>
          </w14:textFill>
        </w:rPr>
        <w:t>-7</w:t>
      </w:r>
      <w:r>
        <w:rPr>
          <w:rFonts w:hint="default" w:ascii="Times New Roman" w:hAnsi="Times New Roman" w:eastAsia="宋体" w:cs="Times New Roman"/>
          <w:color w:val="000000" w:themeColor="text1"/>
          <w14:textFill>
            <w14:solidFill>
              <w14:schemeClr w14:val="tx1"/>
            </w14:solidFill>
          </w14:textFill>
        </w:rPr>
        <w:t>cm/s），或2mm厚的高密度聚乙烯，或至少2mm厚的其他人工材料（渗透系数≤10</w:t>
      </w:r>
      <w:r>
        <w:rPr>
          <w:rFonts w:hint="default" w:ascii="Times New Roman" w:hAnsi="Times New Roman" w:eastAsia="宋体" w:cs="Times New Roman"/>
          <w:color w:val="000000" w:themeColor="text1"/>
          <w:vertAlign w:val="superscript"/>
          <w14:textFill>
            <w14:solidFill>
              <w14:schemeClr w14:val="tx1"/>
            </w14:solidFill>
          </w14:textFill>
        </w:rPr>
        <w:t>-10</w:t>
      </w:r>
      <w:r>
        <w:rPr>
          <w:rFonts w:hint="default" w:ascii="Times New Roman" w:hAnsi="Times New Roman" w:eastAsia="宋体" w:cs="Times New Roman"/>
          <w:color w:val="000000" w:themeColor="text1"/>
          <w14:textFill>
            <w14:solidFill>
              <w14:schemeClr w14:val="tx1"/>
            </w14:solidFill>
          </w14:textFill>
        </w:rPr>
        <w:t>cm/s）。</w:t>
      </w:r>
    </w:p>
    <w:p w14:paraId="32D751C3">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4）国家对危险废物的处理采取严格的管理制度，无论是转移到固废处置中心还是销售给其他企业综合利用，均应遵从《危险废物转移联单管理办法》及其他有关规定的要求，以便管理部门对危险废物的流向进行有效控制，防止在转移过程中将危险废物排放至环境中。对于危险固废，企业不能随意处理，也不能乱堆乱放，必须密闭转移，及时清运，在生产过程中要注意对这些废渣的收集和储运。必须切实做好固废的分类工作，尽可能回收其中可以再利用的部分，减少危险固废的产生量。</w:t>
      </w:r>
    </w:p>
    <w:p w14:paraId="2E864F00">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5）根据环发[2001]199号《危险废物污染防治技术政策》，国家技术政策的总原则是危险废物的减量化、资源化和无害化。即首先通过清洁生产减少废弃物的产生，在无法减量化的情况下进行废物资源化利用，最终对不可利用废物进行无害化处置。</w:t>
      </w:r>
    </w:p>
    <w:p w14:paraId="0845DE1A">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bookmarkStart w:id="373" w:name="_Toc18510"/>
      <w:bookmarkStart w:id="374" w:name="_Toc7066"/>
      <w:bookmarkStart w:id="375" w:name="_Toc21099"/>
      <w:r>
        <w:rPr>
          <w:rFonts w:hint="default" w:ascii="Times New Roman" w:hAnsi="Times New Roman" w:eastAsia="宋体" w:cs="Times New Roman"/>
          <w:color w:val="000000" w:themeColor="text1"/>
          <w14:textFill>
            <w14:solidFill>
              <w14:schemeClr w14:val="tx1"/>
            </w14:solidFill>
          </w14:textFill>
        </w:rPr>
        <w:t>（6）危废暂存库建设要求</w:t>
      </w:r>
      <w:bookmarkEnd w:id="373"/>
      <w:bookmarkEnd w:id="374"/>
      <w:bookmarkEnd w:id="375"/>
    </w:p>
    <w:p w14:paraId="304D4E0C">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&gt;危废暂存库内部各类危废划区堆放；同时应建有堵截泄漏的裙脚；地面与裙脚要用坚固防渗的材料建造；应有隔离设施、报警装置和防雨、防火、防雷、防风、防晒、防扬尘等设施。</w:t>
      </w:r>
    </w:p>
    <w:p w14:paraId="4E8A13F3">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&gt;各类危废干湿分区，不同属性的固废间采用实体墙隔离，不同种类危废存放区域贴/挂标示标牌。</w:t>
      </w:r>
    </w:p>
    <w:p w14:paraId="29301EFD">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&gt;危废暂存库内地面硬化，进行防腐、防渗处理，参照《危险废物贮存污染控制标准》（GB18597-2023）要求设置防渗基础或防渗层。</w:t>
      </w:r>
    </w:p>
    <w:p w14:paraId="3B9F0002">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&gt;危废暂存库出入口设置围挡，内部地面四周设渗滤液收集沟并汇流于一处收集池，内置空桶，用于收集可能产生的渗滤液，收集后做危废处置。</w:t>
      </w:r>
    </w:p>
    <w:p w14:paraId="56005EC9">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&gt;暂存区外围周边贴挂明显的标示标牌，注明主要暂存危废的种类、数量、危废编号等信息。</w:t>
      </w:r>
    </w:p>
    <w:p w14:paraId="085EDCD1">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bookmarkStart w:id="376" w:name="_Toc15836"/>
      <w:bookmarkStart w:id="377" w:name="_Toc15576"/>
      <w:bookmarkStart w:id="378" w:name="_Toc1986"/>
      <w:r>
        <w:rPr>
          <w:rFonts w:hint="default" w:ascii="Times New Roman" w:hAnsi="Times New Roman" w:eastAsia="宋体" w:cs="Times New Roman"/>
          <w:color w:val="000000" w:themeColor="text1"/>
          <w14:textFill>
            <w14:solidFill>
              <w14:schemeClr w14:val="tx1"/>
            </w14:solidFill>
          </w14:textFill>
        </w:rPr>
        <w:fldChar w:fldCharType="begin"/>
      </w:r>
      <w:r>
        <w:rPr>
          <w:rFonts w:hint="default" w:ascii="Times New Roman" w:hAnsi="Times New Roman" w:eastAsia="宋体" w:cs="Times New Roman"/>
          <w:color w:val="000000" w:themeColor="text1"/>
          <w14:textFill>
            <w14:solidFill>
              <w14:schemeClr w14:val="tx1"/>
            </w14:solidFill>
          </w14:textFill>
        </w:rPr>
        <w:instrText xml:space="preserve">HYPERLINK "C:\\Users\\Administrator\\Desktop\\科右前旗现代农牧业园区核心育种场养殖项目-修改稿\\6.2.6.4"</w:instrText>
      </w:r>
      <w:r>
        <w:rPr>
          <w:rFonts w:hint="default" w:ascii="Times New Roman" w:hAnsi="Times New Roman" w:eastAsia="宋体" w:cs="Times New Roman"/>
          <w:color w:val="000000" w:themeColor="text1"/>
          <w14:textFill>
            <w14:solidFill>
              <w14:schemeClr w14:val="tx1"/>
            </w14:solidFill>
          </w14:textFill>
        </w:rPr>
        <w:fldChar w:fldCharType="separate"/>
      </w:r>
      <w:r>
        <w:rPr>
          <w:rFonts w:hint="default" w:ascii="Times New Roman" w:hAnsi="Times New Roman" w:eastAsia="宋体" w:cs="Times New Roman"/>
          <w:color w:val="000000" w:themeColor="text1"/>
          <w14:textFill>
            <w14:solidFill>
              <w14:schemeClr w14:val="tx1"/>
            </w14:solidFill>
          </w14:textFill>
        </w:rPr>
        <w:t>7.2.6.4</w:t>
      </w:r>
      <w:r>
        <w:rPr>
          <w:rFonts w:hint="default" w:ascii="Times New Roman" w:hAnsi="Times New Roman" w:eastAsia="宋体" w:cs="Times New Roman"/>
          <w:color w:val="000000" w:themeColor="text1"/>
          <w14:textFill>
            <w14:solidFill>
              <w14:schemeClr w14:val="tx1"/>
            </w14:solidFill>
          </w14:textFill>
        </w:rPr>
        <w:fldChar w:fldCharType="end"/>
      </w:r>
      <w:r>
        <w:rPr>
          <w:rFonts w:hint="default" w:ascii="Times New Roman" w:hAnsi="Times New Roman" w:eastAsia="宋体" w:cs="Times New Roman"/>
          <w:color w:val="000000" w:themeColor="text1"/>
          <w14:textFill>
            <w14:solidFill>
              <w14:schemeClr w14:val="tx1"/>
            </w14:solidFill>
          </w14:textFill>
        </w:rPr>
        <w:t>生活垃圾</w:t>
      </w:r>
      <w:bookmarkEnd w:id="376"/>
      <w:bookmarkEnd w:id="377"/>
      <w:bookmarkEnd w:id="378"/>
    </w:p>
    <w:p w14:paraId="3F852252">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生活垃圾主要为废塑料、报纸、食物残渣等，厂区内设封闭式垃圾箱进行收集后，收集后的垃圾运至到环卫部门指定的地点集中处理。</w:t>
      </w:r>
    </w:p>
    <w:p w14:paraId="734638B0">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bookmarkStart w:id="379" w:name="_Toc18323"/>
      <w:bookmarkStart w:id="380" w:name="_Toc30566"/>
      <w:bookmarkStart w:id="381" w:name="_Toc23503"/>
      <w:r>
        <w:rPr>
          <w:rFonts w:hint="default" w:ascii="Times New Roman" w:hAnsi="Times New Roman" w:eastAsia="宋体" w:cs="Times New Roman"/>
          <w:color w:val="000000" w:themeColor="text1"/>
          <w14:textFill>
            <w14:solidFill>
              <w14:schemeClr w14:val="tx1"/>
            </w14:solidFill>
          </w14:textFill>
        </w:rPr>
        <w:fldChar w:fldCharType="begin"/>
      </w:r>
      <w:r>
        <w:rPr>
          <w:rFonts w:hint="default" w:ascii="Times New Roman" w:hAnsi="Times New Roman" w:eastAsia="宋体" w:cs="Times New Roman"/>
          <w:color w:val="000000" w:themeColor="text1"/>
          <w14:textFill>
            <w14:solidFill>
              <w14:schemeClr w14:val="tx1"/>
            </w14:solidFill>
          </w14:textFill>
        </w:rPr>
        <w:instrText xml:space="preserve">HYPERLINK "C:\\Users\\Administrator\\Desktop\\科右前旗现代农牧业园区核心育种场养殖项目-修改稿\\6.2.6.6"</w:instrText>
      </w:r>
      <w:r>
        <w:rPr>
          <w:rFonts w:hint="default" w:ascii="Times New Roman" w:hAnsi="Times New Roman" w:eastAsia="宋体" w:cs="Times New Roman"/>
          <w:color w:val="000000" w:themeColor="text1"/>
          <w14:textFill>
            <w14:solidFill>
              <w14:schemeClr w14:val="tx1"/>
            </w14:solidFill>
          </w14:textFill>
        </w:rPr>
        <w:fldChar w:fldCharType="separate"/>
      </w:r>
      <w:r>
        <w:rPr>
          <w:rFonts w:hint="default" w:ascii="Times New Roman" w:hAnsi="Times New Roman" w:eastAsia="宋体" w:cs="Times New Roman"/>
          <w:color w:val="000000" w:themeColor="text1"/>
          <w14:textFill>
            <w14:solidFill>
              <w14:schemeClr w14:val="tx1"/>
            </w14:solidFill>
          </w14:textFill>
        </w:rPr>
        <w:t>7.2.6.</w:t>
      </w:r>
      <w:r>
        <w:rPr>
          <w:rFonts w:hint="eastAsia" w:cs="Times New Roman"/>
          <w:color w:val="000000" w:themeColor="text1"/>
          <w:lang w:val="en-US" w:eastAsia="zh-CN"/>
          <w14:textFill>
            <w14:solidFill>
              <w14:schemeClr w14:val="tx1"/>
            </w14:solidFill>
          </w14:textFill>
        </w:rPr>
        <w:t>5</w:t>
      </w:r>
      <w:r>
        <w:rPr>
          <w:rFonts w:hint="default" w:ascii="Times New Roman" w:hAnsi="Times New Roman" w:eastAsia="宋体" w:cs="Times New Roman"/>
          <w:color w:val="000000" w:themeColor="text1"/>
          <w14:textFill>
            <w14:solidFill>
              <w14:schemeClr w14:val="tx1"/>
            </w14:solidFill>
          </w14:textFill>
        </w:rPr>
        <w:fldChar w:fldCharType="end"/>
      </w:r>
      <w:r>
        <w:rPr>
          <w:rFonts w:hint="default" w:ascii="Times New Roman" w:hAnsi="Times New Roman" w:eastAsia="宋体" w:cs="Times New Roman"/>
          <w:color w:val="000000" w:themeColor="text1"/>
          <w14:textFill>
            <w14:solidFill>
              <w14:schemeClr w14:val="tx1"/>
            </w14:solidFill>
          </w14:textFill>
        </w:rPr>
        <w:t>牛粪污处置措施</w:t>
      </w:r>
      <w:bookmarkEnd w:id="379"/>
      <w:bookmarkEnd w:id="380"/>
      <w:bookmarkEnd w:id="381"/>
    </w:p>
    <w:p w14:paraId="75E05902">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bookmarkStart w:id="382" w:name="_Toc24067"/>
      <w:bookmarkStart w:id="383" w:name="_Toc698"/>
      <w:bookmarkStart w:id="384" w:name="_Toc3644"/>
      <w:r>
        <w:rPr>
          <w:rFonts w:hint="default" w:ascii="Times New Roman" w:hAnsi="Times New Roman" w:eastAsia="宋体" w:cs="Times New Roman"/>
          <w:color w:val="000000" w:themeColor="text1"/>
          <w14:textFill>
            <w14:solidFill>
              <w14:schemeClr w14:val="tx1"/>
            </w14:solidFill>
          </w14:textFill>
        </w:rPr>
        <w:t>（1）粪污贮存设施建设可行性分析</w:t>
      </w:r>
      <w:bookmarkEnd w:id="382"/>
      <w:bookmarkEnd w:id="383"/>
      <w:bookmarkEnd w:id="384"/>
    </w:p>
    <w:p w14:paraId="24915ABE">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根据农业农村部生态环境部办公厅关于印发《畜禽养殖场（户）粪污处理设施设施建设技术指南》的设施设备总体要求：畜禽养殖场应根据养殖污染防治要求和当地环境承载力配备与设计生产能力、粪污处理利用方式相匹配的畜禽粪污处理设施设备，满足防雨、防渗、防溢流和安全防护要求，并确保正常运行。交由第三方处理机构处理畜禽类污的，应按照转运时间间隔建设粪污暂存设施，可不自行建设综合利用和无害化处理设施。</w:t>
      </w:r>
    </w:p>
    <w:p w14:paraId="6E81E6D6">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本项目牛粪污清运至固液分离车间暂存，日产日清，外售生产有机肥。项目设置固液分离车间625㎡，并设置防雨、防渗措施，固液分离车间为半封闭结构，按照牛粪堆高1.0m，容积约625m³。固液分离车间地面及裙角按照重点防渗区设置防渗措施，渗透系数不大于1.0×10</w:t>
      </w:r>
      <w:r>
        <w:rPr>
          <w:rFonts w:hint="default" w:ascii="Times New Roman" w:hAnsi="Times New Roman" w:eastAsia="宋体" w:cs="Times New Roman"/>
          <w:color w:val="000000" w:themeColor="text1"/>
          <w:vertAlign w:val="superscript"/>
          <w14:textFill>
            <w14:solidFill>
              <w14:schemeClr w14:val="tx1"/>
            </w14:solidFill>
          </w14:textFill>
        </w:rPr>
        <w:t>-10</w:t>
      </w:r>
      <w:r>
        <w:rPr>
          <w:rFonts w:hint="default" w:ascii="Times New Roman" w:hAnsi="Times New Roman" w:eastAsia="宋体" w:cs="Times New Roman"/>
          <w:color w:val="000000" w:themeColor="text1"/>
          <w14:textFill>
            <w14:solidFill>
              <w14:schemeClr w14:val="tx1"/>
            </w14:solidFill>
          </w14:textFill>
        </w:rPr>
        <w:t>cm/s；本项目存栏奶牛700头，根据工程分析及物料平衡，牛粪产生量约</w:t>
      </w:r>
      <w:r>
        <w:rPr>
          <w:rFonts w:hint="eastAsia" w:cs="Times New Roman"/>
          <w:color w:val="000000" w:themeColor="text1"/>
          <w:lang w:val="en-US" w:eastAsia="zh-CN"/>
          <w14:textFill>
            <w14:solidFill>
              <w14:schemeClr w14:val="tx1"/>
            </w14:solidFill>
          </w14:textFill>
        </w:rPr>
        <w:t>6570</w:t>
      </w:r>
      <w:r>
        <w:rPr>
          <w:rFonts w:hint="default" w:ascii="Times New Roman" w:hAnsi="Times New Roman" w:eastAsia="宋体" w:cs="Times New Roman"/>
          <w:color w:val="000000" w:themeColor="text1"/>
          <w14:textFill>
            <w14:solidFill>
              <w14:schemeClr w14:val="tx1"/>
            </w14:solidFill>
          </w14:textFill>
        </w:rPr>
        <w:t>t/a（</w:t>
      </w:r>
      <w:r>
        <w:rPr>
          <w:rFonts w:hint="eastAsia" w:cs="Times New Roman"/>
          <w:color w:val="000000" w:themeColor="text1"/>
          <w:lang w:val="en-US" w:eastAsia="zh-CN"/>
          <w14:textFill>
            <w14:solidFill>
              <w14:schemeClr w14:val="tx1"/>
            </w14:solidFill>
          </w14:textFill>
        </w:rPr>
        <w:t>18</w:t>
      </w:r>
      <w:r>
        <w:rPr>
          <w:rFonts w:hint="default" w:ascii="Times New Roman" w:hAnsi="Times New Roman" w:eastAsia="宋体" w:cs="Times New Roman"/>
          <w:color w:val="000000" w:themeColor="text1"/>
          <w14:textFill>
            <w14:solidFill>
              <w14:schemeClr w14:val="tx1"/>
            </w14:solidFill>
          </w14:textFill>
        </w:rPr>
        <w:t>t/d），项目固液分离车间容积满足粪污至少10天的暂存需要。</w:t>
      </w:r>
    </w:p>
    <w:p w14:paraId="04C1A879">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bookmarkStart w:id="385" w:name="_Toc8290"/>
      <w:bookmarkStart w:id="386" w:name="_Toc15425"/>
      <w:bookmarkStart w:id="387" w:name="_Toc19461"/>
      <w:r>
        <w:rPr>
          <w:rFonts w:hint="default" w:ascii="Times New Roman" w:hAnsi="Times New Roman" w:eastAsia="宋体" w:cs="Times New Roman"/>
          <w:color w:val="000000" w:themeColor="text1"/>
          <w14:textFill>
            <w14:solidFill>
              <w14:schemeClr w14:val="tx1"/>
            </w14:solidFill>
          </w14:textFill>
        </w:rPr>
        <w:t>（2）牛粪污处置措施可行性分析</w:t>
      </w:r>
      <w:bookmarkEnd w:id="385"/>
      <w:bookmarkEnd w:id="386"/>
      <w:bookmarkEnd w:id="387"/>
    </w:p>
    <w:p w14:paraId="2DD08E7A">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根据建设单位提供粪污处置合作协议，本项目牛粪污</w:t>
      </w:r>
      <w:r>
        <w:rPr>
          <w:rFonts w:hint="eastAsia" w:cs="Times New Roman"/>
          <w:color w:val="000000" w:themeColor="text1"/>
          <w:lang w:val="en-US" w:eastAsia="zh-CN"/>
          <w14:textFill>
            <w14:solidFill>
              <w14:schemeClr w14:val="tx1"/>
            </w14:solidFill>
          </w14:textFill>
        </w:rPr>
        <w:t>发酵后，还田处理。</w:t>
      </w:r>
    </w:p>
    <w:p w14:paraId="098E6195">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bookmarkStart w:id="388" w:name="_Toc17908"/>
      <w:bookmarkStart w:id="389" w:name="_Toc19040"/>
      <w:bookmarkStart w:id="390" w:name="_Toc27984"/>
      <w:r>
        <w:rPr>
          <w:rFonts w:hint="default" w:ascii="Times New Roman" w:hAnsi="Times New Roman" w:eastAsia="宋体" w:cs="Times New Roman"/>
          <w:color w:val="000000" w:themeColor="text1"/>
          <w14:textFill>
            <w14:solidFill>
              <w14:schemeClr w14:val="tx1"/>
            </w14:solidFill>
          </w14:textFill>
        </w:rPr>
        <w:t>①堆放</w:t>
      </w:r>
      <w:bookmarkEnd w:id="388"/>
      <w:bookmarkEnd w:id="389"/>
      <w:bookmarkEnd w:id="390"/>
    </w:p>
    <w:p w14:paraId="2C5D9EEC">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堆肥发酵原理及条件堆肥是利用自然界广泛分布的细菌、放线菌、真菌和微生物或人工添加高效复合微生物菌剂，在合适的如通风、湿度、pH、孔隙度等条件下，人为地促进可生物降解的有机物向稳定的小分子物质和腐殖质生化转化的微生物学过程。</w:t>
      </w:r>
    </w:p>
    <w:p w14:paraId="06610211">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堆肥发酵采用好氧堆肥发酵”的方式，完整的堆肥过程由低温、中温、高温和降温四个阶段组成。堆肥温度一般在50~60℃，最高可达70~80℃。堆肥工艺不论分类，均有主发酵和后发酵两次发酵过程。</w:t>
      </w:r>
    </w:p>
    <w:p w14:paraId="45B517F4">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好氧堆肥是在有氧条件下，好氧微生物通过自身的分解代谢和合成代谢过程，将一部分有机物分解成无机物，从中获得微生物新陈代谢所需要的能量，同时将一部分的有机物转化合成新的细胞物质的过程。</w:t>
      </w:r>
    </w:p>
    <w:p w14:paraId="3C4AA0C6">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项目不设置专门的堆肥池，直接在车间内的地面上进行堆肥，地面进行了硬化处理。</w:t>
      </w:r>
    </w:p>
    <w:p w14:paraId="2675307B">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bookmarkStart w:id="391" w:name="_Toc27528"/>
      <w:bookmarkStart w:id="392" w:name="_Toc2475"/>
      <w:bookmarkStart w:id="393" w:name="_Toc21748"/>
      <w:r>
        <w:rPr>
          <w:rFonts w:hint="default" w:ascii="Times New Roman" w:hAnsi="Times New Roman" w:eastAsia="宋体" w:cs="Times New Roman"/>
          <w:color w:val="000000" w:themeColor="text1"/>
          <w14:textFill>
            <w14:solidFill>
              <w14:schemeClr w14:val="tx1"/>
            </w14:solidFill>
          </w14:textFill>
        </w:rPr>
        <w:t>②配料混合</w:t>
      </w:r>
      <w:bookmarkEnd w:id="391"/>
      <w:bookmarkEnd w:id="392"/>
      <w:bookmarkEnd w:id="393"/>
    </w:p>
    <w:p w14:paraId="66BE3D31">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生产生物有机肥时将气化渣、畜禽粪便秸秆废物、硅藻页岩矿粉及中微量元素矿粉按照一定的比例混合计量配料后，在配料槽搅拌均匀（含水率40%左右）；</w:t>
      </w:r>
    </w:p>
    <w:p w14:paraId="10BFFADF">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生产有机肥时将气化渣、畜禽粪便秸秆废物、硅藻页岩矿粉按照一定的比例混合计量配料后，在配料槽搅拌均匀（含水率40%左右）；</w:t>
      </w:r>
    </w:p>
    <w:p w14:paraId="76880CFC">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生产土壤改良剂时将气化渣、畜禽粪便秸秆废物、硅藻页岩矿物、糠醛渣、硼粉及钼粉按照一定的比例混合计量配料后，在配料槽搅拌均匀（含水率40%左右）。</w:t>
      </w:r>
    </w:p>
    <w:p w14:paraId="50E84A6D">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bookmarkStart w:id="394" w:name="_Toc17235"/>
      <w:bookmarkStart w:id="395" w:name="_Toc10044"/>
      <w:bookmarkStart w:id="396" w:name="_Toc25329"/>
      <w:r>
        <w:rPr>
          <w:rFonts w:hint="default" w:ascii="Times New Roman" w:hAnsi="Times New Roman" w:eastAsia="宋体" w:cs="Times New Roman"/>
          <w:color w:val="000000" w:themeColor="text1"/>
          <w14:textFill>
            <w14:solidFill>
              <w14:schemeClr w14:val="tx1"/>
            </w14:solidFill>
          </w14:textFill>
        </w:rPr>
        <w:t>③发酵</w:t>
      </w:r>
      <w:bookmarkEnd w:id="394"/>
      <w:bookmarkEnd w:id="395"/>
      <w:bookmarkEnd w:id="396"/>
    </w:p>
    <w:p w14:paraId="7706A114">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项目主发酵在车间内进行，混合后的物料在车间均匀摊放。在堆肥初始阶段的1~3天，由于物料自身含氧基可以满足微生物菌需要，好氧微生物菌首先分解易腐质，然后吸取其分解有机物的碳/氮营养成分，部分营养成分用于细菌自身繁殖，其余营养成分被分解为二氧化碳和水，同时放出热量使堆温上升。当温度处于25~45℃时，中温菌微生物比较活跃；随着堆温不断升高，当温度处于45~-65℃时，高温微生物如嗜热菌、放线菌等逐渐占据主导地位，被分解，腐殖质开始形成。实践证明，堆肥温度在60℃以上三天，就能杀死物料中寄生虫卵、病原菌，达到堆肥无害化目的。温度由低温向高温逐渐升高的过程是堆肥无害化的处理过程。堆肥在高温（45~65℃）维持10天，病原菌、虫卵等均被杀死。本项目主发酵过程（含翻堆）在15-20天，主发酵结束后，物料含水率降至32%左右。该工序将产生恶臭气体、水蒸气、二氧化碳等气体。</w:t>
      </w:r>
    </w:p>
    <w:p w14:paraId="61703F7E">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bookmarkStart w:id="397" w:name="_Toc30539"/>
      <w:bookmarkStart w:id="398" w:name="_Toc31715"/>
      <w:bookmarkStart w:id="399" w:name="_Toc29624"/>
      <w:r>
        <w:rPr>
          <w:rFonts w:hint="default" w:ascii="Times New Roman" w:hAnsi="Times New Roman" w:eastAsia="宋体" w:cs="Times New Roman"/>
          <w:color w:val="000000" w:themeColor="text1"/>
          <w14:textFill>
            <w14:solidFill>
              <w14:schemeClr w14:val="tx1"/>
            </w14:solidFill>
          </w14:textFill>
        </w:rPr>
        <w:t>④翻堆</w:t>
      </w:r>
      <w:bookmarkEnd w:id="397"/>
      <w:bookmarkEnd w:id="398"/>
      <w:bookmarkEnd w:id="399"/>
    </w:p>
    <w:p w14:paraId="6E41C67C">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堆肥温度上升到60℃以上，保持48小时后开始翻堆（但当温度超过70°C时须立即翻堆，堆肥温度不宜超过70"C，否则就会造成有益微生物菌的休眠甚或死亡），翻堆时务必均匀彻底，将低层物料尽量翻入堆中上部，以便充分腐熟，视物料腐熟过程确定翻堆次数。一般每2~5天可翻堆一次，以提供氧气、散热和使物料发酵均匀。本项目采用翻抛机翻堆，发酵中如发现物料过干，应及时在翻堆时喷洒水分，确保顺利发酵。堆体重的含氧量保持在5~15%之间。含氧量以通气量表示。该工序将产生恶臭气体、水蒸气、二氧化碳等气体，机械翻堆将产生噪声。</w:t>
      </w:r>
    </w:p>
    <w:p w14:paraId="16005229">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bookmarkStart w:id="400" w:name="_Toc11409"/>
      <w:bookmarkStart w:id="401" w:name="_Toc7062"/>
      <w:bookmarkStart w:id="402" w:name="_Toc3601"/>
      <w:r>
        <w:rPr>
          <w:rFonts w:hint="default" w:ascii="Times New Roman" w:hAnsi="Times New Roman" w:eastAsia="宋体" w:cs="Times New Roman"/>
          <w:color w:val="000000" w:themeColor="text1"/>
          <w14:textFill>
            <w14:solidFill>
              <w14:schemeClr w14:val="tx1"/>
            </w14:solidFill>
          </w14:textFill>
        </w:rPr>
        <w:t>⑤后熟发酵</w:t>
      </w:r>
      <w:bookmarkEnd w:id="400"/>
      <w:bookmarkEnd w:id="401"/>
      <w:bookmarkEnd w:id="402"/>
    </w:p>
    <w:p w14:paraId="7F9A4B4E">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在发酵基础上，随着堆肥温度的下降，中温微生物菌又开始活跃起来，堆肥进入二次发酵，这段时间可以称之为后熟发酵或陈化阶段。这有利于较难分解的有机物全部分解变成腐殖质、氨基酸等比较稳定的有机物，使肥效大大提高。配合翻堆，一般在15~20天即可腐熟。腐熟的有机堆肥的表现特征为：堆肥后期温度天然下降，不再招引苍蝇，无臭味，质地松软，体积缩小，呈深褐色或黑褐色，虫卵死亡；以粪大肠菌群为评价指标，粪大肠菌值为0.1~0.01时病原菌存在的可能性也很小；腐熟的有机肥水分含水量小于30%，后熟发酵工序在车间进行。该工序将产生恶臭气体、水蒸气、二氧化碳等气体。</w:t>
      </w:r>
    </w:p>
    <w:p w14:paraId="4AA7844A">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FF"/>
        </w:rPr>
      </w:pPr>
      <w:bookmarkStart w:id="403" w:name="_Toc26386"/>
      <w:bookmarkStart w:id="404" w:name="_Toc25255"/>
      <w:bookmarkStart w:id="405" w:name="_Toc4825"/>
      <w:r>
        <w:rPr>
          <w:rFonts w:hint="default" w:ascii="Times New Roman" w:hAnsi="Times New Roman" w:eastAsia="宋体" w:cs="Times New Roman"/>
          <w:color w:val="0000FF"/>
        </w:rPr>
        <w:t>（3）运输</w:t>
      </w:r>
      <w:bookmarkEnd w:id="403"/>
      <w:bookmarkEnd w:id="404"/>
      <w:bookmarkEnd w:id="405"/>
    </w:p>
    <w:p w14:paraId="40C19657">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FF"/>
        </w:rPr>
      </w:pPr>
      <w:r>
        <w:rPr>
          <w:rFonts w:hint="default" w:ascii="Times New Roman" w:hAnsi="Times New Roman" w:eastAsia="宋体" w:cs="Times New Roman"/>
          <w:color w:val="0000FF"/>
        </w:rPr>
        <w:t>本项目位置距离</w:t>
      </w:r>
      <w:r>
        <w:rPr>
          <w:rFonts w:hint="eastAsia" w:cs="Times New Roman"/>
          <w:color w:val="0000FF"/>
          <w:lang w:val="en-US" w:eastAsia="zh-CN"/>
        </w:rPr>
        <w:t>还田土地</w:t>
      </w:r>
      <w:r>
        <w:rPr>
          <w:rFonts w:hint="default" w:ascii="Times New Roman" w:hAnsi="Times New Roman" w:eastAsia="宋体" w:cs="Times New Roman"/>
          <w:color w:val="0000FF"/>
        </w:rPr>
        <w:t>直线距离</w:t>
      </w:r>
      <w:r>
        <w:rPr>
          <w:rFonts w:hint="eastAsia" w:cs="Times New Roman"/>
          <w:color w:val="0000FF"/>
          <w:lang w:val="en-US" w:eastAsia="zh-CN"/>
        </w:rPr>
        <w:t>不超过</w:t>
      </w:r>
      <w:r>
        <w:rPr>
          <w:rFonts w:hint="default" w:ascii="Times New Roman" w:hAnsi="Times New Roman" w:eastAsia="宋体" w:cs="Times New Roman"/>
          <w:color w:val="0000FF"/>
        </w:rPr>
        <w:t>6km，粪污采用汽车运输，防治运输途中洒落和对周围环境的影响，本环评要求牛粪运输采用车厢封闭车辆。</w:t>
      </w:r>
    </w:p>
    <w:p w14:paraId="0D8B393D">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综上所述，项目产生的固体废物应及时清运，尽量不要在厂内积存，尽可能减轻对周围环境的影响。转移和运输过程中要做好相应防护措施，危险废物要按相关法规的要求进行，办理相应转移手续。</w:t>
      </w:r>
    </w:p>
    <w:p w14:paraId="334B1FE8">
      <w:pPr>
        <w:ind w:firstLine="480"/>
        <w:rPr>
          <w:rFonts w:hint="default" w:ascii="Times New Roman" w:hAnsi="Times New Roman" w:eastAsia="宋体" w:cs="Times New Roman"/>
          <w:color w:val="000000" w:themeColor="text1"/>
          <w14:textFill>
            <w14:solidFill>
              <w14:schemeClr w14:val="tx1"/>
            </w14:solidFill>
          </w14:textFill>
        </w:rPr>
      </w:pPr>
      <w:bookmarkStart w:id="406" w:name="bookmark56"/>
      <w:bookmarkEnd w:id="406"/>
    </w:p>
    <w:p w14:paraId="5B5E0D93">
      <w:pPr>
        <w:ind w:firstLine="420"/>
        <w:rPr>
          <w:rFonts w:hint="default" w:ascii="Times New Roman" w:hAnsi="Times New Roman" w:eastAsia="宋体" w:cs="Times New Roman"/>
          <w:color w:val="000000" w:themeColor="text1"/>
          <w:sz w:val="21"/>
          <w:szCs w:val="21"/>
          <w14:textFill>
            <w14:solidFill>
              <w14:schemeClr w14:val="tx1"/>
            </w14:solidFill>
          </w14:textFill>
        </w:rPr>
        <w:sectPr>
          <w:pgSz w:w="11906" w:h="16839"/>
          <w:pgMar w:top="1431" w:right="1309" w:bottom="1259" w:left="1309" w:header="964" w:footer="794" w:gutter="0"/>
          <w:pgNumType w:fmt="decimal"/>
          <w:cols w:space="720" w:num="1"/>
        </w:sectPr>
      </w:pPr>
    </w:p>
    <w:p w14:paraId="1892CD70">
      <w:pPr>
        <w:pStyle w:val="11"/>
        <w:ind w:firstLine="0" w:firstLineChars="0"/>
        <w:outlineLvl w:val="0"/>
        <w:rPr>
          <w:rFonts w:hint="default" w:ascii="Times New Roman" w:hAnsi="Times New Roman" w:eastAsia="宋体" w:cs="Times New Roman"/>
          <w:b/>
          <w:bCs/>
          <w:color w:val="000000" w:themeColor="text1"/>
          <w:sz w:val="30"/>
          <w:szCs w:val="30"/>
          <w:lang w:eastAsia="zh-CN"/>
          <w14:textFill>
            <w14:solidFill>
              <w14:schemeClr w14:val="tx1"/>
            </w14:solidFill>
          </w14:textFill>
        </w:rPr>
      </w:pPr>
      <w:bookmarkStart w:id="407" w:name="bookmark57"/>
      <w:bookmarkEnd w:id="407"/>
      <w:bookmarkStart w:id="408" w:name="_Toc19120"/>
      <w:r>
        <w:rPr>
          <w:rFonts w:hint="default" w:ascii="Times New Roman" w:hAnsi="Times New Roman" w:eastAsia="宋体" w:cs="Times New Roman"/>
          <w:b/>
          <w:bCs/>
          <w:color w:val="000000" w:themeColor="text1"/>
          <w:sz w:val="30"/>
          <w:szCs w:val="30"/>
          <w:lang w:eastAsia="zh-CN"/>
          <w14:textFill>
            <w14:solidFill>
              <w14:schemeClr w14:val="tx1"/>
            </w14:solidFill>
          </w14:textFill>
        </w:rPr>
        <w:t>8环境影响经济损益分析</w:t>
      </w:r>
      <w:bookmarkEnd w:id="408"/>
    </w:p>
    <w:p w14:paraId="7ECE2A4C">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环境经济损益分析是工程开发可行性研究的重要组成部分，是从环境经济的角度对项目的可行性进行评价，以货币的形式定量表述建设项目对环境的影响程度和相应的环境工程效益，从而为决策部门提供科学依据，使建设项目在营运后能更好地实现经济效益、环境效益和社会效益的统一。</w:t>
      </w:r>
    </w:p>
    <w:p w14:paraId="4BFD65AC">
      <w:pPr>
        <w:ind w:firstLine="0" w:firstLineChars="0"/>
        <w:outlineLvl w:val="1"/>
        <w:rPr>
          <w:rFonts w:hint="default" w:ascii="Times New Roman" w:hAnsi="Times New Roman" w:eastAsia="宋体" w:cs="Times New Roman"/>
          <w:b/>
          <w:bCs/>
          <w:color w:val="000000" w:themeColor="text1"/>
          <w:sz w:val="28"/>
          <w:szCs w:val="28"/>
          <w14:textFill>
            <w14:solidFill>
              <w14:schemeClr w14:val="tx1"/>
            </w14:solidFill>
          </w14:textFill>
        </w:rPr>
      </w:pPr>
      <w:bookmarkStart w:id="409" w:name="bookmark58"/>
      <w:bookmarkEnd w:id="409"/>
      <w:bookmarkStart w:id="410" w:name="_Toc11521"/>
      <w:r>
        <w:rPr>
          <w:rFonts w:hint="default" w:ascii="Times New Roman" w:hAnsi="Times New Roman" w:eastAsia="宋体" w:cs="Times New Roman"/>
          <w:b/>
          <w:bCs/>
          <w:color w:val="000000" w:themeColor="text1"/>
          <w:sz w:val="28"/>
          <w:szCs w:val="28"/>
          <w14:textFill>
            <w14:solidFill>
              <w14:schemeClr w14:val="tx1"/>
            </w14:solidFill>
          </w14:textFill>
        </w:rPr>
        <w:t>8.1经济效益分析</w:t>
      </w:r>
      <w:bookmarkEnd w:id="410"/>
    </w:p>
    <w:p w14:paraId="21BB24AC">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项目总投资估算1</w:t>
      </w:r>
      <w:r>
        <w:rPr>
          <w:rFonts w:hint="eastAsia" w:cs="Times New Roman"/>
          <w:color w:val="000000" w:themeColor="text1"/>
          <w:lang w:val="en-US" w:eastAsia="zh-CN"/>
          <w14:textFill>
            <w14:solidFill>
              <w14:schemeClr w14:val="tx1"/>
            </w14:solidFill>
          </w14:textFill>
        </w:rPr>
        <w:t>450</w:t>
      </w:r>
      <w:r>
        <w:rPr>
          <w:rFonts w:hint="default" w:ascii="Times New Roman" w:hAnsi="Times New Roman" w:eastAsia="宋体" w:cs="Times New Roman"/>
          <w:color w:val="000000" w:themeColor="text1"/>
          <w14:textFill>
            <w14:solidFill>
              <w14:schemeClr w14:val="tx1"/>
            </w14:solidFill>
          </w14:textFill>
        </w:rPr>
        <w:t>.00万元，其税后财务内部收益率为11.81%，大于财务基准收益率；税后财务净现值为10953.22万元，静态税后投资回收期为12.16年（含建设期），小于基准投资回收期，说明投资能按时收回。</w:t>
      </w:r>
    </w:p>
    <w:p w14:paraId="74EB0185">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以上数据表明，本项目经济效益较好，在为企业创造利润的同时，还可为国内上缴可观的税收。项目在财务上具有较好的盈利能力和抗风险能力，因此，本项目具有较好的经济效益。</w:t>
      </w:r>
    </w:p>
    <w:p w14:paraId="3DEB7388">
      <w:pPr>
        <w:ind w:firstLine="0" w:firstLineChars="0"/>
        <w:outlineLvl w:val="1"/>
        <w:rPr>
          <w:rFonts w:hint="default" w:ascii="Times New Roman" w:hAnsi="Times New Roman" w:eastAsia="宋体" w:cs="Times New Roman"/>
          <w:b/>
          <w:bCs/>
          <w:color w:val="000000" w:themeColor="text1"/>
          <w:sz w:val="28"/>
          <w:szCs w:val="28"/>
          <w14:textFill>
            <w14:solidFill>
              <w14:schemeClr w14:val="tx1"/>
            </w14:solidFill>
          </w14:textFill>
        </w:rPr>
      </w:pPr>
      <w:bookmarkStart w:id="411" w:name="bookmark59"/>
      <w:bookmarkEnd w:id="411"/>
      <w:bookmarkStart w:id="412" w:name="_Toc21791"/>
      <w:r>
        <w:rPr>
          <w:rFonts w:hint="default" w:ascii="Times New Roman" w:hAnsi="Times New Roman" w:eastAsia="宋体" w:cs="Times New Roman"/>
          <w:b/>
          <w:bCs/>
          <w:color w:val="000000" w:themeColor="text1"/>
          <w:sz w:val="28"/>
          <w:szCs w:val="28"/>
          <w14:textFill>
            <w14:solidFill>
              <w14:schemeClr w14:val="tx1"/>
            </w14:solidFill>
          </w14:textFill>
        </w:rPr>
        <w:t>8.2社会效益分析</w:t>
      </w:r>
      <w:bookmarkEnd w:id="412"/>
    </w:p>
    <w:p w14:paraId="506F6E59">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1）该项目的实施促进了科右前旗养殖业的良性发展，增加了建设单位的市场竞争力。养殖场的废物得到资源化的利用，促进了项目单位循环经济和生态经济的良性发展。项目对污染物进行了治理，实现了清洁养殖，为奶牛养殖创造了较好卫生环境，增强了市场竞争力。</w:t>
      </w:r>
    </w:p>
    <w:p w14:paraId="47F874AA">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（2）项目的清洁生产措施，很大程度上节约了资源和能源，起到了“节能、降耗、减污、增效”的作用，符合国家产业政策和环保治理要求。</w:t>
      </w:r>
    </w:p>
    <w:p w14:paraId="4B041D16">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（3）该项目未来的标准化、规模化建设将形成农村能源产业，由此所需的技术、管理队伍可就地吸纳农村剩余劳动力，有利于维护农村社会稳定，对提高人民生活水平起到积极作用。</w:t>
      </w:r>
    </w:p>
    <w:p w14:paraId="7EAE825E">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（4）项目的建设可拉动周边畜禽养殖业、肉制品加工业、饲料加工业等行业的快速发展，同时为周围种植业提供了大量优质有机肥，有利于促进周围农村产业结构调整。</w:t>
      </w:r>
    </w:p>
    <w:p w14:paraId="4DD2CB8A">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（5）另外，粪便在经过治理后，杀灭了大量有毒害病菌，切断其传染源，有利于人畜身体健康。</w:t>
      </w:r>
    </w:p>
    <w:p w14:paraId="377D9057">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因此，本项目投产后可以为企业带来明显的经济效益，同时也促进了当地经济的发展，具有较好的经济、社会效益。</w:t>
      </w:r>
    </w:p>
    <w:p w14:paraId="0192852C">
      <w:pPr>
        <w:ind w:firstLine="0" w:firstLineChars="0"/>
        <w:outlineLvl w:val="1"/>
        <w:rPr>
          <w:rFonts w:hint="default" w:ascii="Times New Roman" w:hAnsi="Times New Roman" w:eastAsia="宋体" w:cs="Times New Roman"/>
          <w:b/>
          <w:bCs/>
          <w:color w:val="000000" w:themeColor="text1"/>
          <w:sz w:val="28"/>
          <w:szCs w:val="28"/>
          <w14:textFill>
            <w14:solidFill>
              <w14:schemeClr w14:val="tx1"/>
            </w14:solidFill>
          </w14:textFill>
        </w:rPr>
      </w:pPr>
      <w:bookmarkStart w:id="413" w:name="bookmark60"/>
      <w:bookmarkEnd w:id="413"/>
      <w:bookmarkStart w:id="414" w:name="_Toc2177"/>
      <w:r>
        <w:rPr>
          <w:rFonts w:hint="default" w:ascii="Times New Roman" w:hAnsi="Times New Roman" w:eastAsia="宋体" w:cs="Times New Roman"/>
          <w:b/>
          <w:bCs/>
          <w:color w:val="000000" w:themeColor="text1"/>
          <w:sz w:val="28"/>
          <w:szCs w:val="28"/>
          <w14:textFill>
            <w14:solidFill>
              <w14:schemeClr w14:val="tx1"/>
            </w14:solidFill>
          </w14:textFill>
        </w:rPr>
        <w:t>8.3环境效益分析</w:t>
      </w:r>
      <w:bookmarkEnd w:id="414"/>
    </w:p>
    <w:p w14:paraId="6CE3D0CB">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环境经济损益分析是从经济的角度分析、预测工程项目的环境效益。工程项目的实施应体现经济效益、社会效益和环境效益相统一的原则，其主要内容包括：确定环保措施的项目内容，统计分析环保措施投入的资金、运转费用以及取得的环境经济效益，工程环保设施投资比例占工程总投资比例的合理性、可行性。</w:t>
      </w:r>
    </w:p>
    <w:p w14:paraId="58135EA1">
      <w:pPr>
        <w:ind w:firstLine="480"/>
        <w:rPr>
          <w:rFonts w:hint="default" w:ascii="Times New Roman" w:hAnsi="Times New Roman" w:eastAsia="宋体" w:cs="Times New Roman"/>
          <w:color w:val="000000" w:themeColor="text1"/>
          <w14:textFill>
            <w14:solidFill>
              <w14:schemeClr w14:val="tx1"/>
            </w14:solidFill>
          </w14:textFill>
        </w:rPr>
      </w:pPr>
      <w:bookmarkStart w:id="415" w:name="bookmark61"/>
      <w:bookmarkEnd w:id="415"/>
      <w:r>
        <w:rPr>
          <w:rFonts w:hint="default" w:ascii="Times New Roman" w:hAnsi="Times New Roman" w:eastAsia="宋体" w:cs="Times New Roman"/>
          <w:color w:val="000000" w:themeColor="text1"/>
          <w14:textFill>
            <w14:solidFill>
              <w14:schemeClr w14:val="tx1"/>
            </w14:solidFill>
          </w14:textFill>
        </w:rPr>
        <w:t>《建设项目环境保护设计规定》第六十三条指出：“凡属于污染治理和保护环境所需的装置、设备、监测手段和工程设施等均属于环境保护设施”、“凡有环境保护设施的建设项目均应列出环境保护设施的投资概算”。据此规定，本项目环境保护设施主要有：废气污染治理设施、噪声污染治理设施、废水污染防治措施、固体废物处置设施等，环保投资项目主要有废气治理、废水处理、防渗、噪声治理等。环保投资共计301.0万元，约占项目总投资</w:t>
      </w:r>
      <w:r>
        <w:rPr>
          <w:rFonts w:hint="eastAsia" w:cs="Times New Roman"/>
          <w:color w:val="000000" w:themeColor="text1"/>
          <w:lang w:val="en-US" w:eastAsia="zh-CN"/>
          <w14:textFill>
            <w14:solidFill>
              <w14:schemeClr w14:val="tx1"/>
            </w14:solidFill>
          </w14:textFill>
        </w:rPr>
        <w:t>1450</w:t>
      </w:r>
      <w:r>
        <w:rPr>
          <w:rFonts w:hint="default" w:ascii="Times New Roman" w:hAnsi="Times New Roman" w:eastAsia="宋体" w:cs="Times New Roman"/>
          <w:color w:val="000000" w:themeColor="text1"/>
          <w14:textFill>
            <w14:solidFill>
              <w14:schemeClr w14:val="tx1"/>
            </w14:solidFill>
          </w14:textFill>
        </w:rPr>
        <w:t>.00万元的2</w:t>
      </w:r>
      <w:r>
        <w:rPr>
          <w:rFonts w:hint="eastAsia" w:cs="Times New Roman"/>
          <w:color w:val="000000" w:themeColor="text1"/>
          <w:lang w:val="en-US" w:eastAsia="zh-CN"/>
          <w14:textFill>
            <w14:solidFill>
              <w14:schemeClr w14:val="tx1"/>
            </w14:solidFill>
          </w14:textFill>
        </w:rPr>
        <w:t>0.75</w:t>
      </w:r>
      <w:r>
        <w:rPr>
          <w:rFonts w:hint="default" w:ascii="Times New Roman" w:hAnsi="Times New Roman" w:eastAsia="宋体" w:cs="Times New Roman"/>
          <w:color w:val="000000" w:themeColor="text1"/>
          <w14:textFill>
            <w14:solidFill>
              <w14:schemeClr w14:val="tx1"/>
            </w14:solidFill>
          </w14:textFill>
        </w:rPr>
        <w:t>%。污染防治措施及环保投资见表8.3-1所示。</w:t>
      </w:r>
    </w:p>
    <w:p w14:paraId="5D71E773">
      <w:pPr>
        <w:ind w:firstLine="0" w:firstLineChars="0"/>
        <w:jc w:val="center"/>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表8.3-1项目污染防治措施、环保投资一览表</w:t>
      </w:r>
    </w:p>
    <w:tbl>
      <w:tblPr>
        <w:tblStyle w:val="35"/>
        <w:tblW w:w="926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56"/>
        <w:gridCol w:w="1258"/>
        <w:gridCol w:w="1177"/>
        <w:gridCol w:w="5452"/>
        <w:gridCol w:w="918"/>
      </w:tblGrid>
      <w:tr w14:paraId="0D8962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28" w:hRule="atLeast"/>
          <w:jc w:val="center"/>
        </w:trPr>
        <w:tc>
          <w:tcPr>
            <w:tcW w:w="456" w:type="dxa"/>
            <w:vAlign w:val="center"/>
          </w:tcPr>
          <w:p w14:paraId="697A4783">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类别</w:t>
            </w:r>
          </w:p>
        </w:tc>
        <w:tc>
          <w:tcPr>
            <w:tcW w:w="1258" w:type="dxa"/>
            <w:vAlign w:val="center"/>
          </w:tcPr>
          <w:p w14:paraId="02DCB8A5">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项目</w:t>
            </w:r>
          </w:p>
        </w:tc>
        <w:tc>
          <w:tcPr>
            <w:tcW w:w="1177" w:type="dxa"/>
            <w:vAlign w:val="center"/>
          </w:tcPr>
          <w:p w14:paraId="71A04AED">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污染源</w:t>
            </w:r>
          </w:p>
        </w:tc>
        <w:tc>
          <w:tcPr>
            <w:tcW w:w="5452" w:type="dxa"/>
            <w:vAlign w:val="center"/>
          </w:tcPr>
          <w:p w14:paraId="2A8BCB3F">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措施</w:t>
            </w:r>
          </w:p>
        </w:tc>
        <w:tc>
          <w:tcPr>
            <w:tcW w:w="918" w:type="dxa"/>
            <w:vAlign w:val="center"/>
          </w:tcPr>
          <w:p w14:paraId="39A1C574">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投资额（万元）</w:t>
            </w:r>
          </w:p>
        </w:tc>
      </w:tr>
      <w:tr w14:paraId="6F28F8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33" w:hRule="atLeast"/>
          <w:jc w:val="center"/>
        </w:trPr>
        <w:tc>
          <w:tcPr>
            <w:tcW w:w="456" w:type="dxa"/>
            <w:vMerge w:val="restart"/>
            <w:vAlign w:val="center"/>
          </w:tcPr>
          <w:p w14:paraId="25BF01C3">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废气</w:t>
            </w:r>
          </w:p>
          <w:p w14:paraId="420174AB">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258" w:type="dxa"/>
            <w:vMerge w:val="restart"/>
            <w:vAlign w:val="center"/>
          </w:tcPr>
          <w:p w14:paraId="587ED6BD">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恶臭</w:t>
            </w:r>
          </w:p>
        </w:tc>
        <w:tc>
          <w:tcPr>
            <w:tcW w:w="1177" w:type="dxa"/>
            <w:vAlign w:val="center"/>
          </w:tcPr>
          <w:p w14:paraId="387E1DE5">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牛舍</w:t>
            </w:r>
          </w:p>
        </w:tc>
        <w:tc>
          <w:tcPr>
            <w:tcW w:w="5452" w:type="dxa"/>
            <w:vAlign w:val="center"/>
          </w:tcPr>
          <w:p w14:paraId="57097B6E">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合理配比饲料及添加剂，牛舍采用及时清理粪污、加强牛舍</w:t>
            </w:r>
          </w:p>
          <w:p w14:paraId="1A3F3708">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通风（除冬季全封闭保暖外，均为敞开式通风）、粪污日产</w:t>
            </w:r>
          </w:p>
          <w:p w14:paraId="5ED0753F">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日清、定期消毒</w:t>
            </w:r>
          </w:p>
        </w:tc>
        <w:tc>
          <w:tcPr>
            <w:tcW w:w="918" w:type="dxa"/>
            <w:vAlign w:val="center"/>
          </w:tcPr>
          <w:p w14:paraId="7FA50742">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30.0</w:t>
            </w:r>
          </w:p>
        </w:tc>
      </w:tr>
      <w:tr w14:paraId="3B2FA1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23" w:hRule="atLeast"/>
          <w:jc w:val="center"/>
        </w:trPr>
        <w:tc>
          <w:tcPr>
            <w:tcW w:w="456" w:type="dxa"/>
            <w:vMerge w:val="continue"/>
            <w:vAlign w:val="center"/>
          </w:tcPr>
          <w:p w14:paraId="6A02FE87">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258" w:type="dxa"/>
            <w:vMerge w:val="continue"/>
            <w:vAlign w:val="center"/>
          </w:tcPr>
          <w:p w14:paraId="0A54451A">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177" w:type="dxa"/>
            <w:vAlign w:val="center"/>
          </w:tcPr>
          <w:p w14:paraId="3DAAD718">
            <w:pPr>
              <w:ind w:firstLine="0" w:firstLineChars="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氧化塘</w:t>
            </w:r>
          </w:p>
        </w:tc>
        <w:tc>
          <w:tcPr>
            <w:tcW w:w="5452" w:type="dxa"/>
            <w:vAlign w:val="center"/>
          </w:tcPr>
          <w:p w14:paraId="1597594A">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氧化塘周围喷洒除臭剂，夏季及时利用。</w:t>
            </w:r>
          </w:p>
        </w:tc>
        <w:tc>
          <w:tcPr>
            <w:tcW w:w="918" w:type="dxa"/>
            <w:vAlign w:val="center"/>
          </w:tcPr>
          <w:p w14:paraId="2D58B941">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10.0</w:t>
            </w:r>
          </w:p>
        </w:tc>
      </w:tr>
      <w:tr w14:paraId="1D47EF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45" w:hRule="atLeast"/>
          <w:jc w:val="center"/>
        </w:trPr>
        <w:tc>
          <w:tcPr>
            <w:tcW w:w="456" w:type="dxa"/>
            <w:vMerge w:val="continue"/>
            <w:vAlign w:val="center"/>
          </w:tcPr>
          <w:p w14:paraId="51F7015A">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258" w:type="dxa"/>
            <w:vMerge w:val="continue"/>
            <w:vAlign w:val="center"/>
          </w:tcPr>
          <w:p w14:paraId="33CEC8D1">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177" w:type="dxa"/>
            <w:vAlign w:val="center"/>
          </w:tcPr>
          <w:p w14:paraId="385B613A">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固液分离</w:t>
            </w:r>
          </w:p>
          <w:p w14:paraId="2518A043">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车间</w:t>
            </w:r>
          </w:p>
        </w:tc>
        <w:tc>
          <w:tcPr>
            <w:tcW w:w="5452" w:type="dxa"/>
            <w:vAlign w:val="center"/>
          </w:tcPr>
          <w:p w14:paraId="5E3DB0D3">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固液分离车间为半封闭结构，喷洒生化除臭剂，粪污日产日清、不进行长期贮存</w:t>
            </w:r>
          </w:p>
        </w:tc>
        <w:tc>
          <w:tcPr>
            <w:tcW w:w="918" w:type="dxa"/>
            <w:vAlign w:val="center"/>
          </w:tcPr>
          <w:p w14:paraId="735B568B">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10.0</w:t>
            </w:r>
          </w:p>
        </w:tc>
      </w:tr>
      <w:tr w14:paraId="4DA1C7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1" w:hRule="atLeast"/>
          <w:jc w:val="center"/>
        </w:trPr>
        <w:tc>
          <w:tcPr>
            <w:tcW w:w="456" w:type="dxa"/>
            <w:vMerge w:val="continue"/>
            <w:vAlign w:val="center"/>
          </w:tcPr>
          <w:p w14:paraId="5071D84F">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258" w:type="dxa"/>
            <w:vAlign w:val="center"/>
          </w:tcPr>
          <w:p w14:paraId="0D0D041D">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食堂油烟</w:t>
            </w:r>
          </w:p>
        </w:tc>
        <w:tc>
          <w:tcPr>
            <w:tcW w:w="1177" w:type="dxa"/>
            <w:vAlign w:val="center"/>
          </w:tcPr>
          <w:p w14:paraId="67E0C9C3">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食堂</w:t>
            </w:r>
          </w:p>
        </w:tc>
        <w:tc>
          <w:tcPr>
            <w:tcW w:w="5452" w:type="dxa"/>
            <w:vAlign w:val="center"/>
          </w:tcPr>
          <w:p w14:paraId="59005B98">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食堂油烟经高效油烟净化器净化处理，经烟道引至房顶排放</w:t>
            </w:r>
          </w:p>
        </w:tc>
        <w:tc>
          <w:tcPr>
            <w:tcW w:w="918" w:type="dxa"/>
            <w:vAlign w:val="center"/>
          </w:tcPr>
          <w:p w14:paraId="0B0DB4D0">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2.0</w:t>
            </w:r>
          </w:p>
        </w:tc>
      </w:tr>
      <w:tr w14:paraId="30581D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6" w:hRule="atLeast"/>
          <w:jc w:val="center"/>
        </w:trPr>
        <w:tc>
          <w:tcPr>
            <w:tcW w:w="456" w:type="dxa"/>
            <w:vMerge w:val="continue"/>
            <w:vAlign w:val="center"/>
          </w:tcPr>
          <w:p w14:paraId="6E55724C">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258" w:type="dxa"/>
            <w:vAlign w:val="center"/>
          </w:tcPr>
          <w:p w14:paraId="3AD8F0F3">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粉尘</w:t>
            </w:r>
          </w:p>
        </w:tc>
        <w:tc>
          <w:tcPr>
            <w:tcW w:w="1177" w:type="dxa"/>
            <w:vAlign w:val="center"/>
          </w:tcPr>
          <w:p w14:paraId="3FDECE88">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饲草搅拌</w:t>
            </w:r>
          </w:p>
        </w:tc>
        <w:tc>
          <w:tcPr>
            <w:tcW w:w="5452" w:type="dxa"/>
            <w:vAlign w:val="center"/>
          </w:tcPr>
          <w:p w14:paraId="7EA3A2A4">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饲草车间封闭，全封闭搅拌车，搅拌过程喷入水</w:t>
            </w:r>
          </w:p>
        </w:tc>
        <w:tc>
          <w:tcPr>
            <w:tcW w:w="918" w:type="dxa"/>
            <w:vAlign w:val="center"/>
          </w:tcPr>
          <w:p w14:paraId="79BDABEA">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1.0</w:t>
            </w:r>
          </w:p>
        </w:tc>
      </w:tr>
      <w:tr w14:paraId="33F788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28" w:hRule="atLeast"/>
          <w:jc w:val="center"/>
        </w:trPr>
        <w:tc>
          <w:tcPr>
            <w:tcW w:w="456" w:type="dxa"/>
            <w:vMerge w:val="restart"/>
            <w:vAlign w:val="center"/>
          </w:tcPr>
          <w:p w14:paraId="0CE134D1">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废水</w:t>
            </w:r>
          </w:p>
        </w:tc>
        <w:tc>
          <w:tcPr>
            <w:tcW w:w="1258" w:type="dxa"/>
            <w:vAlign w:val="center"/>
          </w:tcPr>
          <w:p w14:paraId="4199BD78">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生活污水</w:t>
            </w:r>
          </w:p>
        </w:tc>
        <w:tc>
          <w:tcPr>
            <w:tcW w:w="1177" w:type="dxa"/>
            <w:vAlign w:val="center"/>
          </w:tcPr>
          <w:p w14:paraId="1B464141">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员工生活</w:t>
            </w:r>
          </w:p>
        </w:tc>
        <w:tc>
          <w:tcPr>
            <w:tcW w:w="5452" w:type="dxa"/>
            <w:vAlign w:val="center"/>
          </w:tcPr>
          <w:p w14:paraId="69F84A0C">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食堂废水经隔油池与生活污水排入防渗化粪池后，定期抽排运至污水处理站与养殖废水一起</w:t>
            </w:r>
            <w:r>
              <w:rPr>
                <w:rFonts w:hint="eastAsia" w:cs="Times New Roman"/>
                <w:color w:val="000000" w:themeColor="text1"/>
                <w:sz w:val="21"/>
                <w:szCs w:val="21"/>
                <w:lang w:val="en-US" w:eastAsia="zh-CN"/>
                <w14:textFill>
                  <w14:solidFill>
                    <w14:schemeClr w14:val="tx1"/>
                  </w14:solidFill>
                </w14:textFill>
              </w:rPr>
              <w:t>好</w:t>
            </w:r>
            <w:r>
              <w:rPr>
                <w:rFonts w:hint="default" w:ascii="Times New Roman" w:hAnsi="Times New Roman" w:eastAsia="宋体" w:cs="Times New Roman"/>
                <w:color w:val="000000" w:themeColor="text1"/>
                <w:sz w:val="21"/>
                <w:szCs w:val="21"/>
                <w14:textFill>
                  <w14:solidFill>
                    <w14:schemeClr w14:val="tx1"/>
                  </w14:solidFill>
                </w14:textFill>
              </w:rPr>
              <w:t>氧处理</w:t>
            </w:r>
          </w:p>
        </w:tc>
        <w:tc>
          <w:tcPr>
            <w:tcW w:w="918" w:type="dxa"/>
            <w:vAlign w:val="center"/>
          </w:tcPr>
          <w:p w14:paraId="7C067814">
            <w:pPr>
              <w:ind w:firstLine="0" w:firstLineChars="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w:t>
            </w:r>
          </w:p>
        </w:tc>
      </w:tr>
      <w:tr w14:paraId="080D54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39" w:hRule="atLeast"/>
          <w:jc w:val="center"/>
        </w:trPr>
        <w:tc>
          <w:tcPr>
            <w:tcW w:w="456" w:type="dxa"/>
            <w:vMerge w:val="continue"/>
            <w:vAlign w:val="center"/>
          </w:tcPr>
          <w:p w14:paraId="1A34EFAE">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258" w:type="dxa"/>
            <w:vAlign w:val="center"/>
          </w:tcPr>
          <w:p w14:paraId="11AD76CC">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养殖废水</w:t>
            </w:r>
          </w:p>
        </w:tc>
        <w:tc>
          <w:tcPr>
            <w:tcW w:w="1177" w:type="dxa"/>
            <w:vAlign w:val="center"/>
          </w:tcPr>
          <w:p w14:paraId="7601C4A6">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牛舍</w:t>
            </w:r>
          </w:p>
        </w:tc>
        <w:tc>
          <w:tcPr>
            <w:tcW w:w="5452" w:type="dxa"/>
            <w:vAlign w:val="center"/>
          </w:tcPr>
          <w:p w14:paraId="525DB604">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采取“收集沉淀池+固液分离+</w:t>
            </w:r>
            <w:r>
              <w:rPr>
                <w:rFonts w:hint="eastAsia" w:cs="Times New Roman"/>
                <w:color w:val="000000" w:themeColor="text1"/>
                <w:sz w:val="21"/>
                <w:szCs w:val="21"/>
                <w:lang w:val="en-US" w:eastAsia="zh-CN"/>
                <w14:textFill>
                  <w14:solidFill>
                    <w14:schemeClr w14:val="tx1"/>
                  </w14:solidFill>
                </w14:textFill>
              </w:rPr>
              <w:t>好</w:t>
            </w:r>
            <w:r>
              <w:rPr>
                <w:rFonts w:hint="default" w:ascii="Times New Roman" w:hAnsi="Times New Roman" w:eastAsia="宋体" w:cs="Times New Roman"/>
                <w:color w:val="000000" w:themeColor="text1"/>
                <w:sz w:val="21"/>
                <w:szCs w:val="21"/>
                <w14:textFill>
                  <w14:solidFill>
                    <w14:schemeClr w14:val="tx1"/>
                  </w14:solidFill>
                </w14:textFill>
              </w:rPr>
              <w:t>氧发酵工艺处理后，</w:t>
            </w:r>
            <w:r>
              <w:rPr>
                <w:rFonts w:hint="default" w:ascii="Times New Roman" w:hAnsi="Times New Roman" w:eastAsia="宋体" w:cs="Times New Roman"/>
                <w:color w:val="000000" w:themeColor="text1"/>
                <w:sz w:val="21"/>
                <w:szCs w:val="21"/>
                <w:lang w:eastAsia="zh-CN"/>
                <w14:textFill>
                  <w14:solidFill>
                    <w14:schemeClr w14:val="tx1"/>
                  </w14:solidFill>
                </w14:textFill>
              </w:rPr>
              <w:t>粪污</w:t>
            </w:r>
            <w:r>
              <w:rPr>
                <w:rFonts w:hint="default" w:ascii="Times New Roman" w:hAnsi="Times New Roman" w:eastAsia="宋体" w:cs="Times New Roman"/>
                <w:color w:val="000000" w:themeColor="text1"/>
                <w:sz w:val="21"/>
                <w:szCs w:val="21"/>
                <w14:textFill>
                  <w14:solidFill>
                    <w14:schemeClr w14:val="tx1"/>
                  </w14:solidFill>
                </w14:textFill>
              </w:rPr>
              <w:t>用作田间肥料”工艺对废水进行处理，处理后作为</w:t>
            </w:r>
            <w:r>
              <w:rPr>
                <w:rFonts w:hint="default" w:ascii="Times New Roman" w:hAnsi="Times New Roman" w:eastAsia="宋体" w:cs="Times New Roman"/>
                <w:color w:val="000000" w:themeColor="text1"/>
                <w:sz w:val="21"/>
                <w:szCs w:val="21"/>
                <w:lang w:eastAsia="zh-CN"/>
                <w14:textFill>
                  <w14:solidFill>
                    <w14:schemeClr w14:val="tx1"/>
                  </w14:solidFill>
                </w14:textFill>
              </w:rPr>
              <w:t>粪污</w:t>
            </w:r>
            <w:r>
              <w:rPr>
                <w:rFonts w:hint="default" w:ascii="Times New Roman" w:hAnsi="Times New Roman" w:eastAsia="宋体" w:cs="Times New Roman"/>
                <w:color w:val="000000" w:themeColor="text1"/>
                <w:sz w:val="21"/>
                <w:szCs w:val="21"/>
                <w14:textFill>
                  <w14:solidFill>
                    <w14:schemeClr w14:val="tx1"/>
                  </w14:solidFill>
                </w14:textFill>
              </w:rPr>
              <w:t>用于项目周边的农田施肥。</w:t>
            </w:r>
          </w:p>
        </w:tc>
        <w:tc>
          <w:tcPr>
            <w:tcW w:w="918" w:type="dxa"/>
            <w:vAlign w:val="center"/>
          </w:tcPr>
          <w:p w14:paraId="2A9C29EE">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80.0</w:t>
            </w:r>
          </w:p>
        </w:tc>
      </w:tr>
      <w:tr w14:paraId="35005F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28" w:hRule="atLeast"/>
          <w:jc w:val="center"/>
        </w:trPr>
        <w:tc>
          <w:tcPr>
            <w:tcW w:w="456" w:type="dxa"/>
            <w:vAlign w:val="center"/>
          </w:tcPr>
          <w:p w14:paraId="63460011">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噪声</w:t>
            </w:r>
          </w:p>
        </w:tc>
        <w:tc>
          <w:tcPr>
            <w:tcW w:w="1258" w:type="dxa"/>
            <w:vAlign w:val="center"/>
          </w:tcPr>
          <w:p w14:paraId="60A657D4">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噪声设备</w:t>
            </w:r>
          </w:p>
        </w:tc>
        <w:tc>
          <w:tcPr>
            <w:tcW w:w="1177" w:type="dxa"/>
            <w:vAlign w:val="center"/>
          </w:tcPr>
          <w:p w14:paraId="48AA92D9">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搅拌设备、泵类、风机等</w:t>
            </w:r>
          </w:p>
        </w:tc>
        <w:tc>
          <w:tcPr>
            <w:tcW w:w="5452" w:type="dxa"/>
            <w:vAlign w:val="center"/>
          </w:tcPr>
          <w:p w14:paraId="0E56F16C">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采取减振、消声、隔声、合理布局等降噪措施</w:t>
            </w:r>
          </w:p>
        </w:tc>
        <w:tc>
          <w:tcPr>
            <w:tcW w:w="918" w:type="dxa"/>
            <w:vAlign w:val="center"/>
          </w:tcPr>
          <w:p w14:paraId="014A03C3">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10.0</w:t>
            </w:r>
          </w:p>
        </w:tc>
      </w:tr>
      <w:tr w14:paraId="03E470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28" w:hRule="atLeast"/>
          <w:jc w:val="center"/>
        </w:trPr>
        <w:tc>
          <w:tcPr>
            <w:tcW w:w="456" w:type="dxa"/>
            <w:vMerge w:val="restart"/>
            <w:vAlign w:val="center"/>
          </w:tcPr>
          <w:p w14:paraId="1F92797C">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固废</w:t>
            </w:r>
          </w:p>
        </w:tc>
        <w:tc>
          <w:tcPr>
            <w:tcW w:w="1258" w:type="dxa"/>
            <w:vAlign w:val="center"/>
          </w:tcPr>
          <w:p w14:paraId="4129FEFC">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牛粪</w:t>
            </w:r>
          </w:p>
        </w:tc>
        <w:tc>
          <w:tcPr>
            <w:tcW w:w="1177" w:type="dxa"/>
            <w:vAlign w:val="center"/>
          </w:tcPr>
          <w:p w14:paraId="4A588079">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牛舍</w:t>
            </w:r>
          </w:p>
        </w:tc>
        <w:tc>
          <w:tcPr>
            <w:tcW w:w="5452" w:type="dxa"/>
            <w:vAlign w:val="center"/>
          </w:tcPr>
          <w:p w14:paraId="46326D33">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建设固液分离车间1座，牛粪污日产日清，清粪车运至固液分离车间固液分离后</w:t>
            </w:r>
            <w:r>
              <w:rPr>
                <w:rFonts w:hint="eastAsia" w:cs="Times New Roman"/>
                <w:color w:val="000000" w:themeColor="text1"/>
                <w:sz w:val="21"/>
                <w:szCs w:val="21"/>
                <w:lang w:eastAsia="zh-CN"/>
                <w14:textFill>
                  <w14:solidFill>
                    <w14:schemeClr w14:val="tx1"/>
                  </w14:solidFill>
                </w14:textFill>
              </w:rPr>
              <w:t>，</w:t>
            </w:r>
            <w:r>
              <w:rPr>
                <w:rFonts w:hint="eastAsia" w:cs="Times New Roman"/>
                <w:color w:val="000000" w:themeColor="text1"/>
                <w:sz w:val="21"/>
                <w:szCs w:val="21"/>
                <w:lang w:val="en-US" w:eastAsia="zh-CN"/>
                <w14:textFill>
                  <w14:solidFill>
                    <w14:schemeClr w14:val="tx1"/>
                  </w14:solidFill>
                </w14:textFill>
              </w:rPr>
              <w:t>用于</w:t>
            </w:r>
            <w:r>
              <w:rPr>
                <w:rFonts w:hint="default" w:ascii="Times New Roman" w:hAnsi="Times New Roman" w:eastAsia="宋体" w:cs="Times New Roman"/>
                <w:color w:val="000000" w:themeColor="text1"/>
                <w:sz w:val="21"/>
                <w:szCs w:val="21"/>
                <w14:textFill>
                  <w14:solidFill>
                    <w14:schemeClr w14:val="tx1"/>
                  </w14:solidFill>
                </w14:textFill>
              </w:rPr>
              <w:t>项目周边的农田施肥。</w:t>
            </w:r>
          </w:p>
        </w:tc>
        <w:tc>
          <w:tcPr>
            <w:tcW w:w="918" w:type="dxa"/>
            <w:vAlign w:val="center"/>
          </w:tcPr>
          <w:p w14:paraId="0B142327">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15.0</w:t>
            </w:r>
          </w:p>
        </w:tc>
      </w:tr>
      <w:tr w14:paraId="2296FA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39" w:hRule="atLeast"/>
          <w:jc w:val="center"/>
        </w:trPr>
        <w:tc>
          <w:tcPr>
            <w:tcW w:w="456" w:type="dxa"/>
            <w:vMerge w:val="continue"/>
            <w:vAlign w:val="center"/>
          </w:tcPr>
          <w:p w14:paraId="51C05E23">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258" w:type="dxa"/>
            <w:vAlign w:val="center"/>
          </w:tcPr>
          <w:p w14:paraId="158FC4A5">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废矿物油</w:t>
            </w:r>
          </w:p>
        </w:tc>
        <w:tc>
          <w:tcPr>
            <w:tcW w:w="1177" w:type="dxa"/>
            <w:vAlign w:val="center"/>
          </w:tcPr>
          <w:p w14:paraId="4DC686CA">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机修车间</w:t>
            </w:r>
          </w:p>
        </w:tc>
        <w:tc>
          <w:tcPr>
            <w:tcW w:w="5452" w:type="dxa"/>
            <w:vAlign w:val="center"/>
          </w:tcPr>
          <w:p w14:paraId="29CB0A14">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废矿物油由专用容器收集，暂存于危废暂存间，按《危险废</w:t>
            </w:r>
          </w:p>
          <w:p w14:paraId="638D9F4D">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物贮存污染控制标准》设置危险废物暂存库9m</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2</w:t>
            </w:r>
            <w:r>
              <w:rPr>
                <w:rFonts w:hint="default" w:ascii="Times New Roman" w:hAnsi="Times New Roman" w:eastAsia="宋体" w:cs="Times New Roman"/>
                <w:color w:val="000000" w:themeColor="text1"/>
                <w:sz w:val="21"/>
                <w:szCs w:val="21"/>
                <w14:textFill>
                  <w14:solidFill>
                    <w14:schemeClr w14:val="tx1"/>
                  </w14:solidFill>
                </w14:textFill>
              </w:rPr>
              <w:t>，定期委托有资质单位处理。</w:t>
            </w:r>
          </w:p>
        </w:tc>
        <w:tc>
          <w:tcPr>
            <w:tcW w:w="918" w:type="dxa"/>
            <w:vAlign w:val="center"/>
          </w:tcPr>
          <w:p w14:paraId="7336F5D9">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5.0</w:t>
            </w:r>
          </w:p>
        </w:tc>
      </w:tr>
      <w:tr w14:paraId="0BB922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39" w:hRule="atLeast"/>
          <w:jc w:val="center"/>
        </w:trPr>
        <w:tc>
          <w:tcPr>
            <w:tcW w:w="456" w:type="dxa"/>
            <w:vMerge w:val="continue"/>
            <w:vAlign w:val="center"/>
          </w:tcPr>
          <w:p w14:paraId="683E7194">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258" w:type="dxa"/>
            <w:vAlign w:val="center"/>
          </w:tcPr>
          <w:p w14:paraId="5448FA3E">
            <w:pPr>
              <w:ind w:firstLine="0" w:firstLineChars="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酸碱液桶</w:t>
            </w:r>
          </w:p>
        </w:tc>
        <w:tc>
          <w:tcPr>
            <w:tcW w:w="1177" w:type="dxa"/>
            <w:vAlign w:val="center"/>
          </w:tcPr>
          <w:p w14:paraId="341BC151">
            <w:pPr>
              <w:ind w:firstLine="0" w:firstLineChars="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挤奶厅</w:t>
            </w:r>
          </w:p>
        </w:tc>
        <w:tc>
          <w:tcPr>
            <w:tcW w:w="5452" w:type="dxa"/>
            <w:vAlign w:val="center"/>
          </w:tcPr>
          <w:p w14:paraId="3E01C849">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暂存于危废暂存间，按《危险废物贮存污染控制标准》设置危险废物暂存库9m</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2</w:t>
            </w:r>
            <w:r>
              <w:rPr>
                <w:rFonts w:hint="default" w:ascii="Times New Roman" w:hAnsi="Times New Roman" w:eastAsia="宋体" w:cs="Times New Roman"/>
                <w:color w:val="000000" w:themeColor="text1"/>
                <w:sz w:val="21"/>
                <w:szCs w:val="21"/>
                <w14:textFill>
                  <w14:solidFill>
                    <w14:schemeClr w14:val="tx1"/>
                  </w14:solidFill>
                </w14:textFill>
              </w:rPr>
              <w:t>，定期委托有资质单位处理。</w:t>
            </w:r>
          </w:p>
        </w:tc>
        <w:tc>
          <w:tcPr>
            <w:tcW w:w="918" w:type="dxa"/>
            <w:vAlign w:val="center"/>
          </w:tcPr>
          <w:p w14:paraId="087B098B">
            <w:pPr>
              <w:ind w:firstLine="0" w:firstLineChars="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w:t>
            </w:r>
          </w:p>
        </w:tc>
      </w:tr>
      <w:tr w14:paraId="1EB17E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28" w:hRule="atLeast"/>
          <w:jc w:val="center"/>
        </w:trPr>
        <w:tc>
          <w:tcPr>
            <w:tcW w:w="456" w:type="dxa"/>
            <w:vMerge w:val="continue"/>
            <w:vAlign w:val="center"/>
          </w:tcPr>
          <w:p w14:paraId="5D68EDA3">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258" w:type="dxa"/>
            <w:vAlign w:val="center"/>
          </w:tcPr>
          <w:p w14:paraId="64B435C4">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防疫废物</w:t>
            </w:r>
          </w:p>
        </w:tc>
        <w:tc>
          <w:tcPr>
            <w:tcW w:w="1177" w:type="dxa"/>
            <w:vAlign w:val="center"/>
          </w:tcPr>
          <w:p w14:paraId="48243D32">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牛只医治、防疫</w:t>
            </w:r>
          </w:p>
        </w:tc>
        <w:tc>
          <w:tcPr>
            <w:tcW w:w="5452" w:type="dxa"/>
            <w:vAlign w:val="center"/>
          </w:tcPr>
          <w:p w14:paraId="0138AA8F">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消毒，密封装袋，按《危险废物贮存污染控制标准》设置医疗废物暂存库</w:t>
            </w:r>
            <w:r>
              <w:rPr>
                <w:rFonts w:hint="eastAsia" w:cs="Times New Roman"/>
                <w:color w:val="000000" w:themeColor="text1"/>
                <w:sz w:val="21"/>
                <w:szCs w:val="21"/>
                <w:lang w:val="en-US" w:eastAsia="zh-CN"/>
                <w14:textFill>
                  <w14:solidFill>
                    <w14:schemeClr w14:val="tx1"/>
                  </w14:solidFill>
                </w14:textFill>
              </w:rPr>
              <w:t>20</w:t>
            </w:r>
            <w:r>
              <w:rPr>
                <w:rFonts w:hint="default" w:ascii="Times New Roman" w:hAnsi="Times New Roman" w:eastAsia="宋体" w:cs="Times New Roman"/>
                <w:color w:val="000000" w:themeColor="text1"/>
                <w:sz w:val="21"/>
                <w:szCs w:val="21"/>
                <w14:textFill>
                  <w14:solidFill>
                    <w14:schemeClr w14:val="tx1"/>
                  </w14:solidFill>
                </w14:textFill>
              </w:rPr>
              <w:t>m</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2</w:t>
            </w:r>
            <w:r>
              <w:rPr>
                <w:rFonts w:hint="default" w:ascii="Times New Roman" w:hAnsi="Times New Roman" w:eastAsia="宋体" w:cs="Times New Roman"/>
                <w:color w:val="000000" w:themeColor="text1"/>
                <w:sz w:val="21"/>
                <w:szCs w:val="21"/>
                <w14:textFill>
                  <w14:solidFill>
                    <w14:schemeClr w14:val="tx1"/>
                  </w14:solidFill>
                </w14:textFill>
              </w:rPr>
              <w:t>，定期委托有资质单位处理。</w:t>
            </w:r>
          </w:p>
        </w:tc>
        <w:tc>
          <w:tcPr>
            <w:tcW w:w="918" w:type="dxa"/>
            <w:vAlign w:val="center"/>
          </w:tcPr>
          <w:p w14:paraId="4BB4CD53">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5.0</w:t>
            </w:r>
          </w:p>
        </w:tc>
      </w:tr>
      <w:tr w14:paraId="686C7B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6" w:hRule="atLeast"/>
          <w:jc w:val="center"/>
        </w:trPr>
        <w:tc>
          <w:tcPr>
            <w:tcW w:w="456" w:type="dxa"/>
            <w:vMerge w:val="continue"/>
            <w:vAlign w:val="center"/>
          </w:tcPr>
          <w:p w14:paraId="3315B973">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258" w:type="dxa"/>
            <w:vAlign w:val="center"/>
          </w:tcPr>
          <w:p w14:paraId="7A9CB17B">
            <w:pPr>
              <w:ind w:firstLine="0" w:firstLineChars="0"/>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eastAsia" w:cs="Times New Roman"/>
                <w:color w:val="000000" w:themeColor="text1"/>
                <w:sz w:val="21"/>
                <w:szCs w:val="21"/>
                <w:lang w:eastAsia="zh-CN"/>
                <w14:textFill>
                  <w14:solidFill>
                    <w14:schemeClr w14:val="tx1"/>
                  </w14:solidFill>
                </w14:textFill>
              </w:rPr>
              <w:t>粪渣</w:t>
            </w:r>
          </w:p>
        </w:tc>
        <w:tc>
          <w:tcPr>
            <w:tcW w:w="1177" w:type="dxa"/>
            <w:vMerge w:val="restart"/>
            <w:vAlign w:val="center"/>
          </w:tcPr>
          <w:p w14:paraId="364ABCA7">
            <w:pPr>
              <w:ind w:firstLine="0" w:firstLineChars="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粪污处理区</w:t>
            </w:r>
          </w:p>
        </w:tc>
        <w:tc>
          <w:tcPr>
            <w:tcW w:w="5452" w:type="dxa"/>
            <w:vMerge w:val="restart"/>
            <w:vAlign w:val="center"/>
          </w:tcPr>
          <w:p w14:paraId="2C67CFFA">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固液分离后</w:t>
            </w:r>
            <w:r>
              <w:rPr>
                <w:rFonts w:hint="eastAsia" w:cs="Times New Roman"/>
                <w:color w:val="000000" w:themeColor="text1"/>
                <w:sz w:val="21"/>
                <w:szCs w:val="21"/>
                <w:lang w:eastAsia="zh-CN"/>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项目周边的农田施肥。</w:t>
            </w:r>
          </w:p>
        </w:tc>
        <w:tc>
          <w:tcPr>
            <w:tcW w:w="918" w:type="dxa"/>
            <w:vMerge w:val="restart"/>
            <w:vAlign w:val="center"/>
          </w:tcPr>
          <w:p w14:paraId="25569823">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5.0</w:t>
            </w:r>
          </w:p>
        </w:tc>
      </w:tr>
      <w:tr w14:paraId="72BEDA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6" w:hRule="atLeast"/>
          <w:jc w:val="center"/>
        </w:trPr>
        <w:tc>
          <w:tcPr>
            <w:tcW w:w="456" w:type="dxa"/>
            <w:vMerge w:val="continue"/>
            <w:vAlign w:val="center"/>
          </w:tcPr>
          <w:p w14:paraId="28A614B8">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258" w:type="dxa"/>
            <w:vAlign w:val="center"/>
          </w:tcPr>
          <w:p w14:paraId="6B485ACD">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沉淀池沉渣</w:t>
            </w:r>
          </w:p>
        </w:tc>
        <w:tc>
          <w:tcPr>
            <w:tcW w:w="1177" w:type="dxa"/>
            <w:vMerge w:val="continue"/>
            <w:vAlign w:val="center"/>
          </w:tcPr>
          <w:p w14:paraId="6FA102E0">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5452" w:type="dxa"/>
            <w:vMerge w:val="continue"/>
            <w:vAlign w:val="center"/>
          </w:tcPr>
          <w:p w14:paraId="274FC404">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918" w:type="dxa"/>
            <w:vMerge w:val="continue"/>
            <w:vAlign w:val="center"/>
          </w:tcPr>
          <w:p w14:paraId="2EF80DBA">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r>
      <w:tr w14:paraId="2426FB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8" w:hRule="atLeast"/>
          <w:jc w:val="center"/>
        </w:trPr>
        <w:tc>
          <w:tcPr>
            <w:tcW w:w="456" w:type="dxa"/>
            <w:vMerge w:val="continue"/>
            <w:vAlign w:val="center"/>
          </w:tcPr>
          <w:p w14:paraId="3F98FF7E">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258" w:type="dxa"/>
            <w:vAlign w:val="center"/>
          </w:tcPr>
          <w:p w14:paraId="6F0BFA90">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生活垃圾</w:t>
            </w:r>
          </w:p>
        </w:tc>
        <w:tc>
          <w:tcPr>
            <w:tcW w:w="1177" w:type="dxa"/>
            <w:vAlign w:val="center"/>
          </w:tcPr>
          <w:p w14:paraId="3C88277B">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办公生活</w:t>
            </w:r>
          </w:p>
        </w:tc>
        <w:tc>
          <w:tcPr>
            <w:tcW w:w="5452" w:type="dxa"/>
            <w:vAlign w:val="center"/>
          </w:tcPr>
          <w:p w14:paraId="445E00FD">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厂区设封闭式垃圾收集箱收集，定期清运至附近垃圾转运站</w:t>
            </w:r>
          </w:p>
        </w:tc>
        <w:tc>
          <w:tcPr>
            <w:tcW w:w="918" w:type="dxa"/>
            <w:vAlign w:val="center"/>
          </w:tcPr>
          <w:p w14:paraId="530D2671">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1.0</w:t>
            </w:r>
          </w:p>
        </w:tc>
      </w:tr>
      <w:tr w14:paraId="59E97D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27" w:hRule="atLeast"/>
          <w:jc w:val="center"/>
        </w:trPr>
        <w:tc>
          <w:tcPr>
            <w:tcW w:w="456" w:type="dxa"/>
            <w:vMerge w:val="continue"/>
            <w:vAlign w:val="center"/>
          </w:tcPr>
          <w:p w14:paraId="00983243">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258" w:type="dxa"/>
            <w:vAlign w:val="center"/>
          </w:tcPr>
          <w:p w14:paraId="5EFF1F6A">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病死牛、胎衣</w:t>
            </w:r>
          </w:p>
        </w:tc>
        <w:tc>
          <w:tcPr>
            <w:tcW w:w="1177" w:type="dxa"/>
            <w:vAlign w:val="center"/>
          </w:tcPr>
          <w:p w14:paraId="776C5665">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养殖过程牛只死亡、胎衣</w:t>
            </w:r>
          </w:p>
        </w:tc>
        <w:tc>
          <w:tcPr>
            <w:tcW w:w="5452" w:type="dxa"/>
            <w:vAlign w:val="center"/>
          </w:tcPr>
          <w:p w14:paraId="41B0E2BC">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低温暂存库暂存，委托无害化处理企业处置。</w:t>
            </w:r>
          </w:p>
        </w:tc>
        <w:tc>
          <w:tcPr>
            <w:tcW w:w="918" w:type="dxa"/>
            <w:vAlign w:val="center"/>
          </w:tcPr>
          <w:p w14:paraId="5894D8E3">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5.0</w:t>
            </w:r>
          </w:p>
        </w:tc>
      </w:tr>
      <w:tr w14:paraId="480E11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28" w:hRule="atLeast"/>
          <w:jc w:val="center"/>
        </w:trPr>
        <w:tc>
          <w:tcPr>
            <w:tcW w:w="456" w:type="dxa"/>
            <w:vAlign w:val="center"/>
          </w:tcPr>
          <w:p w14:paraId="7DB0F8BF">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地下</w:t>
            </w:r>
          </w:p>
          <w:p w14:paraId="17147A14">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水</w:t>
            </w:r>
          </w:p>
        </w:tc>
        <w:tc>
          <w:tcPr>
            <w:tcW w:w="1258" w:type="dxa"/>
            <w:vAlign w:val="center"/>
          </w:tcPr>
          <w:p w14:paraId="226D2709">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地下水</w:t>
            </w:r>
          </w:p>
          <w:p w14:paraId="28C5C730">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监控井</w:t>
            </w:r>
          </w:p>
        </w:tc>
        <w:tc>
          <w:tcPr>
            <w:tcW w:w="6629" w:type="dxa"/>
            <w:gridSpan w:val="2"/>
            <w:vAlign w:val="center"/>
          </w:tcPr>
          <w:p w14:paraId="62CCE483">
            <w:pPr>
              <w:ind w:firstLine="0" w:firstLineChars="0"/>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布设</w:t>
            </w:r>
            <w:r>
              <w:rPr>
                <w:rFonts w:hint="eastAsia" w:cs="Times New Roman"/>
                <w:color w:val="000000" w:themeColor="text1"/>
                <w:sz w:val="21"/>
                <w:szCs w:val="21"/>
                <w:lang w:val="en-US" w:eastAsia="zh-CN"/>
                <w14:textFill>
                  <w14:solidFill>
                    <w14:schemeClr w14:val="tx1"/>
                  </w14:solidFill>
                </w14:textFill>
              </w:rPr>
              <w:t>1</w:t>
            </w:r>
            <w:r>
              <w:rPr>
                <w:rFonts w:hint="default" w:ascii="Times New Roman" w:hAnsi="Times New Roman" w:eastAsia="宋体" w:cs="Times New Roman"/>
                <w:color w:val="000000" w:themeColor="text1"/>
                <w:sz w:val="21"/>
                <w:szCs w:val="21"/>
                <w14:textFill>
                  <w14:solidFill>
                    <w14:schemeClr w14:val="tx1"/>
                  </w14:solidFill>
                </w14:textFill>
              </w:rPr>
              <w:t>个监控井：厂区</w:t>
            </w:r>
            <w:r>
              <w:rPr>
                <w:rFonts w:hint="eastAsia" w:cs="Times New Roman"/>
                <w:color w:val="000000" w:themeColor="text1"/>
                <w:sz w:val="21"/>
                <w:szCs w:val="21"/>
                <w:lang w:val="en-US" w:eastAsia="zh-CN"/>
                <w14:textFill>
                  <w14:solidFill>
                    <w14:schemeClr w14:val="tx1"/>
                  </w14:solidFill>
                </w14:textFill>
              </w:rPr>
              <w:t>粪污处理区</w:t>
            </w:r>
            <w:r>
              <w:rPr>
                <w:rFonts w:hint="default" w:ascii="Times New Roman" w:hAnsi="Times New Roman" w:eastAsia="宋体" w:cs="Times New Roman"/>
                <w:color w:val="000000" w:themeColor="text1"/>
                <w:sz w:val="21"/>
                <w:szCs w:val="21"/>
                <w:lang w:eastAsia="zh-CN"/>
                <w14:textFill>
                  <w14:solidFill>
                    <w14:schemeClr w14:val="tx1"/>
                  </w14:solidFill>
                </w14:textFill>
              </w:rPr>
              <w:t>下游</w:t>
            </w:r>
            <w:r>
              <w:rPr>
                <w:rFonts w:hint="default" w:ascii="Times New Roman" w:hAnsi="Times New Roman" w:eastAsia="宋体" w:cs="Times New Roman"/>
                <w:color w:val="000000" w:themeColor="text1"/>
                <w:sz w:val="21"/>
                <w:szCs w:val="21"/>
                <w14:textFill>
                  <w14:solidFill>
                    <w14:schemeClr w14:val="tx1"/>
                  </w14:solidFill>
                </w14:textFill>
              </w:rPr>
              <w:t>设1眼监控井</w:t>
            </w:r>
          </w:p>
        </w:tc>
        <w:tc>
          <w:tcPr>
            <w:tcW w:w="918" w:type="dxa"/>
            <w:vAlign w:val="center"/>
          </w:tcPr>
          <w:p w14:paraId="558558B8">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12.0</w:t>
            </w:r>
          </w:p>
        </w:tc>
      </w:tr>
      <w:tr w14:paraId="0A37D1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299" w:hRule="atLeast"/>
          <w:jc w:val="center"/>
        </w:trPr>
        <w:tc>
          <w:tcPr>
            <w:tcW w:w="456" w:type="dxa"/>
            <w:vAlign w:val="center"/>
          </w:tcPr>
          <w:p w14:paraId="0B1A2479">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防渗</w:t>
            </w:r>
          </w:p>
        </w:tc>
        <w:tc>
          <w:tcPr>
            <w:tcW w:w="1258" w:type="dxa"/>
            <w:vAlign w:val="center"/>
          </w:tcPr>
          <w:p w14:paraId="3BF616A3">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防渗工程</w:t>
            </w:r>
          </w:p>
        </w:tc>
        <w:tc>
          <w:tcPr>
            <w:tcW w:w="6629" w:type="dxa"/>
            <w:gridSpan w:val="2"/>
            <w:vAlign w:val="center"/>
          </w:tcPr>
          <w:p w14:paraId="0D6B00E2">
            <w:pPr>
              <w:ind w:firstLine="0" w:firstLineChars="0"/>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①重点防渗区</w:t>
            </w:r>
          </w:p>
          <w:p w14:paraId="58CE6491">
            <w:pPr>
              <w:ind w:firstLine="0" w:firstLineChars="0"/>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项目危废暂存间、</w:t>
            </w:r>
            <w:r>
              <w:rPr>
                <w:rFonts w:hint="eastAsia" w:cs="Times New Roman"/>
                <w:color w:val="000000" w:themeColor="text1"/>
                <w:sz w:val="21"/>
                <w:szCs w:val="21"/>
                <w:lang w:val="en-US" w:eastAsia="zh-CN"/>
                <w14:textFill>
                  <w14:solidFill>
                    <w14:schemeClr w14:val="tx1"/>
                  </w14:solidFill>
                </w14:textFill>
              </w:rPr>
              <w:t>医废间等</w:t>
            </w:r>
            <w:r>
              <w:rPr>
                <w:rFonts w:hint="default" w:ascii="Times New Roman" w:hAnsi="Times New Roman" w:eastAsia="宋体" w:cs="Times New Roman"/>
                <w:color w:val="000000" w:themeColor="text1"/>
                <w:sz w:val="21"/>
                <w:szCs w:val="21"/>
                <w14:textFill>
                  <w14:solidFill>
                    <w14:schemeClr w14:val="tx1"/>
                  </w14:solidFill>
                </w14:textFill>
              </w:rPr>
              <w:t>防渗</w:t>
            </w:r>
            <w:r>
              <w:rPr>
                <w:rFonts w:hint="eastAsia" w:cs="Times New Roman"/>
                <w:color w:val="000000" w:themeColor="text1"/>
                <w:sz w:val="21"/>
                <w:szCs w:val="21"/>
                <w:lang w:eastAsia="zh-CN"/>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采用防渗混凝土+高密度聚乙烯膜（至少2mm厚、渗透系数不高于1.0×10</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-10</w:t>
            </w:r>
            <w:r>
              <w:rPr>
                <w:rFonts w:hint="default" w:ascii="Times New Roman" w:hAnsi="Times New Roman" w:eastAsia="宋体" w:cs="Times New Roman"/>
                <w:color w:val="000000" w:themeColor="text1"/>
                <w:sz w:val="21"/>
                <w:szCs w:val="21"/>
                <w14:textFill>
                  <w14:solidFill>
                    <w14:schemeClr w14:val="tx1"/>
                  </w14:solidFill>
                </w14:textFill>
              </w:rPr>
              <w:t>cm/s的HDPE膜作为防渗层）；</w:t>
            </w:r>
          </w:p>
          <w:p w14:paraId="18AF785F">
            <w:pPr>
              <w:ind w:firstLine="0" w:firstLineChars="0"/>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项目固液分离车间、收集沉淀池、氧化塘防渗按照《环境影响评价技术导则地下水环境》（HJ610</w:t>
            </w:r>
            <w:r>
              <w:rPr>
                <w:rFonts w:hint="eastAsia" w:cs="Times New Roman"/>
                <w:color w:val="000000" w:themeColor="text1"/>
                <w:sz w:val="21"/>
                <w:szCs w:val="21"/>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2016）的重点防渗区要求，达到等效黏土防渗层Mb≥6.0m，K≤1×10</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-7</w:t>
            </w:r>
            <w:r>
              <w:rPr>
                <w:rFonts w:hint="default" w:ascii="Times New Roman" w:hAnsi="Times New Roman" w:eastAsia="宋体" w:cs="Times New Roman"/>
                <w:color w:val="000000" w:themeColor="text1"/>
                <w:sz w:val="21"/>
                <w:szCs w:val="21"/>
                <w14:textFill>
                  <w14:solidFill>
                    <w14:schemeClr w14:val="tx1"/>
                  </w14:solidFill>
                </w14:textFill>
              </w:rPr>
              <w:t>cm/s。重点防渗区的防渗技术要求：等效黏土防渗层Mb≥6.0m，K≤1×10</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-7</w:t>
            </w:r>
            <w:r>
              <w:rPr>
                <w:rFonts w:hint="default" w:ascii="Times New Roman" w:hAnsi="Times New Roman" w:eastAsia="宋体" w:cs="Times New Roman"/>
                <w:color w:val="000000" w:themeColor="text1"/>
                <w:sz w:val="21"/>
                <w:szCs w:val="21"/>
                <w14:textFill>
                  <w14:solidFill>
                    <w14:schemeClr w14:val="tx1"/>
                  </w14:solidFill>
                </w14:textFill>
              </w:rPr>
              <w:t>cm/s。重点防渗区除对地坪地基采取上述防渗措施外，进一步采取如下的措施：高密度聚乙烯膜（至少2mm厚、渗透系数不高于1.0×10</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-10</w:t>
            </w:r>
            <w:r>
              <w:rPr>
                <w:rFonts w:hint="default" w:ascii="Times New Roman" w:hAnsi="Times New Roman" w:eastAsia="宋体" w:cs="Times New Roman"/>
                <w:color w:val="000000" w:themeColor="text1"/>
                <w:sz w:val="21"/>
                <w:szCs w:val="21"/>
                <w14:textFill>
                  <w14:solidFill>
                    <w14:schemeClr w14:val="tx1"/>
                  </w14:solidFill>
                </w14:textFill>
              </w:rPr>
              <w:t>cm/s的HDPE膜作为防渗层）；</w:t>
            </w:r>
          </w:p>
          <w:p w14:paraId="27C65819">
            <w:pPr>
              <w:ind w:firstLine="0" w:firstLineChars="0"/>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②一般防渗区</w:t>
            </w:r>
          </w:p>
          <w:p w14:paraId="6EBB9FD6">
            <w:pPr>
              <w:ind w:firstLine="0" w:firstLineChars="0"/>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一般污染防渗区是指污染较容易控制的区域，包括各类牛舍、消毒更衣间、青贮窖、青贮液收集池等。一般防渗区根据《环境影响评价技术导则地下水环境》（HJ610-2016）的防渗技术要求：等效黏土防渗层Mb≥1.5m，K≤1×10</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-7</w:t>
            </w:r>
            <w:r>
              <w:rPr>
                <w:rFonts w:hint="default" w:ascii="Times New Roman" w:hAnsi="Times New Roman" w:eastAsia="宋体" w:cs="Times New Roman"/>
                <w:color w:val="000000" w:themeColor="text1"/>
                <w:sz w:val="21"/>
                <w:szCs w:val="21"/>
                <w14:textFill>
                  <w14:solidFill>
                    <w14:schemeClr w14:val="tx1"/>
                  </w14:solidFill>
                </w14:textFill>
              </w:rPr>
              <w:t>cm/s。</w:t>
            </w:r>
          </w:p>
          <w:p w14:paraId="442F4D17">
            <w:pPr>
              <w:ind w:firstLine="0" w:firstLineChars="0"/>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③干草棚、精料库、办公生活区等设置为简单防渗区。</w:t>
            </w:r>
          </w:p>
        </w:tc>
        <w:tc>
          <w:tcPr>
            <w:tcW w:w="918" w:type="dxa"/>
            <w:vAlign w:val="center"/>
          </w:tcPr>
          <w:p w14:paraId="6B2D7A5F">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100.0</w:t>
            </w:r>
          </w:p>
        </w:tc>
      </w:tr>
      <w:tr w14:paraId="41D2C4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343" w:type="dxa"/>
            <w:gridSpan w:val="4"/>
            <w:vAlign w:val="center"/>
          </w:tcPr>
          <w:p w14:paraId="0E64DB4B">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合计</w:t>
            </w:r>
          </w:p>
        </w:tc>
        <w:tc>
          <w:tcPr>
            <w:tcW w:w="918" w:type="dxa"/>
            <w:vAlign w:val="center"/>
          </w:tcPr>
          <w:p w14:paraId="5D52DEE0">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301.0</w:t>
            </w:r>
          </w:p>
        </w:tc>
      </w:tr>
    </w:tbl>
    <w:p w14:paraId="5C7F38DB">
      <w:pPr>
        <w:ind w:firstLine="0" w:firstLineChars="0"/>
        <w:outlineLvl w:val="1"/>
        <w:rPr>
          <w:rFonts w:hint="default" w:ascii="Times New Roman" w:hAnsi="Times New Roman" w:eastAsia="宋体" w:cs="Times New Roman"/>
          <w:b/>
          <w:bCs/>
          <w:color w:val="000000" w:themeColor="text1"/>
          <w:sz w:val="28"/>
          <w:szCs w:val="28"/>
          <w14:textFill>
            <w14:solidFill>
              <w14:schemeClr w14:val="tx1"/>
            </w14:solidFill>
          </w14:textFill>
        </w:rPr>
      </w:pPr>
      <w:bookmarkStart w:id="416" w:name="bookmark62"/>
      <w:bookmarkEnd w:id="416"/>
      <w:bookmarkStart w:id="417" w:name="_Toc24664"/>
      <w:r>
        <w:rPr>
          <w:rFonts w:hint="default" w:ascii="Times New Roman" w:hAnsi="Times New Roman" w:eastAsia="宋体" w:cs="Times New Roman"/>
          <w:b/>
          <w:bCs/>
          <w:color w:val="000000" w:themeColor="text1"/>
          <w:sz w:val="28"/>
          <w:szCs w:val="28"/>
          <w14:textFill>
            <w14:solidFill>
              <w14:schemeClr w14:val="tx1"/>
            </w14:solidFill>
          </w14:textFill>
        </w:rPr>
        <w:t>8.4环境经济效益综合评述</w:t>
      </w:r>
      <w:bookmarkEnd w:id="417"/>
    </w:p>
    <w:p w14:paraId="156AF83A">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（1）本项目建成后，不仅增加了地方的财政收入，而且还能为企业积累大量资金，经济效益较好。</w:t>
      </w:r>
    </w:p>
    <w:p w14:paraId="53150066">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2）拟建工程完成后，增强了企业的生存竞争能力，促进了当地的经济发展并通过一系列的环境保护和生态恢复措施缓解了对区域的环境污染，增加了当地农牧民的经济收入，提高了公众的生活质量，维持了社会稳定，社会效益较好。</w:t>
      </w:r>
    </w:p>
    <w:p w14:paraId="21149677">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（3）本项目在严格落实可研和环评提出的各项污染防治措施后，能够保证达标排放，具有环境效益。</w:t>
      </w:r>
    </w:p>
    <w:p w14:paraId="4B7780AE">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通过对本项目在经济效益、环境效益和社会效益三方面的分析，可以看出，本项目的建设能够达到“三效益”的和谐统一发展，项目是可行的。</w:t>
      </w:r>
    </w:p>
    <w:p w14:paraId="43370C74">
      <w:pPr>
        <w:spacing w:line="220" w:lineRule="auto"/>
        <w:ind w:firstLine="480"/>
        <w:rPr>
          <w:rFonts w:hint="default" w:ascii="Times New Roman" w:hAnsi="Times New Roman" w:eastAsia="宋体" w:cs="Times New Roman"/>
          <w:color w:val="000000" w:themeColor="text1"/>
          <w14:textFill>
            <w14:solidFill>
              <w14:schemeClr w14:val="tx1"/>
            </w14:solidFill>
          </w14:textFill>
        </w:rPr>
        <w:sectPr>
          <w:footerReference r:id="rId18" w:type="default"/>
          <w:pgSz w:w="11906" w:h="16839"/>
          <w:pgMar w:top="1431" w:right="1576" w:bottom="1259" w:left="1584" w:header="964" w:footer="794" w:gutter="0"/>
          <w:pgNumType w:fmt="decimal"/>
          <w:cols w:space="720" w:num="1"/>
        </w:sectPr>
      </w:pPr>
    </w:p>
    <w:p w14:paraId="725DBB19">
      <w:pPr>
        <w:pStyle w:val="11"/>
        <w:ind w:firstLine="0" w:firstLineChars="0"/>
        <w:outlineLvl w:val="0"/>
        <w:rPr>
          <w:rFonts w:hint="default" w:ascii="Times New Roman" w:hAnsi="Times New Roman" w:eastAsia="宋体" w:cs="Times New Roman"/>
          <w:b/>
          <w:bCs/>
          <w:color w:val="000000" w:themeColor="text1"/>
          <w:sz w:val="30"/>
          <w:szCs w:val="30"/>
          <w:lang w:eastAsia="zh-CN"/>
          <w14:textFill>
            <w14:solidFill>
              <w14:schemeClr w14:val="tx1"/>
            </w14:solidFill>
          </w14:textFill>
        </w:rPr>
      </w:pPr>
      <w:bookmarkStart w:id="418" w:name="bookmark63"/>
      <w:bookmarkEnd w:id="418"/>
      <w:bookmarkStart w:id="419" w:name="_Toc25420"/>
      <w:r>
        <w:rPr>
          <w:rFonts w:hint="default" w:ascii="Times New Roman" w:hAnsi="Times New Roman" w:eastAsia="宋体" w:cs="Times New Roman"/>
          <w:b/>
          <w:bCs/>
          <w:color w:val="000000" w:themeColor="text1"/>
          <w:sz w:val="30"/>
          <w:szCs w:val="30"/>
          <w:lang w:eastAsia="zh-CN"/>
          <w14:textFill>
            <w14:solidFill>
              <w14:schemeClr w14:val="tx1"/>
            </w14:solidFill>
          </w14:textFill>
        </w:rPr>
        <w:t>9环境管理与监测计划</w:t>
      </w:r>
      <w:bookmarkEnd w:id="419"/>
    </w:p>
    <w:p w14:paraId="4116072C">
      <w:pPr>
        <w:ind w:firstLine="0" w:firstLineChars="0"/>
        <w:outlineLvl w:val="1"/>
        <w:rPr>
          <w:rFonts w:hint="default" w:ascii="Times New Roman" w:hAnsi="Times New Roman" w:eastAsia="宋体" w:cs="Times New Roman"/>
          <w:b/>
          <w:bCs/>
          <w:color w:val="000000" w:themeColor="text1"/>
          <w:sz w:val="28"/>
          <w:szCs w:val="28"/>
          <w14:textFill>
            <w14:solidFill>
              <w14:schemeClr w14:val="tx1"/>
            </w14:solidFill>
          </w14:textFill>
        </w:rPr>
      </w:pPr>
      <w:bookmarkStart w:id="420" w:name="_Toc22967"/>
      <w:r>
        <w:rPr>
          <w:rFonts w:hint="default" w:ascii="Times New Roman" w:hAnsi="Times New Roman" w:eastAsia="宋体" w:cs="Times New Roman"/>
          <w:b/>
          <w:bCs/>
          <w:color w:val="000000" w:themeColor="text1"/>
          <w:sz w:val="28"/>
          <w:szCs w:val="28"/>
          <w14:textFill>
            <w14:solidFill>
              <w14:schemeClr w14:val="tx1"/>
            </w14:solidFill>
          </w14:textFill>
        </w:rPr>
        <w:t>9.1环境管理</w:t>
      </w:r>
      <w:bookmarkEnd w:id="420"/>
    </w:p>
    <w:p w14:paraId="220CF74F">
      <w:pPr>
        <w:ind w:firstLine="480"/>
        <w:outlineLvl w:val="2"/>
        <w:rPr>
          <w:rFonts w:hint="default" w:ascii="Times New Roman" w:hAnsi="Times New Roman" w:eastAsia="宋体" w:cs="Times New Roman"/>
          <w:color w:val="000000" w:themeColor="text1"/>
          <w14:textFill>
            <w14:solidFill>
              <w14:schemeClr w14:val="tx1"/>
            </w14:solidFill>
          </w14:textFill>
        </w:rPr>
      </w:pPr>
      <w:bookmarkStart w:id="421" w:name="_Toc23693"/>
      <w:r>
        <w:rPr>
          <w:rFonts w:hint="default" w:ascii="Times New Roman" w:hAnsi="Times New Roman" w:eastAsia="宋体" w:cs="Times New Roman"/>
          <w:color w:val="000000" w:themeColor="text1"/>
          <w14:textFill>
            <w14:solidFill>
              <w14:schemeClr w14:val="tx1"/>
            </w14:solidFill>
          </w14:textFill>
        </w:rPr>
        <w:t>9.1.1环境管理职责</w:t>
      </w:r>
      <w:bookmarkEnd w:id="421"/>
    </w:p>
    <w:p w14:paraId="58568713">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环境管理的目的是对损坏环境质量的人为活动施加影响，以协调经济与环境的关系，既达到发展经济满足人类的需要，又不超出环境容量的限制。建设工程对环境的影响主要来自施工期、运行期的各种作业活动及运营期的风险事故。无论是各种作业活动，还是事故，都将会给自然生态环境和人们的生产生活带来较大的影响，为最大限度地减轻施工作业及养牛舍运营过程中对环境的影响，确保养牛舍安全运行，建立科学有效的环境管理体制，落实各项环保和安全措施显得尤为重要。通过建立环境管理体系，提高员工环保意识、规范企业管理、推行清洁生产，实现污染预防，来实现环境效益、社会效益和经济效益的统一。</w:t>
      </w:r>
    </w:p>
    <w:p w14:paraId="268062E5">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根据《建设项目环境保护设计规范》的要求，随着本项目工程的实施，该工程项目建立以养牛舍场长负责兼管环保工作、各职能部门各负其责的环境管理体系，设置环保科，配有科长及科员，并配有一定的监测仪器和设备，环保科负责全厂环境管理、环境监测及环保制度的贯彻落实。其职责如下：</w:t>
      </w:r>
    </w:p>
    <w:p w14:paraId="0A9E47A7">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（1）贯彻执行环境保护政策、法规及标准，制定本项目的环境管理办法（包括生态环境管理办法）；</w:t>
      </w:r>
    </w:p>
    <w:p w14:paraId="6AA45F00">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（2）建立建全企业的环境管理制度，并实施检查和监督工作；</w:t>
      </w:r>
    </w:p>
    <w:p w14:paraId="1512FF7C">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（3）拟定企业的环保工作计划并进行实施，配合企业领导完成环境保护责任目标；（4）领导并组织企业环境监测工作，检查环境保护设施的运行情况，建立监控档案；</w:t>
      </w:r>
    </w:p>
    <w:p w14:paraId="06D53961">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（5）协调企业所在区域的环境管理；</w:t>
      </w:r>
    </w:p>
    <w:p w14:paraId="3EF5176E">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（6）开展环保教育和专业培训，提高企业员工的环保素质；</w:t>
      </w:r>
    </w:p>
    <w:p w14:paraId="359F8515">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（7）组织开展环保研究和学术交流，推广并应用先进环保技术；</w:t>
      </w:r>
    </w:p>
    <w:p w14:paraId="5351C7AE">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（8）负责厂区绿化和日常环境保护管理工作；</w:t>
      </w:r>
    </w:p>
    <w:p w14:paraId="5CD75B11">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（9）监督本项目环保设施的安装调试等工作，坚持“三同时”原则，保障环保设施的设计、施工、运行与主体工程同时进行。</w:t>
      </w:r>
    </w:p>
    <w:p w14:paraId="6C48D060">
      <w:pPr>
        <w:ind w:firstLine="480"/>
        <w:outlineLvl w:val="2"/>
        <w:rPr>
          <w:rFonts w:hint="default" w:ascii="Times New Roman" w:hAnsi="Times New Roman" w:eastAsia="宋体" w:cs="Times New Roman"/>
          <w:color w:val="000000" w:themeColor="text1"/>
          <w14:textFill>
            <w14:solidFill>
              <w14:schemeClr w14:val="tx1"/>
            </w14:solidFill>
          </w14:textFill>
        </w:rPr>
      </w:pPr>
      <w:bookmarkStart w:id="422" w:name="bookmark64"/>
      <w:bookmarkEnd w:id="422"/>
      <w:bookmarkStart w:id="423" w:name="_Toc13814"/>
      <w:r>
        <w:rPr>
          <w:rFonts w:hint="default" w:ascii="Times New Roman" w:hAnsi="Times New Roman" w:eastAsia="宋体" w:cs="Times New Roman"/>
          <w:color w:val="000000" w:themeColor="text1"/>
          <w14:textFill>
            <w14:solidFill>
              <w14:schemeClr w14:val="tx1"/>
            </w14:solidFill>
          </w14:textFill>
        </w:rPr>
        <w:t>9.1.2环境管理制度</w:t>
      </w:r>
      <w:bookmarkEnd w:id="423"/>
    </w:p>
    <w:p w14:paraId="2DCB9644">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建设单位应建立健全必要的环境管理规章制度，并把它作为企业领导和全体职工必须严格遵守的一种规范和总则。“有规可循、执规必严”是环境管理得以顺利实施的重要保证。各项规章制度要体现环境管理的任务、内容和准则，使环境管理特点和要求渗透到企业的各项管理工作之中。</w:t>
      </w:r>
    </w:p>
    <w:p w14:paraId="59623FB5">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最基本的环境管理制度有以下几方面：</w:t>
      </w:r>
    </w:p>
    <w:p w14:paraId="1FB055C2">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（1）环境保护管理条例；</w:t>
      </w:r>
    </w:p>
    <w:p w14:paraId="37651434">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（2）环境质量管理规程；</w:t>
      </w:r>
    </w:p>
    <w:p w14:paraId="152305F3">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（3）环境管理的经济责任制；</w:t>
      </w:r>
    </w:p>
    <w:p w14:paraId="395EBB51">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（4）环保业务的管理制度；</w:t>
      </w:r>
    </w:p>
    <w:p w14:paraId="41A1806B">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（5）环境管理岗位责任制；</w:t>
      </w:r>
    </w:p>
    <w:p w14:paraId="60E16BC1">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（6）环境保护的考核制度；</w:t>
      </w:r>
    </w:p>
    <w:p w14:paraId="79AC3E22">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（7）环保设施管理制度；</w:t>
      </w:r>
    </w:p>
    <w:p w14:paraId="66C44CD5">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（8）场区防渗管理条例；</w:t>
      </w:r>
    </w:p>
    <w:p w14:paraId="40E8DEC5">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（9）生态保护管理规定；</w:t>
      </w:r>
    </w:p>
    <w:p w14:paraId="61138A80">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（10）污染物防治、控制措施及达标排放实施办法；</w:t>
      </w:r>
    </w:p>
    <w:p w14:paraId="51EDAC63">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（11）清洁生产审计制度。</w:t>
      </w:r>
    </w:p>
    <w:p w14:paraId="6509109B">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通过对各项环境管理制度建立和严格执行，形成目标管理、监督反馈紧密配合的环保工作管理体系，可有效防止非正常生产和突发性事故造成的危害。</w:t>
      </w:r>
    </w:p>
    <w:p w14:paraId="0FC59638">
      <w:pPr>
        <w:ind w:firstLine="480"/>
        <w:outlineLvl w:val="2"/>
        <w:rPr>
          <w:rFonts w:hint="default" w:ascii="Times New Roman" w:hAnsi="Times New Roman" w:eastAsia="宋体" w:cs="Times New Roman"/>
          <w:color w:val="000000" w:themeColor="text1"/>
          <w14:textFill>
            <w14:solidFill>
              <w14:schemeClr w14:val="tx1"/>
            </w14:solidFill>
          </w14:textFill>
        </w:rPr>
      </w:pPr>
      <w:bookmarkStart w:id="424" w:name="bookmark65"/>
      <w:bookmarkEnd w:id="424"/>
      <w:bookmarkStart w:id="425" w:name="_Toc1902"/>
      <w:r>
        <w:rPr>
          <w:rFonts w:hint="default" w:ascii="Times New Roman" w:hAnsi="Times New Roman" w:eastAsia="宋体" w:cs="Times New Roman"/>
          <w:color w:val="000000" w:themeColor="text1"/>
          <w14:textFill>
            <w14:solidFill>
              <w14:schemeClr w14:val="tx1"/>
            </w14:solidFill>
          </w14:textFill>
        </w:rPr>
        <w:t>9.1.3环境管理手段和措施</w:t>
      </w:r>
      <w:bookmarkEnd w:id="425"/>
    </w:p>
    <w:p w14:paraId="1672C58D">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fldChar w:fldCharType="begin"/>
      </w:r>
      <w:r>
        <w:rPr>
          <w:rFonts w:hint="default" w:ascii="Times New Roman" w:hAnsi="Times New Roman" w:eastAsia="宋体" w:cs="Times New Roman"/>
          <w:color w:val="000000" w:themeColor="text1"/>
          <w14:textFill>
            <w14:solidFill>
              <w14:schemeClr w14:val="tx1"/>
            </w14:solidFill>
          </w14:textFill>
        </w:rPr>
        <w:instrText xml:space="preserve"> HYPERLINK "file:///C:\\Users\\Administrator\\Desktop\\科右前旗现代农牧业园区核心育种场养殖项目-修改稿\\8.1.3.1" </w:instrText>
      </w:r>
      <w:r>
        <w:rPr>
          <w:rFonts w:hint="default" w:ascii="Times New Roman" w:hAnsi="Times New Roman" w:eastAsia="宋体" w:cs="Times New Roman"/>
          <w:color w:val="000000" w:themeColor="text1"/>
          <w14:textFill>
            <w14:solidFill>
              <w14:schemeClr w14:val="tx1"/>
            </w14:solidFill>
          </w14:textFill>
        </w:rPr>
        <w:fldChar w:fldCharType="separate"/>
      </w:r>
      <w:r>
        <w:rPr>
          <w:rFonts w:hint="default" w:ascii="Times New Roman" w:hAnsi="Times New Roman" w:eastAsia="宋体" w:cs="Times New Roman"/>
          <w:color w:val="000000" w:themeColor="text1"/>
          <w14:textFill>
            <w14:solidFill>
              <w14:schemeClr w14:val="tx1"/>
            </w14:solidFill>
          </w14:textFill>
        </w:rPr>
        <w:t>9.1.3.1</w:t>
      </w:r>
      <w:r>
        <w:rPr>
          <w:rFonts w:hint="default" w:ascii="Times New Roman" w:hAnsi="Times New Roman" w:eastAsia="宋体" w:cs="Times New Roman"/>
          <w:color w:val="000000" w:themeColor="text1"/>
          <w14:textFill>
            <w14:solidFill>
              <w14:schemeClr w14:val="tx1"/>
            </w14:solidFill>
          </w14:textFill>
        </w:rPr>
        <w:fldChar w:fldCharType="end"/>
      </w:r>
      <w:r>
        <w:rPr>
          <w:rFonts w:hint="default" w:ascii="Times New Roman" w:hAnsi="Times New Roman" w:eastAsia="宋体" w:cs="Times New Roman"/>
          <w:color w:val="000000" w:themeColor="text1"/>
          <w14:textFill>
            <w14:solidFill>
              <w14:schemeClr w14:val="tx1"/>
            </w14:solidFill>
          </w14:textFill>
        </w:rPr>
        <w:t>.环境管理手段</w:t>
      </w:r>
    </w:p>
    <w:p w14:paraId="2BA6BA74">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类比国内部分养殖企业环保管理经验，结合建设单位实际情况，可采用行政、经济、技术、教育等环境管理手段进行本项目的环境管理工作。</w:t>
      </w:r>
    </w:p>
    <w:p w14:paraId="29D14369">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（1）行政手段：制定环境保护目标责任制，将环境保护列入岗位责任制及生产调度当中，不定期检查环境保护状况，以行政手段督促、检查、奖惩，促使生产岗位按要求完成环保任务。</w:t>
      </w:r>
    </w:p>
    <w:p w14:paraId="03CF6D65">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（2）技术手段：从项目设计、施工到运营全过程采取先进的工艺、设备，同环境保护措施密切结合，积极推广应用新技术，解决环境问题，实现清洁生产。</w:t>
      </w:r>
    </w:p>
    <w:p w14:paraId="63250824">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（3）经济手段：制定并严格按照《环境保护奖惩办法》开展工作，促进环保工作的定量考核，切实将防治污染和保护环境落实到生产管理建设的各个工作环节，做到奖优罚劣，将环境保护与经济效益结合起来。</w:t>
      </w:r>
    </w:p>
    <w:p w14:paraId="25922E38">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（4）教育手段：通过环保宣传和教育，提高全体职工的环保意识，做到自觉保护环境。</w:t>
      </w:r>
    </w:p>
    <w:p w14:paraId="13A5AC54">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fldChar w:fldCharType="begin"/>
      </w:r>
      <w:r>
        <w:rPr>
          <w:rFonts w:hint="default" w:ascii="Times New Roman" w:hAnsi="Times New Roman" w:eastAsia="宋体" w:cs="Times New Roman"/>
          <w:color w:val="000000" w:themeColor="text1"/>
          <w14:textFill>
            <w14:solidFill>
              <w14:schemeClr w14:val="tx1"/>
            </w14:solidFill>
          </w14:textFill>
        </w:rPr>
        <w:instrText xml:space="preserve"> HYPERLINK "file:///C:\\Users\\Administrator\\Desktop\\科右前旗现代农牧业园区核心育种场养殖项目-修改稿\\8.1.3.2" </w:instrText>
      </w:r>
      <w:r>
        <w:rPr>
          <w:rFonts w:hint="default" w:ascii="Times New Roman" w:hAnsi="Times New Roman" w:eastAsia="宋体" w:cs="Times New Roman"/>
          <w:color w:val="000000" w:themeColor="text1"/>
          <w14:textFill>
            <w14:solidFill>
              <w14:schemeClr w14:val="tx1"/>
            </w14:solidFill>
          </w14:textFill>
        </w:rPr>
        <w:fldChar w:fldCharType="separate"/>
      </w:r>
      <w:r>
        <w:rPr>
          <w:rFonts w:hint="default" w:ascii="Times New Roman" w:hAnsi="Times New Roman" w:eastAsia="宋体" w:cs="Times New Roman"/>
          <w:color w:val="000000" w:themeColor="text1"/>
          <w14:textFill>
            <w14:solidFill>
              <w14:schemeClr w14:val="tx1"/>
            </w14:solidFill>
          </w14:textFill>
        </w:rPr>
        <w:t>9.1.3.2</w:t>
      </w:r>
      <w:r>
        <w:rPr>
          <w:rFonts w:hint="default" w:ascii="Times New Roman" w:hAnsi="Times New Roman" w:eastAsia="宋体" w:cs="Times New Roman"/>
          <w:color w:val="000000" w:themeColor="text1"/>
          <w14:textFill>
            <w14:solidFill>
              <w14:schemeClr w14:val="tx1"/>
            </w14:solidFill>
          </w14:textFill>
        </w:rPr>
        <w:fldChar w:fldCharType="end"/>
      </w:r>
      <w:r>
        <w:rPr>
          <w:rFonts w:hint="default" w:ascii="Times New Roman" w:hAnsi="Times New Roman" w:eastAsia="宋体" w:cs="Times New Roman"/>
          <w:color w:val="000000" w:themeColor="text1"/>
          <w14:textFill>
            <w14:solidFill>
              <w14:schemeClr w14:val="tx1"/>
            </w14:solidFill>
          </w14:textFill>
        </w:rPr>
        <w:t>环境管理措施</w:t>
      </w:r>
    </w:p>
    <w:p w14:paraId="47703C6D">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（1）建立ISO14000环境管理体系，建议同时进行QHSE（质量、健康、安全、环保）审核；</w:t>
      </w:r>
    </w:p>
    <w:p w14:paraId="10F638DE">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（2）制订环境保护岗位目标责任制，将环境管理纳入生产管理体系，环保评估与经济效益评估相结合，建立严格的奖惩机制；</w:t>
      </w:r>
    </w:p>
    <w:p w14:paraId="6074A750">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3）加强环境保护宣传教育工作，将环保意识融入企业文化，进行培训，使全体职工能够意识到环境保护的重要意义，包括与企业生产、生存和发展的关系，全公司应有危机感和责任感，把环保工作落实到实处，落实到每一位员工；</w:t>
      </w:r>
    </w:p>
    <w:p w14:paraId="21B22466">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（4）加强环境监测数据的统计工作，建立全场完善的污染源及物料流失档案，严格控制污染物排放总量，确保污染物排放指标达到设计要求；</w:t>
      </w:r>
    </w:p>
    <w:p w14:paraId="0AA1EF7F">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（5）强化对环保设施运行监督、管理的职能，建立全场完善的环保设施运行、维护、维修等技术档案，以及加强对环保设施操作人员的技术培训，确保环保设施处于正常运行情况，污染物排放连续达标；</w:t>
      </w:r>
    </w:p>
    <w:p w14:paraId="088A22D4">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（6）制订应急系统。</w:t>
      </w:r>
    </w:p>
    <w:p w14:paraId="3F30DBB9">
      <w:pPr>
        <w:ind w:firstLine="480"/>
        <w:outlineLvl w:val="2"/>
        <w:rPr>
          <w:rFonts w:hint="default" w:ascii="Times New Roman" w:hAnsi="Times New Roman" w:eastAsia="宋体" w:cs="Times New Roman"/>
          <w:color w:val="000000" w:themeColor="text1"/>
          <w14:textFill>
            <w14:solidFill>
              <w14:schemeClr w14:val="tx1"/>
            </w14:solidFill>
          </w14:textFill>
        </w:rPr>
      </w:pPr>
      <w:bookmarkStart w:id="426" w:name="bookmark66"/>
      <w:bookmarkEnd w:id="426"/>
      <w:bookmarkStart w:id="427" w:name="_Toc12193"/>
      <w:r>
        <w:rPr>
          <w:rFonts w:hint="default" w:ascii="Times New Roman" w:hAnsi="Times New Roman" w:eastAsia="宋体" w:cs="Times New Roman"/>
          <w:color w:val="000000" w:themeColor="text1"/>
          <w14:textFill>
            <w14:solidFill>
              <w14:schemeClr w14:val="tx1"/>
            </w14:solidFill>
          </w14:textFill>
        </w:rPr>
        <w:t>9.1.4环境管理计划</w:t>
      </w:r>
      <w:bookmarkEnd w:id="427"/>
    </w:p>
    <w:p w14:paraId="4CDEEE60">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根据本项目不同的工作阶段，制定有关的环境管理计划。</w:t>
      </w:r>
    </w:p>
    <w:p w14:paraId="29D1EC57">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fldChar w:fldCharType="begin"/>
      </w:r>
      <w:r>
        <w:rPr>
          <w:rFonts w:hint="default" w:ascii="Times New Roman" w:hAnsi="Times New Roman" w:eastAsia="宋体" w:cs="Times New Roman"/>
          <w:color w:val="000000" w:themeColor="text1"/>
          <w14:textFill>
            <w14:solidFill>
              <w14:schemeClr w14:val="tx1"/>
            </w14:solidFill>
          </w14:textFill>
        </w:rPr>
        <w:instrText xml:space="preserve"> HYPERLINK "file:///C:\\Users\\Administrator\\Desktop\\科右前旗现代农牧业园区核心育种场养殖项目-修改稿\\8.1.4.1" </w:instrText>
      </w:r>
      <w:r>
        <w:rPr>
          <w:rFonts w:hint="default" w:ascii="Times New Roman" w:hAnsi="Times New Roman" w:eastAsia="宋体" w:cs="Times New Roman"/>
          <w:color w:val="000000" w:themeColor="text1"/>
          <w14:textFill>
            <w14:solidFill>
              <w14:schemeClr w14:val="tx1"/>
            </w14:solidFill>
          </w14:textFill>
        </w:rPr>
        <w:fldChar w:fldCharType="separate"/>
      </w:r>
      <w:r>
        <w:rPr>
          <w:rFonts w:hint="default" w:ascii="Times New Roman" w:hAnsi="Times New Roman" w:eastAsia="宋体" w:cs="Times New Roman"/>
          <w:color w:val="000000" w:themeColor="text1"/>
          <w14:textFill>
            <w14:solidFill>
              <w14:schemeClr w14:val="tx1"/>
            </w14:solidFill>
          </w14:textFill>
        </w:rPr>
        <w:t>9.1.4.1</w:t>
      </w:r>
      <w:r>
        <w:rPr>
          <w:rFonts w:hint="default" w:ascii="Times New Roman" w:hAnsi="Times New Roman" w:eastAsia="宋体" w:cs="Times New Roman"/>
          <w:color w:val="000000" w:themeColor="text1"/>
          <w14:textFill>
            <w14:solidFill>
              <w14:schemeClr w14:val="tx1"/>
            </w14:solidFill>
          </w14:textFill>
        </w:rPr>
        <w:fldChar w:fldCharType="end"/>
      </w:r>
      <w:r>
        <w:rPr>
          <w:rFonts w:hint="default" w:ascii="Times New Roman" w:hAnsi="Times New Roman" w:eastAsia="宋体" w:cs="Times New Roman"/>
          <w:color w:val="000000" w:themeColor="text1"/>
          <w14:textFill>
            <w14:solidFill>
              <w14:schemeClr w14:val="tx1"/>
            </w14:solidFill>
          </w14:textFill>
        </w:rPr>
        <w:t>施工期环境管理</w:t>
      </w:r>
    </w:p>
    <w:p w14:paraId="33478DDD">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1）建设单位与施工单位签定工程承包合同中，应包括有关工程施工期间环境保护条款，包括工程施工生态环境保护（水土保持）、施工期间环境污染控制，污染物排放管理，施工人员环保教育及相关奖惩条款。</w:t>
      </w:r>
    </w:p>
    <w:p w14:paraId="76C34E5B">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2）施工单位应提高环保意识，加强驻地和施工现场的环境管理，合理安排施工计划，切实做到组织计划严谨，文明施工。环保措施逐项落实到位，环保工程与主体工程同时实施、同时运行，环保工程费用专款专用，不偷工减料，延误工期。</w:t>
      </w:r>
    </w:p>
    <w:p w14:paraId="111B8357">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（3）施工单位应特别注意工程施工中的水土保持，尽可能保护好项目区土壤、植被，弃土、弃渣须运至设计中指定地点弃置，严禁随意堆置，防止对地表水环境产生影响。</w:t>
      </w:r>
    </w:p>
    <w:p w14:paraId="54771C6D">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4）各施工现场、施工单位驻地及其他施工临时设施，应加强环境管理，施工污水避免无组织排放，尽可能集中排放到施工期设立的沉淀池；扬尘大的工地应采取降尘措施，工程施工完毕后施工单位及时清理和恢复施工现场，妥善处理生活垃圾与施工弃碴，减少扬尘；施工现场应执行《建筑施工场界环境噪声排放标准》（GB12523-2011）中的有关规定和要求。</w:t>
      </w:r>
    </w:p>
    <w:p w14:paraId="0373E157">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（5）认真落实各项补偿措施，做好工程各项环保设施的施工监理与验收，保证环保工程质量，真正做到环保工程“三同时”。</w:t>
      </w:r>
    </w:p>
    <w:p w14:paraId="19C5F583">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fldChar w:fldCharType="begin"/>
      </w:r>
      <w:r>
        <w:rPr>
          <w:rFonts w:hint="default" w:ascii="Times New Roman" w:hAnsi="Times New Roman" w:eastAsia="宋体" w:cs="Times New Roman"/>
          <w:color w:val="000000" w:themeColor="text1"/>
          <w14:textFill>
            <w14:solidFill>
              <w14:schemeClr w14:val="tx1"/>
            </w14:solidFill>
          </w14:textFill>
        </w:rPr>
        <w:instrText xml:space="preserve"> HYPERLINK "file:///C:\\Users\\Administrator\\Desktop\\科右前旗现代农牧业园区核心育种场养殖项目-修改稿\\8.1.4.2" </w:instrText>
      </w:r>
      <w:r>
        <w:rPr>
          <w:rFonts w:hint="default" w:ascii="Times New Roman" w:hAnsi="Times New Roman" w:eastAsia="宋体" w:cs="Times New Roman"/>
          <w:color w:val="000000" w:themeColor="text1"/>
          <w14:textFill>
            <w14:solidFill>
              <w14:schemeClr w14:val="tx1"/>
            </w14:solidFill>
          </w14:textFill>
        </w:rPr>
        <w:fldChar w:fldCharType="separate"/>
      </w:r>
      <w:r>
        <w:rPr>
          <w:rFonts w:hint="default" w:ascii="Times New Roman" w:hAnsi="Times New Roman" w:eastAsia="宋体" w:cs="Times New Roman"/>
          <w:color w:val="000000" w:themeColor="text1"/>
          <w14:textFill>
            <w14:solidFill>
              <w14:schemeClr w14:val="tx1"/>
            </w14:solidFill>
          </w14:textFill>
        </w:rPr>
        <w:t>9.1.4.2</w:t>
      </w:r>
      <w:r>
        <w:rPr>
          <w:rFonts w:hint="default" w:ascii="Times New Roman" w:hAnsi="Times New Roman" w:eastAsia="宋体" w:cs="Times New Roman"/>
          <w:color w:val="000000" w:themeColor="text1"/>
          <w14:textFill>
            <w14:solidFill>
              <w14:schemeClr w14:val="tx1"/>
            </w14:solidFill>
          </w14:textFill>
        </w:rPr>
        <w:fldChar w:fldCharType="end"/>
      </w:r>
      <w:r>
        <w:rPr>
          <w:rFonts w:hint="default" w:ascii="Times New Roman" w:hAnsi="Times New Roman" w:eastAsia="宋体" w:cs="Times New Roman"/>
          <w:color w:val="000000" w:themeColor="text1"/>
          <w14:textFill>
            <w14:solidFill>
              <w14:schemeClr w14:val="tx1"/>
            </w14:solidFill>
          </w14:textFill>
        </w:rPr>
        <w:t>运营期环境管理</w:t>
      </w:r>
    </w:p>
    <w:p w14:paraId="435A76EA">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（1）管理机构</w:t>
      </w:r>
    </w:p>
    <w:p w14:paraId="218E646E">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企业成立环保科，负责运营期的环境管理工作，于当地环保部门及其授权监测部门直接监管项目污染物的排放情况；对超标排放及污染事故、纠纷进行处理。</w:t>
      </w:r>
    </w:p>
    <w:p w14:paraId="1CEED0A4">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（2）运营期环境管理职责</w:t>
      </w:r>
    </w:p>
    <w:p w14:paraId="53F5808B">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由分管环境的场长负责环保指标的落实，将环保指标逐级分解到车间、班组、个人，下属具体负责其附属环保设备的运转和维护，确保其正常运转和达标排放，充分发挥其作用；配合地方环保部门监测部门进行日常环境监测，记录并及时上报污染源及环保措施运转状态。在项目实施全过程中，本项目都应以《中华人民共和国环境保护法》及相关环保法律、法规为依据，通过对项目前后的环境审核，设定环境方针，建立环境目标和指标，设计环境方案，以达到“清洁生产”的良好效果，求得环境的长远的持久的发展。因此，它应建立以下环境管理制度：</w:t>
      </w:r>
    </w:p>
    <w:p w14:paraId="72AF6F08">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①内部环境审核制度；</w:t>
      </w:r>
    </w:p>
    <w:p w14:paraId="05EEEBAA">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②清洁生产教育及培训制度；</w:t>
      </w:r>
    </w:p>
    <w:p w14:paraId="3C9B81E9">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③建立环境目标和确定指标制度；</w:t>
      </w:r>
    </w:p>
    <w:p w14:paraId="1B705E53">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④内部环境管理监督、检查制度。</w:t>
      </w:r>
    </w:p>
    <w:p w14:paraId="601BD12A">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本项目工程针对不同工作阶段，制定环境管理工作计划，工程建设管理工作计划见表9.1-1。</w:t>
      </w:r>
    </w:p>
    <w:p w14:paraId="3E6B6D62">
      <w:pPr>
        <w:ind w:firstLine="0" w:firstLineChars="0"/>
        <w:jc w:val="center"/>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表9.1-1环境管理工作计划</w:t>
      </w:r>
    </w:p>
    <w:tbl>
      <w:tblPr>
        <w:tblStyle w:val="35"/>
        <w:tblW w:w="8878"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052"/>
        <w:gridCol w:w="7826"/>
      </w:tblGrid>
      <w:tr w14:paraId="64EACA5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0" w:hRule="atLeast"/>
          <w:jc w:val="center"/>
        </w:trPr>
        <w:tc>
          <w:tcPr>
            <w:tcW w:w="1052" w:type="dxa"/>
            <w:vAlign w:val="center"/>
          </w:tcPr>
          <w:p w14:paraId="6C46F8F9">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阶段</w:t>
            </w:r>
          </w:p>
        </w:tc>
        <w:tc>
          <w:tcPr>
            <w:tcW w:w="7826" w:type="dxa"/>
            <w:vAlign w:val="center"/>
          </w:tcPr>
          <w:p w14:paraId="40246DA8">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环境管理工作主要内容</w:t>
            </w:r>
          </w:p>
        </w:tc>
      </w:tr>
      <w:tr w14:paraId="5C3E07E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37" w:hRule="atLeast"/>
          <w:jc w:val="center"/>
        </w:trPr>
        <w:tc>
          <w:tcPr>
            <w:tcW w:w="1052" w:type="dxa"/>
            <w:vAlign w:val="center"/>
          </w:tcPr>
          <w:p w14:paraId="7603D26A">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管理机构职能</w:t>
            </w:r>
          </w:p>
        </w:tc>
        <w:tc>
          <w:tcPr>
            <w:tcW w:w="7826" w:type="dxa"/>
            <w:vAlign w:val="center"/>
          </w:tcPr>
          <w:p w14:paraId="22E1D968">
            <w:pPr>
              <w:ind w:firstLine="0" w:firstLineChars="0"/>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根据国家建设项目环境管理规定，认真落实各项环保手续，完成各级主管部门对本企业提出的环境管理要求，对本企业内部各项管理计划的执行及完成情况进行监督、控制，确保环境管理工作真正发挥作用。</w:t>
            </w:r>
          </w:p>
        </w:tc>
      </w:tr>
      <w:tr w14:paraId="2D106B1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052" w:type="dxa"/>
            <w:vAlign w:val="center"/>
          </w:tcPr>
          <w:p w14:paraId="6A4F71A9">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项目建设前期</w:t>
            </w:r>
          </w:p>
        </w:tc>
        <w:tc>
          <w:tcPr>
            <w:tcW w:w="7826" w:type="dxa"/>
            <w:vAlign w:val="center"/>
          </w:tcPr>
          <w:p w14:paraId="5F937A3E">
            <w:pPr>
              <w:ind w:firstLine="0" w:firstLineChars="0"/>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1、与项目可行性研究同期，委托评价单位进行项目的环境影响评价工作；</w:t>
            </w:r>
          </w:p>
          <w:p w14:paraId="26DFEAD4">
            <w:pPr>
              <w:ind w:firstLine="0" w:firstLineChars="0"/>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2、积极配合可研及环评单位所需进行的现场调研；</w:t>
            </w:r>
          </w:p>
          <w:p w14:paraId="18EB5995">
            <w:pPr>
              <w:ind w:firstLine="0" w:firstLineChars="0"/>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3、针对项目的具体情况，建立企业内部必要的环境管理与监测制度；</w:t>
            </w:r>
          </w:p>
          <w:p w14:paraId="79CBFB64">
            <w:pPr>
              <w:ind w:firstLine="0" w:firstLineChars="0"/>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4、对全厂职工进行岗位宣传和培训。</w:t>
            </w:r>
          </w:p>
        </w:tc>
      </w:tr>
      <w:tr w14:paraId="22F84D6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52" w:hRule="atLeast"/>
          <w:jc w:val="center"/>
        </w:trPr>
        <w:tc>
          <w:tcPr>
            <w:tcW w:w="1052" w:type="dxa"/>
            <w:vAlign w:val="center"/>
          </w:tcPr>
          <w:p w14:paraId="1593E167">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设计阶段</w:t>
            </w:r>
          </w:p>
        </w:tc>
        <w:tc>
          <w:tcPr>
            <w:tcW w:w="7826" w:type="dxa"/>
            <w:vAlign w:val="center"/>
          </w:tcPr>
          <w:p w14:paraId="55098B05">
            <w:pPr>
              <w:ind w:firstLine="0" w:firstLineChars="0"/>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1、委托设计单位对项目的环保工程进行设计，与主体工程同步进行；</w:t>
            </w:r>
          </w:p>
          <w:p w14:paraId="24BA8283">
            <w:pPr>
              <w:ind w:firstLine="0" w:firstLineChars="0"/>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2、协助设计单位弄清楚现阶段的环境问题；</w:t>
            </w:r>
          </w:p>
          <w:p w14:paraId="55BFFBD9">
            <w:pPr>
              <w:ind w:firstLine="0" w:firstLineChars="0"/>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3、对治污区，应严格按照环保规范布置在厂区主导风向的下风向；</w:t>
            </w:r>
          </w:p>
          <w:p w14:paraId="56E0DF11">
            <w:pPr>
              <w:ind w:firstLine="0" w:firstLineChars="0"/>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4、在设计中落实环境影响报告中提出的环保对策措施。</w:t>
            </w:r>
          </w:p>
        </w:tc>
      </w:tr>
      <w:tr w14:paraId="1D8AB58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2" w:hRule="atLeast"/>
          <w:jc w:val="center"/>
        </w:trPr>
        <w:tc>
          <w:tcPr>
            <w:tcW w:w="1052" w:type="dxa"/>
            <w:vAlign w:val="center"/>
          </w:tcPr>
          <w:p w14:paraId="6EF2AE90">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施工阶段</w:t>
            </w:r>
          </w:p>
        </w:tc>
        <w:tc>
          <w:tcPr>
            <w:tcW w:w="7826" w:type="dxa"/>
            <w:vAlign w:val="center"/>
          </w:tcPr>
          <w:p w14:paraId="4AE23277">
            <w:pPr>
              <w:ind w:firstLine="0" w:firstLineChars="0"/>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1、严格执行“三同时”制度；</w:t>
            </w:r>
          </w:p>
          <w:p w14:paraId="3FEABB6C">
            <w:pPr>
              <w:ind w:firstLine="0" w:firstLineChars="0"/>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2、按照环评报告中提出的要求，制定出建设项目施工措施实施计划表，并与当地环保</w:t>
            </w:r>
          </w:p>
          <w:p w14:paraId="25B797B7">
            <w:pPr>
              <w:ind w:firstLine="0" w:firstLineChars="0"/>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部门签定落实计划内的目标责任书；</w:t>
            </w:r>
          </w:p>
          <w:p w14:paraId="0B045C7A">
            <w:pPr>
              <w:ind w:firstLine="0" w:firstLineChars="0"/>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3、认真监督主体工程与环保设施的同步建设；建立环保设施施工进度档案，确保环保</w:t>
            </w:r>
          </w:p>
          <w:p w14:paraId="2EC25192">
            <w:pPr>
              <w:ind w:firstLine="0" w:firstLineChars="0"/>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工作的正常实施运行；</w:t>
            </w:r>
          </w:p>
          <w:p w14:paraId="0ED0F76B">
            <w:pPr>
              <w:ind w:firstLine="0" w:firstLineChars="0"/>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4、施工噪声与振动要符合《中华人民共和国环境噪声污染防治法》有关规定，不得干</w:t>
            </w:r>
          </w:p>
          <w:p w14:paraId="3A95FB4A">
            <w:pPr>
              <w:ind w:firstLine="0" w:firstLineChars="0"/>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扰周围群众的正常生活和工作。</w:t>
            </w:r>
          </w:p>
          <w:p w14:paraId="624612D9">
            <w:pPr>
              <w:ind w:firstLine="0" w:firstLineChars="0"/>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5、施工造成的地表破坏、土地、植物毁坏应在竣工后及时恢复；</w:t>
            </w:r>
          </w:p>
          <w:p w14:paraId="0431C5A7">
            <w:pPr>
              <w:ind w:firstLine="0" w:firstLineChars="0"/>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6、设立施工期环境监理制度，监督环保工程的实施情况，施工阶段的环保工程进展情况和环保投资落实情况定期（每季度）向环保主管部门汇报一次。</w:t>
            </w:r>
          </w:p>
        </w:tc>
      </w:tr>
      <w:tr w14:paraId="7BCC9DC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875" w:hRule="atLeast"/>
          <w:jc w:val="center"/>
        </w:trPr>
        <w:tc>
          <w:tcPr>
            <w:tcW w:w="1052" w:type="dxa"/>
            <w:vAlign w:val="center"/>
          </w:tcPr>
          <w:p w14:paraId="4FDA1F8C">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试运行</w:t>
            </w:r>
          </w:p>
          <w:p w14:paraId="233867AD">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阶段</w:t>
            </w:r>
          </w:p>
        </w:tc>
        <w:tc>
          <w:tcPr>
            <w:tcW w:w="7826" w:type="dxa"/>
            <w:vAlign w:val="center"/>
          </w:tcPr>
          <w:p w14:paraId="3E412A63">
            <w:pPr>
              <w:ind w:firstLine="0" w:firstLineChars="0"/>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1、检查施工项目是否按照设计、环评规定的环保措施全部完工；</w:t>
            </w:r>
          </w:p>
          <w:p w14:paraId="27F6134B">
            <w:pPr>
              <w:ind w:firstLine="0" w:firstLineChars="0"/>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2、做好环保设施运行记录；</w:t>
            </w:r>
          </w:p>
          <w:p w14:paraId="5B9846D8">
            <w:pPr>
              <w:ind w:firstLine="0" w:firstLineChars="0"/>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3、向环保部门和当地主管部门提交试运行申请报告；</w:t>
            </w:r>
          </w:p>
          <w:p w14:paraId="464D48DF">
            <w:pPr>
              <w:ind w:firstLine="0" w:firstLineChars="0"/>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4、环保部门和主管部门对环保工种进行现场检查；</w:t>
            </w:r>
          </w:p>
          <w:p w14:paraId="619027B5">
            <w:pPr>
              <w:ind w:firstLine="0" w:firstLineChars="0"/>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5、记录各项环保设施的试运转状况，针对出现问题提出完善修改意见；</w:t>
            </w:r>
          </w:p>
          <w:p w14:paraId="6DEDF9A9">
            <w:pPr>
              <w:ind w:firstLine="0" w:firstLineChars="0"/>
              <w:jc w:val="both"/>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6、总结试运转的经验，健全前期的各项管理制度</w:t>
            </w:r>
            <w:r>
              <w:rPr>
                <w:rFonts w:hint="eastAsia" w:cs="Times New Roman"/>
                <w:color w:val="000000" w:themeColor="text1"/>
                <w:sz w:val="21"/>
                <w:szCs w:val="21"/>
                <w:lang w:eastAsia="zh-CN"/>
                <w14:textFill>
                  <w14:solidFill>
                    <w14:schemeClr w14:val="tx1"/>
                  </w14:solidFill>
                </w14:textFill>
              </w:rPr>
              <w:t>。</w:t>
            </w:r>
          </w:p>
        </w:tc>
      </w:tr>
      <w:tr w14:paraId="185360F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17" w:hRule="atLeast"/>
          <w:jc w:val="center"/>
        </w:trPr>
        <w:tc>
          <w:tcPr>
            <w:tcW w:w="1052" w:type="dxa"/>
            <w:vAlign w:val="center"/>
          </w:tcPr>
          <w:p w14:paraId="51836273">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生产</w:t>
            </w:r>
          </w:p>
          <w:p w14:paraId="52CA8FB7">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运行期</w:t>
            </w:r>
          </w:p>
        </w:tc>
        <w:tc>
          <w:tcPr>
            <w:tcW w:w="7826" w:type="dxa"/>
            <w:vAlign w:val="center"/>
          </w:tcPr>
          <w:p w14:paraId="621C8963">
            <w:pPr>
              <w:ind w:firstLine="0" w:firstLineChars="0"/>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1、严格执行各项生产及环境管理制度，保证生产的正常进行；</w:t>
            </w:r>
          </w:p>
          <w:p w14:paraId="0DFDB799">
            <w:pPr>
              <w:ind w:firstLine="0" w:firstLineChars="0"/>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2、设立环保设施运行卡，对环保设施定期进行检查、维护，做到勤查、勤记、勤养护，</w:t>
            </w:r>
          </w:p>
          <w:p w14:paraId="7EE24099">
            <w:pPr>
              <w:ind w:firstLine="0" w:firstLineChars="0"/>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按照监测计划定期组织进行全厂内的污染源监测，对不达标环保设施立即进行寻找原因，及时处理；</w:t>
            </w:r>
          </w:p>
          <w:p w14:paraId="0B095650">
            <w:pPr>
              <w:ind w:firstLine="0" w:firstLineChars="0"/>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3、不断加强技术培训，组织企业内部之间的技术交流，提高业务水平，保持企业内部职工素质稳定；</w:t>
            </w:r>
          </w:p>
          <w:p w14:paraId="41796A48">
            <w:pPr>
              <w:ind w:firstLine="0" w:firstLineChars="0"/>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4、重视群众监督作用，提高企业职工环境意识，鼓励职工及外部人员对生产状况提出</w:t>
            </w:r>
          </w:p>
          <w:p w14:paraId="3232270D">
            <w:pPr>
              <w:ind w:firstLine="0" w:firstLineChars="0"/>
              <w:jc w:val="both"/>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意见，并通过积极吸收宝贵意见，提高企业环境管理水平</w:t>
            </w:r>
            <w:r>
              <w:rPr>
                <w:rFonts w:hint="eastAsia" w:cs="Times New Roman"/>
                <w:color w:val="000000" w:themeColor="text1"/>
                <w:sz w:val="21"/>
                <w:szCs w:val="21"/>
                <w:lang w:eastAsia="zh-CN"/>
                <w14:textFill>
                  <w14:solidFill>
                    <w14:schemeClr w14:val="tx1"/>
                  </w14:solidFill>
                </w14:textFill>
              </w:rPr>
              <w:t>；</w:t>
            </w:r>
          </w:p>
          <w:p w14:paraId="728E010B">
            <w:pPr>
              <w:ind w:firstLine="0" w:firstLineChars="0"/>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5、积极配合环保部门的检查、验收。</w:t>
            </w:r>
          </w:p>
        </w:tc>
      </w:tr>
    </w:tbl>
    <w:p w14:paraId="35AA64B6">
      <w:pPr>
        <w:ind w:firstLine="0" w:firstLineChars="0"/>
        <w:outlineLvl w:val="1"/>
        <w:rPr>
          <w:rFonts w:hint="default" w:ascii="Times New Roman" w:hAnsi="Times New Roman" w:eastAsia="宋体" w:cs="Times New Roman"/>
          <w:b/>
          <w:bCs/>
          <w:color w:val="000000" w:themeColor="text1"/>
          <w:sz w:val="28"/>
          <w:szCs w:val="28"/>
          <w14:textFill>
            <w14:solidFill>
              <w14:schemeClr w14:val="tx1"/>
            </w14:solidFill>
          </w14:textFill>
        </w:rPr>
      </w:pPr>
      <w:bookmarkStart w:id="428" w:name="bookmark67"/>
      <w:bookmarkEnd w:id="428"/>
      <w:bookmarkStart w:id="429" w:name="bookmark68"/>
      <w:bookmarkEnd w:id="429"/>
      <w:bookmarkStart w:id="430" w:name="_Toc39"/>
      <w:r>
        <w:rPr>
          <w:rFonts w:hint="default" w:ascii="Times New Roman" w:hAnsi="Times New Roman" w:eastAsia="宋体" w:cs="Times New Roman"/>
          <w:b/>
          <w:bCs/>
          <w:color w:val="000000" w:themeColor="text1"/>
          <w:sz w:val="28"/>
          <w:szCs w:val="28"/>
          <w14:textFill>
            <w14:solidFill>
              <w14:schemeClr w14:val="tx1"/>
            </w14:solidFill>
          </w14:textFill>
        </w:rPr>
        <w:t>9.2环境监测计划</w:t>
      </w:r>
      <w:bookmarkEnd w:id="430"/>
    </w:p>
    <w:p w14:paraId="65CF1383">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本项目为有效地了解企业的排污情况和环境现状，保证公司排放的污染物达到有关控制标准的要求，应对公司各排污环节的污染物排放情况实施定期监测。为此，根据《排污许可证申请与核发技术规范畜禽养殖行业》（HJ1029-2019）及《排污单位自行监测技术指南畜禽养殖行业》（HJ1252—2022）、自行监测管理要求及公司的实际排污状况，制定并实施切实可行的环境监测计划，监测计划应对监测项目、监测频次、监测点设置以及执行标准等要素作出明确规定。本项目环境监测计划见下表。</w:t>
      </w:r>
    </w:p>
    <w:p w14:paraId="4186737C">
      <w:pPr>
        <w:ind w:firstLine="0" w:firstLineChars="0"/>
        <w:jc w:val="center"/>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表9.2-1营运期环境监测计划</w:t>
      </w:r>
    </w:p>
    <w:tbl>
      <w:tblPr>
        <w:tblStyle w:val="35"/>
        <w:tblW w:w="871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734"/>
        <w:gridCol w:w="1804"/>
        <w:gridCol w:w="1224"/>
        <w:gridCol w:w="2444"/>
        <w:gridCol w:w="2505"/>
      </w:tblGrid>
      <w:tr w14:paraId="5CBAB9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734" w:type="dxa"/>
            <w:vAlign w:val="center"/>
          </w:tcPr>
          <w:p w14:paraId="21D89559">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类别</w:t>
            </w:r>
          </w:p>
        </w:tc>
        <w:tc>
          <w:tcPr>
            <w:tcW w:w="1804" w:type="dxa"/>
            <w:vAlign w:val="center"/>
          </w:tcPr>
          <w:p w14:paraId="7FD1F836">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监测位置</w:t>
            </w:r>
          </w:p>
        </w:tc>
        <w:tc>
          <w:tcPr>
            <w:tcW w:w="1224" w:type="dxa"/>
            <w:vAlign w:val="center"/>
          </w:tcPr>
          <w:p w14:paraId="25FCA08E">
            <w:pPr>
              <w:ind w:firstLine="0" w:firstLineChars="0"/>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监测频</w:t>
            </w:r>
            <w:r>
              <w:rPr>
                <w:rFonts w:hint="default" w:ascii="Times New Roman" w:hAnsi="Times New Roman" w:eastAsia="宋体" w:cs="Times New Roman"/>
                <w:color w:val="000000" w:themeColor="text1"/>
                <w:sz w:val="21"/>
                <w:szCs w:val="21"/>
                <w:lang w:eastAsia="zh-CN"/>
                <w14:textFill>
                  <w14:solidFill>
                    <w14:schemeClr w14:val="tx1"/>
                  </w14:solidFill>
                </w14:textFill>
              </w:rPr>
              <w:t>次</w:t>
            </w:r>
          </w:p>
        </w:tc>
        <w:tc>
          <w:tcPr>
            <w:tcW w:w="2444" w:type="dxa"/>
            <w:vAlign w:val="center"/>
          </w:tcPr>
          <w:p w14:paraId="4041BEDD">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监测项目</w:t>
            </w:r>
          </w:p>
        </w:tc>
        <w:tc>
          <w:tcPr>
            <w:tcW w:w="2505" w:type="dxa"/>
            <w:vAlign w:val="center"/>
          </w:tcPr>
          <w:p w14:paraId="476BF348">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执行标准</w:t>
            </w:r>
          </w:p>
        </w:tc>
      </w:tr>
      <w:tr w14:paraId="3C4B06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734" w:type="dxa"/>
            <w:vMerge w:val="restart"/>
            <w:vAlign w:val="center"/>
          </w:tcPr>
          <w:p w14:paraId="10E95C08">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废气</w:t>
            </w:r>
          </w:p>
        </w:tc>
        <w:tc>
          <w:tcPr>
            <w:tcW w:w="1804" w:type="dxa"/>
            <w:vMerge w:val="restart"/>
            <w:vAlign w:val="center"/>
          </w:tcPr>
          <w:p w14:paraId="2E5874C0">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场界外四周10m范围内设无组织排放监控点</w:t>
            </w:r>
          </w:p>
        </w:tc>
        <w:tc>
          <w:tcPr>
            <w:tcW w:w="1224" w:type="dxa"/>
            <w:vMerge w:val="restart"/>
            <w:vAlign w:val="center"/>
          </w:tcPr>
          <w:p w14:paraId="285867E0">
            <w:pPr>
              <w:ind w:firstLine="0" w:firstLineChars="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每</w:t>
            </w:r>
            <w:r>
              <w:rPr>
                <w:rFonts w:hint="default" w:ascii="Times New Roman" w:hAnsi="Times New Roman" w:eastAsia="宋体" w:cs="Times New Roman"/>
                <w:color w:val="0000FF"/>
                <w:sz w:val="21"/>
                <w:szCs w:val="21"/>
                <w:lang w:eastAsia="zh-CN"/>
              </w:rPr>
              <w:t>半</w:t>
            </w:r>
            <w:r>
              <w:rPr>
                <w:rFonts w:hint="default" w:ascii="Times New Roman" w:hAnsi="Times New Roman" w:eastAsia="宋体" w:cs="Times New Roman"/>
                <w:color w:val="0000FF"/>
                <w:sz w:val="21"/>
                <w:szCs w:val="21"/>
              </w:rPr>
              <w:t>年一次</w:t>
            </w:r>
          </w:p>
        </w:tc>
        <w:tc>
          <w:tcPr>
            <w:tcW w:w="2444" w:type="dxa"/>
            <w:vAlign w:val="center"/>
          </w:tcPr>
          <w:p w14:paraId="420CE7AA">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氨、硫化氢</w:t>
            </w:r>
          </w:p>
        </w:tc>
        <w:tc>
          <w:tcPr>
            <w:tcW w:w="2505" w:type="dxa"/>
            <w:vAlign w:val="center"/>
          </w:tcPr>
          <w:p w14:paraId="30EE66B1">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《恶臭污染物排放标准》</w:t>
            </w:r>
          </w:p>
          <w:p w14:paraId="25A4FCB2">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（GB14554-93）</w:t>
            </w:r>
          </w:p>
        </w:tc>
      </w:tr>
      <w:tr w14:paraId="04C30A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734" w:type="dxa"/>
            <w:vMerge w:val="continue"/>
            <w:vAlign w:val="center"/>
          </w:tcPr>
          <w:p w14:paraId="1C205AC8">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804" w:type="dxa"/>
            <w:vMerge w:val="continue"/>
            <w:vAlign w:val="center"/>
          </w:tcPr>
          <w:p w14:paraId="6DD4DCBA">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224" w:type="dxa"/>
            <w:vMerge w:val="continue"/>
            <w:vAlign w:val="center"/>
          </w:tcPr>
          <w:p w14:paraId="69112818">
            <w:pPr>
              <w:ind w:firstLine="0" w:firstLineChars="0"/>
              <w:jc w:val="center"/>
              <w:rPr>
                <w:rFonts w:hint="default" w:ascii="Times New Roman" w:hAnsi="Times New Roman" w:eastAsia="宋体" w:cs="Times New Roman"/>
                <w:color w:val="0000FF"/>
                <w:sz w:val="21"/>
                <w:szCs w:val="21"/>
              </w:rPr>
            </w:pPr>
          </w:p>
        </w:tc>
        <w:tc>
          <w:tcPr>
            <w:tcW w:w="2444" w:type="dxa"/>
            <w:vAlign w:val="center"/>
          </w:tcPr>
          <w:p w14:paraId="288BD313">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TSP</w:t>
            </w:r>
          </w:p>
        </w:tc>
        <w:tc>
          <w:tcPr>
            <w:tcW w:w="2505" w:type="dxa"/>
            <w:vAlign w:val="center"/>
          </w:tcPr>
          <w:p w14:paraId="40EE3884">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大气污染物综合排放标准》</w:t>
            </w:r>
          </w:p>
          <w:p w14:paraId="2470363D">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（GB16297-1996）</w:t>
            </w:r>
          </w:p>
        </w:tc>
      </w:tr>
      <w:tr w14:paraId="6E0034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734" w:type="dxa"/>
            <w:vMerge w:val="continue"/>
            <w:vAlign w:val="center"/>
          </w:tcPr>
          <w:p w14:paraId="5E9D4AD8">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804" w:type="dxa"/>
            <w:vMerge w:val="continue"/>
            <w:vAlign w:val="center"/>
          </w:tcPr>
          <w:p w14:paraId="6210B104">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224" w:type="dxa"/>
            <w:vMerge w:val="continue"/>
            <w:vAlign w:val="center"/>
          </w:tcPr>
          <w:p w14:paraId="20936A50">
            <w:pPr>
              <w:ind w:firstLine="0" w:firstLineChars="0"/>
              <w:jc w:val="center"/>
              <w:rPr>
                <w:rFonts w:hint="default" w:ascii="Times New Roman" w:hAnsi="Times New Roman" w:eastAsia="宋体" w:cs="Times New Roman"/>
                <w:color w:val="0000FF"/>
                <w:sz w:val="21"/>
                <w:szCs w:val="21"/>
              </w:rPr>
            </w:pPr>
          </w:p>
        </w:tc>
        <w:tc>
          <w:tcPr>
            <w:tcW w:w="2444" w:type="dxa"/>
            <w:vAlign w:val="center"/>
          </w:tcPr>
          <w:p w14:paraId="3112F6C4">
            <w:pPr>
              <w:ind w:firstLine="0" w:firstLineChars="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臭气浓度</w:t>
            </w:r>
          </w:p>
        </w:tc>
        <w:tc>
          <w:tcPr>
            <w:tcW w:w="2505" w:type="dxa"/>
            <w:vAlign w:val="center"/>
          </w:tcPr>
          <w:p w14:paraId="26D2E115">
            <w:pPr>
              <w:ind w:firstLine="0" w:firstLineChars="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《畜禽养殖业污染物排放标准》（GB18596-2001）</w:t>
            </w:r>
          </w:p>
        </w:tc>
      </w:tr>
      <w:tr w14:paraId="392BBB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734" w:type="dxa"/>
            <w:vAlign w:val="center"/>
          </w:tcPr>
          <w:p w14:paraId="0F6AAF82">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噪声</w:t>
            </w:r>
          </w:p>
        </w:tc>
        <w:tc>
          <w:tcPr>
            <w:tcW w:w="1804" w:type="dxa"/>
            <w:vAlign w:val="center"/>
          </w:tcPr>
          <w:p w14:paraId="31B57E5E">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厂界外1m</w:t>
            </w:r>
          </w:p>
        </w:tc>
        <w:tc>
          <w:tcPr>
            <w:tcW w:w="1224" w:type="dxa"/>
            <w:vAlign w:val="center"/>
          </w:tcPr>
          <w:p w14:paraId="0694C45C">
            <w:pPr>
              <w:ind w:firstLine="0" w:firstLineChars="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每季度一次</w:t>
            </w:r>
          </w:p>
        </w:tc>
        <w:tc>
          <w:tcPr>
            <w:tcW w:w="2444" w:type="dxa"/>
            <w:vAlign w:val="center"/>
          </w:tcPr>
          <w:p w14:paraId="5C656291">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等效连续A声级</w:t>
            </w:r>
          </w:p>
        </w:tc>
        <w:tc>
          <w:tcPr>
            <w:tcW w:w="2505" w:type="dxa"/>
            <w:vAlign w:val="center"/>
          </w:tcPr>
          <w:p w14:paraId="4363BE39">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《工业企业厂界环境噪声排放标准》（GB12348-2008）</w:t>
            </w:r>
          </w:p>
          <w:p w14:paraId="2B37D3C3">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14:textFill>
                  <w14:solidFill>
                    <w14:schemeClr w14:val="tx1"/>
                  </w14:solidFill>
                </w14:textFill>
              </w:rPr>
              <w:t>类标准</w:t>
            </w:r>
          </w:p>
        </w:tc>
      </w:tr>
      <w:tr w14:paraId="5BA3C6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734" w:type="dxa"/>
            <w:vAlign w:val="center"/>
          </w:tcPr>
          <w:p w14:paraId="2F02FC79">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固废</w:t>
            </w:r>
          </w:p>
        </w:tc>
        <w:tc>
          <w:tcPr>
            <w:tcW w:w="1804" w:type="dxa"/>
            <w:vAlign w:val="center"/>
          </w:tcPr>
          <w:p w14:paraId="21F0452B">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p>
        </w:tc>
        <w:tc>
          <w:tcPr>
            <w:tcW w:w="1224" w:type="dxa"/>
            <w:vAlign w:val="center"/>
          </w:tcPr>
          <w:p w14:paraId="4458455C">
            <w:pPr>
              <w:ind w:firstLine="0" w:firstLineChars="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适时监测</w:t>
            </w:r>
          </w:p>
        </w:tc>
        <w:tc>
          <w:tcPr>
            <w:tcW w:w="2444" w:type="dxa"/>
            <w:vAlign w:val="center"/>
          </w:tcPr>
          <w:p w14:paraId="01B2D41B">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统计种类、产生量、处理方</w:t>
            </w:r>
          </w:p>
          <w:p w14:paraId="11B9C189">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式、去向、固废性质（1次/年）</w:t>
            </w:r>
          </w:p>
        </w:tc>
        <w:tc>
          <w:tcPr>
            <w:tcW w:w="2505" w:type="dxa"/>
            <w:vAlign w:val="center"/>
          </w:tcPr>
          <w:p w14:paraId="1E459413">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p>
        </w:tc>
      </w:tr>
      <w:tr w14:paraId="74AC1B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734" w:type="dxa"/>
            <w:vAlign w:val="center"/>
          </w:tcPr>
          <w:p w14:paraId="73644EF8">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地下水</w:t>
            </w:r>
          </w:p>
        </w:tc>
        <w:tc>
          <w:tcPr>
            <w:tcW w:w="1804" w:type="dxa"/>
            <w:vAlign w:val="center"/>
          </w:tcPr>
          <w:p w14:paraId="45D6B1E4">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厂区</w:t>
            </w:r>
            <w:r>
              <w:rPr>
                <w:rFonts w:hint="eastAsia" w:cs="Times New Roman"/>
                <w:color w:val="000000" w:themeColor="text1"/>
                <w:sz w:val="21"/>
                <w:szCs w:val="21"/>
                <w:lang w:val="en-US" w:eastAsia="zh-CN"/>
                <w14:textFill>
                  <w14:solidFill>
                    <w14:schemeClr w14:val="tx1"/>
                  </w14:solidFill>
                </w14:textFill>
              </w:rPr>
              <w:t>污染源</w:t>
            </w:r>
            <w:r>
              <w:rPr>
                <w:rFonts w:hint="default" w:ascii="Times New Roman" w:hAnsi="Times New Roman" w:eastAsia="宋体" w:cs="Times New Roman"/>
                <w:color w:val="000000" w:themeColor="text1"/>
                <w:sz w:val="21"/>
                <w:szCs w:val="21"/>
                <w14:textFill>
                  <w14:solidFill>
                    <w14:schemeClr w14:val="tx1"/>
                  </w14:solidFill>
                </w14:textFill>
              </w:rPr>
              <w:t>下游设地下水监控井1眼</w:t>
            </w:r>
          </w:p>
        </w:tc>
        <w:tc>
          <w:tcPr>
            <w:tcW w:w="1224" w:type="dxa"/>
            <w:vAlign w:val="center"/>
          </w:tcPr>
          <w:p w14:paraId="70D80F91">
            <w:pPr>
              <w:ind w:firstLine="0" w:firstLineChars="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每年一次</w:t>
            </w:r>
          </w:p>
        </w:tc>
        <w:tc>
          <w:tcPr>
            <w:tcW w:w="2444" w:type="dxa"/>
            <w:vAlign w:val="center"/>
          </w:tcPr>
          <w:p w14:paraId="0AF826A4">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化学需氧量、氨氮、总磷、总氮、悬浮物、五日生化需氧量、粪大肠菌群、蛔虫卵</w:t>
            </w:r>
          </w:p>
        </w:tc>
        <w:tc>
          <w:tcPr>
            <w:tcW w:w="2505" w:type="dxa"/>
            <w:vAlign w:val="center"/>
          </w:tcPr>
          <w:p w14:paraId="12CEF887">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《地下水质量标准》（GB/T14848-2017）</w:t>
            </w:r>
          </w:p>
        </w:tc>
      </w:tr>
      <w:tr w14:paraId="451AC8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734" w:type="dxa"/>
            <w:vAlign w:val="center"/>
          </w:tcPr>
          <w:p w14:paraId="6E41450C">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土壤</w:t>
            </w:r>
          </w:p>
        </w:tc>
        <w:tc>
          <w:tcPr>
            <w:tcW w:w="1804" w:type="dxa"/>
            <w:vAlign w:val="center"/>
          </w:tcPr>
          <w:p w14:paraId="30E8E6AC">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粪污</w:t>
            </w:r>
            <w:r>
              <w:rPr>
                <w:rFonts w:hint="default" w:ascii="Times New Roman" w:hAnsi="Times New Roman" w:eastAsia="宋体" w:cs="Times New Roman"/>
                <w:color w:val="000000" w:themeColor="text1"/>
                <w:sz w:val="21"/>
                <w:szCs w:val="21"/>
                <w14:textFill>
                  <w14:solidFill>
                    <w14:schemeClr w14:val="tx1"/>
                  </w14:solidFill>
                </w14:textFill>
              </w:rPr>
              <w:t>消纳区</w:t>
            </w:r>
          </w:p>
        </w:tc>
        <w:tc>
          <w:tcPr>
            <w:tcW w:w="1224" w:type="dxa"/>
            <w:vAlign w:val="center"/>
          </w:tcPr>
          <w:p w14:paraId="54964AD4">
            <w:pPr>
              <w:ind w:firstLine="0" w:firstLineChars="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每年一次</w:t>
            </w:r>
          </w:p>
        </w:tc>
        <w:tc>
          <w:tcPr>
            <w:tcW w:w="2444" w:type="dxa"/>
            <w:vAlign w:val="center"/>
          </w:tcPr>
          <w:p w14:paraId="7D3A7236">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pH，铜、铅、镍、汞、砷、</w:t>
            </w:r>
          </w:p>
          <w:p w14:paraId="239784AA">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镉、铬（六价）以及氮、磷、钾等土壤养分</w:t>
            </w:r>
          </w:p>
        </w:tc>
        <w:tc>
          <w:tcPr>
            <w:tcW w:w="2505" w:type="dxa"/>
            <w:vAlign w:val="center"/>
          </w:tcPr>
          <w:p w14:paraId="4165C224">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《土壤环境质量农用地土</w:t>
            </w:r>
          </w:p>
          <w:p w14:paraId="483ECABD">
            <w:pPr>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壤污染风险管控标准》（GB15618-2018）</w:t>
            </w:r>
          </w:p>
        </w:tc>
      </w:tr>
    </w:tbl>
    <w:p w14:paraId="24D77D7E">
      <w:pPr>
        <w:ind w:firstLine="480"/>
        <w:rPr>
          <w:rFonts w:hint="default" w:ascii="Times New Roman" w:hAnsi="Times New Roman" w:eastAsia="宋体" w:cs="Times New Roman"/>
          <w:color w:val="000000" w:themeColor="text1"/>
          <w14:textFill>
            <w14:solidFill>
              <w14:schemeClr w14:val="tx1"/>
            </w14:solidFill>
          </w14:textFill>
        </w:rPr>
        <w:sectPr>
          <w:footerReference r:id="rId19" w:type="default"/>
          <w:pgSz w:w="11906" w:h="16839"/>
          <w:pgMar w:top="1431" w:right="1518" w:bottom="1259" w:left="1529" w:header="964" w:footer="794" w:gutter="0"/>
          <w:pgNumType w:fmt="decimal"/>
          <w:cols w:space="720" w:num="1"/>
        </w:sectPr>
      </w:pPr>
    </w:p>
    <w:p w14:paraId="253A0F58">
      <w:pPr>
        <w:ind w:firstLine="0" w:firstLineChars="0"/>
        <w:outlineLvl w:val="1"/>
        <w:rPr>
          <w:rFonts w:hint="default" w:ascii="Times New Roman" w:hAnsi="Times New Roman" w:eastAsia="宋体" w:cs="Times New Roman"/>
          <w:b/>
          <w:bCs/>
          <w:color w:val="000000" w:themeColor="text1"/>
          <w:sz w:val="28"/>
          <w:szCs w:val="28"/>
          <w14:textFill>
            <w14:solidFill>
              <w14:schemeClr w14:val="tx1"/>
            </w14:solidFill>
          </w14:textFill>
        </w:rPr>
      </w:pPr>
      <w:bookmarkStart w:id="431" w:name="bookmark69"/>
      <w:bookmarkEnd w:id="431"/>
      <w:bookmarkStart w:id="432" w:name="_Toc5734"/>
      <w:r>
        <w:rPr>
          <w:rFonts w:hint="default" w:ascii="Times New Roman" w:hAnsi="Times New Roman" w:eastAsia="宋体" w:cs="Times New Roman"/>
          <w:b/>
          <w:bCs/>
          <w:color w:val="000000" w:themeColor="text1"/>
          <w:sz w:val="28"/>
          <w:szCs w:val="28"/>
          <w14:textFill>
            <w14:solidFill>
              <w14:schemeClr w14:val="tx1"/>
            </w14:solidFill>
          </w14:textFill>
        </w:rPr>
        <w:t>9.3“三同时”竣工验收一览表</w:t>
      </w:r>
      <w:bookmarkEnd w:id="432"/>
    </w:p>
    <w:p w14:paraId="3B9CF4C3">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本项目的“三同时”竣工验收一览表见表9.3-1。</w:t>
      </w:r>
    </w:p>
    <w:p w14:paraId="30605290">
      <w:pPr>
        <w:ind w:firstLine="0" w:firstLineChars="0"/>
        <w:jc w:val="center"/>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表9.3-1项目环境保护竣工验收一览表</w:t>
      </w:r>
    </w:p>
    <w:tbl>
      <w:tblPr>
        <w:tblStyle w:val="29"/>
        <w:tblW w:w="503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864"/>
        <w:gridCol w:w="1690"/>
        <w:gridCol w:w="4277"/>
        <w:gridCol w:w="3018"/>
        <w:gridCol w:w="3865"/>
      </w:tblGrid>
      <w:tr w14:paraId="53E619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315" w:type="pct"/>
            <w:noWrap w:val="0"/>
            <w:vAlign w:val="center"/>
          </w:tcPr>
          <w:p w14:paraId="36C8972E">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项目</w:t>
            </w:r>
          </w:p>
        </w:tc>
        <w:tc>
          <w:tcPr>
            <w:tcW w:w="616" w:type="pct"/>
            <w:noWrap w:val="0"/>
            <w:vAlign w:val="center"/>
          </w:tcPr>
          <w:p w14:paraId="01016038">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污染源</w:t>
            </w:r>
          </w:p>
        </w:tc>
        <w:tc>
          <w:tcPr>
            <w:tcW w:w="1559" w:type="pct"/>
            <w:noWrap w:val="0"/>
            <w:vAlign w:val="center"/>
          </w:tcPr>
          <w:p w14:paraId="2481DDFE">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治理措施</w:t>
            </w:r>
          </w:p>
        </w:tc>
        <w:tc>
          <w:tcPr>
            <w:tcW w:w="1100" w:type="pct"/>
            <w:noWrap w:val="0"/>
            <w:vAlign w:val="center"/>
          </w:tcPr>
          <w:p w14:paraId="492711C6">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验收指标</w:t>
            </w:r>
          </w:p>
        </w:tc>
        <w:tc>
          <w:tcPr>
            <w:tcW w:w="1409" w:type="pct"/>
            <w:noWrap w:val="0"/>
            <w:vAlign w:val="center"/>
          </w:tcPr>
          <w:p w14:paraId="1C1C67C0">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验收标准</w:t>
            </w:r>
          </w:p>
        </w:tc>
      </w:tr>
      <w:tr w14:paraId="08AD70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315" w:type="pct"/>
            <w:vMerge w:val="restart"/>
            <w:noWrap w:val="0"/>
            <w:vAlign w:val="center"/>
          </w:tcPr>
          <w:p w14:paraId="0D3FE543">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eastAsia="宋体" w:cs="Times New Roman"/>
                <w:color w:val="000000" w:themeColor="text1"/>
                <w:sz w:val="21"/>
                <w:szCs w:val="21"/>
                <w:highlight w:val="none"/>
                <w:lang w:val="en-US" w:eastAsia="zh-CN"/>
                <w14:textFill>
                  <w14:solidFill>
                    <w14:schemeClr w14:val="tx1"/>
                  </w14:solidFill>
                </w14:textFill>
              </w:rPr>
              <w:t>废气</w:t>
            </w:r>
          </w:p>
        </w:tc>
        <w:tc>
          <w:tcPr>
            <w:tcW w:w="616" w:type="pct"/>
            <w:vMerge w:val="restart"/>
            <w:noWrap w:val="0"/>
            <w:vAlign w:val="center"/>
          </w:tcPr>
          <w:p w14:paraId="518FFA62">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eastAsia" w:eastAsia="宋体" w:cs="Times New Roman"/>
                <w:color w:val="000000" w:themeColor="text1"/>
                <w:sz w:val="21"/>
                <w:szCs w:val="21"/>
                <w:highlight w:val="none"/>
                <w:lang w:val="en-US" w:eastAsia="zh-CN"/>
                <w14:textFill>
                  <w14:solidFill>
                    <w14:schemeClr w14:val="tx1"/>
                  </w14:solidFill>
                </w14:textFill>
              </w:rPr>
              <w:t>养殖区</w:t>
            </w:r>
            <w:r>
              <w:rPr>
                <w:rFonts w:hint="default" w:ascii="Times New Roman" w:hAnsi="Times New Roman" w:eastAsia="宋体" w:cs="Times New Roman"/>
                <w:color w:val="000000" w:themeColor="text1"/>
                <w:sz w:val="21"/>
                <w:szCs w:val="21"/>
                <w:highlight w:val="none"/>
                <w14:textFill>
                  <w14:solidFill>
                    <w14:schemeClr w14:val="tx1"/>
                  </w14:solidFill>
                </w14:textFill>
              </w:rPr>
              <w:t>恶臭</w:t>
            </w:r>
          </w:p>
        </w:tc>
        <w:tc>
          <w:tcPr>
            <w:tcW w:w="1559" w:type="pct"/>
            <w:vMerge w:val="restart"/>
            <w:noWrap w:val="0"/>
            <w:vAlign w:val="center"/>
          </w:tcPr>
          <w:p w14:paraId="56F5F4B5">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添加生物菌剂配合饲料；牛</w:t>
            </w:r>
            <w:r>
              <w:rPr>
                <w:rFonts w:hint="eastAsia" w:eastAsia="宋体" w:cs="Times New Roman"/>
                <w:color w:val="000000" w:themeColor="text1"/>
                <w:sz w:val="21"/>
                <w:szCs w:val="21"/>
                <w:highlight w:val="none"/>
                <w:lang w:val="en-US" w:eastAsia="zh-CN"/>
                <w14:textFill>
                  <w14:solidFill>
                    <w14:schemeClr w14:val="tx1"/>
                  </w14:solidFill>
                </w14:textFill>
              </w:rPr>
              <w:t>舍</w:t>
            </w:r>
            <w:r>
              <w:rPr>
                <w:rFonts w:hint="default" w:ascii="Times New Roman" w:hAnsi="Times New Roman" w:eastAsia="宋体" w:cs="Times New Roman"/>
                <w:color w:val="000000" w:themeColor="text1"/>
                <w:sz w:val="21"/>
                <w:szCs w:val="21"/>
                <w:highlight w:val="none"/>
                <w14:textFill>
                  <w14:solidFill>
                    <w14:schemeClr w14:val="tx1"/>
                  </w14:solidFill>
                </w14:textFill>
              </w:rPr>
              <w:t>采用</w:t>
            </w:r>
            <w: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t>地面垫料机械清粪工艺</w:t>
            </w:r>
            <w:r>
              <w:rPr>
                <w:rFonts w:hint="default" w:ascii="Times New Roman" w:hAnsi="Times New Roman" w:eastAsia="宋体" w:cs="Times New Roman"/>
                <w:color w:val="000000" w:themeColor="text1"/>
                <w:sz w:val="21"/>
                <w:szCs w:val="21"/>
                <w:highlight w:val="none"/>
                <w14:textFill>
                  <w14:solidFill>
                    <w14:schemeClr w14:val="tx1"/>
                  </w14:solidFill>
                </w14:textFill>
              </w:rPr>
              <w:t>，粪污</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日产日清</w:t>
            </w:r>
            <w:r>
              <w:rPr>
                <w:rFonts w:hint="default" w:ascii="Times New Roman" w:hAnsi="Times New Roman" w:eastAsia="宋体" w:cs="Times New Roman"/>
                <w:color w:val="000000" w:themeColor="text1"/>
                <w:sz w:val="21"/>
                <w:szCs w:val="21"/>
                <w:highlight w:val="none"/>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及时更换垫料，保持牛</w:t>
            </w:r>
            <w:r>
              <w:rPr>
                <w:rFonts w:hint="eastAsia" w:eastAsia="宋体" w:cs="Times New Roman"/>
                <w:color w:val="000000" w:themeColor="text1"/>
                <w:sz w:val="21"/>
                <w:szCs w:val="21"/>
                <w:highlight w:val="none"/>
                <w:lang w:val="en-US" w:eastAsia="zh-CN"/>
                <w14:textFill>
                  <w14:solidFill>
                    <w14:schemeClr w14:val="tx1"/>
                  </w14:solidFill>
                </w14:textFill>
              </w:rPr>
              <w:t>舍</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干燥</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卫生</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14:textFill>
                  <w14:solidFill>
                    <w14:schemeClr w14:val="tx1"/>
                  </w14:solidFill>
                </w14:textFill>
              </w:rPr>
              <w:t>喷洒除臭剂</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加强通风</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1100" w:type="pct"/>
            <w:vMerge w:val="restart"/>
            <w:noWrap w:val="0"/>
            <w:vAlign w:val="center"/>
          </w:tcPr>
          <w:p w14:paraId="3C81B849">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snapToGrid w:val="0"/>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14:textFill>
                  <w14:solidFill>
                    <w14:schemeClr w14:val="tx1"/>
                  </w14:solidFill>
                </w14:textFill>
              </w:rPr>
              <w:t>NH</w:t>
            </w:r>
            <w:r>
              <w:rPr>
                <w:rFonts w:hint="default" w:ascii="Times New Roman" w:hAnsi="Times New Roman" w:eastAsia="宋体" w:cs="Times New Roman"/>
                <w:snapToGrid w:val="0"/>
                <w:color w:val="000000" w:themeColor="text1"/>
                <w:sz w:val="21"/>
                <w:szCs w:val="21"/>
                <w:highlight w:val="none"/>
                <w:vertAlign w:val="subscript"/>
                <w14:textFill>
                  <w14:solidFill>
                    <w14:schemeClr w14:val="tx1"/>
                  </w14:solidFill>
                </w14:textFill>
              </w:rPr>
              <w:t>3</w:t>
            </w:r>
            <w:r>
              <w:rPr>
                <w:rFonts w:hint="default" w:ascii="Times New Roman" w:hAnsi="Times New Roman" w:eastAsia="宋体" w:cs="Times New Roman"/>
                <w:snapToGrid w:val="0"/>
                <w:color w:val="000000" w:themeColor="text1"/>
                <w:sz w:val="21"/>
                <w:szCs w:val="21"/>
                <w:highlight w:val="none"/>
                <w14:textFill>
                  <w14:solidFill>
                    <w14:schemeClr w14:val="tx1"/>
                  </w14:solidFill>
                </w14:textFill>
              </w:rPr>
              <w:t>：</w:t>
            </w:r>
            <w:r>
              <w:rPr>
                <w:rFonts w:hint="default" w:ascii="Times New Roman" w:hAnsi="Times New Roman" w:eastAsia="宋体" w:cs="Times New Roman"/>
                <w:snapToGrid w:val="0"/>
                <w:color w:val="000000" w:themeColor="text1"/>
                <w:sz w:val="21"/>
                <w:szCs w:val="21"/>
                <w:highlight w:val="none"/>
                <w:lang w:val="en-US" w:eastAsia="zh-CN"/>
                <w14:textFill>
                  <w14:solidFill>
                    <w14:schemeClr w14:val="tx1"/>
                  </w14:solidFill>
                </w14:textFill>
              </w:rPr>
              <w:t>场界</w:t>
            </w:r>
            <w:r>
              <w:rPr>
                <w:rFonts w:hint="default" w:ascii="Times New Roman" w:hAnsi="Times New Roman" w:eastAsia="宋体" w:cs="Times New Roman"/>
                <w:snapToGrid w:val="0"/>
                <w:color w:val="000000" w:themeColor="text1"/>
                <w:sz w:val="21"/>
                <w:szCs w:val="21"/>
                <w:highlight w:val="none"/>
                <w14:textFill>
                  <w14:solidFill>
                    <w14:schemeClr w14:val="tx1"/>
                  </w14:solidFill>
                </w14:textFill>
              </w:rPr>
              <w:t>标准值≤1.5mg/m</w:t>
            </w:r>
            <w:r>
              <w:rPr>
                <w:rFonts w:hint="default" w:ascii="Times New Roman" w:hAnsi="Times New Roman" w:eastAsia="宋体" w:cs="Times New Roman"/>
                <w:snapToGrid w:val="0"/>
                <w:color w:val="000000" w:themeColor="text1"/>
                <w:sz w:val="21"/>
                <w:szCs w:val="21"/>
                <w:highlight w:val="none"/>
                <w:vertAlign w:val="superscript"/>
                <w14:textFill>
                  <w14:solidFill>
                    <w14:schemeClr w14:val="tx1"/>
                  </w14:solidFill>
                </w14:textFill>
              </w:rPr>
              <w:t>3</w:t>
            </w:r>
            <w:r>
              <w:rPr>
                <w:rFonts w:hint="default" w:ascii="Times New Roman" w:hAnsi="Times New Roman" w:eastAsia="宋体" w:cs="Times New Roman"/>
                <w:snapToGrid w:val="0"/>
                <w:color w:val="000000" w:themeColor="text1"/>
                <w:sz w:val="21"/>
                <w:szCs w:val="21"/>
                <w:highlight w:val="none"/>
                <w14:textFill>
                  <w14:solidFill>
                    <w14:schemeClr w14:val="tx1"/>
                  </w14:solidFill>
                </w14:textFill>
              </w:rPr>
              <w:t>；H</w:t>
            </w:r>
            <w:r>
              <w:rPr>
                <w:rFonts w:hint="default" w:ascii="Times New Roman" w:hAnsi="Times New Roman" w:eastAsia="宋体" w:cs="Times New Roman"/>
                <w:snapToGrid w:val="0"/>
                <w:color w:val="000000" w:themeColor="text1"/>
                <w:sz w:val="21"/>
                <w:szCs w:val="21"/>
                <w:highlight w:val="none"/>
                <w:vertAlign w:val="subscript"/>
                <w14:textFill>
                  <w14:solidFill>
                    <w14:schemeClr w14:val="tx1"/>
                  </w14:solidFill>
                </w14:textFill>
              </w:rPr>
              <w:t>2</w:t>
            </w:r>
            <w:r>
              <w:rPr>
                <w:rFonts w:hint="default" w:ascii="Times New Roman" w:hAnsi="Times New Roman" w:eastAsia="宋体" w:cs="Times New Roman"/>
                <w:snapToGrid w:val="0"/>
                <w:color w:val="000000" w:themeColor="text1"/>
                <w:sz w:val="21"/>
                <w:szCs w:val="21"/>
                <w:highlight w:val="none"/>
                <w14:textFill>
                  <w14:solidFill>
                    <w14:schemeClr w14:val="tx1"/>
                  </w14:solidFill>
                </w14:textFill>
              </w:rPr>
              <w:t>S：</w:t>
            </w:r>
            <w:r>
              <w:rPr>
                <w:rFonts w:hint="default" w:ascii="Times New Roman" w:hAnsi="Times New Roman" w:eastAsia="宋体" w:cs="Times New Roman"/>
                <w:snapToGrid w:val="0"/>
                <w:color w:val="000000" w:themeColor="text1"/>
                <w:sz w:val="21"/>
                <w:szCs w:val="21"/>
                <w:highlight w:val="none"/>
                <w:lang w:val="en-US" w:eastAsia="zh-CN"/>
                <w14:textFill>
                  <w14:solidFill>
                    <w14:schemeClr w14:val="tx1"/>
                  </w14:solidFill>
                </w14:textFill>
              </w:rPr>
              <w:t>场界</w:t>
            </w:r>
            <w:r>
              <w:rPr>
                <w:rFonts w:hint="default" w:ascii="Times New Roman" w:hAnsi="Times New Roman" w:eastAsia="宋体" w:cs="Times New Roman"/>
                <w:snapToGrid w:val="0"/>
                <w:color w:val="000000" w:themeColor="text1"/>
                <w:sz w:val="21"/>
                <w:szCs w:val="21"/>
                <w:highlight w:val="none"/>
                <w14:textFill>
                  <w14:solidFill>
                    <w14:schemeClr w14:val="tx1"/>
                  </w14:solidFill>
                </w14:textFill>
              </w:rPr>
              <w:t>标准值≤0.06mg/m</w:t>
            </w:r>
            <w:r>
              <w:rPr>
                <w:rFonts w:hint="default" w:ascii="Times New Roman" w:hAnsi="Times New Roman" w:eastAsia="宋体" w:cs="Times New Roman"/>
                <w:snapToGrid w:val="0"/>
                <w:color w:val="000000" w:themeColor="text1"/>
                <w:sz w:val="21"/>
                <w:szCs w:val="21"/>
                <w:highlight w:val="none"/>
                <w:vertAlign w:val="superscript"/>
                <w14:textFill>
                  <w14:solidFill>
                    <w14:schemeClr w14:val="tx1"/>
                  </w14:solidFill>
                </w14:textFill>
              </w:rPr>
              <w:t>3</w:t>
            </w:r>
            <w:r>
              <w:rPr>
                <w:rFonts w:hint="eastAsia" w:cs="Times New Roman"/>
                <w:snapToGrid w:val="0"/>
                <w:color w:val="000000" w:themeColor="text1"/>
                <w:sz w:val="21"/>
                <w:szCs w:val="21"/>
                <w:highlight w:val="none"/>
                <w:vertAlign w:val="baseline"/>
                <w:lang w:eastAsia="zh-CN"/>
                <w14:textFill>
                  <w14:solidFill>
                    <w14:schemeClr w14:val="tx1"/>
                  </w14:solidFill>
                </w14:textFill>
              </w:rPr>
              <w:t>；</w:t>
            </w:r>
          </w:p>
          <w:p w14:paraId="3FEAF0EF">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14:textFill>
                  <w14:solidFill>
                    <w14:schemeClr w14:val="tx1"/>
                  </w14:solidFill>
                </w14:textFill>
              </w:rPr>
              <w:t>臭气浓度：</w:t>
            </w:r>
            <w:r>
              <w:rPr>
                <w:rFonts w:hint="default" w:ascii="Times New Roman" w:hAnsi="Times New Roman" w:eastAsia="宋体" w:cs="Times New Roman"/>
                <w:snapToGrid w:val="0"/>
                <w:color w:val="000000" w:themeColor="text1"/>
                <w:sz w:val="21"/>
                <w:szCs w:val="21"/>
                <w:highlight w:val="none"/>
                <w:lang w:val="en-US" w:eastAsia="zh-CN"/>
                <w14:textFill>
                  <w14:solidFill>
                    <w14:schemeClr w14:val="tx1"/>
                  </w14:solidFill>
                </w14:textFill>
              </w:rPr>
              <w:t>场界</w:t>
            </w:r>
            <w:r>
              <w:rPr>
                <w:rFonts w:hint="default" w:ascii="Times New Roman" w:hAnsi="Times New Roman" w:eastAsia="宋体" w:cs="Times New Roman"/>
                <w:snapToGrid w:val="0"/>
                <w:color w:val="000000" w:themeColor="text1"/>
                <w:sz w:val="21"/>
                <w:szCs w:val="21"/>
                <w:highlight w:val="none"/>
                <w14:textFill>
                  <w14:solidFill>
                    <w14:schemeClr w14:val="tx1"/>
                  </w14:solidFill>
                </w14:textFill>
              </w:rPr>
              <w:t>标准值≤</w:t>
            </w:r>
            <w:r>
              <w:rPr>
                <w:rFonts w:hint="eastAsia" w:cs="Times New Roman"/>
                <w:snapToGrid w:val="0"/>
                <w:color w:val="000000" w:themeColor="text1"/>
                <w:sz w:val="21"/>
                <w:szCs w:val="21"/>
                <w:highlight w:val="none"/>
                <w:lang w:val="en-US" w:eastAsia="zh-CN"/>
                <w14:textFill>
                  <w14:solidFill>
                    <w14:schemeClr w14:val="tx1"/>
                  </w14:solidFill>
                </w14:textFill>
              </w:rPr>
              <w:t>70</w:t>
            </w:r>
          </w:p>
        </w:tc>
        <w:tc>
          <w:tcPr>
            <w:tcW w:w="1409" w:type="pct"/>
            <w:vMerge w:val="restart"/>
            <w:noWrap w:val="0"/>
            <w:vAlign w:val="center"/>
          </w:tcPr>
          <w:p w14:paraId="4C04BB5F">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14:textFill>
                  <w14:solidFill>
                    <w14:schemeClr w14:val="tx1"/>
                  </w14:solidFill>
                </w14:textFill>
              </w:rPr>
              <w:t>NH</w:t>
            </w:r>
            <w:r>
              <w:rPr>
                <w:rFonts w:hint="default" w:ascii="Times New Roman" w:hAnsi="Times New Roman" w:eastAsia="宋体" w:cs="Times New Roman"/>
                <w:snapToGrid w:val="0"/>
                <w:color w:val="000000" w:themeColor="text1"/>
                <w:sz w:val="21"/>
                <w:szCs w:val="21"/>
                <w:highlight w:val="none"/>
                <w:vertAlign w:val="subscript"/>
                <w14:textFill>
                  <w14:solidFill>
                    <w14:schemeClr w14:val="tx1"/>
                  </w14:solidFill>
                </w14:textFill>
              </w:rPr>
              <w:t>3</w:t>
            </w:r>
            <w:r>
              <w:rPr>
                <w:rFonts w:hint="eastAsia" w:cs="Times New Roman"/>
                <w:snapToGrid w:val="0"/>
                <w:color w:val="000000" w:themeColor="text1"/>
                <w:sz w:val="21"/>
                <w:szCs w:val="21"/>
                <w:highlight w:val="none"/>
                <w:vertAlign w:val="baseline"/>
                <w:lang w:eastAsia="zh-CN"/>
                <w14:textFill>
                  <w14:solidFill>
                    <w14:schemeClr w14:val="tx1"/>
                  </w14:solidFill>
                </w14:textFill>
              </w:rPr>
              <w:t>、</w:t>
            </w:r>
            <w:r>
              <w:rPr>
                <w:rFonts w:hint="default" w:ascii="Times New Roman" w:hAnsi="Times New Roman" w:eastAsia="宋体" w:cs="Times New Roman"/>
                <w:snapToGrid w:val="0"/>
                <w:color w:val="000000" w:themeColor="text1"/>
                <w:sz w:val="21"/>
                <w:szCs w:val="21"/>
                <w:highlight w:val="none"/>
                <w14:textFill>
                  <w14:solidFill>
                    <w14:schemeClr w14:val="tx1"/>
                  </w14:solidFill>
                </w14:textFill>
              </w:rPr>
              <w:t>H</w:t>
            </w:r>
            <w:r>
              <w:rPr>
                <w:rFonts w:hint="default" w:ascii="Times New Roman" w:hAnsi="Times New Roman" w:eastAsia="宋体" w:cs="Times New Roman"/>
                <w:snapToGrid w:val="0"/>
                <w:color w:val="000000" w:themeColor="text1"/>
                <w:sz w:val="21"/>
                <w:szCs w:val="21"/>
                <w:highlight w:val="none"/>
                <w:vertAlign w:val="subscript"/>
                <w14:textFill>
                  <w14:solidFill>
                    <w14:schemeClr w14:val="tx1"/>
                  </w14:solidFill>
                </w14:textFill>
              </w:rPr>
              <w:t>2</w:t>
            </w:r>
            <w:r>
              <w:rPr>
                <w:rFonts w:hint="default" w:ascii="Times New Roman" w:hAnsi="Times New Roman" w:eastAsia="宋体" w:cs="Times New Roman"/>
                <w:snapToGrid w:val="0"/>
                <w:color w:val="000000" w:themeColor="text1"/>
                <w:sz w:val="21"/>
                <w:szCs w:val="21"/>
                <w:highlight w:val="none"/>
                <w14:textFill>
                  <w14:solidFill>
                    <w14:schemeClr w14:val="tx1"/>
                  </w14:solidFill>
                </w14:textFill>
              </w:rPr>
              <w:t>S</w:t>
            </w:r>
            <w:r>
              <w:rPr>
                <w:rFonts w:hint="eastAsia" w:cs="Times New Roman"/>
                <w:snapToGrid w:val="0"/>
                <w:color w:val="000000" w:themeColor="text1"/>
                <w:sz w:val="21"/>
                <w:szCs w:val="21"/>
                <w:highlight w:val="none"/>
                <w:lang w:val="en-US" w:eastAsia="zh-CN"/>
                <w14:textFill>
                  <w14:solidFill>
                    <w14:schemeClr w14:val="tx1"/>
                  </w14:solidFill>
                </w14:textFill>
              </w:rPr>
              <w:t>执行</w:t>
            </w:r>
            <w:r>
              <w:rPr>
                <w:rFonts w:hint="default" w:ascii="Times New Roman" w:hAnsi="Times New Roman" w:eastAsia="宋体" w:cs="Times New Roman"/>
                <w:color w:val="000000" w:themeColor="text1"/>
                <w:sz w:val="21"/>
                <w:szCs w:val="21"/>
                <w:highlight w:val="none"/>
                <w14:textFill>
                  <w14:solidFill>
                    <w14:schemeClr w14:val="tx1"/>
                  </w14:solidFill>
                </w14:textFill>
              </w:rPr>
              <w:t>《恶臭污染物排放标准》</w:t>
            </w:r>
          </w:p>
          <w:p w14:paraId="1E0FDF60">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（GB14554-93）表1二级新改扩建标准值</w:t>
            </w:r>
            <w:r>
              <w:rPr>
                <w:rFonts w:hint="eastAsia" w:cs="Times New Roman"/>
                <w:color w:val="000000" w:themeColor="text1"/>
                <w:sz w:val="21"/>
                <w:szCs w:val="21"/>
                <w:highlight w:val="none"/>
                <w:lang w:eastAsia="zh-CN"/>
                <w14:textFill>
                  <w14:solidFill>
                    <w14:schemeClr w14:val="tx1"/>
                  </w14:solidFill>
                </w14:textFill>
              </w:rPr>
              <w:t>、</w:t>
            </w:r>
            <w:r>
              <w:rPr>
                <w:rFonts w:hint="eastAsia" w:cs="Times New Roman"/>
                <w:color w:val="000000" w:themeColor="text1"/>
                <w:sz w:val="21"/>
                <w:szCs w:val="21"/>
                <w:highlight w:val="none"/>
                <w:lang w:val="en-US" w:eastAsia="zh-CN"/>
                <w14:textFill>
                  <w14:solidFill>
                    <w14:schemeClr w14:val="tx1"/>
                  </w14:solidFill>
                </w14:textFill>
              </w:rPr>
              <w:t>臭气浓度执行</w:t>
            </w:r>
            <w:r>
              <w:rPr>
                <w:rFonts w:hint="default" w:ascii="Times New Roman" w:hAnsi="Times New Roman" w:eastAsia="宋体" w:cs="Times New Roman"/>
                <w:color w:val="000000" w:themeColor="text1"/>
                <w:sz w:val="21"/>
                <w:szCs w:val="21"/>
                <w:highlight w:val="none"/>
                <w14:textFill>
                  <w14:solidFill>
                    <w14:schemeClr w14:val="tx1"/>
                  </w14:solidFill>
                </w14:textFill>
              </w:rPr>
              <w:t>《畜禽养殖业污染物排放标准》（GB18596-2001）</w:t>
            </w:r>
          </w:p>
        </w:tc>
      </w:tr>
      <w:tr w14:paraId="371AD6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315" w:type="pct"/>
            <w:vMerge w:val="continue"/>
            <w:noWrap w:val="0"/>
            <w:vAlign w:val="center"/>
          </w:tcPr>
          <w:p w14:paraId="6805203B">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616" w:type="pct"/>
            <w:noWrap w:val="0"/>
            <w:vAlign w:val="center"/>
          </w:tcPr>
          <w:p w14:paraId="657829E6">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14:textFill>
                  <w14:solidFill>
                    <w14:schemeClr w14:val="tx1"/>
                  </w14:solidFill>
                </w14:textFill>
              </w:rPr>
            </w:pPr>
            <w:r>
              <w:rPr>
                <w:rFonts w:hint="eastAsia" w:cs="Times New Roman"/>
                <w:snapToGrid w:val="0"/>
                <w:color w:val="000000" w:themeColor="text1"/>
                <w:sz w:val="21"/>
                <w:szCs w:val="21"/>
                <w:highlight w:val="none"/>
                <w:lang w:val="en-US" w:eastAsia="zh-CN"/>
                <w14:textFill>
                  <w14:solidFill>
                    <w14:schemeClr w14:val="tx1"/>
                  </w14:solidFill>
                </w14:textFill>
              </w:rPr>
              <w:t>固液分离车间</w:t>
            </w:r>
          </w:p>
        </w:tc>
        <w:tc>
          <w:tcPr>
            <w:tcW w:w="1559" w:type="pct"/>
            <w:noWrap w:val="0"/>
            <w:vAlign w:val="center"/>
          </w:tcPr>
          <w:p w14:paraId="5C6BD451">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24"/>
                <w:sz w:val="21"/>
                <w:szCs w:val="21"/>
                <w:highlight w:val="none"/>
                <w:lang w:val="en-US" w:eastAsia="zh-CN"/>
                <w14:textFill>
                  <w14:solidFill>
                    <w14:schemeClr w14:val="tx1"/>
                  </w14:solidFill>
                </w14:textFill>
              </w:rPr>
              <w:t>封闭车间；采用</w:t>
            </w:r>
            <w:r>
              <w:rPr>
                <w:rFonts w:hint="eastAsia" w:eastAsia="宋体" w:cs="Times New Roman"/>
                <w:color w:val="000000" w:themeColor="text1"/>
                <w:kern w:val="0"/>
                <w:sz w:val="21"/>
                <w:szCs w:val="21"/>
                <w:highlight w:val="none"/>
                <w:lang w:val="en-US" w:eastAsia="zh-CN" w:bidi="ar"/>
                <w14:textFill>
                  <w14:solidFill>
                    <w14:schemeClr w14:val="tx1"/>
                  </w14:solidFill>
                </w14:textFill>
              </w:rPr>
              <w:t>槽式</w:t>
            </w: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堆肥</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发酵工艺；</w:t>
            </w:r>
            <w:r>
              <w:rPr>
                <w:rFonts w:hint="default" w:ascii="Times New Roman" w:hAnsi="Times New Roman" w:eastAsia="宋体" w:cs="Times New Roman"/>
                <w:color w:val="000000" w:themeColor="text1"/>
                <w:kern w:val="24"/>
                <w:sz w:val="21"/>
                <w:szCs w:val="21"/>
                <w:highlight w:val="none"/>
                <w14:textFill>
                  <w14:solidFill>
                    <w14:schemeClr w14:val="tx1"/>
                  </w14:solidFill>
                </w14:textFill>
              </w:rPr>
              <w:t>投加减少氨释放和保氮的复合菌剂，</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喷洒除臭剂</w:t>
            </w: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w:t>
            </w:r>
          </w:p>
        </w:tc>
        <w:tc>
          <w:tcPr>
            <w:tcW w:w="1100" w:type="pct"/>
            <w:vMerge w:val="continue"/>
            <w:noWrap w:val="0"/>
            <w:vAlign w:val="center"/>
          </w:tcPr>
          <w:p w14:paraId="4D2489A2">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409" w:type="pct"/>
            <w:vMerge w:val="continue"/>
            <w:noWrap w:val="0"/>
            <w:vAlign w:val="center"/>
          </w:tcPr>
          <w:p w14:paraId="2B67E813">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671DA1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315" w:type="pct"/>
            <w:vMerge w:val="continue"/>
            <w:noWrap w:val="0"/>
            <w:vAlign w:val="center"/>
          </w:tcPr>
          <w:p w14:paraId="5EB8A8FC">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616" w:type="pct"/>
            <w:noWrap w:val="0"/>
            <w:vAlign w:val="center"/>
          </w:tcPr>
          <w:p w14:paraId="35A1DA1B">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snapToGrid w:val="0"/>
                <w:color w:val="000000" w:themeColor="text1"/>
                <w:sz w:val="21"/>
                <w:szCs w:val="21"/>
                <w:highlight w:val="none"/>
                <w:lang w:val="en-US" w:eastAsia="zh-CN"/>
                <w14:textFill>
                  <w14:solidFill>
                    <w14:schemeClr w14:val="tx1"/>
                  </w14:solidFill>
                </w14:textFill>
              </w:rPr>
            </w:pPr>
            <w:r>
              <w:rPr>
                <w:rFonts w:hint="eastAsia" w:cs="Times New Roman"/>
                <w:snapToGrid w:val="0"/>
                <w:color w:val="000000" w:themeColor="text1"/>
                <w:sz w:val="21"/>
                <w:szCs w:val="21"/>
                <w:highlight w:val="none"/>
                <w:lang w:val="en-US" w:eastAsia="zh-CN"/>
                <w14:textFill>
                  <w14:solidFill>
                    <w14:schemeClr w14:val="tx1"/>
                  </w14:solidFill>
                </w14:textFill>
              </w:rPr>
              <w:t>氧化塘</w:t>
            </w:r>
          </w:p>
        </w:tc>
        <w:tc>
          <w:tcPr>
            <w:tcW w:w="1559" w:type="pct"/>
            <w:noWrap w:val="0"/>
            <w:vAlign w:val="center"/>
          </w:tcPr>
          <w:p w14:paraId="0FD847C5">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kern w:val="24"/>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喷洒除臭剂</w:t>
            </w:r>
            <w:r>
              <w:rPr>
                <w:rFonts w:hint="eastAsia" w:cs="Times New Roman"/>
                <w:color w:val="000000" w:themeColor="text1"/>
                <w:sz w:val="21"/>
                <w:szCs w:val="21"/>
                <w:highlight w:val="none"/>
                <w:lang w:eastAsia="zh-CN"/>
                <w14:textFill>
                  <w14:solidFill>
                    <w14:schemeClr w14:val="tx1"/>
                  </w14:solidFill>
                </w14:textFill>
              </w:rPr>
              <w:t>，</w:t>
            </w:r>
            <w:r>
              <w:rPr>
                <w:rFonts w:hint="eastAsia" w:cs="Times New Roman"/>
                <w:color w:val="000000" w:themeColor="text1"/>
                <w:sz w:val="21"/>
                <w:szCs w:val="21"/>
                <w:highlight w:val="none"/>
                <w:lang w:val="en-US" w:eastAsia="zh-CN"/>
                <w14:textFill>
                  <w14:solidFill>
                    <w14:schemeClr w14:val="tx1"/>
                  </w14:solidFill>
                </w14:textFill>
              </w:rPr>
              <w:t>加强厂区周围绿化。</w:t>
            </w:r>
          </w:p>
        </w:tc>
        <w:tc>
          <w:tcPr>
            <w:tcW w:w="1100" w:type="pct"/>
            <w:vMerge w:val="continue"/>
            <w:noWrap w:val="0"/>
            <w:vAlign w:val="center"/>
          </w:tcPr>
          <w:p w14:paraId="030A0322">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409" w:type="pct"/>
            <w:vMerge w:val="continue"/>
            <w:noWrap w:val="0"/>
            <w:vAlign w:val="center"/>
          </w:tcPr>
          <w:p w14:paraId="79EAFEE5">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36D760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315" w:type="pct"/>
            <w:vMerge w:val="continue"/>
            <w:noWrap w:val="0"/>
            <w:vAlign w:val="center"/>
          </w:tcPr>
          <w:p w14:paraId="784B9264">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616" w:type="pct"/>
            <w:noWrap w:val="0"/>
            <w:vAlign w:val="center"/>
          </w:tcPr>
          <w:p w14:paraId="3E9ED3B3">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饲料加工车间（饲料混合搅拌）</w:t>
            </w:r>
          </w:p>
        </w:tc>
        <w:tc>
          <w:tcPr>
            <w:tcW w:w="1559" w:type="pct"/>
            <w:noWrap w:val="0"/>
            <w:vAlign w:val="center"/>
          </w:tcPr>
          <w:p w14:paraId="0903CC54">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控制饲料含水率、车间密闭、规范工人作业</w:t>
            </w: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加强通风</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1100" w:type="pct"/>
            <w:noWrap w:val="0"/>
            <w:vAlign w:val="center"/>
          </w:tcPr>
          <w:p w14:paraId="3A152467">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snapToGrid w:val="0"/>
                <w:color w:val="000000" w:themeColor="text1"/>
                <w:sz w:val="21"/>
                <w:szCs w:val="21"/>
                <w:highlight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14:textFill>
                  <w14:solidFill>
                    <w14:schemeClr w14:val="tx1"/>
                  </w14:solidFill>
                </w14:textFill>
              </w:rPr>
              <w:t>厂界标准值≤1.0mg/m</w:t>
            </w:r>
            <w:r>
              <w:rPr>
                <w:rFonts w:hint="default" w:ascii="Times New Roman" w:hAnsi="Times New Roman" w:eastAsia="宋体" w:cs="Times New Roman"/>
                <w:snapToGrid w:val="0"/>
                <w:color w:val="000000" w:themeColor="text1"/>
                <w:sz w:val="21"/>
                <w:szCs w:val="21"/>
                <w:highlight w:val="none"/>
                <w:vertAlign w:val="superscript"/>
                <w14:textFill>
                  <w14:solidFill>
                    <w14:schemeClr w14:val="tx1"/>
                  </w14:solidFill>
                </w14:textFill>
              </w:rPr>
              <w:t>3</w:t>
            </w:r>
          </w:p>
        </w:tc>
        <w:tc>
          <w:tcPr>
            <w:tcW w:w="1409" w:type="pct"/>
            <w:noWrap w:val="0"/>
            <w:vAlign w:val="center"/>
          </w:tcPr>
          <w:p w14:paraId="6CEB2746">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《大气污染物综合排放标准》（GB16297-1996）表2</w:t>
            </w:r>
          </w:p>
        </w:tc>
      </w:tr>
      <w:tr w14:paraId="0A8B2F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7" w:hRule="atLeast"/>
          <w:jc w:val="center"/>
        </w:trPr>
        <w:tc>
          <w:tcPr>
            <w:tcW w:w="315" w:type="pct"/>
            <w:vMerge w:val="restart"/>
            <w:noWrap w:val="0"/>
            <w:vAlign w:val="center"/>
          </w:tcPr>
          <w:p w14:paraId="34CBCC0E">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废水</w:t>
            </w:r>
          </w:p>
        </w:tc>
        <w:tc>
          <w:tcPr>
            <w:tcW w:w="616" w:type="pct"/>
            <w:noWrap w:val="0"/>
            <w:vAlign w:val="center"/>
          </w:tcPr>
          <w:p w14:paraId="08330999">
            <w:pPr>
              <w:ind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青贮窖渗滤液</w:t>
            </w:r>
          </w:p>
        </w:tc>
        <w:tc>
          <w:tcPr>
            <w:tcW w:w="2659" w:type="pct"/>
            <w:gridSpan w:val="2"/>
            <w:noWrap w:val="0"/>
            <w:vAlign w:val="center"/>
          </w:tcPr>
          <w:p w14:paraId="61668713">
            <w:pPr>
              <w:ind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渗滤液收集池收集后，与养殖废水一起</w:t>
            </w:r>
            <w:r>
              <w:rPr>
                <w:rFonts w:hint="eastAsia" w:cs="Times New Roman"/>
                <w:color w:val="000000" w:themeColor="text1"/>
                <w:sz w:val="21"/>
                <w:szCs w:val="21"/>
                <w:lang w:val="en-US" w:eastAsia="zh-CN"/>
                <w14:textFill>
                  <w14:solidFill>
                    <w14:schemeClr w14:val="tx1"/>
                  </w14:solidFill>
                </w14:textFill>
              </w:rPr>
              <w:t>发酵</w:t>
            </w:r>
            <w:r>
              <w:rPr>
                <w:rFonts w:hint="default" w:ascii="Times New Roman" w:hAnsi="Times New Roman" w:eastAsia="宋体" w:cs="Times New Roman"/>
                <w:color w:val="000000" w:themeColor="text1"/>
                <w:sz w:val="21"/>
                <w:szCs w:val="21"/>
                <w14:textFill>
                  <w14:solidFill>
                    <w14:schemeClr w14:val="tx1"/>
                  </w14:solidFill>
                </w14:textFill>
              </w:rPr>
              <w:t>处理</w:t>
            </w:r>
            <w:r>
              <w:rPr>
                <w:rFonts w:hint="eastAsia" w:cs="Times New Roman"/>
                <w:color w:val="000000" w:themeColor="text1"/>
                <w:sz w:val="21"/>
                <w:szCs w:val="21"/>
                <w:lang w:val="en-US" w:eastAsia="zh-CN"/>
                <w14:textFill>
                  <w14:solidFill>
                    <w14:schemeClr w14:val="tx1"/>
                  </w14:solidFill>
                </w14:textFill>
              </w:rPr>
              <w:t>后，还田</w:t>
            </w:r>
          </w:p>
        </w:tc>
        <w:tc>
          <w:tcPr>
            <w:tcW w:w="1409" w:type="pct"/>
            <w:vMerge w:val="restart"/>
            <w:noWrap w:val="0"/>
            <w:vAlign w:val="center"/>
          </w:tcPr>
          <w:p w14:paraId="3C4A9836">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综合利用，不排放</w:t>
            </w:r>
          </w:p>
        </w:tc>
      </w:tr>
      <w:tr w14:paraId="42AD69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64" w:hRule="atLeast"/>
          <w:jc w:val="center"/>
        </w:trPr>
        <w:tc>
          <w:tcPr>
            <w:tcW w:w="315" w:type="pct"/>
            <w:vMerge w:val="continue"/>
            <w:noWrap w:val="0"/>
            <w:vAlign w:val="center"/>
          </w:tcPr>
          <w:p w14:paraId="20474951">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616" w:type="pct"/>
            <w:noWrap w:val="0"/>
            <w:vAlign w:val="center"/>
          </w:tcPr>
          <w:p w14:paraId="1B9B8D11">
            <w:pPr>
              <w:ind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养殖废水</w:t>
            </w:r>
          </w:p>
        </w:tc>
        <w:tc>
          <w:tcPr>
            <w:tcW w:w="2659" w:type="pct"/>
            <w:gridSpan w:val="2"/>
            <w:noWrap w:val="0"/>
            <w:vAlign w:val="center"/>
          </w:tcPr>
          <w:p w14:paraId="51616987">
            <w:pPr>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采取“收集沉淀池+固液分离+</w:t>
            </w:r>
            <w:r>
              <w:rPr>
                <w:rFonts w:hint="eastAsia" w:cs="Times New Roman"/>
                <w:color w:val="000000" w:themeColor="text1"/>
                <w:sz w:val="21"/>
                <w:szCs w:val="21"/>
                <w:lang w:val="en-US" w:eastAsia="zh-CN"/>
                <w14:textFill>
                  <w14:solidFill>
                    <w14:schemeClr w14:val="tx1"/>
                  </w14:solidFill>
                </w14:textFill>
              </w:rPr>
              <w:t>好</w:t>
            </w:r>
            <w:r>
              <w:rPr>
                <w:rFonts w:hint="default" w:ascii="Times New Roman" w:hAnsi="Times New Roman" w:eastAsia="宋体" w:cs="Times New Roman"/>
                <w:color w:val="000000" w:themeColor="text1"/>
                <w:sz w:val="21"/>
                <w:szCs w:val="21"/>
                <w14:textFill>
                  <w14:solidFill>
                    <w14:schemeClr w14:val="tx1"/>
                  </w14:solidFill>
                </w14:textFill>
              </w:rPr>
              <w:t>氧发酵工艺处理后，</w:t>
            </w:r>
            <w:r>
              <w:rPr>
                <w:rFonts w:hint="default" w:ascii="Times New Roman" w:hAnsi="Times New Roman" w:eastAsia="宋体" w:cs="Times New Roman"/>
                <w:color w:val="000000" w:themeColor="text1"/>
                <w:sz w:val="21"/>
                <w:szCs w:val="21"/>
                <w:lang w:eastAsia="zh-CN"/>
                <w14:textFill>
                  <w14:solidFill>
                    <w14:schemeClr w14:val="tx1"/>
                  </w14:solidFill>
                </w14:textFill>
              </w:rPr>
              <w:t>粪污</w:t>
            </w:r>
            <w:r>
              <w:rPr>
                <w:rFonts w:hint="default" w:ascii="Times New Roman" w:hAnsi="Times New Roman" w:eastAsia="宋体" w:cs="Times New Roman"/>
                <w:color w:val="000000" w:themeColor="text1"/>
                <w:sz w:val="21"/>
                <w:szCs w:val="21"/>
                <w14:textFill>
                  <w14:solidFill>
                    <w14:schemeClr w14:val="tx1"/>
                  </w14:solidFill>
                </w14:textFill>
              </w:rPr>
              <w:t>用作田间肥料”工艺对废水进行处理，处理后作为</w:t>
            </w:r>
            <w:r>
              <w:rPr>
                <w:rFonts w:hint="default" w:ascii="Times New Roman" w:hAnsi="Times New Roman" w:eastAsia="宋体" w:cs="Times New Roman"/>
                <w:color w:val="000000" w:themeColor="text1"/>
                <w:sz w:val="21"/>
                <w:szCs w:val="21"/>
                <w:lang w:eastAsia="zh-CN"/>
                <w14:textFill>
                  <w14:solidFill>
                    <w14:schemeClr w14:val="tx1"/>
                  </w14:solidFill>
                </w14:textFill>
              </w:rPr>
              <w:t>粪污</w:t>
            </w:r>
            <w:r>
              <w:rPr>
                <w:rFonts w:hint="default" w:ascii="Times New Roman" w:hAnsi="Times New Roman" w:eastAsia="宋体" w:cs="Times New Roman"/>
                <w:color w:val="000000" w:themeColor="text1"/>
                <w:sz w:val="21"/>
                <w:szCs w:val="21"/>
                <w14:textFill>
                  <w14:solidFill>
                    <w14:schemeClr w14:val="tx1"/>
                  </w14:solidFill>
                </w14:textFill>
              </w:rPr>
              <w:t>用于项目周边的农田施肥</w:t>
            </w:r>
          </w:p>
        </w:tc>
        <w:tc>
          <w:tcPr>
            <w:tcW w:w="1409" w:type="pct"/>
            <w:vMerge w:val="continue"/>
            <w:noWrap w:val="0"/>
            <w:vAlign w:val="center"/>
          </w:tcPr>
          <w:p w14:paraId="0868AA82">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r>
      <w:tr w14:paraId="5FBAE1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64" w:hRule="atLeast"/>
          <w:jc w:val="center"/>
        </w:trPr>
        <w:tc>
          <w:tcPr>
            <w:tcW w:w="315" w:type="pct"/>
            <w:vMerge w:val="continue"/>
            <w:noWrap w:val="0"/>
            <w:vAlign w:val="center"/>
          </w:tcPr>
          <w:p w14:paraId="4415E25D">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616" w:type="pct"/>
            <w:noWrap w:val="0"/>
            <w:vAlign w:val="center"/>
          </w:tcPr>
          <w:p w14:paraId="7C09902B">
            <w:pPr>
              <w:ind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生活污水</w:t>
            </w:r>
          </w:p>
        </w:tc>
        <w:tc>
          <w:tcPr>
            <w:tcW w:w="2659" w:type="pct"/>
            <w:gridSpan w:val="2"/>
            <w:noWrap w:val="0"/>
            <w:vAlign w:val="center"/>
          </w:tcPr>
          <w:p w14:paraId="3830AD02">
            <w:pPr>
              <w:ind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生活污水经防渗化粪池处理后，与养殖废水一起</w:t>
            </w:r>
            <w:r>
              <w:rPr>
                <w:rFonts w:hint="eastAsia" w:cs="Times New Roman"/>
                <w:color w:val="000000" w:themeColor="text1"/>
                <w:sz w:val="21"/>
                <w:szCs w:val="21"/>
                <w:lang w:val="en-US" w:eastAsia="zh-CN"/>
                <w14:textFill>
                  <w14:solidFill>
                    <w14:schemeClr w14:val="tx1"/>
                  </w14:solidFill>
                </w14:textFill>
              </w:rPr>
              <w:t>发酵</w:t>
            </w:r>
            <w:r>
              <w:rPr>
                <w:rFonts w:hint="default" w:ascii="Times New Roman" w:hAnsi="Times New Roman" w:eastAsia="宋体" w:cs="Times New Roman"/>
                <w:color w:val="000000" w:themeColor="text1"/>
                <w:sz w:val="21"/>
                <w:szCs w:val="21"/>
                <w14:textFill>
                  <w14:solidFill>
                    <w14:schemeClr w14:val="tx1"/>
                  </w14:solidFill>
                </w14:textFill>
              </w:rPr>
              <w:t>处理</w:t>
            </w:r>
            <w:r>
              <w:rPr>
                <w:rFonts w:hint="eastAsia" w:cs="Times New Roman"/>
                <w:color w:val="000000" w:themeColor="text1"/>
                <w:sz w:val="21"/>
                <w:szCs w:val="21"/>
                <w:lang w:val="en-US" w:eastAsia="zh-CN"/>
                <w14:textFill>
                  <w14:solidFill>
                    <w14:schemeClr w14:val="tx1"/>
                  </w14:solidFill>
                </w14:textFill>
              </w:rPr>
              <w:t>后，还田</w:t>
            </w:r>
          </w:p>
        </w:tc>
        <w:tc>
          <w:tcPr>
            <w:tcW w:w="1409" w:type="pct"/>
            <w:vMerge w:val="continue"/>
            <w:noWrap w:val="0"/>
            <w:vAlign w:val="center"/>
          </w:tcPr>
          <w:p w14:paraId="045D3E70">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r>
      <w:tr w14:paraId="7A64AD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9" w:hRule="atLeast"/>
          <w:jc w:val="center"/>
        </w:trPr>
        <w:tc>
          <w:tcPr>
            <w:tcW w:w="315" w:type="pct"/>
            <w:noWrap w:val="0"/>
            <w:vAlign w:val="center"/>
          </w:tcPr>
          <w:p w14:paraId="4C5B2439">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噪声</w:t>
            </w:r>
          </w:p>
        </w:tc>
        <w:tc>
          <w:tcPr>
            <w:tcW w:w="2175" w:type="pct"/>
            <w:gridSpan w:val="2"/>
            <w:noWrap w:val="0"/>
            <w:vAlign w:val="center"/>
          </w:tcPr>
          <w:p w14:paraId="63F96810">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选用低噪声设备、基础减振、厂房隔声、风机及泵加装消声器等</w:t>
            </w:r>
            <w: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t>。</w:t>
            </w:r>
          </w:p>
        </w:tc>
        <w:tc>
          <w:tcPr>
            <w:tcW w:w="1100" w:type="pct"/>
            <w:noWrap w:val="0"/>
            <w:vAlign w:val="center"/>
          </w:tcPr>
          <w:p w14:paraId="5E6BFF71">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厂界：昼间≤60dB（A）；</w:t>
            </w:r>
          </w:p>
          <w:p w14:paraId="77907E2E">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夜间≤50dB（A）</w:t>
            </w:r>
          </w:p>
        </w:tc>
        <w:tc>
          <w:tcPr>
            <w:tcW w:w="1409" w:type="pct"/>
            <w:noWrap w:val="0"/>
            <w:vAlign w:val="center"/>
          </w:tcPr>
          <w:p w14:paraId="22F275AB">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《工业企业厂界环境噪声排放标准》（GB12348-2008）中2类标准</w:t>
            </w:r>
          </w:p>
        </w:tc>
      </w:tr>
      <w:tr w14:paraId="0DC689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315" w:type="pct"/>
            <w:vMerge w:val="restart"/>
            <w:noWrap w:val="0"/>
            <w:vAlign w:val="center"/>
          </w:tcPr>
          <w:p w14:paraId="5AD870D1">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固废</w:t>
            </w:r>
          </w:p>
        </w:tc>
        <w:tc>
          <w:tcPr>
            <w:tcW w:w="616" w:type="pct"/>
            <w:noWrap w:val="0"/>
            <w:vAlign w:val="center"/>
          </w:tcPr>
          <w:p w14:paraId="1D81824F">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粪污</w:t>
            </w:r>
          </w:p>
        </w:tc>
        <w:tc>
          <w:tcPr>
            <w:tcW w:w="2659" w:type="pct"/>
            <w:gridSpan w:val="2"/>
            <w:noWrap w:val="0"/>
            <w:vAlign w:val="center"/>
          </w:tcPr>
          <w:p w14:paraId="6150D758">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采取“收集沉淀池+固液分离+</w:t>
            </w:r>
            <w:r>
              <w:rPr>
                <w:rFonts w:hint="eastAsia" w:cs="Times New Roman"/>
                <w:color w:val="000000" w:themeColor="text1"/>
                <w:sz w:val="21"/>
                <w:szCs w:val="21"/>
                <w:highlight w:val="none"/>
                <w:lang w:val="en-US" w:eastAsia="zh-CN"/>
                <w14:textFill>
                  <w14:solidFill>
                    <w14:schemeClr w14:val="tx1"/>
                  </w14:solidFill>
                </w14:textFill>
              </w:rPr>
              <w:t>好</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氧发酵工艺处理后，粪污用作田间肥料”工艺对废水进行处理，处理后作为粪污用于项目周边的农田施</w:t>
            </w:r>
            <w:r>
              <w:rPr>
                <w:rFonts w:hint="eastAsia" w:eastAsia="宋体" w:cs="Times New Roman"/>
                <w:color w:val="000000" w:themeColor="text1"/>
                <w:sz w:val="21"/>
                <w:szCs w:val="21"/>
                <w:highlight w:val="none"/>
                <w:lang w:val="en-US" w:eastAsia="zh-CN"/>
                <w14:textFill>
                  <w14:solidFill>
                    <w14:schemeClr w14:val="tx1"/>
                  </w14:solidFill>
                </w14:textFill>
              </w:rPr>
              <w:t>肥</w:t>
            </w:r>
          </w:p>
        </w:tc>
        <w:tc>
          <w:tcPr>
            <w:tcW w:w="1409" w:type="pct"/>
            <w:noWrap w:val="0"/>
            <w:vAlign w:val="center"/>
          </w:tcPr>
          <w:p w14:paraId="5BCFD120">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综合利用，不外排</w:t>
            </w:r>
          </w:p>
        </w:tc>
      </w:tr>
      <w:tr w14:paraId="3AA2DE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315" w:type="pct"/>
            <w:vMerge w:val="continue"/>
            <w:noWrap w:val="0"/>
            <w:vAlign w:val="center"/>
          </w:tcPr>
          <w:p w14:paraId="0186697F">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616" w:type="pct"/>
            <w:noWrap w:val="0"/>
            <w:vAlign w:val="center"/>
          </w:tcPr>
          <w:p w14:paraId="131E790E">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废包装材料</w:t>
            </w:r>
          </w:p>
        </w:tc>
        <w:tc>
          <w:tcPr>
            <w:tcW w:w="2659" w:type="pct"/>
            <w:gridSpan w:val="2"/>
            <w:noWrap w:val="0"/>
            <w:vAlign w:val="center"/>
          </w:tcPr>
          <w:p w14:paraId="1F172F43">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收集精饲料存放区暂存，外售综合利用。</w:t>
            </w:r>
          </w:p>
        </w:tc>
        <w:tc>
          <w:tcPr>
            <w:tcW w:w="1409" w:type="pct"/>
            <w:noWrap w:val="0"/>
            <w:vAlign w:val="center"/>
          </w:tcPr>
          <w:p w14:paraId="2BD110CA">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综合利用，不外排</w:t>
            </w:r>
          </w:p>
        </w:tc>
      </w:tr>
      <w:tr w14:paraId="4D34D0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49" w:hRule="atLeast"/>
          <w:jc w:val="center"/>
        </w:trPr>
        <w:tc>
          <w:tcPr>
            <w:tcW w:w="315" w:type="pct"/>
            <w:vMerge w:val="continue"/>
            <w:noWrap w:val="0"/>
            <w:vAlign w:val="center"/>
          </w:tcPr>
          <w:p w14:paraId="6EA3A039">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616" w:type="pct"/>
            <w:noWrap w:val="0"/>
            <w:vAlign w:val="center"/>
          </w:tcPr>
          <w:p w14:paraId="694DBA6B">
            <w:pPr>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病死牛、胎衣</w:t>
            </w:r>
          </w:p>
        </w:tc>
        <w:tc>
          <w:tcPr>
            <w:tcW w:w="2659" w:type="pct"/>
            <w:gridSpan w:val="2"/>
            <w:noWrap w:val="0"/>
            <w:vAlign w:val="center"/>
          </w:tcPr>
          <w:p w14:paraId="05901451">
            <w:pPr>
              <w:ind w:firstLine="0" w:firstLineChars="0"/>
              <w:jc w:val="cente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委托无害化处理企业处置</w:t>
            </w:r>
          </w:p>
        </w:tc>
        <w:tc>
          <w:tcPr>
            <w:tcW w:w="1409" w:type="pct"/>
            <w:noWrap w:val="0"/>
            <w:vAlign w:val="center"/>
          </w:tcPr>
          <w:p w14:paraId="0682B59C">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委托第三方无害化处理</w:t>
            </w:r>
          </w:p>
        </w:tc>
      </w:tr>
      <w:tr w14:paraId="3E3A85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3" w:hRule="atLeast"/>
          <w:jc w:val="center"/>
        </w:trPr>
        <w:tc>
          <w:tcPr>
            <w:tcW w:w="315" w:type="pct"/>
            <w:vMerge w:val="continue"/>
            <w:noWrap w:val="0"/>
            <w:vAlign w:val="center"/>
          </w:tcPr>
          <w:p w14:paraId="550936E8">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616" w:type="pct"/>
            <w:noWrap w:val="0"/>
            <w:vAlign w:val="center"/>
          </w:tcPr>
          <w:p w14:paraId="60EA4671">
            <w:pPr>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医疗固废</w:t>
            </w:r>
          </w:p>
        </w:tc>
        <w:tc>
          <w:tcPr>
            <w:tcW w:w="2659" w:type="pct"/>
            <w:gridSpan w:val="2"/>
            <w:noWrap w:val="0"/>
            <w:vAlign w:val="center"/>
          </w:tcPr>
          <w:p w14:paraId="71D7C66D">
            <w:pPr>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医疗废物暂存间暂存，定期送医疗废物处理场集中处理</w:t>
            </w:r>
          </w:p>
        </w:tc>
        <w:tc>
          <w:tcPr>
            <w:tcW w:w="1409" w:type="pct"/>
            <w:vMerge w:val="restart"/>
            <w:noWrap w:val="0"/>
            <w:vAlign w:val="center"/>
          </w:tcPr>
          <w:p w14:paraId="31BDF445">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t>《危险废物贮存污染控制标准》（GB18597-2023）</w:t>
            </w:r>
          </w:p>
        </w:tc>
      </w:tr>
      <w:tr w14:paraId="113094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3" w:hRule="atLeast"/>
          <w:jc w:val="center"/>
        </w:trPr>
        <w:tc>
          <w:tcPr>
            <w:tcW w:w="315" w:type="pct"/>
            <w:vMerge w:val="continue"/>
            <w:noWrap w:val="0"/>
            <w:vAlign w:val="center"/>
          </w:tcPr>
          <w:p w14:paraId="278E10FA">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616" w:type="pct"/>
            <w:noWrap w:val="0"/>
            <w:vAlign w:val="center"/>
          </w:tcPr>
          <w:p w14:paraId="5C7498F4">
            <w:pPr>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废矿物油</w:t>
            </w:r>
          </w:p>
        </w:tc>
        <w:tc>
          <w:tcPr>
            <w:tcW w:w="2659" w:type="pct"/>
            <w:gridSpan w:val="2"/>
            <w:noWrap w:val="0"/>
            <w:vAlign w:val="center"/>
          </w:tcPr>
          <w:p w14:paraId="1C52ADA6">
            <w:pPr>
              <w:ind w:firstLine="0" w:firstLineChars="0"/>
              <w:jc w:val="center"/>
              <w:rPr>
                <w:rFonts w:hint="eastAsia"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危废暂存间暂存，定期委托有处理资质的单位处置</w:t>
            </w:r>
          </w:p>
        </w:tc>
        <w:tc>
          <w:tcPr>
            <w:tcW w:w="1409" w:type="pct"/>
            <w:vMerge w:val="continue"/>
            <w:noWrap w:val="0"/>
            <w:vAlign w:val="center"/>
          </w:tcPr>
          <w:p w14:paraId="076EF4F1">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p>
        </w:tc>
      </w:tr>
      <w:tr w14:paraId="04E864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315" w:type="pct"/>
            <w:vMerge w:val="continue"/>
            <w:noWrap w:val="0"/>
            <w:vAlign w:val="center"/>
          </w:tcPr>
          <w:p w14:paraId="4B13D690">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616" w:type="pct"/>
            <w:noWrap w:val="0"/>
            <w:vAlign w:val="center"/>
          </w:tcPr>
          <w:p w14:paraId="629F917D">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ascii="Times New Roman" w:hAnsi="Times New Roman" w:eastAsia="宋体" w:cs="Times New Roman"/>
                <w:color w:val="000000" w:themeColor="text1"/>
                <w:sz w:val="21"/>
                <w:szCs w:val="21"/>
                <w:highlight w:val="none"/>
                <w14:textFill>
                  <w14:solidFill>
                    <w14:schemeClr w14:val="tx1"/>
                  </w14:solidFill>
                </w14:textFill>
              </w:rPr>
              <w:t>生活垃圾</w:t>
            </w:r>
          </w:p>
        </w:tc>
        <w:tc>
          <w:tcPr>
            <w:tcW w:w="4068" w:type="pct"/>
            <w:gridSpan w:val="3"/>
            <w:noWrap w:val="0"/>
            <w:vAlign w:val="center"/>
          </w:tcPr>
          <w:p w14:paraId="4697A05B">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ascii="Times New Roman" w:hAnsi="Times New Roman" w:eastAsia="宋体" w:cs="Times New Roman"/>
                <w:color w:val="000000" w:themeColor="text1"/>
                <w:sz w:val="21"/>
                <w:szCs w:val="21"/>
                <w:highlight w:val="none"/>
                <w14:textFill>
                  <w14:solidFill>
                    <w14:schemeClr w14:val="tx1"/>
                  </w14:solidFill>
                </w14:textFill>
              </w:rPr>
              <w:t>集中收集后环卫部门定时清理</w:t>
            </w:r>
            <w: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t>。</w:t>
            </w:r>
          </w:p>
        </w:tc>
      </w:tr>
      <w:tr w14:paraId="2C2375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315" w:type="pct"/>
            <w:noWrap w:val="0"/>
            <w:vAlign w:val="center"/>
          </w:tcPr>
          <w:p w14:paraId="6A368E27">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21"/>
                <w:szCs w:val="21"/>
                <w:highlight w:val="none"/>
                <w14:textFill>
                  <w14:solidFill>
                    <w14:schemeClr w14:val="tx1"/>
                  </w14:solidFill>
                </w14:textFill>
              </w:rPr>
            </w:pPr>
            <w:r>
              <w:rPr>
                <w:rFonts w:ascii="Times New Roman" w:hAnsi="Times New Roman" w:eastAsia="宋体" w:cs="Times New Roman"/>
                <w:snapToGrid w:val="0"/>
                <w:color w:val="000000" w:themeColor="text1"/>
                <w:sz w:val="21"/>
                <w:szCs w:val="21"/>
                <w:highlight w:val="none"/>
                <w14:textFill>
                  <w14:solidFill>
                    <w14:schemeClr w14:val="tx1"/>
                  </w14:solidFill>
                </w14:textFill>
              </w:rPr>
              <w:t>绿化</w:t>
            </w:r>
          </w:p>
        </w:tc>
        <w:tc>
          <w:tcPr>
            <w:tcW w:w="4684" w:type="pct"/>
            <w:gridSpan w:val="4"/>
            <w:noWrap w:val="0"/>
            <w:vAlign w:val="center"/>
          </w:tcPr>
          <w:p w14:paraId="25D0DF04">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21"/>
                <w:szCs w:val="21"/>
                <w:highlight w:val="none"/>
                <w14:textFill>
                  <w14:solidFill>
                    <w14:schemeClr w14:val="tx1"/>
                  </w14:solidFill>
                </w14:textFill>
              </w:rPr>
            </w:pPr>
            <w:r>
              <w:rPr>
                <w:rFonts w:hint="eastAsia" w:ascii="Times New Roman" w:hAnsi="Times New Roman" w:eastAsia="宋体" w:cs="Times New Roman"/>
                <w:snapToGrid w:val="0"/>
                <w:color w:val="000000" w:themeColor="text1"/>
                <w:sz w:val="21"/>
                <w:szCs w:val="21"/>
                <w:highlight w:val="none"/>
                <w:lang w:val="en-US" w:eastAsia="zh-CN"/>
                <w14:textFill>
                  <w14:solidFill>
                    <w14:schemeClr w14:val="tx1"/>
                  </w14:solidFill>
                </w14:textFill>
              </w:rPr>
              <w:t>牛</w:t>
            </w:r>
            <w:r>
              <w:rPr>
                <w:rFonts w:hint="eastAsia" w:eastAsia="宋体" w:cs="Times New Roman"/>
                <w:snapToGrid w:val="0"/>
                <w:color w:val="000000" w:themeColor="text1"/>
                <w:sz w:val="21"/>
                <w:szCs w:val="21"/>
                <w:highlight w:val="none"/>
                <w:lang w:val="en-US" w:eastAsia="zh-CN"/>
                <w14:textFill>
                  <w14:solidFill>
                    <w14:schemeClr w14:val="tx1"/>
                  </w14:solidFill>
                </w14:textFill>
              </w:rPr>
              <w:t>舍</w:t>
            </w:r>
            <w:r>
              <w:rPr>
                <w:rFonts w:hint="eastAsia" w:ascii="Times New Roman" w:hAnsi="Times New Roman" w:eastAsia="宋体" w:cs="Times New Roman"/>
                <w:snapToGrid w:val="0"/>
                <w:color w:val="000000" w:themeColor="text1"/>
                <w:sz w:val="21"/>
                <w:szCs w:val="21"/>
                <w:highlight w:val="none"/>
                <w:lang w:val="en-US" w:eastAsia="zh-CN"/>
                <w14:textFill>
                  <w14:solidFill>
                    <w14:schemeClr w14:val="tx1"/>
                  </w14:solidFill>
                </w14:textFill>
              </w:rPr>
              <w:t>、运动场、有机肥车间周边及场界四周合理绿化</w:t>
            </w:r>
            <w:r>
              <w:rPr>
                <w:rFonts w:hint="eastAsia" w:ascii="Times New Roman" w:hAnsi="Times New Roman" w:eastAsia="宋体" w:cs="Times New Roman"/>
                <w:snapToGrid w:val="0"/>
                <w:color w:val="000000" w:themeColor="text1"/>
                <w:sz w:val="21"/>
                <w:szCs w:val="21"/>
                <w:highlight w:val="none"/>
                <w:vertAlign w:val="baseline"/>
                <w:lang w:eastAsia="zh-CN"/>
                <w14:textFill>
                  <w14:solidFill>
                    <w14:schemeClr w14:val="tx1"/>
                  </w14:solidFill>
                </w14:textFill>
              </w:rPr>
              <w:t>。</w:t>
            </w:r>
          </w:p>
        </w:tc>
      </w:tr>
      <w:tr w14:paraId="4FFFB9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315" w:type="pct"/>
            <w:noWrap w:val="0"/>
            <w:vAlign w:val="center"/>
          </w:tcPr>
          <w:p w14:paraId="173A8FD1">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snapToGrid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snapToGrid w:val="0"/>
                <w:color w:val="000000" w:themeColor="text1"/>
                <w:sz w:val="21"/>
                <w:szCs w:val="21"/>
                <w:highlight w:val="none"/>
                <w:lang w:val="en-US" w:eastAsia="zh-CN"/>
                <w14:textFill>
                  <w14:solidFill>
                    <w14:schemeClr w14:val="tx1"/>
                  </w14:solidFill>
                </w14:textFill>
              </w:rPr>
              <w:t>地下水</w:t>
            </w:r>
          </w:p>
        </w:tc>
        <w:tc>
          <w:tcPr>
            <w:tcW w:w="4684" w:type="pct"/>
            <w:gridSpan w:val="4"/>
            <w:noWrap w:val="0"/>
            <w:vAlign w:val="center"/>
          </w:tcPr>
          <w:p w14:paraId="51AE06EC">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snapToGrid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snapToGrid w:val="0"/>
                <w:color w:val="000000" w:themeColor="text1"/>
                <w:sz w:val="21"/>
                <w:szCs w:val="21"/>
                <w:highlight w:val="none"/>
                <w:lang w:val="en-US" w:eastAsia="zh-CN"/>
                <w14:textFill>
                  <w14:solidFill>
                    <w14:schemeClr w14:val="tx1"/>
                  </w14:solidFill>
                </w14:textFill>
              </w:rPr>
              <w:t>布置地下水监测井1口。</w:t>
            </w:r>
          </w:p>
        </w:tc>
      </w:tr>
      <w:tr w14:paraId="306766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315" w:type="pct"/>
            <w:noWrap w:val="0"/>
            <w:vAlign w:val="center"/>
          </w:tcPr>
          <w:p w14:paraId="2CB1BE8C">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21"/>
                <w:szCs w:val="21"/>
                <w:highlight w:val="none"/>
                <w14:textFill>
                  <w14:solidFill>
                    <w14:schemeClr w14:val="tx1"/>
                  </w14:solidFill>
                </w14:textFill>
              </w:rPr>
            </w:pPr>
            <w:r>
              <w:rPr>
                <w:rFonts w:ascii="Times New Roman" w:hAnsi="Times New Roman" w:eastAsia="宋体" w:cs="Times New Roman"/>
                <w:color w:val="000000" w:themeColor="text1"/>
                <w:sz w:val="21"/>
                <w:szCs w:val="21"/>
                <w:highlight w:val="none"/>
                <w14:textFill>
                  <w14:solidFill>
                    <w14:schemeClr w14:val="tx1"/>
                  </w14:solidFill>
                </w14:textFill>
              </w:rPr>
              <w:t>防渗</w:t>
            </w:r>
          </w:p>
        </w:tc>
        <w:tc>
          <w:tcPr>
            <w:tcW w:w="4684" w:type="pct"/>
            <w:gridSpan w:val="4"/>
            <w:noWrap w:val="0"/>
            <w:vAlign w:val="center"/>
          </w:tcPr>
          <w:p w14:paraId="24F436CB">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both"/>
              <w:textAlignment w:val="auto"/>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fldChar w:fldCharType="begin"/>
            </w:r>
            <w:r>
              <w:rPr>
                <w:rFonts w:hint="eastAsia"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instrText xml:space="preserve"> = 1 \* GB3 \* MERGEFORMAT </w:instrText>
            </w:r>
            <w:r>
              <w:rPr>
                <w:rFonts w:hint="eastAsia"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fldChar w:fldCharType="separate"/>
            </w:r>
            <w:r>
              <w:rPr>
                <w:rFonts w:eastAsia="宋体" w:cs="Times New Roman"/>
                <w:color w:val="000000" w:themeColor="text1"/>
                <w:sz w:val="21"/>
                <w:szCs w:val="22"/>
                <w:highlight w:val="none"/>
                <w14:textFill>
                  <w14:solidFill>
                    <w14:schemeClr w14:val="tx1"/>
                  </w14:solidFill>
                </w14:textFill>
              </w:rPr>
              <w:t>①</w:t>
            </w:r>
            <w:r>
              <w:rPr>
                <w:rFonts w:hint="eastAsia"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fldChar w:fldCharType="end"/>
            </w: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重点防渗区：</w:t>
            </w:r>
            <w:r>
              <w:rPr>
                <w:rFonts w:hint="eastAsia" w:eastAsia="宋体" w:cs="Times New Roman"/>
                <w:b w:val="0"/>
                <w:bCs w:val="0"/>
                <w:color w:val="000000" w:themeColor="text1"/>
                <w:kern w:val="0"/>
                <w:sz w:val="21"/>
                <w:szCs w:val="21"/>
                <w:highlight w:val="none"/>
                <w:lang w:val="en-US" w:eastAsia="zh-CN" w:bidi="ar"/>
                <w14:textFill>
                  <w14:solidFill>
                    <w14:schemeClr w14:val="tx1"/>
                  </w14:solidFill>
                </w14:textFill>
              </w:rPr>
              <w:t>危废间、医废间</w:t>
            </w: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按照</w:t>
            </w:r>
            <w: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t>《危险废物贮存污染控制标准》（GB18597-2023）</w:t>
            </w: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，防渗层为2mm厚高密度聚乙烯膜，渗透系数不大于10</w:t>
            </w:r>
            <w:r>
              <w:rPr>
                <w:rFonts w:hint="default" w:ascii="Times New Roman" w:hAnsi="Times New Roman" w:eastAsia="宋体" w:cs="Times New Roman"/>
                <w:b w:val="0"/>
                <w:bCs w:val="0"/>
                <w:color w:val="000000" w:themeColor="text1"/>
                <w:kern w:val="0"/>
                <w:sz w:val="21"/>
                <w:szCs w:val="21"/>
                <w:highlight w:val="none"/>
                <w:vertAlign w:val="superscript"/>
                <w:lang w:val="en-US" w:eastAsia="zh-CN" w:bidi="ar"/>
                <w14:textFill>
                  <w14:solidFill>
                    <w14:schemeClr w14:val="tx1"/>
                  </w14:solidFill>
                </w14:textFill>
              </w:rPr>
              <w:t>-10</w:t>
            </w: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cm/s</w:t>
            </w:r>
            <w:r>
              <w:rPr>
                <w:rFonts w:hint="eastAsia"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w:t>
            </w:r>
            <w:r>
              <w:rPr>
                <w:rFonts w:hint="eastAsia" w:eastAsia="宋体" w:cs="Times New Roman"/>
                <w:b w:val="0"/>
                <w:bCs w:val="0"/>
                <w:color w:val="000000" w:themeColor="text1"/>
                <w:kern w:val="0"/>
                <w:sz w:val="21"/>
                <w:szCs w:val="21"/>
                <w:highlight w:val="none"/>
                <w:lang w:val="en-US" w:eastAsia="zh-CN" w:bidi="ar"/>
                <w14:textFill>
                  <w14:solidFill>
                    <w14:schemeClr w14:val="tx1"/>
                  </w14:solidFill>
                </w14:textFill>
              </w:rPr>
              <w:t>防渗结构为</w:t>
            </w: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基底层压实（压实度不小于93%）+HDPE防渗膜（厚2.0mm）+抗渗混凝土层（混凝土防渗等级不小于P8）+防腐防渗环氧树脂涂层。</w:t>
            </w:r>
          </w:p>
          <w:p w14:paraId="12BFE1FB">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left"/>
              <w:textAlignment w:val="auto"/>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fldChar w:fldCharType="begin"/>
            </w:r>
            <w:r>
              <w:rPr>
                <w:rFonts w:hint="eastAsia"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instrText xml:space="preserve"> = 2 \* GB3 \* MERGEFORMAT </w:instrText>
            </w:r>
            <w:r>
              <w:rPr>
                <w:rFonts w:hint="eastAsia"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fldChar w:fldCharType="separate"/>
            </w:r>
            <w:r>
              <w:rPr>
                <w:rFonts w:eastAsia="宋体" w:cs="Times New Roman"/>
                <w:color w:val="000000" w:themeColor="text1"/>
                <w:sz w:val="21"/>
                <w:szCs w:val="22"/>
                <w:highlight w:val="none"/>
                <w14:textFill>
                  <w14:solidFill>
                    <w14:schemeClr w14:val="tx1"/>
                  </w14:solidFill>
                </w14:textFill>
              </w:rPr>
              <w:t>②</w:t>
            </w:r>
            <w:r>
              <w:rPr>
                <w:rFonts w:hint="eastAsia"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fldChar w:fldCharType="end"/>
            </w: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一般防渗区：</w:t>
            </w:r>
            <w:r>
              <w:rPr>
                <w:rFonts w:hint="default" w:ascii="Times New Roman" w:hAnsi="Times New Roman" w:eastAsia="宋体" w:cs="Times New Roman"/>
                <w:snapToGrid w:val="0"/>
                <w:color w:val="000000" w:themeColor="text1"/>
                <w:sz w:val="21"/>
                <w:szCs w:val="21"/>
                <w:highlight w:val="none"/>
                <w14:textFill>
                  <w14:solidFill>
                    <w14:schemeClr w14:val="tx1"/>
                  </w14:solidFill>
                </w14:textFill>
              </w:rPr>
              <w:t>牛</w:t>
            </w:r>
            <w:r>
              <w:rPr>
                <w:rFonts w:hint="eastAsia" w:eastAsia="宋体" w:cs="Times New Roman"/>
                <w:snapToGrid w:val="0"/>
                <w:color w:val="000000" w:themeColor="text1"/>
                <w:sz w:val="21"/>
                <w:szCs w:val="21"/>
                <w:highlight w:val="none"/>
                <w:lang w:val="en-US" w:eastAsia="zh-CN"/>
                <w14:textFill>
                  <w14:solidFill>
                    <w14:schemeClr w14:val="tx1"/>
                  </w14:solidFill>
                </w14:textFill>
              </w:rPr>
              <w:t>舍</w:t>
            </w:r>
            <w:r>
              <w:rPr>
                <w:rFonts w:hint="default" w:ascii="Times New Roman" w:hAnsi="Times New Roman" w:eastAsia="宋体" w:cs="Times New Roman"/>
                <w:snapToGrid w:val="0"/>
                <w:color w:val="000000" w:themeColor="text1"/>
                <w:sz w:val="21"/>
                <w:szCs w:val="21"/>
                <w:highlight w:val="none"/>
                <w:lang w:eastAsia="zh-CN"/>
                <w14:textFill>
                  <w14:solidFill>
                    <w14:schemeClr w14:val="tx1"/>
                  </w14:solidFill>
                </w14:textFill>
              </w:rPr>
              <w:t>、</w:t>
            </w:r>
            <w:r>
              <w:rPr>
                <w:rFonts w:hint="eastAsia" w:eastAsia="宋体" w:cs="Times New Roman"/>
                <w:snapToGrid w:val="0"/>
                <w:color w:val="000000" w:themeColor="text1"/>
                <w:sz w:val="21"/>
                <w:szCs w:val="21"/>
                <w:highlight w:val="none"/>
                <w:lang w:val="en-US" w:eastAsia="zh-CN"/>
                <w14:textFill>
                  <w14:solidFill>
                    <w14:schemeClr w14:val="tx1"/>
                  </w14:solidFill>
                </w14:textFill>
              </w:rPr>
              <w:t>固液分离</w:t>
            </w:r>
            <w:r>
              <w:rPr>
                <w:rFonts w:hint="default" w:ascii="Times New Roman" w:hAnsi="Times New Roman" w:eastAsia="宋体" w:cs="Times New Roman"/>
                <w:snapToGrid w:val="0"/>
                <w:color w:val="000000" w:themeColor="text1"/>
                <w:sz w:val="21"/>
                <w:szCs w:val="21"/>
                <w:highlight w:val="none"/>
                <w:lang w:val="en-US" w:eastAsia="zh-CN"/>
                <w14:textFill>
                  <w14:solidFill>
                    <w14:schemeClr w14:val="tx1"/>
                  </w14:solidFill>
                </w14:textFill>
              </w:rPr>
              <w:t>车间</w:t>
            </w:r>
            <w:r>
              <w:rPr>
                <w:rFonts w:hint="eastAsia" w:ascii="Times New Roman" w:hAnsi="Times New Roman" w:eastAsia="宋体" w:cs="Times New Roman"/>
                <w:snapToGrid w:val="0"/>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化粪池、</w:t>
            </w:r>
            <w:r>
              <w:rPr>
                <w:rFonts w:hint="eastAsia"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青贮窖</w:t>
            </w: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等，防渗等级应达到不低于1.5m厚粘土，渗透系数不大于10</w:t>
            </w:r>
            <w:r>
              <w:rPr>
                <w:rFonts w:hint="default" w:ascii="Times New Roman" w:hAnsi="Times New Roman" w:eastAsia="宋体" w:cs="Times New Roman"/>
                <w:b w:val="0"/>
                <w:bCs w:val="0"/>
                <w:color w:val="000000" w:themeColor="text1"/>
                <w:kern w:val="0"/>
                <w:sz w:val="21"/>
                <w:szCs w:val="21"/>
                <w:highlight w:val="none"/>
                <w:vertAlign w:val="superscript"/>
                <w:lang w:val="en-US" w:eastAsia="zh-CN" w:bidi="ar"/>
                <w14:textFill>
                  <w14:solidFill>
                    <w14:schemeClr w14:val="tx1"/>
                  </w14:solidFill>
                </w14:textFill>
              </w:rPr>
              <w:t>-7</w:t>
            </w: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cm/s的防渗性能</w:t>
            </w:r>
            <w:r>
              <w:rPr>
                <w:rFonts w:hint="eastAsia"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w:t>
            </w: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地面采用抗渗混凝土防渗，抗渗混凝土的抗渗等级不宜小于P6，强度等级不应低于C25/C30，其厚度不宜小于100mm。抗渗混凝土地面应设置缩缝和胀缝，接缝处等细部构造应做防渗止水处理。</w:t>
            </w:r>
          </w:p>
          <w:p w14:paraId="73524506">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left"/>
              <w:textAlignment w:val="auto"/>
              <w:rPr>
                <w:rFonts w:ascii="Times New Roman" w:hAnsi="Times New Roman" w:eastAsia="宋体" w:cs="Times New Roman"/>
                <w:color w:val="000000" w:themeColor="text1"/>
                <w:sz w:val="21"/>
                <w:szCs w:val="21"/>
                <w:highlight w:val="none"/>
                <w14:textFill>
                  <w14:solidFill>
                    <w14:schemeClr w14:val="tx1"/>
                  </w14:solidFill>
                </w14:textFill>
              </w:rPr>
            </w:pPr>
            <w:r>
              <w:rPr>
                <w:rFonts w:hint="eastAsia"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fldChar w:fldCharType="begin"/>
            </w:r>
            <w:r>
              <w:rPr>
                <w:rFonts w:hint="eastAsia"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instrText xml:space="preserve"> = 3 \* GB3 \* MERGEFORMAT </w:instrText>
            </w:r>
            <w:r>
              <w:rPr>
                <w:rFonts w:hint="eastAsia"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fldChar w:fldCharType="separate"/>
            </w:r>
            <w:r>
              <w:rPr>
                <w:rFonts w:eastAsia="宋体" w:cs="Times New Roman"/>
                <w:color w:val="000000" w:themeColor="text1"/>
                <w:sz w:val="21"/>
                <w:szCs w:val="22"/>
                <w:highlight w:val="none"/>
                <w14:textFill>
                  <w14:solidFill>
                    <w14:schemeClr w14:val="tx1"/>
                  </w14:solidFill>
                </w14:textFill>
              </w:rPr>
              <w:t>③</w:t>
            </w:r>
            <w:r>
              <w:rPr>
                <w:rFonts w:hint="eastAsia"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fldChar w:fldCharType="end"/>
            </w: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简单防渗区：</w:t>
            </w:r>
            <w:r>
              <w:rPr>
                <w:rFonts w:hint="default" w:ascii="Times New Roman" w:hAnsi="Times New Roman" w:eastAsia="宋体" w:cs="Times New Roman"/>
                <w:snapToGrid w:val="0"/>
                <w:color w:val="000000" w:themeColor="text1"/>
                <w:sz w:val="21"/>
                <w:szCs w:val="21"/>
                <w:highlight w:val="none"/>
                <w:lang w:val="en-US" w:eastAsia="zh-CN"/>
                <w14:textFill>
                  <w14:solidFill>
                    <w14:schemeClr w14:val="tx1"/>
                  </w14:solidFill>
                </w14:textFill>
              </w:rPr>
              <w:t>办公</w:t>
            </w:r>
            <w:r>
              <w:rPr>
                <w:rFonts w:hint="eastAsia" w:ascii="Times New Roman" w:hAnsi="Times New Roman" w:eastAsia="宋体" w:cs="Times New Roman"/>
                <w:snapToGrid w:val="0"/>
                <w:color w:val="000000" w:themeColor="text1"/>
                <w:sz w:val="21"/>
                <w:szCs w:val="21"/>
                <w:highlight w:val="none"/>
                <w:lang w:val="en-US" w:eastAsia="zh-CN"/>
                <w14:textFill>
                  <w14:solidFill>
                    <w14:schemeClr w14:val="tx1"/>
                  </w14:solidFill>
                </w14:textFill>
              </w:rPr>
              <w:t>用房、</w:t>
            </w:r>
            <w:r>
              <w:rPr>
                <w:rFonts w:hint="default" w:ascii="Times New Roman" w:hAnsi="Times New Roman" w:eastAsia="宋体" w:cs="Times New Roman"/>
                <w:snapToGrid w:val="0"/>
                <w:color w:val="000000" w:themeColor="text1"/>
                <w:sz w:val="21"/>
                <w:szCs w:val="21"/>
                <w:highlight w:val="none"/>
                <w:lang w:val="en-US" w:eastAsia="zh-CN"/>
                <w14:textFill>
                  <w14:solidFill>
                    <w14:schemeClr w14:val="tx1"/>
                  </w14:solidFill>
                </w14:textFill>
              </w:rPr>
              <w:t>生活</w:t>
            </w:r>
            <w:r>
              <w:rPr>
                <w:rFonts w:hint="eastAsia" w:ascii="Times New Roman" w:hAnsi="Times New Roman" w:eastAsia="宋体" w:cs="Times New Roman"/>
                <w:snapToGrid w:val="0"/>
                <w:color w:val="000000" w:themeColor="text1"/>
                <w:sz w:val="21"/>
                <w:szCs w:val="21"/>
                <w:highlight w:val="none"/>
                <w:lang w:val="en-US" w:eastAsia="zh-CN"/>
                <w14:textFill>
                  <w14:solidFill>
                    <w14:schemeClr w14:val="tx1"/>
                  </w14:solidFill>
                </w14:textFill>
              </w:rPr>
              <w:t>用房、辅助生产用房、</w:t>
            </w:r>
            <w:r>
              <w:rPr>
                <w:rFonts w:hint="eastAsia" w:eastAsia="宋体" w:cs="Times New Roman"/>
                <w:snapToGrid w:val="0"/>
                <w:color w:val="000000" w:themeColor="text1"/>
                <w:sz w:val="21"/>
                <w:szCs w:val="21"/>
                <w:highlight w:val="none"/>
                <w:lang w:val="en-US" w:eastAsia="zh-CN"/>
                <w14:textFill>
                  <w14:solidFill>
                    <w14:schemeClr w14:val="tx1"/>
                  </w14:solidFill>
                </w14:textFill>
              </w:rPr>
              <w:t>饲料</w:t>
            </w:r>
            <w:r>
              <w:rPr>
                <w:rFonts w:hint="eastAsia" w:ascii="Times New Roman" w:hAnsi="Times New Roman" w:eastAsia="宋体" w:cs="Times New Roman"/>
                <w:snapToGrid w:val="0"/>
                <w:color w:val="000000" w:themeColor="text1"/>
                <w:sz w:val="21"/>
                <w:szCs w:val="21"/>
                <w:highlight w:val="none"/>
                <w:lang w:val="en-US" w:eastAsia="zh-CN"/>
                <w14:textFill>
                  <w14:solidFill>
                    <w14:schemeClr w14:val="tx1"/>
                  </w14:solidFill>
                </w14:textFill>
              </w:rPr>
              <w:t>加工车间及场区道路等</w:t>
            </w: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进行简单地面硬化</w:t>
            </w:r>
            <w:r>
              <w:rPr>
                <w:rFonts w:hint="eastAsia"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（水泥硬化）</w:t>
            </w: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w:t>
            </w:r>
          </w:p>
        </w:tc>
      </w:tr>
    </w:tbl>
    <w:p w14:paraId="66413FAA">
      <w:pPr>
        <w:ind w:firstLine="420"/>
        <w:rPr>
          <w:rFonts w:hint="default" w:ascii="Times New Roman" w:hAnsi="Times New Roman" w:eastAsia="宋体" w:cs="Times New Roman"/>
          <w:color w:val="000000" w:themeColor="text1"/>
          <w:sz w:val="21"/>
          <w14:textFill>
            <w14:solidFill>
              <w14:schemeClr w14:val="tx1"/>
            </w14:solidFill>
          </w14:textFill>
        </w:rPr>
      </w:pPr>
    </w:p>
    <w:p w14:paraId="1A1CC03B">
      <w:pPr>
        <w:ind w:firstLine="420"/>
        <w:rPr>
          <w:rFonts w:hint="default" w:ascii="Times New Roman" w:hAnsi="Times New Roman" w:eastAsia="宋体" w:cs="Times New Roman"/>
          <w:color w:val="000000" w:themeColor="text1"/>
          <w:sz w:val="21"/>
          <w:szCs w:val="21"/>
          <w14:textFill>
            <w14:solidFill>
              <w14:schemeClr w14:val="tx1"/>
            </w14:solidFill>
          </w14:textFill>
        </w:rPr>
        <w:sectPr>
          <w:footerReference r:id="rId20" w:type="default"/>
          <w:pgSz w:w="16839" w:h="11906"/>
          <w:pgMar w:top="1012" w:right="1831" w:bottom="1259" w:left="1402" w:header="964" w:footer="794" w:gutter="0"/>
          <w:pgNumType w:fmt="decimal"/>
          <w:cols w:space="720" w:num="1"/>
        </w:sectPr>
      </w:pPr>
    </w:p>
    <w:p w14:paraId="595AC573">
      <w:pPr>
        <w:ind w:firstLine="0" w:firstLineChars="0"/>
        <w:outlineLvl w:val="0"/>
        <w:rPr>
          <w:rFonts w:hint="default" w:ascii="Times New Roman" w:hAnsi="Times New Roman" w:eastAsia="宋体" w:cs="Times New Roman"/>
          <w:b/>
          <w:bCs/>
          <w:color w:val="000000" w:themeColor="text1"/>
          <w:sz w:val="30"/>
          <w:szCs w:val="30"/>
          <w14:textFill>
            <w14:solidFill>
              <w14:schemeClr w14:val="tx1"/>
            </w14:solidFill>
          </w14:textFill>
        </w:rPr>
      </w:pPr>
      <w:bookmarkStart w:id="433" w:name="_Toc21154"/>
      <w:r>
        <w:rPr>
          <w:rFonts w:hint="default" w:ascii="Times New Roman" w:hAnsi="Times New Roman" w:eastAsia="宋体" w:cs="Times New Roman"/>
          <w:b/>
          <w:bCs/>
          <w:color w:val="000000" w:themeColor="text1"/>
          <w:sz w:val="30"/>
          <w:szCs w:val="30"/>
          <w14:textFill>
            <w14:solidFill>
              <w14:schemeClr w14:val="tx1"/>
            </w14:solidFill>
          </w14:textFill>
        </w:rPr>
        <w:t>10结论与建议</w:t>
      </w:r>
      <w:bookmarkEnd w:id="433"/>
    </w:p>
    <w:p w14:paraId="345A9E81">
      <w:pPr>
        <w:ind w:firstLine="0" w:firstLineChars="0"/>
        <w:outlineLvl w:val="1"/>
        <w:rPr>
          <w:rFonts w:hint="default" w:ascii="Times New Roman" w:hAnsi="Times New Roman" w:eastAsia="宋体" w:cs="Times New Roman"/>
          <w:b/>
          <w:bCs/>
          <w:color w:val="000000" w:themeColor="text1"/>
          <w:sz w:val="28"/>
          <w:szCs w:val="28"/>
          <w14:textFill>
            <w14:solidFill>
              <w14:schemeClr w14:val="tx1"/>
            </w14:solidFill>
          </w14:textFill>
        </w:rPr>
      </w:pPr>
      <w:bookmarkStart w:id="434" w:name="_Toc7609"/>
      <w:r>
        <w:rPr>
          <w:rFonts w:hint="default" w:ascii="Times New Roman" w:hAnsi="Times New Roman" w:eastAsia="宋体" w:cs="Times New Roman"/>
          <w:b/>
          <w:bCs/>
          <w:color w:val="000000" w:themeColor="text1"/>
          <w:sz w:val="28"/>
          <w:szCs w:val="28"/>
          <w14:textFill>
            <w14:solidFill>
              <w14:schemeClr w14:val="tx1"/>
            </w14:solidFill>
          </w14:textFill>
        </w:rPr>
        <w:t>10.1项目基本情况</w:t>
      </w:r>
      <w:bookmarkEnd w:id="434"/>
    </w:p>
    <w:p w14:paraId="28D02D77">
      <w:pPr>
        <w:ind w:firstLine="480"/>
        <w:rPr>
          <w:rFonts w:hint="eastAsia" w:cs="Times New Roman"/>
          <w:color w:val="000000" w:themeColor="text1"/>
          <w:lang w:eastAsia="zh-CN"/>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本项目位于内蒙古自治区兴安盟</w:t>
      </w:r>
      <w:r>
        <w:rPr>
          <w:rFonts w:hint="eastAsia" w:cs="Times New Roman"/>
          <w:color w:val="000000" w:themeColor="text1"/>
          <w:lang w:eastAsia="zh-CN"/>
          <w14:textFill>
            <w14:solidFill>
              <w14:schemeClr w14:val="tx1"/>
            </w14:solidFill>
          </w14:textFill>
        </w:rPr>
        <w:t>科尔沁右翼前旗</w:t>
      </w:r>
      <w:r>
        <w:rPr>
          <w:rFonts w:hint="default" w:ascii="Times New Roman" w:hAnsi="Times New Roman" w:eastAsia="宋体" w:cs="Times New Roman"/>
          <w:color w:val="000000" w:themeColor="text1"/>
          <w14:textFill>
            <w14:solidFill>
              <w14:schemeClr w14:val="tx1"/>
            </w14:solidFill>
          </w14:textFill>
        </w:rPr>
        <w:t>现代农牧业园区，场址中心坐标为：E122°16′33.395″，N46°11′12.447″。项目总占地面积为10.48hm</w:t>
      </w:r>
      <w:r>
        <w:rPr>
          <w:rFonts w:hint="default" w:ascii="Times New Roman" w:hAnsi="Times New Roman" w:eastAsia="宋体" w:cs="Times New Roman"/>
          <w:color w:val="000000" w:themeColor="text1"/>
          <w:vertAlign w:val="superscript"/>
          <w14:textFill>
            <w14:solidFill>
              <w14:schemeClr w14:val="tx1"/>
            </w14:solidFill>
          </w14:textFill>
        </w:rPr>
        <w:t>2</w:t>
      </w:r>
      <w:r>
        <w:rPr>
          <w:rFonts w:hint="default" w:ascii="Times New Roman" w:hAnsi="Times New Roman" w:eastAsia="宋体" w:cs="Times New Roman"/>
          <w:color w:val="000000" w:themeColor="text1"/>
          <w14:textFill>
            <w14:solidFill>
              <w14:schemeClr w14:val="tx1"/>
            </w14:solidFill>
          </w14:textFill>
        </w:rPr>
        <w:t>，分两期建设，其中：一期主要建设内容包括：泌乳牛舍5568平方米、粪污车间625平方米、三级沉淀池3座、垃圾池1个、无害化处理池1个等，同时实施场区给排水、采暖、电气等配套工程；二期主要建设内容包括：隔离舍1632平方米、围产干奶舍1536平方米、机械库750平方米等</w:t>
      </w:r>
      <w:r>
        <w:rPr>
          <w:rFonts w:hint="eastAsia" w:cs="Times New Roman"/>
          <w:color w:val="000000" w:themeColor="text1"/>
          <w:lang w:eastAsia="zh-CN"/>
          <w14:textFill>
            <w14:solidFill>
              <w14:schemeClr w14:val="tx1"/>
            </w14:solidFill>
          </w14:textFill>
        </w:rPr>
        <w:t>。</w:t>
      </w:r>
    </w:p>
    <w:p w14:paraId="00727CC3">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项目建成后，全场存栏总共</w:t>
      </w:r>
      <w:r>
        <w:rPr>
          <w:rFonts w:hint="default" w:ascii="Times New Roman" w:hAnsi="Times New Roman" w:eastAsia="宋体" w:cs="Times New Roman"/>
          <w:color w:val="000000" w:themeColor="text1"/>
          <w:kern w:val="0"/>
          <w14:textFill>
            <w14:solidFill>
              <w14:schemeClr w14:val="tx1"/>
            </w14:solidFill>
          </w14:textFill>
        </w:rPr>
        <w:t>700头奶牛，其中泌乳牛400头，围产干奶牛100头，隔离牛200头</w:t>
      </w:r>
      <w:r>
        <w:rPr>
          <w:rFonts w:hint="default" w:ascii="Times New Roman" w:hAnsi="Times New Roman" w:eastAsia="宋体" w:cs="Times New Roman"/>
          <w:color w:val="000000" w:themeColor="text1"/>
          <w14:textFill>
            <w14:solidFill>
              <w14:schemeClr w14:val="tx1"/>
            </w14:solidFill>
          </w14:textFill>
        </w:rPr>
        <w:t>。项目总投资</w:t>
      </w:r>
      <w:r>
        <w:rPr>
          <w:rFonts w:hint="eastAsia" w:cs="Times New Roman"/>
          <w:color w:val="000000" w:themeColor="text1"/>
          <w:lang w:val="en-US" w:eastAsia="zh-CN"/>
          <w14:textFill>
            <w14:solidFill>
              <w14:schemeClr w14:val="tx1"/>
            </w14:solidFill>
          </w14:textFill>
        </w:rPr>
        <w:t>145</w:t>
      </w:r>
      <w:r>
        <w:rPr>
          <w:rFonts w:hint="default" w:ascii="Times New Roman" w:hAnsi="Times New Roman" w:eastAsia="宋体" w:cs="Times New Roman"/>
          <w:color w:val="000000" w:themeColor="text1"/>
          <w14:textFill>
            <w14:solidFill>
              <w14:schemeClr w14:val="tx1"/>
            </w14:solidFill>
          </w14:textFill>
        </w:rPr>
        <w:t>0.00万元，环保投资301.00万元，环保投资占总投资的</w:t>
      </w:r>
      <w:r>
        <w:rPr>
          <w:rFonts w:hint="eastAsia" w:cs="Times New Roman"/>
          <w:color w:val="000000" w:themeColor="text1"/>
          <w:lang w:eastAsia="zh-CN"/>
          <w14:textFill>
            <w14:solidFill>
              <w14:schemeClr w14:val="tx1"/>
            </w14:solidFill>
          </w14:textFill>
        </w:rPr>
        <w:t>20.75%</w:t>
      </w:r>
      <w:r>
        <w:rPr>
          <w:rFonts w:hint="default" w:ascii="Times New Roman" w:hAnsi="Times New Roman" w:eastAsia="宋体" w:cs="Times New Roman"/>
          <w:color w:val="000000" w:themeColor="text1"/>
          <w14:textFill>
            <w14:solidFill>
              <w14:schemeClr w14:val="tx1"/>
            </w14:solidFill>
          </w14:textFill>
        </w:rPr>
        <w:t>。</w:t>
      </w:r>
    </w:p>
    <w:p w14:paraId="4684C0EE">
      <w:pPr>
        <w:ind w:firstLine="0" w:firstLineChars="0"/>
        <w:outlineLvl w:val="1"/>
        <w:rPr>
          <w:rFonts w:hint="default" w:ascii="Times New Roman" w:hAnsi="Times New Roman" w:eastAsia="宋体" w:cs="Times New Roman"/>
          <w:b/>
          <w:bCs/>
          <w:color w:val="000000" w:themeColor="text1"/>
          <w:sz w:val="28"/>
          <w:szCs w:val="28"/>
          <w14:textFill>
            <w14:solidFill>
              <w14:schemeClr w14:val="tx1"/>
            </w14:solidFill>
          </w14:textFill>
        </w:rPr>
      </w:pPr>
      <w:bookmarkStart w:id="435" w:name="_Toc1798"/>
      <w:r>
        <w:rPr>
          <w:rFonts w:hint="default" w:ascii="Times New Roman" w:hAnsi="Times New Roman" w:eastAsia="宋体" w:cs="Times New Roman"/>
          <w:b/>
          <w:bCs/>
          <w:color w:val="000000" w:themeColor="text1"/>
          <w:sz w:val="28"/>
          <w:szCs w:val="28"/>
          <w14:textFill>
            <w14:solidFill>
              <w14:schemeClr w14:val="tx1"/>
            </w14:solidFill>
          </w14:textFill>
        </w:rPr>
        <w:t>10.2产业政策符合性分析</w:t>
      </w:r>
      <w:bookmarkEnd w:id="435"/>
    </w:p>
    <w:p w14:paraId="4D2A9B24">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本项目为规模奶牛繁育育肥项目，属于《产业结构调整指导目录（2024年本）》中鼓励类中第一条“农林业”、第4款“畜禽标准化规模技术开发与应用”，项目已取得科右前旗发展和改革委员会备案（项目代码：2306-152221-04-01-674327），符合国家现行产业政策。本项目采用的污染物治理方案合理，污染物达标排放，能够达到国家及地方有关畜禽养殖污染物防治的法律法规的要求。</w:t>
      </w:r>
    </w:p>
    <w:p w14:paraId="21CC9155">
      <w:pPr>
        <w:ind w:firstLine="0" w:firstLineChars="0"/>
        <w:outlineLvl w:val="1"/>
        <w:rPr>
          <w:rFonts w:hint="default" w:ascii="Times New Roman" w:hAnsi="Times New Roman" w:eastAsia="宋体" w:cs="Times New Roman"/>
          <w:b/>
          <w:bCs/>
          <w:color w:val="000000" w:themeColor="text1"/>
          <w:sz w:val="28"/>
          <w:szCs w:val="28"/>
          <w14:textFill>
            <w14:solidFill>
              <w14:schemeClr w14:val="tx1"/>
            </w14:solidFill>
          </w14:textFill>
        </w:rPr>
      </w:pPr>
      <w:bookmarkStart w:id="436" w:name="_Toc19861"/>
      <w:r>
        <w:rPr>
          <w:rFonts w:hint="default" w:ascii="Times New Roman" w:hAnsi="Times New Roman" w:eastAsia="宋体" w:cs="Times New Roman"/>
          <w:b/>
          <w:bCs/>
          <w:color w:val="000000" w:themeColor="text1"/>
          <w:sz w:val="28"/>
          <w:szCs w:val="28"/>
          <w14:textFill>
            <w14:solidFill>
              <w14:schemeClr w14:val="tx1"/>
            </w14:solidFill>
          </w14:textFill>
        </w:rPr>
        <w:t>10.3选址合理性分析</w:t>
      </w:r>
      <w:bookmarkEnd w:id="436"/>
    </w:p>
    <w:p w14:paraId="3BE1A336">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项目选址位于内蒙古自治区兴安盟科右前旗，</w:t>
      </w:r>
      <w:r>
        <w:rPr>
          <w:rFonts w:hint="default" w:ascii="Times New Roman" w:hAnsi="Times New Roman" w:eastAsia="宋体" w:cs="Times New Roman"/>
          <w:color w:val="000000" w:themeColor="text1"/>
          <w:kern w:val="0"/>
          <w:lang w:bidi="ar"/>
          <w14:textFill>
            <w14:solidFill>
              <w14:schemeClr w14:val="tx1"/>
            </w14:solidFill>
          </w14:textFill>
        </w:rPr>
        <w:t>本项目选址不在饮用水水源保护区，风景名胜区，自然保护区的核心区和缓冲区，城镇居民区、文化教育科学研究区等人口集中区域及法律法规规定的其他禁止养殖区域，且项目四周为天然牧草地、耕地和林地。项目符合相关法律、法规及相关行业规范要求，在严格执行环评规定的各项措施并确保其正常稳定运行且在严格管理的情况下，项目场址从环境角度分析是可行的</w:t>
      </w:r>
      <w:r>
        <w:rPr>
          <w:rFonts w:hint="default" w:ascii="Times New Roman" w:hAnsi="Times New Roman" w:eastAsia="宋体" w:cs="Times New Roman"/>
          <w:color w:val="000000" w:themeColor="text1"/>
          <w14:textFill>
            <w14:solidFill>
              <w14:schemeClr w14:val="tx1"/>
            </w14:solidFill>
          </w14:textFill>
        </w:rPr>
        <w:t>。</w:t>
      </w:r>
    </w:p>
    <w:p w14:paraId="6B3AE680">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项目选址及粪污处理工艺均符合《畜禽规模养殖污染防治条例）、《畜禽养殖业污染防治技术规范》（HJ/T81-2001）、《畜禽养殖业污染物治理工程技术规范》（HJ497-2009）及《畜禽养殖业污染防治技术政策》（环发[2010]151号）相应要求。</w:t>
      </w:r>
    </w:p>
    <w:p w14:paraId="1C54EA44">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因此，项目选址合理可行。</w:t>
      </w:r>
    </w:p>
    <w:p w14:paraId="1ADFFF13">
      <w:pPr>
        <w:ind w:firstLine="0" w:firstLineChars="0"/>
        <w:outlineLvl w:val="1"/>
        <w:rPr>
          <w:rFonts w:hint="default" w:ascii="Times New Roman" w:hAnsi="Times New Roman" w:eastAsia="宋体" w:cs="Times New Roman"/>
          <w:b/>
          <w:bCs/>
          <w:color w:val="000000" w:themeColor="text1"/>
          <w:sz w:val="28"/>
          <w:szCs w:val="28"/>
          <w14:textFill>
            <w14:solidFill>
              <w14:schemeClr w14:val="tx1"/>
            </w14:solidFill>
          </w14:textFill>
        </w:rPr>
      </w:pPr>
      <w:bookmarkStart w:id="437" w:name="_Toc3058"/>
      <w:r>
        <w:rPr>
          <w:rFonts w:hint="default" w:ascii="Times New Roman" w:hAnsi="Times New Roman" w:eastAsia="宋体" w:cs="Times New Roman"/>
          <w:b/>
          <w:bCs/>
          <w:color w:val="000000" w:themeColor="text1"/>
          <w:sz w:val="28"/>
          <w:szCs w:val="28"/>
          <w14:textFill>
            <w14:solidFill>
              <w14:schemeClr w14:val="tx1"/>
            </w14:solidFill>
          </w14:textFill>
        </w:rPr>
        <w:t>10.4环境质量现状评价结论</w:t>
      </w:r>
      <w:bookmarkEnd w:id="437"/>
    </w:p>
    <w:p w14:paraId="3896C973">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bookmarkStart w:id="438" w:name="_Toc1583"/>
      <w:bookmarkStart w:id="439" w:name="_Toc11096"/>
      <w:bookmarkStart w:id="440" w:name="_Toc4459"/>
      <w:r>
        <w:rPr>
          <w:rFonts w:hint="eastAsia" w:cs="Times New Roman"/>
          <w:color w:val="000000" w:themeColor="text1"/>
          <w:lang w:eastAsia="zh-CN"/>
          <w14:textFill>
            <w14:solidFill>
              <w14:schemeClr w14:val="tx1"/>
            </w14:solidFill>
          </w14:textFill>
        </w:rPr>
        <w:t>（</w:t>
      </w:r>
      <w:r>
        <w:rPr>
          <w:rFonts w:hint="eastAsia" w:cs="Times New Roman"/>
          <w:color w:val="000000" w:themeColor="text1"/>
          <w:lang w:val="en-US" w:eastAsia="zh-CN"/>
          <w14:textFill>
            <w14:solidFill>
              <w14:schemeClr w14:val="tx1"/>
            </w14:solidFill>
          </w14:textFill>
        </w:rPr>
        <w:t>1</w:t>
      </w:r>
      <w:r>
        <w:rPr>
          <w:rFonts w:hint="eastAsia" w:cs="Times New Roman"/>
          <w:color w:val="000000" w:themeColor="text1"/>
          <w:lang w:eastAsia="zh-CN"/>
          <w14:textFill>
            <w14:solidFill>
              <w14:schemeClr w14:val="tx1"/>
            </w14:solidFill>
          </w14:textFill>
        </w:rPr>
        <w:t>）</w:t>
      </w:r>
      <w:r>
        <w:rPr>
          <w:rFonts w:hint="default" w:ascii="Times New Roman" w:hAnsi="Times New Roman" w:eastAsia="宋体" w:cs="Times New Roman"/>
          <w:color w:val="000000" w:themeColor="text1"/>
          <w14:textFill>
            <w14:solidFill>
              <w14:schemeClr w14:val="tx1"/>
            </w14:solidFill>
          </w14:textFill>
        </w:rPr>
        <w:t>生态环境质量现状</w:t>
      </w:r>
      <w:bookmarkEnd w:id="438"/>
      <w:bookmarkEnd w:id="439"/>
      <w:bookmarkEnd w:id="440"/>
    </w:p>
    <w:p w14:paraId="3B10B5D5">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厂址植被构成简单、盖度低；生态环境脆弱，系统自身调节能力、稳定性及承受干扰能力相对较弱。所以在项目开发建设过程中，还应注意生态环境的保护，</w:t>
      </w:r>
    </w:p>
    <w:p w14:paraId="3C831742">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维护生态平衡。</w:t>
      </w:r>
    </w:p>
    <w:p w14:paraId="38A78CC2">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bookmarkStart w:id="441" w:name="_Toc3638"/>
      <w:bookmarkStart w:id="442" w:name="_Toc1516"/>
      <w:bookmarkStart w:id="443" w:name="_Toc13851"/>
      <w:r>
        <w:rPr>
          <w:rFonts w:hint="eastAsia" w:cs="Times New Roman"/>
          <w:color w:val="000000" w:themeColor="text1"/>
          <w:lang w:eastAsia="zh-CN"/>
          <w14:textFill>
            <w14:solidFill>
              <w14:schemeClr w14:val="tx1"/>
            </w14:solidFill>
          </w14:textFill>
        </w:rPr>
        <w:t>（</w:t>
      </w:r>
      <w:r>
        <w:rPr>
          <w:rFonts w:hint="eastAsia" w:cs="Times New Roman"/>
          <w:color w:val="000000" w:themeColor="text1"/>
          <w:lang w:val="en-US" w:eastAsia="zh-CN"/>
          <w14:textFill>
            <w14:solidFill>
              <w14:schemeClr w14:val="tx1"/>
            </w14:solidFill>
          </w14:textFill>
        </w:rPr>
        <w:t>2</w:t>
      </w:r>
      <w:r>
        <w:rPr>
          <w:rFonts w:hint="eastAsia" w:cs="Times New Roman"/>
          <w:color w:val="000000" w:themeColor="text1"/>
          <w:lang w:eastAsia="zh-CN"/>
          <w14:textFill>
            <w14:solidFill>
              <w14:schemeClr w14:val="tx1"/>
            </w14:solidFill>
          </w14:textFill>
        </w:rPr>
        <w:t>）</w:t>
      </w:r>
      <w:r>
        <w:rPr>
          <w:rFonts w:hint="default" w:ascii="Times New Roman" w:hAnsi="Times New Roman" w:eastAsia="宋体" w:cs="Times New Roman"/>
          <w:color w:val="000000" w:themeColor="text1"/>
          <w14:textFill>
            <w14:solidFill>
              <w14:schemeClr w14:val="tx1"/>
            </w14:solidFill>
          </w14:textFill>
        </w:rPr>
        <w:t>土壤环境质量现状</w:t>
      </w:r>
      <w:bookmarkEnd w:id="441"/>
      <w:bookmarkEnd w:id="442"/>
      <w:bookmarkEnd w:id="443"/>
    </w:p>
    <w:p w14:paraId="0DD78E2A">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由监测结果可知，各监测点土壤监测值均低于《土壤环境质量农用地土壤污染风险管控标准（试行）》（GB15618-2018）风险筛选值，表明区域土壤环境质量现状良好。</w:t>
      </w:r>
    </w:p>
    <w:p w14:paraId="220357B1">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bookmarkStart w:id="444" w:name="_Toc4283"/>
      <w:bookmarkStart w:id="445" w:name="_Toc12562"/>
      <w:bookmarkStart w:id="446" w:name="_Toc27695"/>
      <w:r>
        <w:rPr>
          <w:rFonts w:hint="eastAsia" w:cs="Times New Roman"/>
          <w:color w:val="000000" w:themeColor="text1"/>
          <w:lang w:eastAsia="zh-CN"/>
          <w14:textFill>
            <w14:solidFill>
              <w14:schemeClr w14:val="tx1"/>
            </w14:solidFill>
          </w14:textFill>
        </w:rPr>
        <w:t>（</w:t>
      </w:r>
      <w:r>
        <w:rPr>
          <w:rFonts w:hint="eastAsia" w:cs="Times New Roman"/>
          <w:color w:val="000000" w:themeColor="text1"/>
          <w:lang w:val="en-US" w:eastAsia="zh-CN"/>
          <w14:textFill>
            <w14:solidFill>
              <w14:schemeClr w14:val="tx1"/>
            </w14:solidFill>
          </w14:textFill>
        </w:rPr>
        <w:t>3</w:t>
      </w:r>
      <w:r>
        <w:rPr>
          <w:rFonts w:hint="eastAsia" w:cs="Times New Roman"/>
          <w:color w:val="000000" w:themeColor="text1"/>
          <w:lang w:eastAsia="zh-CN"/>
          <w14:textFill>
            <w14:solidFill>
              <w14:schemeClr w14:val="tx1"/>
            </w14:solidFill>
          </w14:textFill>
        </w:rPr>
        <w:t>）</w:t>
      </w:r>
      <w:r>
        <w:rPr>
          <w:rFonts w:hint="default" w:ascii="Times New Roman" w:hAnsi="Times New Roman" w:eastAsia="宋体" w:cs="Times New Roman"/>
          <w:color w:val="000000" w:themeColor="text1"/>
          <w14:textFill>
            <w14:solidFill>
              <w14:schemeClr w14:val="tx1"/>
            </w14:solidFill>
          </w14:textFill>
        </w:rPr>
        <w:t>空气环境质量现状</w:t>
      </w:r>
      <w:bookmarkEnd w:id="444"/>
      <w:bookmarkEnd w:id="445"/>
      <w:bookmarkEnd w:id="446"/>
    </w:p>
    <w:p w14:paraId="5C1C1FD2">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根据内蒙古自治区生态环境厅202</w:t>
      </w:r>
      <w:r>
        <w:rPr>
          <w:rFonts w:hint="eastAsia" w:cs="Times New Roman"/>
          <w:color w:val="000000" w:themeColor="text1"/>
          <w:lang w:val="en-US" w:eastAsia="zh-CN"/>
          <w14:textFill>
            <w14:solidFill>
              <w14:schemeClr w14:val="tx1"/>
            </w14:solidFill>
          </w14:textFill>
        </w:rPr>
        <w:t>4</w:t>
      </w:r>
      <w:r>
        <w:rPr>
          <w:rFonts w:hint="default" w:ascii="Times New Roman" w:hAnsi="Times New Roman" w:eastAsia="宋体" w:cs="Times New Roman"/>
          <w:color w:val="000000" w:themeColor="text1"/>
          <w14:textFill>
            <w14:solidFill>
              <w14:schemeClr w14:val="tx1"/>
            </w14:solidFill>
          </w14:textFill>
        </w:rPr>
        <w:t>年6月</w:t>
      </w:r>
      <w:r>
        <w:rPr>
          <w:rFonts w:hint="eastAsia" w:cs="Times New Roman"/>
          <w:color w:val="000000" w:themeColor="text1"/>
          <w:lang w:val="en-US" w:eastAsia="zh-CN"/>
          <w14:textFill>
            <w14:solidFill>
              <w14:schemeClr w14:val="tx1"/>
            </w14:solidFill>
          </w14:textFill>
        </w:rPr>
        <w:t>3</w:t>
      </w:r>
      <w:r>
        <w:rPr>
          <w:rFonts w:hint="default" w:ascii="Times New Roman" w:hAnsi="Times New Roman" w:eastAsia="宋体" w:cs="Times New Roman"/>
          <w:color w:val="000000" w:themeColor="text1"/>
          <w14:textFill>
            <w14:solidFill>
              <w14:schemeClr w14:val="tx1"/>
            </w14:solidFill>
          </w14:textFill>
        </w:rPr>
        <w:t>日发布的《202</w:t>
      </w:r>
      <w:r>
        <w:rPr>
          <w:rFonts w:hint="eastAsia" w:cs="Times New Roman"/>
          <w:color w:val="000000" w:themeColor="text1"/>
          <w:lang w:val="en-US" w:eastAsia="zh-CN"/>
          <w14:textFill>
            <w14:solidFill>
              <w14:schemeClr w14:val="tx1"/>
            </w14:solidFill>
          </w14:textFill>
        </w:rPr>
        <w:t>3</w:t>
      </w:r>
      <w:r>
        <w:rPr>
          <w:rFonts w:hint="default" w:ascii="Times New Roman" w:hAnsi="Times New Roman" w:eastAsia="宋体" w:cs="Times New Roman"/>
          <w:color w:val="000000" w:themeColor="text1"/>
          <w14:textFill>
            <w14:solidFill>
              <w14:schemeClr w14:val="tx1"/>
            </w14:solidFill>
          </w14:textFill>
        </w:rPr>
        <w:t>年内蒙古自治区生态环境状况公报》，公报中关于</w:t>
      </w:r>
      <w:r>
        <w:rPr>
          <w:rFonts w:hint="default" w:ascii="Times New Roman" w:hAnsi="Times New Roman" w:eastAsia="宋体" w:cs="Times New Roman"/>
          <w:color w:val="000000" w:themeColor="text1"/>
          <w:lang w:val="en-US" w:eastAsia="zh-CN"/>
          <w14:textFill>
            <w14:solidFill>
              <w14:schemeClr w14:val="tx1"/>
            </w14:solidFill>
          </w14:textFill>
        </w:rPr>
        <w:t>2023年，全区12盟市中，除乌海市，其他11个盟市环境空气质量均达标。全区城市环境空气质量平均优良天数比例为87.2%，同比下降5.7个百分点；扣除异常沙尘天气影响后，全区环境空气质量优良天数比例为90.2%，重污染天数比例（未扣除沙尘天气影响）为2.1%，同比上升1.5个百分点。</w:t>
      </w:r>
    </w:p>
    <w:p w14:paraId="4887BF9F">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eastAsia" w:cs="Times New Roman"/>
          <w:color w:val="000000" w:themeColor="text1"/>
          <w:lang w:val="en-US" w:eastAsia="zh-CN"/>
          <w14:textFill>
            <w14:solidFill>
              <w14:schemeClr w14:val="tx1"/>
            </w14:solidFill>
          </w14:textFill>
        </w:rPr>
        <w:t>项目</w:t>
      </w:r>
      <w:r>
        <w:rPr>
          <w:rFonts w:hint="default" w:ascii="Times New Roman" w:hAnsi="Times New Roman" w:eastAsia="宋体" w:cs="Times New Roman"/>
          <w:color w:val="000000" w:themeColor="text1"/>
          <w14:textFill>
            <w14:solidFill>
              <w14:schemeClr w14:val="tx1"/>
            </w14:solidFill>
          </w14:textFill>
        </w:rPr>
        <w:t>特征污染物H</w:t>
      </w:r>
      <w:r>
        <w:rPr>
          <w:rFonts w:hint="default" w:ascii="Times New Roman" w:hAnsi="Times New Roman" w:eastAsia="宋体" w:cs="Times New Roman"/>
          <w:color w:val="000000" w:themeColor="text1"/>
          <w:vertAlign w:val="subscript"/>
          <w14:textFill>
            <w14:solidFill>
              <w14:schemeClr w14:val="tx1"/>
            </w14:solidFill>
          </w14:textFill>
        </w:rPr>
        <w:t>2</w:t>
      </w:r>
      <w:r>
        <w:rPr>
          <w:rFonts w:hint="default" w:ascii="Times New Roman" w:hAnsi="Times New Roman" w:eastAsia="宋体" w:cs="Times New Roman"/>
          <w:color w:val="000000" w:themeColor="text1"/>
          <w14:textFill>
            <w14:solidFill>
              <w14:schemeClr w14:val="tx1"/>
            </w14:solidFill>
          </w14:textFill>
        </w:rPr>
        <w:t>S、NH</w:t>
      </w:r>
      <w:r>
        <w:rPr>
          <w:rFonts w:hint="default" w:ascii="Times New Roman" w:hAnsi="Times New Roman" w:eastAsia="宋体" w:cs="Times New Roman"/>
          <w:color w:val="000000" w:themeColor="text1"/>
          <w:vertAlign w:val="subscript"/>
          <w14:textFill>
            <w14:solidFill>
              <w14:schemeClr w14:val="tx1"/>
            </w14:solidFill>
          </w14:textFill>
        </w:rPr>
        <w:t>3</w:t>
      </w:r>
      <w:r>
        <w:rPr>
          <w:rFonts w:hint="default" w:ascii="Times New Roman" w:hAnsi="Times New Roman" w:eastAsia="宋体" w:cs="Times New Roman"/>
          <w:color w:val="000000" w:themeColor="text1"/>
          <w14:textFill>
            <w14:solidFill>
              <w14:schemeClr w14:val="tx1"/>
            </w14:solidFill>
          </w14:textFill>
        </w:rPr>
        <w:t>小时浓度均满足《环境影响评价技术导则大气环境》（HJ2.2-2018）附录中标准值要求；TSP</w:t>
      </w:r>
      <w:r>
        <w:rPr>
          <w:rFonts w:hint="eastAsia" w:cs="Times New Roman"/>
          <w:color w:val="000000" w:themeColor="text1"/>
          <w:lang w:eastAsia="zh-CN"/>
          <w14:textFill>
            <w14:solidFill>
              <w14:schemeClr w14:val="tx1"/>
            </w14:solidFill>
          </w14:textFill>
        </w:rPr>
        <w:t>　</w:t>
      </w:r>
      <w:r>
        <w:rPr>
          <w:rFonts w:hint="default" w:ascii="Times New Roman" w:hAnsi="Times New Roman" w:eastAsia="宋体" w:cs="Times New Roman"/>
          <w:color w:val="000000" w:themeColor="text1"/>
          <w14:textFill>
            <w14:solidFill>
              <w14:schemeClr w14:val="tx1"/>
            </w14:solidFill>
          </w14:textFill>
        </w:rPr>
        <w:t>24小时平均值满足《环境空气质量标准》（GB3095-2012）修改单标准限值要求。</w:t>
      </w:r>
    </w:p>
    <w:p w14:paraId="25C04450">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bookmarkStart w:id="447" w:name="_Toc5814"/>
      <w:bookmarkStart w:id="448" w:name="_Toc23966"/>
      <w:bookmarkStart w:id="449" w:name="_Toc31967"/>
      <w:r>
        <w:rPr>
          <w:rFonts w:hint="eastAsia" w:cs="Times New Roman"/>
          <w:color w:val="000000" w:themeColor="text1"/>
          <w:lang w:eastAsia="zh-CN"/>
          <w14:textFill>
            <w14:solidFill>
              <w14:schemeClr w14:val="tx1"/>
            </w14:solidFill>
          </w14:textFill>
        </w:rPr>
        <w:t>（</w:t>
      </w:r>
      <w:r>
        <w:rPr>
          <w:rFonts w:hint="eastAsia" w:cs="Times New Roman"/>
          <w:color w:val="000000" w:themeColor="text1"/>
          <w:lang w:val="en-US" w:eastAsia="zh-CN"/>
          <w14:textFill>
            <w14:solidFill>
              <w14:schemeClr w14:val="tx1"/>
            </w14:solidFill>
          </w14:textFill>
        </w:rPr>
        <w:t>4</w:t>
      </w:r>
      <w:r>
        <w:rPr>
          <w:rFonts w:hint="eastAsia" w:cs="Times New Roman"/>
          <w:color w:val="000000" w:themeColor="text1"/>
          <w:lang w:eastAsia="zh-CN"/>
          <w14:textFill>
            <w14:solidFill>
              <w14:schemeClr w14:val="tx1"/>
            </w14:solidFill>
          </w14:textFill>
        </w:rPr>
        <w:t>）</w:t>
      </w:r>
      <w:r>
        <w:rPr>
          <w:rFonts w:hint="default" w:ascii="Times New Roman" w:hAnsi="Times New Roman" w:eastAsia="宋体" w:cs="Times New Roman"/>
          <w:color w:val="000000" w:themeColor="text1"/>
          <w14:textFill>
            <w14:solidFill>
              <w14:schemeClr w14:val="tx1"/>
            </w14:solidFill>
          </w14:textFill>
        </w:rPr>
        <w:t>声环境质量现状</w:t>
      </w:r>
      <w:bookmarkEnd w:id="447"/>
      <w:bookmarkEnd w:id="448"/>
      <w:bookmarkEnd w:id="449"/>
    </w:p>
    <w:p w14:paraId="2529548C">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评价区的声环境质量良好，符合《声环境质量标准》（GB3096-2008）</w:t>
      </w:r>
      <w:r>
        <w:rPr>
          <w:rFonts w:hint="eastAsia" w:cs="Times New Roman"/>
          <w:color w:val="000000" w:themeColor="text1"/>
          <w:lang w:val="en-US" w:eastAsia="zh-CN"/>
          <w14:textFill>
            <w14:solidFill>
              <w14:schemeClr w14:val="tx1"/>
            </w14:solidFill>
          </w14:textFill>
        </w:rPr>
        <w:t>2</w:t>
      </w:r>
      <w:r>
        <w:rPr>
          <w:rFonts w:hint="default" w:ascii="Times New Roman" w:hAnsi="Times New Roman" w:eastAsia="宋体" w:cs="Times New Roman"/>
          <w:color w:val="000000" w:themeColor="text1"/>
          <w14:textFill>
            <w14:solidFill>
              <w14:schemeClr w14:val="tx1"/>
            </w14:solidFill>
          </w14:textFill>
        </w:rPr>
        <w:t>类区标准。</w:t>
      </w:r>
    </w:p>
    <w:p w14:paraId="4A007ADA">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bookmarkStart w:id="450" w:name="_Toc25783"/>
      <w:bookmarkStart w:id="451" w:name="_Toc14387"/>
      <w:bookmarkStart w:id="452" w:name="_Toc27990"/>
      <w:r>
        <w:rPr>
          <w:rFonts w:hint="eastAsia" w:cs="Times New Roman"/>
          <w:color w:val="000000" w:themeColor="text1"/>
          <w:lang w:eastAsia="zh-CN"/>
          <w14:textFill>
            <w14:solidFill>
              <w14:schemeClr w14:val="tx1"/>
            </w14:solidFill>
          </w14:textFill>
        </w:rPr>
        <w:t>（</w:t>
      </w:r>
      <w:r>
        <w:rPr>
          <w:rFonts w:hint="eastAsia" w:cs="Times New Roman"/>
          <w:color w:val="000000" w:themeColor="text1"/>
          <w:lang w:val="en-US" w:eastAsia="zh-CN"/>
          <w14:textFill>
            <w14:solidFill>
              <w14:schemeClr w14:val="tx1"/>
            </w14:solidFill>
          </w14:textFill>
        </w:rPr>
        <w:t>5</w:t>
      </w:r>
      <w:r>
        <w:rPr>
          <w:rFonts w:hint="eastAsia" w:cs="Times New Roman"/>
          <w:color w:val="000000" w:themeColor="text1"/>
          <w:lang w:eastAsia="zh-CN"/>
          <w14:textFill>
            <w14:solidFill>
              <w14:schemeClr w14:val="tx1"/>
            </w14:solidFill>
          </w14:textFill>
        </w:rPr>
        <w:t>）</w:t>
      </w:r>
      <w:r>
        <w:rPr>
          <w:rFonts w:hint="default" w:ascii="Times New Roman" w:hAnsi="Times New Roman" w:eastAsia="宋体" w:cs="Times New Roman"/>
          <w:color w:val="000000" w:themeColor="text1"/>
          <w14:textFill>
            <w14:solidFill>
              <w14:schemeClr w14:val="tx1"/>
            </w14:solidFill>
          </w14:textFill>
        </w:rPr>
        <w:t>地下水环境质量现状评价</w:t>
      </w:r>
      <w:bookmarkEnd w:id="450"/>
      <w:bookmarkEnd w:id="451"/>
      <w:bookmarkEnd w:id="452"/>
    </w:p>
    <w:p w14:paraId="3F0AD833">
      <w:pPr>
        <w:keepNext w:val="0"/>
        <w:keepLines w:val="0"/>
        <w:pageBreakBefore w:val="0"/>
        <w:widowControl w:val="0"/>
        <w:kinsoku/>
        <w:wordWrap/>
        <w:overflowPunct/>
        <w:topLinePunct w:val="0"/>
        <w:autoSpaceDE/>
        <w:autoSpaceDN/>
        <w:bidi w:val="0"/>
        <w:adjustRightInd/>
        <w:snapToGrid/>
        <w:ind w:firstLine="480"/>
        <w:textAlignment w:val="auto"/>
        <w:outlineLvl w:val="9"/>
        <w:rPr>
          <w:rFonts w:hint="default" w:ascii="Times New Roman" w:hAnsi="Times New Roman" w:eastAsia="宋体" w:cs="Times New Roman"/>
          <w:color w:val="000000" w:themeColor="text1"/>
          <w14:textFill>
            <w14:solidFill>
              <w14:schemeClr w14:val="tx1"/>
            </w14:solidFill>
          </w14:textFill>
        </w:rPr>
      </w:pPr>
      <w:r>
        <w:rPr>
          <w:rFonts w:hint="eastAsia" w:cs="Times New Roman"/>
          <w:color w:val="000000" w:themeColor="text1"/>
          <w:lang w:val="en-US" w:eastAsia="zh-CN"/>
          <w14:textFill>
            <w14:solidFill>
              <w14:schemeClr w14:val="tx1"/>
            </w14:solidFill>
          </w14:textFill>
        </w:rPr>
        <w:t>项目区域</w:t>
      </w:r>
      <w:r>
        <w:rPr>
          <w:rFonts w:hint="default" w:ascii="Times New Roman" w:hAnsi="Times New Roman" w:eastAsia="宋体" w:cs="Times New Roman"/>
          <w:color w:val="000000" w:themeColor="text1"/>
          <w14:textFill>
            <w14:solidFill>
              <w14:schemeClr w14:val="tx1"/>
            </w14:solidFill>
          </w14:textFill>
        </w:rPr>
        <w:t>地下水三个监测点位中，各项</w:t>
      </w:r>
      <w:r>
        <w:rPr>
          <w:rFonts w:hint="eastAsia" w:cs="Times New Roman"/>
          <w:color w:val="000000" w:themeColor="text1"/>
          <w:lang w:val="en-US" w:eastAsia="zh-CN"/>
          <w14:textFill>
            <w14:solidFill>
              <w14:schemeClr w14:val="tx1"/>
            </w14:solidFill>
          </w14:textFill>
        </w:rPr>
        <w:t>水质</w:t>
      </w:r>
      <w:r>
        <w:rPr>
          <w:rFonts w:hint="default" w:ascii="Times New Roman" w:hAnsi="Times New Roman" w:eastAsia="宋体" w:cs="Times New Roman"/>
          <w:color w:val="000000" w:themeColor="text1"/>
          <w14:textFill>
            <w14:solidFill>
              <w14:schemeClr w14:val="tx1"/>
            </w14:solidFill>
          </w14:textFill>
        </w:rPr>
        <w:t>监测结果均满足《地下水质量标准》（GB/T14848-2017）Ⅲ类标准标准限值要求。</w:t>
      </w:r>
    </w:p>
    <w:p w14:paraId="0265A6D6">
      <w:pPr>
        <w:ind w:firstLine="0" w:firstLineChars="0"/>
        <w:outlineLvl w:val="1"/>
        <w:rPr>
          <w:rFonts w:hint="default" w:ascii="Times New Roman" w:hAnsi="Times New Roman" w:eastAsia="宋体" w:cs="Times New Roman"/>
          <w:b/>
          <w:bCs/>
          <w:color w:val="000000" w:themeColor="text1"/>
          <w:sz w:val="28"/>
          <w:szCs w:val="28"/>
          <w14:textFill>
            <w14:solidFill>
              <w14:schemeClr w14:val="tx1"/>
            </w14:solidFill>
          </w14:textFill>
        </w:rPr>
      </w:pPr>
      <w:bookmarkStart w:id="453" w:name="_Toc3695"/>
      <w:r>
        <w:rPr>
          <w:rFonts w:hint="default" w:ascii="Times New Roman" w:hAnsi="Times New Roman" w:eastAsia="宋体" w:cs="Times New Roman"/>
          <w:b/>
          <w:bCs/>
          <w:color w:val="000000" w:themeColor="text1"/>
          <w:sz w:val="28"/>
          <w:szCs w:val="28"/>
          <w14:textFill>
            <w14:solidFill>
              <w14:schemeClr w14:val="tx1"/>
            </w14:solidFill>
          </w14:textFill>
        </w:rPr>
        <w:t>10.5污染防治措施与影响分析结论</w:t>
      </w:r>
      <w:bookmarkEnd w:id="453"/>
    </w:p>
    <w:p w14:paraId="165E7173">
      <w:pPr>
        <w:ind w:firstLine="480"/>
        <w:outlineLvl w:val="2"/>
        <w:rPr>
          <w:rFonts w:hint="default" w:ascii="Times New Roman" w:hAnsi="Times New Roman" w:eastAsia="宋体" w:cs="Times New Roman"/>
          <w:color w:val="000000" w:themeColor="text1"/>
          <w14:textFill>
            <w14:solidFill>
              <w14:schemeClr w14:val="tx1"/>
            </w14:solidFill>
          </w14:textFill>
        </w:rPr>
      </w:pPr>
      <w:bookmarkStart w:id="454" w:name="_Toc13098"/>
      <w:r>
        <w:rPr>
          <w:rFonts w:hint="default" w:ascii="Times New Roman" w:hAnsi="Times New Roman" w:eastAsia="宋体" w:cs="Times New Roman"/>
          <w:color w:val="000000" w:themeColor="text1"/>
          <w14:textFill>
            <w14:solidFill>
              <w14:schemeClr w14:val="tx1"/>
            </w14:solidFill>
          </w14:textFill>
        </w:rPr>
        <w:t>10.5.1环境空气影响</w:t>
      </w:r>
      <w:bookmarkEnd w:id="454"/>
    </w:p>
    <w:p w14:paraId="0C80E217">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项目正常运行时，根据预测，本项目废气污染物评价因子最大小时落地浓度均低于评价标准且D10%均未出现，不会对周围大气环境功能造成大的影响。</w:t>
      </w:r>
    </w:p>
    <w:p w14:paraId="07652475">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根据工程分析，本项目存在无组织排放的粉尘、氨和硫化氢，结合厂区设计总平面布局、无组织排放点距各向厂界的距离，预测结果显示，本项目建成运行后，无组织排放的粉尘、NH</w:t>
      </w:r>
      <w:r>
        <w:rPr>
          <w:rFonts w:hint="default" w:ascii="Times New Roman" w:hAnsi="Times New Roman" w:eastAsia="宋体" w:cs="Times New Roman"/>
          <w:color w:val="000000" w:themeColor="text1"/>
          <w:vertAlign w:val="subscript"/>
          <w14:textFill>
            <w14:solidFill>
              <w14:schemeClr w14:val="tx1"/>
            </w14:solidFill>
          </w14:textFill>
        </w:rPr>
        <w:t>3</w:t>
      </w:r>
      <w:r>
        <w:rPr>
          <w:rFonts w:hint="default" w:ascii="Times New Roman" w:hAnsi="Times New Roman" w:eastAsia="宋体" w:cs="Times New Roman"/>
          <w:color w:val="000000" w:themeColor="text1"/>
          <w14:textFill>
            <w14:solidFill>
              <w14:schemeClr w14:val="tx1"/>
            </w14:solidFill>
          </w14:textFill>
        </w:rPr>
        <w:t>、H</w:t>
      </w:r>
      <w:r>
        <w:rPr>
          <w:rFonts w:hint="default" w:ascii="Times New Roman" w:hAnsi="Times New Roman" w:eastAsia="宋体" w:cs="Times New Roman"/>
          <w:color w:val="000000" w:themeColor="text1"/>
          <w:vertAlign w:val="subscript"/>
          <w14:textFill>
            <w14:solidFill>
              <w14:schemeClr w14:val="tx1"/>
            </w14:solidFill>
          </w14:textFill>
        </w:rPr>
        <w:t>2</w:t>
      </w:r>
      <w:r>
        <w:rPr>
          <w:rFonts w:hint="default" w:ascii="Times New Roman" w:hAnsi="Times New Roman" w:eastAsia="宋体" w:cs="Times New Roman"/>
          <w:color w:val="000000" w:themeColor="text1"/>
          <w14:textFill>
            <w14:solidFill>
              <w14:schemeClr w14:val="tx1"/>
            </w14:solidFill>
          </w14:textFill>
        </w:rPr>
        <w:t>S的厂界浓度预测结果均满足无组织厂界监控浓度要求，废气无组织排放对区域大气环境质量造成的不利影响较小。</w:t>
      </w:r>
    </w:p>
    <w:p w14:paraId="3D40B0BB">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综上所述，本项目实施后，对周边区域贡献浓度较小，不会对周边大气环境造成明显影响；无组织排放污染物能够做到厂界达标；本项目防护距离范围内，没有居民等敏感点，防护距离满足要求。故从大气预测结果表明，项目建设可行。</w:t>
      </w:r>
    </w:p>
    <w:p w14:paraId="7C909C03">
      <w:pPr>
        <w:ind w:firstLine="480"/>
        <w:outlineLvl w:val="2"/>
        <w:rPr>
          <w:rFonts w:hint="default" w:ascii="Times New Roman" w:hAnsi="Times New Roman" w:eastAsia="宋体" w:cs="Times New Roman"/>
          <w:color w:val="000000" w:themeColor="text1"/>
          <w14:textFill>
            <w14:solidFill>
              <w14:schemeClr w14:val="tx1"/>
            </w14:solidFill>
          </w14:textFill>
        </w:rPr>
      </w:pPr>
      <w:bookmarkStart w:id="455" w:name="bookmark74"/>
      <w:bookmarkEnd w:id="455"/>
      <w:bookmarkStart w:id="456" w:name="_Toc20883"/>
      <w:r>
        <w:rPr>
          <w:rFonts w:hint="default" w:ascii="Times New Roman" w:hAnsi="Times New Roman" w:eastAsia="宋体" w:cs="Times New Roman"/>
          <w:color w:val="000000" w:themeColor="text1"/>
          <w14:textFill>
            <w14:solidFill>
              <w14:schemeClr w14:val="tx1"/>
            </w14:solidFill>
          </w14:textFill>
        </w:rPr>
        <w:t>10.5.2地表水环境影响</w:t>
      </w:r>
      <w:bookmarkEnd w:id="456"/>
    </w:p>
    <w:p w14:paraId="0BB417C1">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项目废水主要为</w:t>
      </w:r>
      <w:r>
        <w:rPr>
          <w:rFonts w:hint="default" w:ascii="Times New Roman" w:hAnsi="Times New Roman" w:eastAsia="宋体" w:cs="Times New Roman"/>
          <w:color w:val="000000" w:themeColor="text1"/>
          <w:spacing w:val="-6"/>
          <w14:textFill>
            <w14:solidFill>
              <w14:schemeClr w14:val="tx1"/>
            </w14:solidFill>
          </w14:textFill>
        </w:rPr>
        <w:t>牛尿、青贮饲料渗滤液、挤奶设备酸碱废水、奶厅冲洗水、生活污水等</w:t>
      </w:r>
      <w:r>
        <w:rPr>
          <w:rFonts w:hint="default" w:ascii="Times New Roman" w:hAnsi="Times New Roman" w:eastAsia="宋体" w:cs="Times New Roman"/>
          <w:color w:val="000000" w:themeColor="text1"/>
          <w14:textFill>
            <w14:solidFill>
              <w14:schemeClr w14:val="tx1"/>
            </w14:solidFill>
          </w14:textFill>
        </w:rPr>
        <w:t>，</w:t>
      </w:r>
      <w:r>
        <w:rPr>
          <w:rFonts w:hint="default" w:ascii="Times New Roman" w:hAnsi="Times New Roman" w:eastAsia="宋体" w:cs="Times New Roman"/>
          <w:color w:val="000000" w:themeColor="text1"/>
          <w:spacing w:val="-5"/>
          <w14:textFill>
            <w14:solidFill>
              <w14:schemeClr w14:val="tx1"/>
            </w14:solidFill>
          </w14:textFill>
        </w:rPr>
        <w:t>厂区奶厅废水与奶台清洗水单独收集，用于循环冲洗待挤厅，多余污水排入输粪渠系统冲洗输送牛粪。牧场泌乳牛舍牛粪采用刮粪板清粪，进入输粪渠，并以循环水送至粪污处理系统，通过粪污泵输送到固液分离系统进行分离，分离后液体进入氧化塘</w:t>
      </w:r>
      <w:r>
        <w:rPr>
          <w:rFonts w:hint="default" w:ascii="Times New Roman" w:hAnsi="Times New Roman" w:eastAsia="宋体" w:cs="Times New Roman"/>
          <w:color w:val="000000" w:themeColor="text1"/>
          <w:spacing w:val="-6"/>
          <w14:textFill>
            <w14:solidFill>
              <w14:schemeClr w14:val="tx1"/>
            </w14:solidFill>
          </w14:textFill>
        </w:rPr>
        <w:t>；生活污水排入化粪池处理后</w:t>
      </w:r>
      <w:r>
        <w:rPr>
          <w:rFonts w:hint="default" w:ascii="Times New Roman" w:hAnsi="Times New Roman" w:eastAsia="宋体" w:cs="Times New Roman"/>
          <w:color w:val="000000" w:themeColor="text1"/>
          <w:spacing w:val="-5"/>
          <w14:textFill>
            <w14:solidFill>
              <w14:schemeClr w14:val="tx1"/>
            </w14:solidFill>
          </w14:textFill>
        </w:rPr>
        <w:t>送到污水调节池均匀注入项目配套氧化塘</w:t>
      </w:r>
      <w:r>
        <w:rPr>
          <w:rFonts w:hint="default" w:ascii="Times New Roman" w:hAnsi="Times New Roman" w:eastAsia="宋体" w:cs="Times New Roman"/>
          <w:color w:val="000000" w:themeColor="text1"/>
          <w:spacing w:val="-6"/>
          <w14:textFill>
            <w14:solidFill>
              <w14:schemeClr w14:val="tx1"/>
            </w14:solidFill>
          </w14:textFill>
        </w:rPr>
        <w:t>，废水经氧化塘处理后用于农田灌溉。无污废水外排</w:t>
      </w:r>
      <w:r>
        <w:rPr>
          <w:rFonts w:hint="default" w:ascii="Times New Roman" w:hAnsi="Times New Roman" w:eastAsia="宋体" w:cs="Times New Roman"/>
          <w:color w:val="000000" w:themeColor="text1"/>
          <w14:textFill>
            <w14:solidFill>
              <w14:schemeClr w14:val="tx1"/>
            </w14:solidFill>
          </w14:textFill>
        </w:rPr>
        <w:t>，不会对地表水产生影响。</w:t>
      </w:r>
    </w:p>
    <w:p w14:paraId="45A07189">
      <w:pPr>
        <w:ind w:firstLine="480"/>
        <w:outlineLvl w:val="2"/>
        <w:rPr>
          <w:rFonts w:hint="default" w:ascii="Times New Roman" w:hAnsi="Times New Roman" w:eastAsia="宋体" w:cs="Times New Roman"/>
          <w:color w:val="000000" w:themeColor="text1"/>
          <w14:textFill>
            <w14:solidFill>
              <w14:schemeClr w14:val="tx1"/>
            </w14:solidFill>
          </w14:textFill>
        </w:rPr>
      </w:pPr>
      <w:bookmarkStart w:id="457" w:name="bookmark75"/>
      <w:bookmarkEnd w:id="457"/>
      <w:bookmarkStart w:id="458" w:name="_Toc23805"/>
      <w:r>
        <w:rPr>
          <w:rFonts w:hint="default" w:ascii="Times New Roman" w:hAnsi="Times New Roman" w:eastAsia="宋体" w:cs="Times New Roman"/>
          <w:color w:val="000000" w:themeColor="text1"/>
          <w14:textFill>
            <w14:solidFill>
              <w14:schemeClr w14:val="tx1"/>
            </w14:solidFill>
          </w14:textFill>
        </w:rPr>
        <w:t>10.5.3声环境影响</w:t>
      </w:r>
      <w:bookmarkEnd w:id="458"/>
    </w:p>
    <w:p w14:paraId="34466AA7">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由预测结果可知，本项目噪声源对厂界的贡献值能够满足《工业企业厂界环境噪声排放标准》（GB12348-2008）</w:t>
      </w:r>
      <w:r>
        <w:rPr>
          <w:rFonts w:hint="eastAsia" w:cs="Times New Roman"/>
          <w:color w:val="000000" w:themeColor="text1"/>
          <w:lang w:val="en-US" w:eastAsia="zh-CN"/>
          <w14:textFill>
            <w14:solidFill>
              <w14:schemeClr w14:val="tx1"/>
            </w14:solidFill>
          </w14:textFill>
        </w:rPr>
        <w:t>2</w:t>
      </w:r>
      <w:r>
        <w:rPr>
          <w:rFonts w:hint="default" w:ascii="Times New Roman" w:hAnsi="Times New Roman" w:eastAsia="宋体" w:cs="Times New Roman"/>
          <w:color w:val="000000" w:themeColor="text1"/>
          <w14:textFill>
            <w14:solidFill>
              <w14:schemeClr w14:val="tx1"/>
            </w14:solidFill>
          </w14:textFill>
        </w:rPr>
        <w:t>类标准。且调查发现项目周边200m范围内没有声环境敏感点存在，本项目对周围环境影响较小。</w:t>
      </w:r>
    </w:p>
    <w:p w14:paraId="7DABFE53">
      <w:pPr>
        <w:ind w:firstLine="480"/>
        <w:outlineLvl w:val="2"/>
        <w:rPr>
          <w:rFonts w:hint="default" w:ascii="Times New Roman" w:hAnsi="Times New Roman" w:eastAsia="宋体" w:cs="Times New Roman"/>
          <w:color w:val="000000" w:themeColor="text1"/>
          <w14:textFill>
            <w14:solidFill>
              <w14:schemeClr w14:val="tx1"/>
            </w14:solidFill>
          </w14:textFill>
        </w:rPr>
      </w:pPr>
      <w:bookmarkStart w:id="459" w:name="bookmark76"/>
      <w:bookmarkEnd w:id="459"/>
      <w:bookmarkStart w:id="460" w:name="_Toc8571"/>
      <w:r>
        <w:rPr>
          <w:rFonts w:hint="default" w:ascii="Times New Roman" w:hAnsi="Times New Roman" w:eastAsia="宋体" w:cs="Times New Roman"/>
          <w:color w:val="000000" w:themeColor="text1"/>
          <w14:textFill>
            <w14:solidFill>
              <w14:schemeClr w14:val="tx1"/>
            </w14:solidFill>
          </w14:textFill>
        </w:rPr>
        <w:t>10.5.4地下水环境影响</w:t>
      </w:r>
      <w:bookmarkEnd w:id="460"/>
    </w:p>
    <w:p w14:paraId="76F60B7C">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本项目生产运营期产生的生产废水中主要污染物是COD</w:t>
      </w:r>
      <w:r>
        <w:rPr>
          <w:rFonts w:hint="default" w:ascii="Times New Roman" w:hAnsi="Times New Roman" w:eastAsia="宋体" w:cs="Times New Roman"/>
          <w:color w:val="000000" w:themeColor="text1"/>
          <w:vertAlign w:val="subscript"/>
          <w14:textFill>
            <w14:solidFill>
              <w14:schemeClr w14:val="tx1"/>
            </w14:solidFill>
          </w14:textFill>
        </w:rPr>
        <w:t>Cr</w:t>
      </w:r>
      <w:r>
        <w:rPr>
          <w:rFonts w:hint="default" w:ascii="Times New Roman" w:hAnsi="Times New Roman" w:eastAsia="宋体" w:cs="Times New Roman"/>
          <w:color w:val="000000" w:themeColor="text1"/>
          <w14:textFill>
            <w14:solidFill>
              <w14:schemeClr w14:val="tx1"/>
            </w14:solidFill>
          </w14:textFill>
        </w:rPr>
        <w:t>、NH</w:t>
      </w:r>
      <w:r>
        <w:rPr>
          <w:rFonts w:hint="default" w:ascii="Times New Roman" w:hAnsi="Times New Roman" w:eastAsia="宋体" w:cs="Times New Roman"/>
          <w:color w:val="000000" w:themeColor="text1"/>
          <w:vertAlign w:val="subscript"/>
          <w14:textFill>
            <w14:solidFill>
              <w14:schemeClr w14:val="tx1"/>
            </w14:solidFill>
          </w14:textFill>
        </w:rPr>
        <w:t>3</w:t>
      </w:r>
      <w:r>
        <w:rPr>
          <w:rFonts w:hint="default" w:ascii="Times New Roman" w:hAnsi="Times New Roman" w:eastAsia="宋体" w:cs="Times New Roman"/>
          <w:color w:val="000000" w:themeColor="text1"/>
          <w14:textFill>
            <w14:solidFill>
              <w14:schemeClr w14:val="tx1"/>
            </w14:solidFill>
          </w14:textFill>
        </w:rPr>
        <w:t>-N，废水不含有毒污染物，但如果事故排放将会对地下水造成污染。土壤对外界加入的物质具有一定的缓冲能力，各种物质进入土壤后，在土壤的固相、液相之间进行一系列的物理、化学反应，发生积累、迁移和转化。但高污染物浓度的污水事故排放，超过土壤的自净和作物的吸收能力，污水穿透包气带后，污水中含有COD</w:t>
      </w:r>
      <w:r>
        <w:rPr>
          <w:rFonts w:hint="default" w:ascii="Times New Roman" w:hAnsi="Times New Roman" w:eastAsia="宋体" w:cs="Times New Roman"/>
          <w:color w:val="000000" w:themeColor="text1"/>
          <w:vertAlign w:val="subscript"/>
          <w14:textFill>
            <w14:solidFill>
              <w14:schemeClr w14:val="tx1"/>
            </w14:solidFill>
          </w14:textFill>
        </w:rPr>
        <w:t>Cr</w:t>
      </w:r>
      <w:r>
        <w:rPr>
          <w:rFonts w:hint="default" w:ascii="Times New Roman" w:hAnsi="Times New Roman" w:eastAsia="宋体" w:cs="Times New Roman"/>
          <w:color w:val="000000" w:themeColor="text1"/>
          <w14:textFill>
            <w14:solidFill>
              <w14:schemeClr w14:val="tx1"/>
            </w14:solidFill>
          </w14:textFill>
        </w:rPr>
        <w:t>、NH</w:t>
      </w:r>
      <w:r>
        <w:rPr>
          <w:rFonts w:hint="default" w:ascii="Times New Roman" w:hAnsi="Times New Roman" w:eastAsia="宋体" w:cs="Times New Roman"/>
          <w:color w:val="000000" w:themeColor="text1"/>
          <w:vertAlign w:val="subscript"/>
          <w14:textFill>
            <w14:solidFill>
              <w14:schemeClr w14:val="tx1"/>
            </w14:solidFill>
          </w14:textFill>
        </w:rPr>
        <w:t>3</w:t>
      </w:r>
      <w:r>
        <w:rPr>
          <w:rFonts w:hint="default" w:ascii="Times New Roman" w:hAnsi="Times New Roman" w:eastAsia="宋体" w:cs="Times New Roman"/>
          <w:color w:val="000000" w:themeColor="text1"/>
          <w14:textFill>
            <w14:solidFill>
              <w14:schemeClr w14:val="tx1"/>
            </w14:solidFill>
          </w14:textFill>
        </w:rPr>
        <w:t>-N、肠胃病菌和寄生虫卵等多种污染因子，将对地下水造成严重污染。</w:t>
      </w:r>
    </w:p>
    <w:p w14:paraId="7FD775DE">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本次环评要求企业严格按照地下水防渗分区的相关要求对牛舍、运动场、固液分离车间构筑物进行设计施工，并做好防渗处理，防止项目运行对地下水造成污染。项目在建设过程中，严格落实本评价提出的“分区防渗”要求，各单元防渗层渗透系数满足相应控制标准要求，能有效防止废水下渗污染地下水。</w:t>
      </w:r>
    </w:p>
    <w:p w14:paraId="76FFAB4C">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综上所述，本评价认为，项目实施对区域地下水环境造成的影响较小。</w:t>
      </w:r>
    </w:p>
    <w:p w14:paraId="49B48512">
      <w:pPr>
        <w:ind w:firstLine="480"/>
        <w:outlineLvl w:val="2"/>
        <w:rPr>
          <w:rFonts w:hint="default" w:ascii="Times New Roman" w:hAnsi="Times New Roman" w:eastAsia="宋体" w:cs="Times New Roman"/>
          <w:color w:val="000000" w:themeColor="text1"/>
          <w14:textFill>
            <w14:solidFill>
              <w14:schemeClr w14:val="tx1"/>
            </w14:solidFill>
          </w14:textFill>
        </w:rPr>
      </w:pPr>
      <w:bookmarkStart w:id="461" w:name="bookmark77"/>
      <w:bookmarkEnd w:id="461"/>
      <w:bookmarkStart w:id="462" w:name="_Toc4030"/>
      <w:r>
        <w:rPr>
          <w:rFonts w:hint="default" w:ascii="Times New Roman" w:hAnsi="Times New Roman" w:eastAsia="宋体" w:cs="Times New Roman"/>
          <w:color w:val="000000" w:themeColor="text1"/>
          <w14:textFill>
            <w14:solidFill>
              <w14:schemeClr w14:val="tx1"/>
            </w14:solidFill>
          </w14:textFill>
        </w:rPr>
        <w:t>10.5.5固体废物环境影响分析</w:t>
      </w:r>
      <w:bookmarkEnd w:id="462"/>
    </w:p>
    <w:p w14:paraId="3255EC18">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本项目固废主要包括牛粪、</w:t>
      </w:r>
      <w:r>
        <w:rPr>
          <w:rFonts w:hint="eastAsia" w:cs="Times New Roman"/>
          <w:color w:val="000000" w:themeColor="text1"/>
          <w:lang w:val="en-US" w:eastAsia="zh-CN"/>
          <w14:textFill>
            <w14:solidFill>
              <w14:schemeClr w14:val="tx1"/>
            </w14:solidFill>
          </w14:textFill>
        </w:rPr>
        <w:t>氧化塘</w:t>
      </w:r>
      <w:r>
        <w:rPr>
          <w:rFonts w:hint="default" w:ascii="Times New Roman" w:hAnsi="Times New Roman" w:eastAsia="宋体" w:cs="Times New Roman"/>
          <w:color w:val="000000" w:themeColor="text1"/>
          <w14:textFill>
            <w14:solidFill>
              <w14:schemeClr w14:val="tx1"/>
            </w14:solidFill>
          </w14:textFill>
        </w:rPr>
        <w:t>粪渣等一般固废，</w:t>
      </w:r>
      <w:r>
        <w:rPr>
          <w:rFonts w:hint="eastAsia" w:cs="Times New Roman"/>
          <w:color w:val="000000" w:themeColor="text1"/>
          <w:lang w:val="en-US" w:eastAsia="zh-CN"/>
          <w14:textFill>
            <w14:solidFill>
              <w14:schemeClr w14:val="tx1"/>
            </w14:solidFill>
          </w14:textFill>
        </w:rPr>
        <w:t>酸碱液桶、</w:t>
      </w:r>
      <w:r>
        <w:rPr>
          <w:rFonts w:hint="default" w:ascii="Times New Roman" w:hAnsi="Times New Roman" w:eastAsia="宋体" w:cs="Times New Roman"/>
          <w:color w:val="000000" w:themeColor="text1"/>
          <w14:textFill>
            <w14:solidFill>
              <w14:schemeClr w14:val="tx1"/>
            </w14:solidFill>
          </w14:textFill>
        </w:rPr>
        <w:t>病死牛及胎衣、废矿物油、防疫废物等危险废物和生活垃圾等。</w:t>
      </w:r>
    </w:p>
    <w:p w14:paraId="3896D316">
      <w:pPr>
        <w:ind w:firstLine="480"/>
        <w:rPr>
          <w:rFonts w:hint="eastAsia" w:cs="Times New Roman"/>
          <w:color w:val="000000" w:themeColor="text1"/>
          <w:lang w:eastAsia="zh-CN"/>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牛粪：干湿分离后</w:t>
      </w:r>
      <w:r>
        <w:rPr>
          <w:rFonts w:hint="default" w:ascii="Times New Roman" w:hAnsi="Times New Roman" w:eastAsia="宋体" w:cs="Times New Roman"/>
          <w:color w:val="000000" w:themeColor="text1"/>
          <w:lang w:val="zh-CN"/>
          <w14:textFill>
            <w14:solidFill>
              <w14:schemeClr w14:val="tx1"/>
            </w14:solidFill>
          </w14:textFill>
        </w:rPr>
        <w:t>发酵用于农田施肥</w:t>
      </w:r>
      <w:r>
        <w:rPr>
          <w:rFonts w:hint="default" w:ascii="Times New Roman" w:hAnsi="Times New Roman" w:eastAsia="宋体" w:cs="Times New Roman"/>
          <w:color w:val="000000" w:themeColor="text1"/>
          <w14:textFill>
            <w14:solidFill>
              <w14:schemeClr w14:val="tx1"/>
            </w14:solidFill>
          </w14:textFill>
        </w:rPr>
        <w:t>；</w:t>
      </w:r>
      <w:r>
        <w:rPr>
          <w:rFonts w:hint="eastAsia" w:cs="Times New Roman"/>
          <w:color w:val="000000" w:themeColor="text1"/>
          <w:lang w:val="en-US" w:eastAsia="zh-CN"/>
          <w14:textFill>
            <w14:solidFill>
              <w14:schemeClr w14:val="tx1"/>
            </w14:solidFill>
          </w14:textFill>
        </w:rPr>
        <w:t>氧化塘</w:t>
      </w:r>
      <w:r>
        <w:rPr>
          <w:rFonts w:hint="default" w:ascii="Times New Roman" w:hAnsi="Times New Roman" w:eastAsia="宋体" w:cs="Times New Roman"/>
          <w:color w:val="000000" w:themeColor="text1"/>
          <w14:textFill>
            <w14:solidFill>
              <w14:schemeClr w14:val="tx1"/>
            </w14:solidFill>
          </w14:textFill>
        </w:rPr>
        <w:t>粪渣同牛粪一起</w:t>
      </w:r>
      <w:r>
        <w:rPr>
          <w:rFonts w:hint="default" w:ascii="Times New Roman" w:hAnsi="Times New Roman" w:eastAsia="宋体" w:cs="Times New Roman"/>
          <w:color w:val="000000" w:themeColor="text1"/>
          <w:lang w:val="zh-CN"/>
          <w14:textFill>
            <w14:solidFill>
              <w14:schemeClr w14:val="tx1"/>
            </w14:solidFill>
          </w14:textFill>
        </w:rPr>
        <w:t>发酵用于农田施肥</w:t>
      </w:r>
      <w:r>
        <w:rPr>
          <w:rFonts w:hint="default" w:ascii="Times New Roman" w:hAnsi="Times New Roman" w:eastAsia="宋体" w:cs="Times New Roman"/>
          <w:color w:val="000000" w:themeColor="text1"/>
          <w14:textFill>
            <w14:solidFill>
              <w14:schemeClr w14:val="tx1"/>
            </w14:solidFill>
          </w14:textFill>
        </w:rPr>
        <w:t>；</w:t>
      </w:r>
      <w:r>
        <w:rPr>
          <w:rFonts w:hint="eastAsia" w:cs="Times New Roman"/>
          <w:color w:val="000000" w:themeColor="text1"/>
          <w:lang w:val="en-US" w:eastAsia="zh-CN"/>
          <w14:textFill>
            <w14:solidFill>
              <w14:schemeClr w14:val="tx1"/>
            </w14:solidFill>
          </w14:textFill>
        </w:rPr>
        <w:t>酸碱液桶、</w:t>
      </w:r>
      <w:r>
        <w:rPr>
          <w:rFonts w:hint="default" w:ascii="Times New Roman" w:hAnsi="Times New Roman" w:eastAsia="宋体" w:cs="Times New Roman"/>
          <w:color w:val="000000" w:themeColor="text1"/>
          <w14:textFill>
            <w14:solidFill>
              <w14:schemeClr w14:val="tx1"/>
            </w14:solidFill>
          </w14:textFill>
        </w:rPr>
        <w:t>病死牛及胎衣、防疫废物、废矿物油委托有资质单位处置；生活垃圾运至当地垃圾转运站，由环卫部门处置</w:t>
      </w:r>
      <w:r>
        <w:rPr>
          <w:rFonts w:hint="eastAsia" w:cs="Times New Roman"/>
          <w:color w:val="000000" w:themeColor="text1"/>
          <w:lang w:eastAsia="zh-CN"/>
          <w14:textFill>
            <w14:solidFill>
              <w14:schemeClr w14:val="tx1"/>
            </w14:solidFill>
          </w14:textFill>
        </w:rPr>
        <w:t>。</w:t>
      </w:r>
    </w:p>
    <w:p w14:paraId="4DE58A23">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固体废物的暂存满足《危险废物贮存污染控制标准》（GB18597-2023）和《一般工业固体废物贮存和填埋污染控制标准》（GB18599-2020）的要求。</w:t>
      </w:r>
    </w:p>
    <w:p w14:paraId="6B48188F">
      <w:pPr>
        <w:keepNext w:val="0"/>
        <w:keepLines w:val="0"/>
        <w:pageBreakBefore w:val="0"/>
        <w:widowControl w:val="0"/>
        <w:kinsoku/>
        <w:wordWrap/>
        <w:overflowPunct/>
        <w:topLinePunct w:val="0"/>
        <w:autoSpaceDE/>
        <w:autoSpaceDN/>
        <w:bidi w:val="0"/>
        <w:adjustRightInd/>
        <w:snapToGrid/>
        <w:ind w:left="0" w:right="0" w:firstLine="480" w:firstLineChars="20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综上所述，本项目采取了有效的治理措施，各固体废物均得到综合利用及妥善处置，因此，项目生产过程中排放的固体废物不会对周围环境产生明显影响，所采取的污染防治对策可行。</w:t>
      </w:r>
    </w:p>
    <w:p w14:paraId="75475377">
      <w:pPr>
        <w:keepNext w:val="0"/>
        <w:keepLines w:val="0"/>
        <w:pageBreakBefore w:val="0"/>
        <w:widowControl w:val="0"/>
        <w:kinsoku/>
        <w:wordWrap/>
        <w:overflowPunct/>
        <w:topLinePunct w:val="0"/>
        <w:autoSpaceDE/>
        <w:autoSpaceDN/>
        <w:bidi w:val="0"/>
        <w:adjustRightInd/>
        <w:snapToGrid/>
        <w:ind w:left="0" w:leftChars="0" w:right="0" w:firstLine="0" w:firstLineChars="0"/>
        <w:textAlignment w:val="auto"/>
        <w:outlineLvl w:val="1"/>
        <w:rPr>
          <w:rFonts w:hint="default" w:ascii="Times New Roman" w:hAnsi="Times New Roman" w:eastAsia="宋体" w:cs="Times New Roman"/>
          <w:b/>
          <w:bCs/>
          <w:color w:val="000000" w:themeColor="text1"/>
          <w:sz w:val="28"/>
          <w:szCs w:val="28"/>
          <w14:textFill>
            <w14:solidFill>
              <w14:schemeClr w14:val="tx1"/>
            </w14:solidFill>
          </w14:textFill>
        </w:rPr>
      </w:pPr>
      <w:bookmarkStart w:id="463" w:name="_Toc490"/>
      <w:r>
        <w:rPr>
          <w:rFonts w:hint="default" w:ascii="Times New Roman" w:hAnsi="Times New Roman" w:eastAsia="宋体" w:cs="Times New Roman"/>
          <w:b/>
          <w:bCs/>
          <w:color w:val="000000" w:themeColor="text1"/>
          <w:sz w:val="28"/>
          <w:szCs w:val="28"/>
          <w14:textFill>
            <w14:solidFill>
              <w14:schemeClr w14:val="tx1"/>
            </w14:solidFill>
          </w14:textFill>
        </w:rPr>
        <w:t>10.6环境风险分析结论</w:t>
      </w:r>
      <w:bookmarkEnd w:id="463"/>
    </w:p>
    <w:p w14:paraId="3F7D10B4">
      <w:pPr>
        <w:pStyle w:val="11"/>
        <w:keepNext w:val="0"/>
        <w:keepLines w:val="0"/>
        <w:pageBreakBefore w:val="0"/>
        <w:widowControl w:val="0"/>
        <w:kinsoku/>
        <w:wordWrap/>
        <w:overflowPunct/>
        <w:topLinePunct w:val="0"/>
        <w:autoSpaceDE/>
        <w:autoSpaceDN/>
        <w:bidi w:val="0"/>
        <w:adjustRightInd/>
        <w:snapToGrid/>
        <w:ind w:left="0" w:right="0" w:firstLine="468" w:firstLineChars="200"/>
        <w:textAlignment w:val="auto"/>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eastAsia="宋体" w:cs="Times New Roman"/>
          <w:color w:val="000000" w:themeColor="text1"/>
          <w:spacing w:val="-3"/>
          <w:lang w:eastAsia="zh-CN"/>
          <w14:textFill>
            <w14:solidFill>
              <w14:schemeClr w14:val="tx1"/>
            </w14:solidFill>
          </w14:textFill>
        </w:rPr>
        <w:t>本次评价中针对可能发生的事故的原因设置可较为完善的风险</w:t>
      </w:r>
      <w:r>
        <w:rPr>
          <w:rFonts w:hint="default" w:ascii="Times New Roman" w:hAnsi="Times New Roman" w:eastAsia="宋体" w:cs="Times New Roman"/>
          <w:color w:val="000000" w:themeColor="text1"/>
          <w:spacing w:val="-4"/>
          <w:lang w:eastAsia="zh-CN"/>
          <w14:textFill>
            <w14:solidFill>
              <w14:schemeClr w14:val="tx1"/>
            </w14:solidFill>
          </w14:textFill>
        </w:rPr>
        <w:t>防范措施，可</w:t>
      </w:r>
      <w:r>
        <w:rPr>
          <w:rFonts w:hint="default" w:ascii="Times New Roman" w:hAnsi="Times New Roman" w:eastAsia="宋体" w:cs="Times New Roman"/>
          <w:color w:val="000000" w:themeColor="text1"/>
          <w:spacing w:val="-3"/>
          <w:lang w:eastAsia="zh-CN"/>
          <w14:textFill>
            <w14:solidFill>
              <w14:schemeClr w14:val="tx1"/>
            </w14:solidFill>
          </w14:textFill>
        </w:rPr>
        <w:t>有效的对风险事故进行最大限度的防范和有效处理，同时结合企业对风险防范措施的不断完善和改进，本项目发生的环境风险事故的概率将进一步降低。故本评</w:t>
      </w:r>
      <w:r>
        <w:rPr>
          <w:rFonts w:hint="default" w:ascii="Times New Roman" w:hAnsi="Times New Roman" w:eastAsia="宋体" w:cs="Times New Roman"/>
          <w:color w:val="000000" w:themeColor="text1"/>
          <w:spacing w:val="-1"/>
          <w:lang w:eastAsia="zh-CN"/>
          <w14:textFill>
            <w14:solidFill>
              <w14:schemeClr w14:val="tx1"/>
            </w14:solidFill>
          </w14:textFill>
        </w:rPr>
        <w:t>价认为本项目的环境风险事故处于可接受水平。</w:t>
      </w:r>
    </w:p>
    <w:p w14:paraId="19EA7971">
      <w:pPr>
        <w:keepNext w:val="0"/>
        <w:keepLines w:val="0"/>
        <w:pageBreakBefore w:val="0"/>
        <w:widowControl w:val="0"/>
        <w:kinsoku/>
        <w:wordWrap/>
        <w:overflowPunct/>
        <w:topLinePunct w:val="0"/>
        <w:autoSpaceDE/>
        <w:autoSpaceDN/>
        <w:bidi w:val="0"/>
        <w:adjustRightInd/>
        <w:snapToGrid/>
        <w:ind w:left="0" w:leftChars="0" w:right="0" w:firstLine="0" w:firstLineChars="0"/>
        <w:textAlignment w:val="auto"/>
        <w:outlineLvl w:val="1"/>
        <w:rPr>
          <w:rFonts w:hint="default" w:ascii="Times New Roman" w:hAnsi="Times New Roman" w:eastAsia="宋体" w:cs="Times New Roman"/>
          <w:b/>
          <w:bCs/>
          <w:color w:val="000000" w:themeColor="text1"/>
          <w:sz w:val="28"/>
          <w:szCs w:val="28"/>
          <w14:textFill>
            <w14:solidFill>
              <w14:schemeClr w14:val="tx1"/>
            </w14:solidFill>
          </w14:textFill>
        </w:rPr>
      </w:pPr>
      <w:bookmarkStart w:id="464" w:name="_Toc25592"/>
      <w:r>
        <w:rPr>
          <w:rFonts w:hint="default" w:ascii="Times New Roman" w:hAnsi="Times New Roman" w:eastAsia="宋体" w:cs="Times New Roman"/>
          <w:b/>
          <w:bCs/>
          <w:color w:val="000000" w:themeColor="text1"/>
          <w:sz w:val="28"/>
          <w:szCs w:val="28"/>
          <w14:textFill>
            <w14:solidFill>
              <w14:schemeClr w14:val="tx1"/>
            </w14:solidFill>
          </w14:textFill>
        </w:rPr>
        <w:t>10.7总量控制</w:t>
      </w:r>
      <w:bookmarkEnd w:id="464"/>
    </w:p>
    <w:p w14:paraId="518CABF8">
      <w:pPr>
        <w:keepNext w:val="0"/>
        <w:keepLines w:val="0"/>
        <w:pageBreakBefore w:val="0"/>
        <w:widowControl w:val="0"/>
        <w:kinsoku/>
        <w:wordWrap/>
        <w:overflowPunct/>
        <w:topLinePunct w:val="0"/>
        <w:autoSpaceDE/>
        <w:autoSpaceDN/>
        <w:bidi w:val="0"/>
        <w:adjustRightInd/>
        <w:snapToGrid/>
        <w:ind w:left="0" w:right="0" w:firstLine="480" w:firstLineChars="20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lang w:bidi="ar"/>
          <w14:textFill>
            <w14:solidFill>
              <w14:schemeClr w14:val="tx1"/>
            </w14:solidFill>
          </w14:textFill>
        </w:rPr>
        <w:t>本项目的养殖废水、生活污水经处理后用做液肥，施用于当地农田，全部进行资源化利用，且有足够土地消纳，因此认定COD去除率100%，氨氮去除率100%，因此，本项目不设置水污染物总量控制指标</w:t>
      </w:r>
      <w:r>
        <w:rPr>
          <w:rFonts w:hint="default" w:ascii="Times New Roman" w:hAnsi="Times New Roman" w:eastAsia="宋体" w:cs="Times New Roman"/>
          <w:color w:val="000000" w:themeColor="text1"/>
          <w14:textFill>
            <w14:solidFill>
              <w14:schemeClr w14:val="tx1"/>
            </w14:solidFill>
          </w14:textFill>
        </w:rPr>
        <w:t>。</w:t>
      </w:r>
    </w:p>
    <w:p w14:paraId="37215E6B">
      <w:pPr>
        <w:keepNext w:val="0"/>
        <w:keepLines w:val="0"/>
        <w:pageBreakBefore w:val="0"/>
        <w:widowControl w:val="0"/>
        <w:kinsoku/>
        <w:wordWrap/>
        <w:overflowPunct/>
        <w:topLinePunct w:val="0"/>
        <w:autoSpaceDE/>
        <w:autoSpaceDN/>
        <w:bidi w:val="0"/>
        <w:adjustRightInd/>
        <w:snapToGrid/>
        <w:ind w:left="0" w:right="0" w:firstLine="480" w:firstLineChars="20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本项目废气主要为牛舍及污粪处理区恶臭气体，污染因子为氨、硫化氢、臭气浓度等，无SO</w:t>
      </w:r>
      <w:r>
        <w:rPr>
          <w:rFonts w:hint="default" w:ascii="Times New Roman" w:hAnsi="Times New Roman" w:eastAsia="宋体" w:cs="Times New Roman"/>
          <w:color w:val="000000" w:themeColor="text1"/>
          <w:vertAlign w:val="subscript"/>
          <w14:textFill>
            <w14:solidFill>
              <w14:schemeClr w14:val="tx1"/>
            </w14:solidFill>
          </w14:textFill>
        </w:rPr>
        <w:t>2</w:t>
      </w:r>
      <w:r>
        <w:rPr>
          <w:rFonts w:hint="default" w:ascii="Times New Roman" w:hAnsi="Times New Roman" w:eastAsia="宋体" w:cs="Times New Roman"/>
          <w:color w:val="000000" w:themeColor="text1"/>
          <w14:textFill>
            <w14:solidFill>
              <w14:schemeClr w14:val="tx1"/>
            </w14:solidFill>
          </w14:textFill>
        </w:rPr>
        <w:t>、NO</w:t>
      </w:r>
      <w:r>
        <w:rPr>
          <w:rFonts w:hint="default" w:ascii="Times New Roman" w:hAnsi="Times New Roman" w:eastAsia="宋体" w:cs="Times New Roman"/>
          <w:color w:val="000000" w:themeColor="text1"/>
          <w:vertAlign w:val="subscript"/>
          <w14:textFill>
            <w14:solidFill>
              <w14:schemeClr w14:val="tx1"/>
            </w14:solidFill>
          </w14:textFill>
        </w:rPr>
        <w:t>X</w:t>
      </w:r>
      <w:r>
        <w:rPr>
          <w:rFonts w:hint="default" w:ascii="Times New Roman" w:hAnsi="Times New Roman" w:eastAsia="宋体" w:cs="Times New Roman"/>
          <w:color w:val="000000" w:themeColor="text1"/>
          <w14:textFill>
            <w14:solidFill>
              <w14:schemeClr w14:val="tx1"/>
            </w14:solidFill>
          </w14:textFill>
        </w:rPr>
        <w:t>及VOC</w:t>
      </w:r>
      <w:r>
        <w:rPr>
          <w:rFonts w:hint="default" w:ascii="Times New Roman" w:hAnsi="Times New Roman" w:eastAsia="宋体" w:cs="Times New Roman"/>
          <w:color w:val="000000" w:themeColor="text1"/>
          <w:vertAlign w:val="subscript"/>
          <w14:textFill>
            <w14:solidFill>
              <w14:schemeClr w14:val="tx1"/>
            </w14:solidFill>
          </w14:textFill>
        </w:rPr>
        <w:t>S</w:t>
      </w:r>
      <w:r>
        <w:rPr>
          <w:rFonts w:hint="default" w:ascii="Times New Roman" w:hAnsi="Times New Roman" w:eastAsia="宋体" w:cs="Times New Roman"/>
          <w:color w:val="000000" w:themeColor="text1"/>
          <w14:textFill>
            <w14:solidFill>
              <w14:schemeClr w14:val="tx1"/>
            </w14:solidFill>
          </w14:textFill>
        </w:rPr>
        <w:t>排放，因此，本项目不需申请废气污染物排污总量控制指标。</w:t>
      </w:r>
    </w:p>
    <w:p w14:paraId="763CF40B">
      <w:pPr>
        <w:keepNext w:val="0"/>
        <w:keepLines w:val="0"/>
        <w:pageBreakBefore w:val="0"/>
        <w:widowControl w:val="0"/>
        <w:kinsoku/>
        <w:wordWrap/>
        <w:overflowPunct/>
        <w:topLinePunct w:val="0"/>
        <w:autoSpaceDE/>
        <w:autoSpaceDN/>
        <w:bidi w:val="0"/>
        <w:adjustRightInd/>
        <w:snapToGrid/>
        <w:ind w:left="0" w:right="0" w:firstLine="480" w:firstLineChars="20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综上所述，本项目无需申请总量控制指标。</w:t>
      </w:r>
    </w:p>
    <w:p w14:paraId="649636B1">
      <w:pPr>
        <w:ind w:firstLine="0" w:firstLineChars="0"/>
        <w:outlineLvl w:val="1"/>
        <w:rPr>
          <w:rFonts w:hint="default" w:ascii="Times New Roman" w:hAnsi="Times New Roman" w:eastAsia="宋体" w:cs="Times New Roman"/>
          <w:b/>
          <w:bCs/>
          <w:color w:val="000000" w:themeColor="text1"/>
          <w:sz w:val="28"/>
          <w:szCs w:val="28"/>
          <w14:textFill>
            <w14:solidFill>
              <w14:schemeClr w14:val="tx1"/>
            </w14:solidFill>
          </w14:textFill>
        </w:rPr>
      </w:pPr>
      <w:bookmarkStart w:id="465" w:name="_Toc13123"/>
      <w:r>
        <w:rPr>
          <w:rFonts w:hint="default" w:ascii="Times New Roman" w:hAnsi="Times New Roman" w:eastAsia="宋体" w:cs="Times New Roman"/>
          <w:b/>
          <w:bCs/>
          <w:color w:val="000000" w:themeColor="text1"/>
          <w:sz w:val="28"/>
          <w:szCs w:val="28"/>
          <w14:textFill>
            <w14:solidFill>
              <w14:schemeClr w14:val="tx1"/>
            </w14:solidFill>
          </w14:textFill>
        </w:rPr>
        <w:t>10.8公众参与</w:t>
      </w:r>
      <w:bookmarkEnd w:id="465"/>
    </w:p>
    <w:p w14:paraId="11240916">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本次公众参与严格按照《环境影响评价公众参与暂行办法》安排本项目相关工作，项目一次公示在环境影响评价信息公示平台进行公示；征求意见稿于环境影响评价信息公示平台进行了2次网站公示，在北国广告日报进行</w:t>
      </w:r>
      <w:r>
        <w:rPr>
          <w:rFonts w:hint="eastAsia" w:cs="Times New Roman"/>
          <w:color w:val="000000" w:themeColor="text1"/>
          <w:lang w:val="en-US" w:eastAsia="zh-CN"/>
          <w14:textFill>
            <w14:solidFill>
              <w14:schemeClr w14:val="tx1"/>
            </w14:solidFill>
          </w14:textFill>
        </w:rPr>
        <w:t>2</w:t>
      </w:r>
      <w:r>
        <w:rPr>
          <w:rFonts w:hint="default" w:ascii="Times New Roman" w:hAnsi="Times New Roman" w:eastAsia="宋体" w:cs="Times New Roman"/>
          <w:color w:val="000000" w:themeColor="text1"/>
          <w14:textFill>
            <w14:solidFill>
              <w14:schemeClr w14:val="tx1"/>
            </w14:solidFill>
          </w14:textFill>
        </w:rPr>
        <w:t>次报纸公示。公示期间未收到公众意见。</w:t>
      </w:r>
    </w:p>
    <w:p w14:paraId="42D9706E">
      <w:pPr>
        <w:ind w:firstLine="0" w:firstLineChars="0"/>
        <w:outlineLvl w:val="1"/>
        <w:rPr>
          <w:rFonts w:hint="default" w:ascii="Times New Roman" w:hAnsi="Times New Roman" w:eastAsia="宋体" w:cs="Times New Roman"/>
          <w:b/>
          <w:bCs/>
          <w:color w:val="000000" w:themeColor="text1"/>
          <w:sz w:val="28"/>
          <w:szCs w:val="28"/>
          <w14:textFill>
            <w14:solidFill>
              <w14:schemeClr w14:val="tx1"/>
            </w14:solidFill>
          </w14:textFill>
        </w:rPr>
      </w:pPr>
      <w:bookmarkStart w:id="466" w:name="_Toc28975"/>
      <w:r>
        <w:rPr>
          <w:rFonts w:hint="default" w:ascii="Times New Roman" w:hAnsi="Times New Roman" w:eastAsia="宋体" w:cs="Times New Roman"/>
          <w:b/>
          <w:bCs/>
          <w:color w:val="000000" w:themeColor="text1"/>
          <w:sz w:val="28"/>
          <w:szCs w:val="28"/>
          <w14:textFill>
            <w14:solidFill>
              <w14:schemeClr w14:val="tx1"/>
            </w14:solidFill>
          </w14:textFill>
        </w:rPr>
        <w:t>10.9结论</w:t>
      </w:r>
      <w:bookmarkEnd w:id="466"/>
    </w:p>
    <w:p w14:paraId="2838255E">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项目符合《产业结构调整指导目录（2024年本）》要求。项目建设满足《畜禽规模养殖污染防治条例》、《畜禽养殖业污染防治技术规范》（HJ/T81-2001）要求。通过采取技术成熟合理的污染防治措施，本项目各类污染物得到合理处置；环境风险可接受。在切实落实环境影响报告书中提出的各项环保措施后，项目对环境的影响可以符合国家和地方的环境保护要求。</w:t>
      </w:r>
    </w:p>
    <w:p w14:paraId="488C0CB0">
      <w:pPr>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从环境保护角度来看，项目建设是可行的。</w:t>
      </w:r>
    </w:p>
    <w:p w14:paraId="7D01F9E4">
      <w:pPr>
        <w:ind w:firstLine="480"/>
        <w:rPr>
          <w:rFonts w:hint="default" w:ascii="Times New Roman" w:hAnsi="Times New Roman" w:eastAsia="宋体" w:cs="Times New Roman"/>
          <w:color w:val="000000" w:themeColor="text1"/>
          <w14:textFill>
            <w14:solidFill>
              <w14:schemeClr w14:val="tx1"/>
            </w14:solidFill>
          </w14:textFill>
        </w:rPr>
      </w:pPr>
    </w:p>
    <w:sectPr>
      <w:footerReference r:id="rId22" w:type="first"/>
      <w:footerReference r:id="rId21" w:type="default"/>
      <w:pgSz w:w="11911" w:h="16838"/>
      <w:pgMar w:top="1440" w:right="1803" w:bottom="1440" w:left="1803" w:header="896" w:footer="998" w:gutter="0"/>
      <w:pgNumType w:fmt="decimal"/>
      <w:cols w:space="0" w:num="1"/>
      <w:titlePg/>
      <w:docGrid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auto"/>
    <w:pitch w:val="default"/>
    <w:sig w:usb0="E0002EFF" w:usb1="C000785B" w:usb2="00000009" w:usb3="00000000" w:csb0="400001FF" w:csb1="FFFF0000"/>
  </w:font>
  <w:font w:name="宋体">
    <w:panose1 w:val="02010600030101010101"/>
    <w:charset w:val="81"/>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Plotter">
    <w:altName w:val="Tahoma"/>
    <w:panose1 w:val="00000000000000000000"/>
    <w:charset w:val="00"/>
    <w:family w:val="roman"/>
    <w:pitch w:val="default"/>
    <w:sig w:usb0="00000000" w:usb1="00000000" w:usb2="00000000" w:usb3="00000000" w:csb0="00000001" w:csb1="00000000"/>
  </w:font>
  <w:font w:name="Tahoma">
    <w:panose1 w:val="020B0604030504040204"/>
    <w:charset w:val="00"/>
    <w:family w:val="auto"/>
    <w:pitch w:val="default"/>
    <w:sig w:usb0="E1002EFF" w:usb1="C000605B" w:usb2="00000029" w:usb3="00000000" w:csb0="200101FF" w:csb1="20280000"/>
  </w:font>
  <w:font w:name="等线">
    <w:panose1 w:val="02010600030101010101"/>
    <w:charset w:val="86"/>
    <w:family w:val="auto"/>
    <w:pitch w:val="default"/>
    <w:sig w:usb0="A00002BF" w:usb1="38CF7CFA" w:usb2="00000016" w:usb3="00000000" w:csb0="0004000F" w:csb1="00000000"/>
  </w:font>
  <w:font w:name="Calibri Light">
    <w:panose1 w:val="020F0302020204030204"/>
    <w:charset w:val="00"/>
    <w:family w:val="swiss"/>
    <w:pitch w:val="default"/>
    <w:sig w:usb0="E4002EFF" w:usb1="C000247B" w:usb2="00000009" w:usb3="00000000" w:csb0="200001FF" w:csb1="00000000"/>
  </w:font>
  <w:font w:name="微软雅黑">
    <w:panose1 w:val="020B0503020204020204"/>
    <w:charset w:val="86"/>
    <w:family w:val="auto"/>
    <w:pitch w:val="default"/>
    <w:sig w:usb0="80000287" w:usb1="2ACF3C50" w:usb2="00000016" w:usb3="00000000" w:csb0="0004001F" w:csb1="00000000"/>
  </w:font>
  <w:font w:name="MS PGothic">
    <w:panose1 w:val="020B0600070205080204"/>
    <w:charset w:val="80"/>
    <w:family w:val="auto"/>
    <w:pitch w:val="default"/>
    <w:sig w:usb0="E00002FF" w:usb1="6AC7FDFB" w:usb2="08000012" w:usb3="00000000" w:csb0="4002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3927A63">
    <w:pPr>
      <w:pStyle w:val="1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03D0B3">
    <w:pPr>
      <w:pStyle w:val="19"/>
      <w:ind w:firstLine="360"/>
    </w:pPr>
    <w:r>
      <w:rPr>
        <w:sz w:val="18"/>
      </w:rPr>
      <mc:AlternateContent>
        <mc:Choice Requires="wps">
          <w:drawing>
            <wp:anchor distT="0" distB="0" distL="114300" distR="114300" simplePos="0" relativeHeight="251667456" behindDoc="0" locked="0" layoutInCell="1" allowOverlap="1">
              <wp:simplePos x="0" y="0"/>
              <wp:positionH relativeFrom="margin">
                <wp:align>center</wp:align>
              </wp:positionH>
              <wp:positionV relativeFrom="paragraph">
                <wp:posOffset>0</wp:posOffset>
              </wp:positionV>
              <wp:extent cx="1828800" cy="1828800"/>
              <wp:effectExtent l="0" t="0" r="0" b="0"/>
              <wp:wrapNone/>
              <wp:docPr id="93" name="文本框 9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3654892">
                          <w:pPr>
                            <w:pStyle w:val="19"/>
                          </w:pPr>
                          <w:r>
                            <w:fldChar w:fldCharType="begin"/>
                          </w:r>
                          <w:r>
                            <w:instrText xml:space="preserve"> PAGE  \* MERGEFORMAT </w:instrText>
                          </w:r>
                          <w:r>
                            <w:fldChar w:fldCharType="separate"/>
                          </w:r>
                          <w:r>
                            <w:t>176</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745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j7rWQzAgAAYwQAAA4AAABkcnMvZTJvRG9jLnhtbK1UzY7TMBC+I/EO&#10;lu80aVesSt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Aj7rWQzAgAAYwQAAA4AAAAAAAAAAQAgAAAAHwEAAGRycy9lMm9Eb2MueG1sUEsF&#10;BgAAAAAGAAYAWQEAAMQFAAAAAA==&#10;">
              <v:fill on="f" focussize="0,0"/>
              <v:stroke on="f" weight="0.5pt"/>
              <v:imagedata o:title=""/>
              <o:lock v:ext="edit" aspectratio="f"/>
              <v:textbox inset="0mm,0mm,0mm,0mm" style="mso-fit-shape-to-text:t;">
                <w:txbxContent>
                  <w:p w14:paraId="43654892">
                    <w:pPr>
                      <w:pStyle w:val="19"/>
                    </w:pPr>
                    <w:r>
                      <w:fldChar w:fldCharType="begin"/>
                    </w:r>
                    <w:r>
                      <w:instrText xml:space="preserve"> PAGE  \* MERGEFORMAT </w:instrText>
                    </w:r>
                    <w:r>
                      <w:fldChar w:fldCharType="separate"/>
                    </w:r>
                    <w:r>
                      <w:t>176</w:t>
                    </w:r>
                    <w:r>
                      <w:fldChar w:fldCharType="end"/>
                    </w:r>
                  </w:p>
                </w:txbxContent>
              </v:textbox>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959B987">
    <w:pPr>
      <w:pStyle w:val="19"/>
      <w:ind w:firstLine="360"/>
    </w:pPr>
    <w:r>
      <w:rPr>
        <w:sz w:val="18"/>
      </w:rPr>
      <mc:AlternateContent>
        <mc:Choice Requires="wps">
          <w:drawing>
            <wp:anchor distT="0" distB="0" distL="114300" distR="114300" simplePos="0" relativeHeight="251668480" behindDoc="0" locked="0" layoutInCell="1" allowOverlap="1">
              <wp:simplePos x="0" y="0"/>
              <wp:positionH relativeFrom="margin">
                <wp:align>center</wp:align>
              </wp:positionH>
              <wp:positionV relativeFrom="paragraph">
                <wp:posOffset>0</wp:posOffset>
              </wp:positionV>
              <wp:extent cx="1828800" cy="1828800"/>
              <wp:effectExtent l="0" t="0" r="0" b="0"/>
              <wp:wrapNone/>
              <wp:docPr id="97" name="文本框 9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D8B5E7D">
                          <w:pPr>
                            <w:pStyle w:val="19"/>
                          </w:pPr>
                          <w:r>
                            <w:fldChar w:fldCharType="begin"/>
                          </w:r>
                          <w:r>
                            <w:instrText xml:space="preserve"> PAGE  \* MERGEFORMAT </w:instrText>
                          </w:r>
                          <w:r>
                            <w:fldChar w:fldCharType="separate"/>
                          </w:r>
                          <w:r>
                            <w:t>182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848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IJWEWwzAgAAYwQAAA4AAAAAAAAAAQAgAAAAHwEAAGRycy9lMm9Eb2MueG1sUEsF&#10;BgAAAAAGAAYAWQEAAMQFAAAAAA==&#10;">
              <v:fill on="f" focussize="0,0"/>
              <v:stroke on="f" weight="0.5pt"/>
              <v:imagedata o:title=""/>
              <o:lock v:ext="edit" aspectratio="f"/>
              <v:textbox inset="0mm,0mm,0mm,0mm" style="mso-fit-shape-to-text:t;">
                <w:txbxContent>
                  <w:p w14:paraId="4D8B5E7D">
                    <w:pPr>
                      <w:pStyle w:val="19"/>
                    </w:pPr>
                    <w:r>
                      <w:fldChar w:fldCharType="begin"/>
                    </w:r>
                    <w:r>
                      <w:instrText xml:space="preserve"> PAGE  \* MERGEFORMAT </w:instrText>
                    </w:r>
                    <w:r>
                      <w:fldChar w:fldCharType="separate"/>
                    </w:r>
                    <w:r>
                      <w:t>182</w:t>
                    </w:r>
                    <w:r>
                      <w:fldChar w:fldCharType="end"/>
                    </w:r>
                  </w:p>
                </w:txbxContent>
              </v:textbox>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59C8361">
    <w:pPr>
      <w:pStyle w:val="19"/>
      <w:ind w:firstLine="360"/>
    </w:pPr>
    <w:r>
      <w:rPr>
        <w:sz w:val="18"/>
      </w:rPr>
      <mc:AlternateContent>
        <mc:Choice Requires="wps">
          <w:drawing>
            <wp:anchor distT="0" distB="0" distL="114300" distR="114300" simplePos="0" relativeHeight="251669504" behindDoc="0" locked="0" layoutInCell="1" allowOverlap="1">
              <wp:simplePos x="0" y="0"/>
              <wp:positionH relativeFrom="margin">
                <wp:align>center</wp:align>
              </wp:positionH>
              <wp:positionV relativeFrom="paragraph">
                <wp:posOffset>0</wp:posOffset>
              </wp:positionV>
              <wp:extent cx="1828800" cy="1828800"/>
              <wp:effectExtent l="0" t="0" r="0" b="0"/>
              <wp:wrapNone/>
              <wp:docPr id="99" name="文本框 9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AF11FEB">
                          <w:pPr>
                            <w:pStyle w:val="19"/>
                          </w:pPr>
                          <w:r>
                            <w:fldChar w:fldCharType="begin"/>
                          </w:r>
                          <w:r>
                            <w:instrText xml:space="preserve"> PAGE  \* MERGEFORMAT </w:instrText>
                          </w:r>
                          <w:r>
                            <w:fldChar w:fldCharType="separate"/>
                          </w:r>
                          <w:r>
                            <w:t>187</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950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n2inEzAgAAYw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Nn2inEzAgAAYwQAAA4AAAAAAAAAAQAgAAAAHwEAAGRycy9lMm9Eb2MueG1sUEsF&#10;BgAAAAAGAAYAWQEAAMQFAAAAAA==&#10;">
              <v:fill on="f" focussize="0,0"/>
              <v:stroke on="f" weight="0.5pt"/>
              <v:imagedata o:title=""/>
              <o:lock v:ext="edit" aspectratio="f"/>
              <v:textbox inset="0mm,0mm,0mm,0mm" style="mso-fit-shape-to-text:t;">
                <w:txbxContent>
                  <w:p w14:paraId="2AF11FEB">
                    <w:pPr>
                      <w:pStyle w:val="19"/>
                    </w:pPr>
                    <w:r>
                      <w:fldChar w:fldCharType="begin"/>
                    </w:r>
                    <w:r>
                      <w:instrText xml:space="preserve"> PAGE  \* MERGEFORMAT </w:instrText>
                    </w:r>
                    <w:r>
                      <w:fldChar w:fldCharType="separate"/>
                    </w:r>
                    <w:r>
                      <w:t>187</w:t>
                    </w:r>
                    <w:r>
                      <w:fldChar w:fldCharType="end"/>
                    </w:r>
                  </w:p>
                </w:txbxContent>
              </v:textbox>
            </v:shape>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0823E44">
    <w:pPr>
      <w:pStyle w:val="19"/>
      <w:ind w:firstLine="360"/>
    </w:pPr>
    <w:r>
      <w:rPr>
        <w:sz w:val="18"/>
      </w:rPr>
      <mc:AlternateContent>
        <mc:Choice Requires="wps">
          <w:drawing>
            <wp:anchor distT="0" distB="0" distL="114300" distR="114300" simplePos="0" relativeHeight="251670528" behindDoc="0" locked="0" layoutInCell="1" allowOverlap="1">
              <wp:simplePos x="0" y="0"/>
              <wp:positionH relativeFrom="margin">
                <wp:align>center</wp:align>
              </wp:positionH>
              <wp:positionV relativeFrom="paragraph">
                <wp:posOffset>0</wp:posOffset>
              </wp:positionV>
              <wp:extent cx="1828800" cy="1828800"/>
              <wp:effectExtent l="0" t="0" r="0" b="0"/>
              <wp:wrapNone/>
              <wp:docPr id="100" name="文本框 10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A5F374D">
                          <w:pPr>
                            <w:pStyle w:val="19"/>
                          </w:pPr>
                          <w:r>
                            <w:fldChar w:fldCharType="begin"/>
                          </w:r>
                          <w:r>
                            <w:instrText xml:space="preserve"> PAGE  \* MERGEFORMAT </w:instrText>
                          </w:r>
                          <w:r>
                            <w:fldChar w:fldCharType="separate"/>
                          </w:r>
                          <w:r>
                            <w:t>191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052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TnCo8xAgAAZ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Ak5wqPMQIAAGUEAAAOAAAAAAAAAAEAIAAAAB8BAABkcnMvZTJvRG9jLnhtbFBLBQYA&#10;AAAABgAGAFkBAADCBQAAAAA=&#10;">
              <v:fill on="f" focussize="0,0"/>
              <v:stroke on="f" weight="0.5pt"/>
              <v:imagedata o:title=""/>
              <o:lock v:ext="edit" aspectratio="f"/>
              <v:textbox inset="0mm,0mm,0mm,0mm" style="mso-fit-shape-to-text:t;">
                <w:txbxContent>
                  <w:p w14:paraId="1A5F374D">
                    <w:pPr>
                      <w:pStyle w:val="19"/>
                    </w:pPr>
                    <w:r>
                      <w:fldChar w:fldCharType="begin"/>
                    </w:r>
                    <w:r>
                      <w:instrText xml:space="preserve"> PAGE  \* MERGEFORMAT </w:instrText>
                    </w:r>
                    <w:r>
                      <w:fldChar w:fldCharType="separate"/>
                    </w:r>
                    <w:r>
                      <w:t>191</w:t>
                    </w:r>
                    <w:r>
                      <w:fldChar w:fldCharType="end"/>
                    </w:r>
                  </w:p>
                </w:txbxContent>
              </v:textbox>
            </v:shape>
          </w:pict>
        </mc:Fallback>
      </mc:AlternateConten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4C37717">
    <w:pPr>
      <w:pStyle w:val="19"/>
      <w:ind w:firstLine="360"/>
    </w:pPr>
    <w:r>
      <w:rPr>
        <w:sz w:val="18"/>
      </w:rPr>
      <mc:AlternateContent>
        <mc:Choice Requires="wps">
          <w:drawing>
            <wp:anchor distT="0" distB="0" distL="114300" distR="114300" simplePos="0" relativeHeight="251671552" behindDoc="0" locked="0" layoutInCell="1" allowOverlap="1">
              <wp:simplePos x="0" y="0"/>
              <wp:positionH relativeFrom="margin">
                <wp:align>center</wp:align>
              </wp:positionH>
              <wp:positionV relativeFrom="paragraph">
                <wp:posOffset>0</wp:posOffset>
              </wp:positionV>
              <wp:extent cx="1828800" cy="1828800"/>
              <wp:effectExtent l="0" t="0" r="0" b="0"/>
              <wp:wrapNone/>
              <wp:docPr id="101" name="文本框 10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2EE742A">
                          <w:pPr>
                            <w:pStyle w:val="19"/>
                          </w:pPr>
                          <w:r>
                            <w:fldChar w:fldCharType="begin"/>
                          </w:r>
                          <w:r>
                            <w:instrText xml:space="preserve"> PAGE  \* MERGEFORMAT </w:instrText>
                          </w:r>
                          <w:r>
                            <w:fldChar w:fldCharType="separate"/>
                          </w:r>
                          <w:r>
                            <w:t>190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155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T1uUEzICAABlBAAADgAAAAAAAAABACAAAAAfAQAAZHJzL2Uyb0RvYy54bWxQSwUG&#10;AAAAAAYABgBZAQAAwwUAAAAA&#10;">
              <v:fill on="f" focussize="0,0"/>
              <v:stroke on="f" weight="0.5pt"/>
              <v:imagedata o:title=""/>
              <o:lock v:ext="edit" aspectratio="f"/>
              <v:textbox inset="0mm,0mm,0mm,0mm" style="mso-fit-shape-to-text:t;">
                <w:txbxContent>
                  <w:p w14:paraId="52EE742A">
                    <w:pPr>
                      <w:pStyle w:val="19"/>
                    </w:pPr>
                    <w:r>
                      <w:fldChar w:fldCharType="begin"/>
                    </w:r>
                    <w:r>
                      <w:instrText xml:space="preserve"> PAGE  \* MERGEFORMAT </w:instrText>
                    </w:r>
                    <w:r>
                      <w:fldChar w:fldCharType="separate"/>
                    </w:r>
                    <w:r>
                      <w:t>190</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AEAC193">
    <w:pPr>
      <w:pStyle w:val="1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BE3DD82">
    <w:pPr>
      <w:pStyle w:val="19"/>
      <w:ind w:firstLine="360"/>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82" name="文本框 8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9C64C4B">
                          <w:pPr>
                            <w:pStyle w:val="19"/>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7kBxMy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XuQHEzICAABjBAAADgAAAAAAAAABACAAAAAfAQAAZHJzL2Uyb0RvYy54bWxQSwUG&#10;AAAAAAYABgBZAQAAwwUAAAAA&#10;">
              <v:fill on="f" focussize="0,0"/>
              <v:stroke on="f" weight="0.5pt"/>
              <v:imagedata o:title=""/>
              <o:lock v:ext="edit" aspectratio="f"/>
              <v:textbox inset="0mm,0mm,0mm,0mm" style="mso-fit-shape-to-text:t;">
                <w:txbxContent>
                  <w:p w14:paraId="69C64C4B">
                    <w:pPr>
                      <w:pStyle w:val="19"/>
                    </w:pPr>
                    <w:r>
                      <w:fldChar w:fldCharType="begin"/>
                    </w:r>
                    <w:r>
                      <w:instrText xml:space="preserve"> PAGE  \* MERGEFORMAT </w:instrText>
                    </w:r>
                    <w:r>
                      <w:fldChar w:fldCharType="separate"/>
                    </w:r>
                    <w:r>
                      <w:t>2</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DF92E5E">
    <w:pPr>
      <w:pStyle w:val="19"/>
      <w:ind w:firstLine="360"/>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83" name="文本框 8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A73D4B5">
                          <w:pPr>
                            <w:pStyle w:val="19"/>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xMkPwzAgAAYw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BxMkPwzAgAAYwQAAA4AAAAAAAAAAQAgAAAAHwEAAGRycy9lMm9Eb2MueG1sUEsF&#10;BgAAAAAGAAYAWQEAAMQFAAAAAA==&#10;">
              <v:fill on="f" focussize="0,0"/>
              <v:stroke on="f" weight="0.5pt"/>
              <v:imagedata o:title=""/>
              <o:lock v:ext="edit" aspectratio="f"/>
              <v:textbox inset="0mm,0mm,0mm,0mm" style="mso-fit-shape-to-text:t;">
                <w:txbxContent>
                  <w:p w14:paraId="3A73D4B5">
                    <w:pPr>
                      <w:pStyle w:val="19"/>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FEF0A64">
    <w:pPr>
      <w:pStyle w:val="19"/>
      <w:ind w:firstLine="360"/>
    </w:pPr>
    <w:r>
      <w:rPr>
        <w:sz w:val="18"/>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84" name="文本框 8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A3444F0">
                          <w:pPr>
                            <w:pStyle w:val="19"/>
                          </w:pPr>
                          <w:r>
                            <w:fldChar w:fldCharType="begin"/>
                          </w:r>
                          <w:r>
                            <w:instrText xml:space="preserve"> PAGE  \* MERGEFORMAT </w:instrText>
                          </w:r>
                          <w:r>
                            <w:fldChar w:fldCharType="separate"/>
                          </w:r>
                          <w:r>
                            <w:t>41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Ef5R8zAgAAYw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BEf5R8zAgAAYwQAAA4AAAAAAAAAAQAgAAAAHwEAAGRycy9lMm9Eb2MueG1sUEsF&#10;BgAAAAAGAAYAWQEAAMQFAAAAAA==&#10;">
              <v:fill on="f" focussize="0,0"/>
              <v:stroke on="f" weight="0.5pt"/>
              <v:imagedata o:title=""/>
              <o:lock v:ext="edit" aspectratio="f"/>
              <v:textbox inset="0mm,0mm,0mm,0mm" style="mso-fit-shape-to-text:t;">
                <w:txbxContent>
                  <w:p w14:paraId="7A3444F0">
                    <w:pPr>
                      <w:pStyle w:val="19"/>
                    </w:pPr>
                    <w:r>
                      <w:fldChar w:fldCharType="begin"/>
                    </w:r>
                    <w:r>
                      <w:instrText xml:space="preserve"> PAGE  \* MERGEFORMAT </w:instrText>
                    </w:r>
                    <w:r>
                      <w:fldChar w:fldCharType="separate"/>
                    </w:r>
                    <w:r>
                      <w:t>41</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8BCAB42">
    <w:pPr>
      <w:widowControl w:val="0"/>
      <w:snapToGrid w:val="0"/>
      <w:spacing w:line="360" w:lineRule="auto"/>
      <w:ind w:firstLine="360" w:firstLineChars="200"/>
      <w:jc w:val="left"/>
      <w:rPr>
        <w:rFonts w:ascii="Times New Roman" w:hAnsi="Times New Roman" w:eastAsia="宋体" w:cstheme="minorBidi"/>
        <w:kern w:val="2"/>
        <w:sz w:val="18"/>
        <w:szCs w:val="24"/>
        <w:lang w:val="en-US" w:eastAsia="zh-CN" w:bidi="ar-SA"/>
      </w:rPr>
    </w:pPr>
    <w:r>
      <w:rPr>
        <w:rFonts w:ascii="Times New Roman" w:hAnsi="Times New Roman" w:eastAsia="宋体" w:cstheme="minorBidi"/>
        <w:kern w:val="2"/>
        <w:sz w:val="18"/>
        <w:szCs w:val="24"/>
        <w:lang w:val="en-US" w:eastAsia="zh-CN" w:bidi="ar-SA"/>
      </w:rPr>
      <mc:AlternateContent>
        <mc:Choice Requires="wps">
          <w:drawing>
            <wp:anchor distT="0" distB="0" distL="114300" distR="114300" simplePos="0" relativeHeight="251669504" behindDoc="0" locked="0" layoutInCell="1" allowOverlap="1">
              <wp:simplePos x="0" y="0"/>
              <wp:positionH relativeFrom="margin">
                <wp:align>center</wp:align>
              </wp:positionH>
              <wp:positionV relativeFrom="paragraph">
                <wp:posOffset>0</wp:posOffset>
              </wp:positionV>
              <wp:extent cx="1828800" cy="1828800"/>
              <wp:effectExtent l="0" t="0" r="0" b="0"/>
              <wp:wrapNone/>
              <wp:docPr id="6" name="文本框 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7FE4F2E">
                          <w:pPr>
                            <w:widowControl w:val="0"/>
                            <w:snapToGrid w:val="0"/>
                            <w:spacing w:line="360" w:lineRule="auto"/>
                            <w:ind w:firstLine="360" w:firstLineChars="200"/>
                            <w:jc w:val="left"/>
                            <w:rPr>
                              <w:rFonts w:ascii="Times New Roman" w:hAnsi="Times New Roman" w:eastAsia="宋体" w:cstheme="minorBidi"/>
                              <w:kern w:val="2"/>
                              <w:sz w:val="18"/>
                              <w:szCs w:val="24"/>
                              <w:lang w:val="en-US" w:eastAsia="zh-CN" w:bidi="ar-SA"/>
                            </w:rPr>
                          </w:pPr>
                          <w:r>
                            <w:rPr>
                              <w:rFonts w:ascii="Times New Roman" w:hAnsi="Times New Roman" w:eastAsia="宋体" w:cstheme="minorBidi"/>
                              <w:kern w:val="2"/>
                              <w:sz w:val="18"/>
                              <w:szCs w:val="24"/>
                              <w:lang w:val="en-US" w:eastAsia="zh-CN" w:bidi="ar-SA"/>
                            </w:rPr>
                            <w:fldChar w:fldCharType="begin"/>
                          </w:r>
                          <w:r>
                            <w:rPr>
                              <w:rFonts w:ascii="Times New Roman" w:hAnsi="Times New Roman" w:eastAsia="宋体" w:cstheme="minorBidi"/>
                              <w:kern w:val="2"/>
                              <w:sz w:val="18"/>
                              <w:szCs w:val="24"/>
                              <w:lang w:val="en-US" w:eastAsia="zh-CN" w:bidi="ar-SA"/>
                            </w:rPr>
                            <w:instrText xml:space="preserve"> PAGE  \* MERGEFORMAT </w:instrText>
                          </w:r>
                          <w:r>
                            <w:rPr>
                              <w:rFonts w:ascii="Times New Roman" w:hAnsi="Times New Roman" w:eastAsia="宋体" w:cstheme="minorBidi"/>
                              <w:kern w:val="2"/>
                              <w:sz w:val="18"/>
                              <w:szCs w:val="24"/>
                              <w:lang w:val="en-US" w:eastAsia="zh-CN" w:bidi="ar-SA"/>
                            </w:rPr>
                            <w:fldChar w:fldCharType="separate"/>
                          </w:r>
                          <w:r>
                            <w:rPr>
                              <w:rFonts w:ascii="Times New Roman" w:hAnsi="Times New Roman" w:eastAsia="宋体" w:cstheme="minorBidi"/>
                              <w:kern w:val="2"/>
                              <w:sz w:val="18"/>
                              <w:szCs w:val="24"/>
                              <w:lang w:val="en-US" w:eastAsia="zh-CN" w:bidi="ar-SA"/>
                            </w:rPr>
                            <w:t>67</w:t>
                          </w:r>
                          <w:r>
                            <w:rPr>
                              <w:rFonts w:ascii="Times New Roman" w:hAnsi="Times New Roman" w:eastAsia="宋体" w:cstheme="minorBidi"/>
                              <w:kern w:val="2"/>
                              <w:sz w:val="18"/>
                              <w:szCs w:val="24"/>
                              <w:lang w:val="en-US" w:eastAsia="zh-CN" w:bidi="ar-SA"/>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950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LNJWO7QAAAABQEAAA8AAAAAAAAAAQAgAAAAIgAAAGRycy9kb3ducmV2LnhtbFBL&#10;AQIUABQAAAAIAIdO4kDajL89NwIAAG8EAAAOAAAAAAAAAAEAIAAAAB8BAABkcnMvZTJvRG9jLnht&#10;bFBLBQYAAAAABgAGAFkBAADIBQAAAAA=&#10;">
              <v:fill on="f" focussize="0,0"/>
              <v:stroke on="f" weight="0.5pt"/>
              <v:imagedata o:title=""/>
              <o:lock v:ext="edit" aspectratio="f"/>
              <v:textbox inset="0mm,0mm,0mm,0mm" style="mso-fit-shape-to-text:t;">
                <w:txbxContent>
                  <w:p w14:paraId="47FE4F2E">
                    <w:pPr>
                      <w:widowControl w:val="0"/>
                      <w:snapToGrid w:val="0"/>
                      <w:spacing w:line="360" w:lineRule="auto"/>
                      <w:ind w:firstLine="360" w:firstLineChars="200"/>
                      <w:jc w:val="left"/>
                      <w:rPr>
                        <w:rFonts w:ascii="Times New Roman" w:hAnsi="Times New Roman" w:eastAsia="宋体" w:cstheme="minorBidi"/>
                        <w:kern w:val="2"/>
                        <w:sz w:val="18"/>
                        <w:szCs w:val="24"/>
                        <w:lang w:val="en-US" w:eastAsia="zh-CN" w:bidi="ar-SA"/>
                      </w:rPr>
                    </w:pPr>
                    <w:r>
                      <w:rPr>
                        <w:rFonts w:ascii="Times New Roman" w:hAnsi="Times New Roman" w:eastAsia="宋体" w:cstheme="minorBidi"/>
                        <w:kern w:val="2"/>
                        <w:sz w:val="18"/>
                        <w:szCs w:val="24"/>
                        <w:lang w:val="en-US" w:eastAsia="zh-CN" w:bidi="ar-SA"/>
                      </w:rPr>
                      <w:fldChar w:fldCharType="begin"/>
                    </w:r>
                    <w:r>
                      <w:rPr>
                        <w:rFonts w:ascii="Times New Roman" w:hAnsi="Times New Roman" w:eastAsia="宋体" w:cstheme="minorBidi"/>
                        <w:kern w:val="2"/>
                        <w:sz w:val="18"/>
                        <w:szCs w:val="24"/>
                        <w:lang w:val="en-US" w:eastAsia="zh-CN" w:bidi="ar-SA"/>
                      </w:rPr>
                      <w:instrText xml:space="preserve"> PAGE  \* MERGEFORMAT </w:instrText>
                    </w:r>
                    <w:r>
                      <w:rPr>
                        <w:rFonts w:ascii="Times New Roman" w:hAnsi="Times New Roman" w:eastAsia="宋体" w:cstheme="minorBidi"/>
                        <w:kern w:val="2"/>
                        <w:sz w:val="18"/>
                        <w:szCs w:val="24"/>
                        <w:lang w:val="en-US" w:eastAsia="zh-CN" w:bidi="ar-SA"/>
                      </w:rPr>
                      <w:fldChar w:fldCharType="separate"/>
                    </w:r>
                    <w:r>
                      <w:rPr>
                        <w:rFonts w:ascii="Times New Roman" w:hAnsi="Times New Roman" w:eastAsia="宋体" w:cstheme="minorBidi"/>
                        <w:kern w:val="2"/>
                        <w:sz w:val="18"/>
                        <w:szCs w:val="24"/>
                        <w:lang w:val="en-US" w:eastAsia="zh-CN" w:bidi="ar-SA"/>
                      </w:rPr>
                      <w:t>67</w:t>
                    </w:r>
                    <w:r>
                      <w:rPr>
                        <w:rFonts w:ascii="Times New Roman" w:hAnsi="Times New Roman" w:eastAsia="宋体" w:cstheme="minorBidi"/>
                        <w:kern w:val="2"/>
                        <w:sz w:val="18"/>
                        <w:szCs w:val="24"/>
                        <w:lang w:val="en-US" w:eastAsia="zh-CN" w:bidi="ar-SA"/>
                      </w:rP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215EE9E">
    <w:pPr>
      <w:pStyle w:val="19"/>
      <w:ind w:firstLine="360"/>
    </w:pPr>
    <w:r>
      <w:rPr>
        <w:sz w:val="18"/>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85" name="文本框 8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6B8CA8E">
                          <w:pPr>
                            <w:pStyle w:val="19"/>
                          </w:pPr>
                          <w:r>
                            <w:fldChar w:fldCharType="begin"/>
                          </w:r>
                          <w:r>
                            <w:instrText xml:space="preserve"> PAGE  \* MERGEFORMAT </w:instrText>
                          </w:r>
                          <w:r>
                            <w:fldChar w:fldCharType="separate"/>
                          </w:r>
                          <w:r>
                            <w:t>67</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O3cvAzAgAAYwQAAA4AAABkcnMvZTJvRG9jLnhtbK1US44TMRDdI3EH&#10;y3vSSdC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FO3cvAzAgAAYwQAAA4AAAAAAAAAAQAgAAAAHwEAAGRycy9lMm9Eb2MueG1sUEsF&#10;BgAAAAAGAAYAWQEAAMQFAAAAAA==&#10;">
              <v:fill on="f" focussize="0,0"/>
              <v:stroke on="f" weight="0.5pt"/>
              <v:imagedata o:title=""/>
              <o:lock v:ext="edit" aspectratio="f"/>
              <v:textbox inset="0mm,0mm,0mm,0mm" style="mso-fit-shape-to-text:t;">
                <w:txbxContent>
                  <w:p w14:paraId="06B8CA8E">
                    <w:pPr>
                      <w:pStyle w:val="19"/>
                    </w:pPr>
                    <w:r>
                      <w:fldChar w:fldCharType="begin"/>
                    </w:r>
                    <w:r>
                      <w:instrText xml:space="preserve"> PAGE  \* MERGEFORMAT </w:instrText>
                    </w:r>
                    <w:r>
                      <w:fldChar w:fldCharType="separate"/>
                    </w:r>
                    <w:r>
                      <w:t>67</w:t>
                    </w:r>
                    <w: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0E0C2FE">
    <w:pPr>
      <w:pStyle w:val="19"/>
      <w:ind w:firstLine="360"/>
    </w:pPr>
    <w:r>
      <w:rPr>
        <w:sz w:val="18"/>
      </w:rP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87" name="文本框 8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11B2D51">
                          <w:pPr>
                            <w:pStyle w:val="19"/>
                          </w:pPr>
                          <w:r>
                            <w:fldChar w:fldCharType="begin"/>
                          </w:r>
                          <w:r>
                            <w:instrText xml:space="preserve"> PAGE  \* MERGEFORMAT </w:instrText>
                          </w:r>
                          <w:r>
                            <w:fldChar w:fldCharType="separate"/>
                          </w:r>
                          <w:r>
                            <w:t>106</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bhLPQzAgAAYwQAAA4AAABkcnMvZTJvRG9jLnhtbK1UzY7TMBC+I/EO&#10;lu80aRFL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JbhLPQzAgAAYwQAAA4AAAAAAAAAAQAgAAAAHwEAAGRycy9lMm9Eb2MueG1sUEsF&#10;BgAAAAAGAAYAWQEAAMQFAAAAAA==&#10;">
              <v:fill on="f" focussize="0,0"/>
              <v:stroke on="f" weight="0.5pt"/>
              <v:imagedata o:title=""/>
              <o:lock v:ext="edit" aspectratio="f"/>
              <v:textbox inset="0mm,0mm,0mm,0mm" style="mso-fit-shape-to-text:t;">
                <w:txbxContent>
                  <w:p w14:paraId="311B2D51">
                    <w:pPr>
                      <w:pStyle w:val="19"/>
                    </w:pPr>
                    <w:r>
                      <w:fldChar w:fldCharType="begin"/>
                    </w:r>
                    <w:r>
                      <w:instrText xml:space="preserve"> PAGE  \* MERGEFORMAT </w:instrText>
                    </w:r>
                    <w:r>
                      <w:fldChar w:fldCharType="separate"/>
                    </w:r>
                    <w:r>
                      <w:t>106</w:t>
                    </w:r>
                    <w:r>
                      <w:fldChar w:fldCharType="end"/>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8B8A85">
    <w:pPr>
      <w:pStyle w:val="19"/>
      <w:ind w:firstLine="360"/>
    </w:pPr>
    <w:r>
      <w:rPr>
        <w:sz w:val="18"/>
      </w:rP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91" name="文本框 9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30D3706">
                          <w:pPr>
                            <w:pStyle w:val="19"/>
                          </w:pPr>
                          <w:r>
                            <w:fldChar w:fldCharType="begin"/>
                          </w:r>
                          <w:r>
                            <w:instrText xml:space="preserve"> PAGE  \* MERGEFORMAT </w:instrText>
                          </w:r>
                          <w:r>
                            <w:fldChar w:fldCharType="separate"/>
                          </w:r>
                          <w:r>
                            <w:t>141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M2t82AzAgAAYwQAAA4AAAAAAAAAAQAgAAAAHwEAAGRycy9lMm9Eb2MueG1sUEsF&#10;BgAAAAAGAAYAWQEAAMQFAAAAAA==&#10;">
              <v:fill on="f" focussize="0,0"/>
              <v:stroke on="f" weight="0.5pt"/>
              <v:imagedata o:title=""/>
              <o:lock v:ext="edit" aspectratio="f"/>
              <v:textbox inset="0mm,0mm,0mm,0mm" style="mso-fit-shape-to-text:t;">
                <w:txbxContent>
                  <w:p w14:paraId="030D3706">
                    <w:pPr>
                      <w:pStyle w:val="19"/>
                    </w:pPr>
                    <w:r>
                      <w:fldChar w:fldCharType="begin"/>
                    </w:r>
                    <w:r>
                      <w:instrText xml:space="preserve"> PAGE  \* MERGEFORMAT </w:instrText>
                    </w:r>
                    <w:r>
                      <w:fldChar w:fldCharType="separate"/>
                    </w:r>
                    <w:r>
                      <w:t>141</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ED2C5B">
    <w:pPr>
      <w:pStyle w:val="20"/>
      <w:pBdr>
        <w:bottom w:val="double" w:color="auto" w:sz="8" w:space="1"/>
      </w:pBdr>
      <w:ind w:firstLine="0" w:firstLineChars="0"/>
      <w:jc w:val="left"/>
    </w:pPr>
    <w:r>
      <w:rPr>
        <w:rFonts w:hint="eastAsia"/>
      </w:rPr>
      <w:t>科右前旗现代农牧业园区核心育种场养殖项目环境影响报告书</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E0D89A">
    <w:pPr>
      <w:pStyle w:val="2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19CF8B">
    <w:pPr>
      <w:pStyle w:val="20"/>
      <w:pBdr>
        <w:bottom w:val="double" w:color="auto" w:sz="8" w:space="1"/>
      </w:pBdr>
      <w:ind w:firstLine="0" w:firstLineChars="0"/>
      <w:jc w:val="left"/>
    </w:pPr>
    <w:r>
      <w:rPr>
        <w:rFonts w:hint="eastAsia"/>
      </w:rPr>
      <w:t>科右前旗现代农牧业园区核心育种场养殖项目环境影响报告书</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B8AACF5">
    <w:pPr>
      <w:pStyle w:val="20"/>
      <w:pBdr>
        <w:bottom w:val="double" w:color="auto" w:sz="8" w:space="1"/>
      </w:pBdr>
      <w:ind w:firstLine="0" w:firstLineChars="0"/>
      <w:jc w:val="left"/>
    </w:pPr>
    <w:r>
      <w:rPr>
        <w:rFonts w:hint="eastAsia"/>
      </w:rPr>
      <w:t>科右前旗现代农牧业园区核心育种场养殖项目环境影响报告书</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D2E866F8"/>
    <w:multiLevelType w:val="singleLevel"/>
    <w:tmpl w:val="D2E866F8"/>
    <w:lvl w:ilvl="0" w:tentative="0">
      <w:start w:val="1"/>
      <w:numFmt w:val="bullet"/>
      <w:pStyle w:val="15"/>
      <w:lvlText w:val=""/>
      <w:lvlJc w:val="left"/>
      <w:pPr>
        <w:tabs>
          <w:tab w:val="left" w:pos="2040"/>
        </w:tabs>
        <w:ind w:left="2040" w:hanging="360"/>
      </w:pPr>
      <w:rPr>
        <w:rFonts w:hint="default" w:ascii="Wingdings" w:hAnsi="Wingdings"/>
      </w:rPr>
    </w:lvl>
  </w:abstractNum>
  <w:abstractNum w:abstractNumId="1">
    <w:nsid w:val="0DC7E670"/>
    <w:multiLevelType w:val="singleLevel"/>
    <w:tmpl w:val="0DC7E670"/>
    <w:lvl w:ilvl="0" w:tentative="0">
      <w:start w:val="1"/>
      <w:numFmt w:val="decimal"/>
      <w:suff w:val="nothing"/>
      <w:lvlText w:val="（%1）"/>
      <w:lvlJc w:val="left"/>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HorizontalSpacing w:val="240"/>
  <w:drawingGridVerticalSpacing w:val="-794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DM0MzcxYzVjMmI1NTQ1OWM2MjY3MzBmN2Y3ZTM0ODEifQ=="/>
    <w:docVar w:name="KSO_WPS_MARK_KEY" w:val="c7fa089a-226b-4cd4-b411-a9c3d5b492d6"/>
  </w:docVars>
  <w:rsids>
    <w:rsidRoot w:val="00672769"/>
    <w:rsid w:val="00030D2E"/>
    <w:rsid w:val="0006712D"/>
    <w:rsid w:val="000E4ABB"/>
    <w:rsid w:val="001868C7"/>
    <w:rsid w:val="001C135F"/>
    <w:rsid w:val="002122E6"/>
    <w:rsid w:val="00270231"/>
    <w:rsid w:val="002C5363"/>
    <w:rsid w:val="002D2453"/>
    <w:rsid w:val="00310734"/>
    <w:rsid w:val="0032007C"/>
    <w:rsid w:val="00357EFB"/>
    <w:rsid w:val="003956C8"/>
    <w:rsid w:val="003C1402"/>
    <w:rsid w:val="003E1A77"/>
    <w:rsid w:val="00420B83"/>
    <w:rsid w:val="0045479A"/>
    <w:rsid w:val="00483A09"/>
    <w:rsid w:val="0048759A"/>
    <w:rsid w:val="004D334B"/>
    <w:rsid w:val="004E582C"/>
    <w:rsid w:val="004F51E4"/>
    <w:rsid w:val="00524003"/>
    <w:rsid w:val="00672769"/>
    <w:rsid w:val="006915D3"/>
    <w:rsid w:val="006A6D6F"/>
    <w:rsid w:val="006B686F"/>
    <w:rsid w:val="006F28A5"/>
    <w:rsid w:val="00731BB1"/>
    <w:rsid w:val="0074614A"/>
    <w:rsid w:val="007977AE"/>
    <w:rsid w:val="007E2A96"/>
    <w:rsid w:val="009A50BD"/>
    <w:rsid w:val="009F149D"/>
    <w:rsid w:val="00A24CE4"/>
    <w:rsid w:val="00A251B7"/>
    <w:rsid w:val="00AC13EC"/>
    <w:rsid w:val="00AE2657"/>
    <w:rsid w:val="00B47A3D"/>
    <w:rsid w:val="00B80A92"/>
    <w:rsid w:val="00C13236"/>
    <w:rsid w:val="00C9651A"/>
    <w:rsid w:val="00CA6A89"/>
    <w:rsid w:val="00CE4FCB"/>
    <w:rsid w:val="00DF54EC"/>
    <w:rsid w:val="00EB21E9"/>
    <w:rsid w:val="00EE1E6F"/>
    <w:rsid w:val="00EF3DAA"/>
    <w:rsid w:val="00F13733"/>
    <w:rsid w:val="00F17EAB"/>
    <w:rsid w:val="00F260DC"/>
    <w:rsid w:val="00F33547"/>
    <w:rsid w:val="00F46252"/>
    <w:rsid w:val="00F532F8"/>
    <w:rsid w:val="00F6691D"/>
    <w:rsid w:val="00FC1EA3"/>
    <w:rsid w:val="00FC687E"/>
    <w:rsid w:val="00FE3888"/>
    <w:rsid w:val="07582DC0"/>
    <w:rsid w:val="08650112"/>
    <w:rsid w:val="09A860AA"/>
    <w:rsid w:val="09E83896"/>
    <w:rsid w:val="09FC0B85"/>
    <w:rsid w:val="0A384E31"/>
    <w:rsid w:val="0A556D92"/>
    <w:rsid w:val="0A8A6AF0"/>
    <w:rsid w:val="0AAC14A8"/>
    <w:rsid w:val="0AF478B6"/>
    <w:rsid w:val="0BC504EB"/>
    <w:rsid w:val="0D733713"/>
    <w:rsid w:val="0DC14423"/>
    <w:rsid w:val="0DC93E13"/>
    <w:rsid w:val="14AC6E7F"/>
    <w:rsid w:val="14FD6451"/>
    <w:rsid w:val="15BE57D9"/>
    <w:rsid w:val="170F20A5"/>
    <w:rsid w:val="170F26DE"/>
    <w:rsid w:val="17982698"/>
    <w:rsid w:val="18C10EC1"/>
    <w:rsid w:val="1DDC4B43"/>
    <w:rsid w:val="1EF519FA"/>
    <w:rsid w:val="1F9022D5"/>
    <w:rsid w:val="230E6F57"/>
    <w:rsid w:val="25DF58FA"/>
    <w:rsid w:val="2FAD01A2"/>
    <w:rsid w:val="2FFB5C36"/>
    <w:rsid w:val="30F04A24"/>
    <w:rsid w:val="32B7697D"/>
    <w:rsid w:val="348A3F3F"/>
    <w:rsid w:val="3AF92BD9"/>
    <w:rsid w:val="3C6D53DD"/>
    <w:rsid w:val="3ED03535"/>
    <w:rsid w:val="40045433"/>
    <w:rsid w:val="45344532"/>
    <w:rsid w:val="46025392"/>
    <w:rsid w:val="47FA13FA"/>
    <w:rsid w:val="48C95BAD"/>
    <w:rsid w:val="492A32CC"/>
    <w:rsid w:val="4BEE771C"/>
    <w:rsid w:val="4D6A6AF7"/>
    <w:rsid w:val="4F88303E"/>
    <w:rsid w:val="4F94281D"/>
    <w:rsid w:val="5133606D"/>
    <w:rsid w:val="53CF5218"/>
    <w:rsid w:val="559E1074"/>
    <w:rsid w:val="56376FFF"/>
    <w:rsid w:val="56FD0A0A"/>
    <w:rsid w:val="58664A7C"/>
    <w:rsid w:val="5D406DE3"/>
    <w:rsid w:val="666D6223"/>
    <w:rsid w:val="6AB72182"/>
    <w:rsid w:val="6D9C02C0"/>
    <w:rsid w:val="6DE6256E"/>
    <w:rsid w:val="6E9835AE"/>
    <w:rsid w:val="6FD94DD4"/>
    <w:rsid w:val="712A1495"/>
    <w:rsid w:val="7283056C"/>
    <w:rsid w:val="749B20E4"/>
    <w:rsid w:val="783759F2"/>
    <w:rsid w:val="7AB91A39"/>
    <w:rsid w:val="7BBA3319"/>
    <w:rsid w:val="7F261179"/>
    <w:rsid w:val="7F34742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nhideWhenUsed="0" w:uiPriority="1"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iPriority="39" w:semiHidden="0" w:name="toc 4"/>
    <w:lsdException w:qFormat="1" w:uiPriority="39" w:semiHidden="0" w:name="toc 5"/>
    <w:lsdException w:qFormat="1" w:uiPriority="39" w:semiHidden="0" w:name="toc 6"/>
    <w:lsdException w:qFormat="1" w:unhideWhenUsed="0" w:uiPriority="39" w:semiHidden="0" w:name="toc 7"/>
    <w:lsdException w:qFormat="1" w:uiPriority="39" w:semiHidden="0" w:name="toc 8"/>
    <w:lsdException w:qFormat="1" w:uiPriority="39"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qFormat="1"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11"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iPriority="0" w:semiHidden="0" w:name="Body Text First Indent 2"/>
    <w:lsdException w:qFormat="1"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qFormat="1"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99"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360" w:lineRule="auto"/>
      <w:ind w:firstLine="723" w:firstLineChars="200"/>
      <w:jc w:val="both"/>
    </w:pPr>
    <w:rPr>
      <w:rFonts w:ascii="Times New Roman" w:hAnsi="Times New Roman" w:eastAsia="宋体" w:cstheme="minorBidi"/>
      <w:kern w:val="2"/>
      <w:sz w:val="24"/>
      <w:szCs w:val="24"/>
      <w:lang w:val="en-US" w:eastAsia="zh-CN" w:bidi="ar-SA"/>
    </w:rPr>
  </w:style>
  <w:style w:type="paragraph" w:styleId="3">
    <w:name w:val="heading 1"/>
    <w:basedOn w:val="1"/>
    <w:next w:val="1"/>
    <w:link w:val="58"/>
    <w:qFormat/>
    <w:uiPriority w:val="0"/>
    <w:pPr>
      <w:keepNext/>
      <w:keepLines/>
      <w:spacing w:before="340" w:after="330" w:line="578" w:lineRule="auto"/>
      <w:outlineLvl w:val="0"/>
    </w:pPr>
    <w:rPr>
      <w:b/>
      <w:bCs/>
      <w:kern w:val="44"/>
      <w:sz w:val="44"/>
      <w:szCs w:val="44"/>
    </w:rPr>
  </w:style>
  <w:style w:type="paragraph" w:styleId="4">
    <w:name w:val="heading 3"/>
    <w:basedOn w:val="1"/>
    <w:next w:val="1"/>
    <w:qFormat/>
    <w:uiPriority w:val="1"/>
    <w:pPr>
      <w:ind w:firstLine="0" w:firstLineChars="0"/>
      <w:outlineLvl w:val="2"/>
    </w:pPr>
    <w:rPr>
      <w:rFonts w:cs="Times New Roman"/>
      <w:b/>
      <w:sz w:val="32"/>
      <w:szCs w:val="25"/>
    </w:rPr>
  </w:style>
  <w:style w:type="character" w:default="1" w:styleId="31">
    <w:name w:val="Default Paragraph Font"/>
    <w:semiHidden/>
    <w:unhideWhenUsed/>
    <w:qFormat/>
    <w:uiPriority w:val="1"/>
  </w:style>
  <w:style w:type="table" w:default="1" w:styleId="29">
    <w:name w:val="Normal Table"/>
    <w:semiHidden/>
    <w:unhideWhenUsed/>
    <w:qFormat/>
    <w:uiPriority w:val="99"/>
    <w:tblPr>
      <w:tblCellMar>
        <w:top w:w="0" w:type="dxa"/>
        <w:left w:w="108" w:type="dxa"/>
        <w:bottom w:w="0" w:type="dxa"/>
        <w:right w:w="108" w:type="dxa"/>
      </w:tblCellMar>
    </w:tblPr>
  </w:style>
  <w:style w:type="paragraph" w:styleId="2">
    <w:name w:val="Plain Text"/>
    <w:basedOn w:val="1"/>
    <w:link w:val="47"/>
    <w:qFormat/>
    <w:uiPriority w:val="99"/>
    <w:pPr>
      <w:ind w:firstLine="0" w:firstLineChars="0"/>
      <w:jc w:val="left"/>
    </w:pPr>
    <w:rPr>
      <w:rFonts w:ascii="宋体" w:hAnsi="Courier New" w:cs="Times New Roman"/>
    </w:rPr>
  </w:style>
  <w:style w:type="paragraph" w:styleId="5">
    <w:name w:val="toc 7"/>
    <w:basedOn w:val="1"/>
    <w:next w:val="1"/>
    <w:qFormat/>
    <w:uiPriority w:val="39"/>
    <w:pPr>
      <w:ind w:left="2520" w:leftChars="1200"/>
    </w:pPr>
  </w:style>
  <w:style w:type="paragraph" w:styleId="6">
    <w:name w:val="Note Heading"/>
    <w:basedOn w:val="1"/>
    <w:next w:val="1"/>
    <w:link w:val="50"/>
    <w:qFormat/>
    <w:uiPriority w:val="0"/>
    <w:pPr>
      <w:snapToGrid w:val="0"/>
      <w:spacing w:before="312" w:after="156" w:line="340" w:lineRule="atLeast"/>
      <w:ind w:firstLine="200"/>
      <w:jc w:val="center"/>
    </w:pPr>
    <w:rPr>
      <w:rFonts w:ascii="仿宋_GB2312" w:eastAsia="仿宋_GB2312" w:cs="Times New Roman"/>
      <w:b/>
      <w:lang w:val="en-GB"/>
    </w:rPr>
  </w:style>
  <w:style w:type="paragraph" w:styleId="7">
    <w:name w:val="Normal Indent"/>
    <w:basedOn w:val="1"/>
    <w:next w:val="8"/>
    <w:qFormat/>
    <w:uiPriority w:val="0"/>
    <w:pPr>
      <w:widowControl/>
      <w:ind w:firstLine="420"/>
    </w:pPr>
    <w:rPr>
      <w:rFonts w:ascii="Plotter" w:hAnsi="Plotter" w:eastAsia="仿宋_GB2312" w:cs="Times New Roman"/>
      <w:sz w:val="28"/>
    </w:rPr>
  </w:style>
  <w:style w:type="paragraph" w:styleId="8">
    <w:name w:val="Body Text First Indent 2"/>
    <w:basedOn w:val="9"/>
    <w:next w:val="10"/>
    <w:unhideWhenUsed/>
    <w:qFormat/>
    <w:uiPriority w:val="0"/>
    <w:pPr>
      <w:ind w:firstLine="420"/>
    </w:pPr>
    <w:rPr>
      <w:rFonts w:hint="eastAsia"/>
    </w:rPr>
  </w:style>
  <w:style w:type="paragraph" w:styleId="9">
    <w:name w:val="Body Text Indent"/>
    <w:basedOn w:val="1"/>
    <w:next w:val="1"/>
    <w:qFormat/>
    <w:uiPriority w:val="0"/>
    <w:pPr>
      <w:spacing w:after="120"/>
      <w:ind w:left="420" w:leftChars="200"/>
    </w:pPr>
  </w:style>
  <w:style w:type="paragraph" w:styleId="10">
    <w:name w:val="Body Text First Indent"/>
    <w:basedOn w:val="11"/>
    <w:next w:val="1"/>
    <w:qFormat/>
    <w:uiPriority w:val="0"/>
    <w:pPr>
      <w:spacing w:line="480" w:lineRule="atLeast"/>
      <w:ind w:firstLine="200" w:firstLineChars="200"/>
    </w:pPr>
    <w:rPr>
      <w:sz w:val="24"/>
      <w:szCs w:val="20"/>
    </w:rPr>
  </w:style>
  <w:style w:type="paragraph" w:styleId="11">
    <w:name w:val="Body Text"/>
    <w:basedOn w:val="1"/>
    <w:link w:val="49"/>
    <w:qFormat/>
    <w:uiPriority w:val="0"/>
    <w:rPr>
      <w:rFonts w:ascii="宋体" w:hAnsi="宋体" w:cs="宋体"/>
      <w:lang w:eastAsia="en-US"/>
    </w:rPr>
  </w:style>
  <w:style w:type="paragraph" w:styleId="12">
    <w:name w:val="annotation text"/>
    <w:basedOn w:val="1"/>
    <w:link w:val="60"/>
    <w:qFormat/>
    <w:uiPriority w:val="0"/>
    <w:rPr>
      <w:rFonts w:asciiTheme="minorHAnsi" w:hAnsiTheme="minorHAnsi" w:eastAsiaTheme="minorEastAsia"/>
      <w:sz w:val="21"/>
      <w:lang w:eastAsia="en-US"/>
    </w:rPr>
  </w:style>
  <w:style w:type="paragraph" w:styleId="13">
    <w:name w:val="toc 5"/>
    <w:basedOn w:val="1"/>
    <w:next w:val="1"/>
    <w:unhideWhenUsed/>
    <w:qFormat/>
    <w:uiPriority w:val="39"/>
    <w:pPr>
      <w:spacing w:line="240" w:lineRule="auto"/>
      <w:ind w:left="1680" w:leftChars="800" w:firstLine="0" w:firstLineChars="0"/>
    </w:pPr>
    <w:rPr>
      <w:rFonts w:asciiTheme="minorHAnsi" w:hAnsiTheme="minorHAnsi" w:eastAsiaTheme="minorEastAsia"/>
      <w:sz w:val="21"/>
      <w:szCs w:val="22"/>
    </w:rPr>
  </w:style>
  <w:style w:type="paragraph" w:styleId="14">
    <w:name w:val="toc 3"/>
    <w:basedOn w:val="1"/>
    <w:next w:val="1"/>
    <w:qFormat/>
    <w:uiPriority w:val="39"/>
    <w:pPr>
      <w:ind w:left="840" w:leftChars="400"/>
    </w:pPr>
  </w:style>
  <w:style w:type="paragraph" w:styleId="15">
    <w:name w:val="List Bullet 5"/>
    <w:basedOn w:val="1"/>
    <w:qFormat/>
    <w:uiPriority w:val="0"/>
    <w:pPr>
      <w:numPr>
        <w:ilvl w:val="0"/>
        <w:numId w:val="1"/>
      </w:numPr>
    </w:pPr>
  </w:style>
  <w:style w:type="paragraph" w:styleId="16">
    <w:name w:val="toc 8"/>
    <w:basedOn w:val="1"/>
    <w:next w:val="1"/>
    <w:unhideWhenUsed/>
    <w:qFormat/>
    <w:uiPriority w:val="39"/>
    <w:pPr>
      <w:spacing w:line="240" w:lineRule="auto"/>
      <w:ind w:left="2940" w:leftChars="1400" w:firstLine="0" w:firstLineChars="0"/>
    </w:pPr>
    <w:rPr>
      <w:rFonts w:asciiTheme="minorHAnsi" w:hAnsiTheme="minorHAnsi" w:eastAsiaTheme="minorEastAsia"/>
      <w:sz w:val="21"/>
      <w:szCs w:val="22"/>
    </w:rPr>
  </w:style>
  <w:style w:type="paragraph" w:styleId="17">
    <w:name w:val="Body Text Indent 2"/>
    <w:basedOn w:val="1"/>
    <w:next w:val="1"/>
    <w:link w:val="51"/>
    <w:qFormat/>
    <w:uiPriority w:val="0"/>
    <w:pPr>
      <w:spacing w:after="120" w:line="480" w:lineRule="auto"/>
      <w:ind w:left="420" w:leftChars="200" w:firstLine="0" w:firstLineChars="0"/>
    </w:pPr>
    <w:rPr>
      <w:rFonts w:cs="Times New Roman"/>
      <w:sz w:val="21"/>
    </w:rPr>
  </w:style>
  <w:style w:type="paragraph" w:styleId="18">
    <w:name w:val="Balloon Text"/>
    <w:basedOn w:val="1"/>
    <w:link w:val="62"/>
    <w:qFormat/>
    <w:uiPriority w:val="0"/>
    <w:pPr>
      <w:spacing w:line="240" w:lineRule="auto"/>
    </w:pPr>
    <w:rPr>
      <w:sz w:val="18"/>
      <w:szCs w:val="18"/>
    </w:rPr>
  </w:style>
  <w:style w:type="paragraph" w:styleId="19">
    <w:name w:val="footer"/>
    <w:basedOn w:val="1"/>
    <w:qFormat/>
    <w:uiPriority w:val="0"/>
    <w:pPr>
      <w:tabs>
        <w:tab w:val="center" w:pos="4153"/>
        <w:tab w:val="right" w:pos="8306"/>
      </w:tabs>
      <w:snapToGrid w:val="0"/>
      <w:jc w:val="left"/>
    </w:pPr>
    <w:rPr>
      <w:sz w:val="18"/>
    </w:rPr>
  </w:style>
  <w:style w:type="paragraph" w:styleId="20">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pPr>
    <w:rPr>
      <w:sz w:val="18"/>
    </w:rPr>
  </w:style>
  <w:style w:type="paragraph" w:styleId="21">
    <w:name w:val="toc 1"/>
    <w:basedOn w:val="1"/>
    <w:next w:val="1"/>
    <w:qFormat/>
    <w:uiPriority w:val="39"/>
    <w:pPr>
      <w:spacing w:before="160"/>
      <w:ind w:left="953" w:right="257" w:hanging="954"/>
      <w:jc w:val="right"/>
    </w:pPr>
    <w:rPr>
      <w:rFonts w:ascii="宋体" w:hAnsi="宋体" w:cs="宋体"/>
      <w:lang w:val="zh-CN" w:bidi="zh-CN"/>
    </w:rPr>
  </w:style>
  <w:style w:type="paragraph" w:styleId="22">
    <w:name w:val="toc 4"/>
    <w:basedOn w:val="1"/>
    <w:next w:val="1"/>
    <w:unhideWhenUsed/>
    <w:qFormat/>
    <w:uiPriority w:val="39"/>
    <w:pPr>
      <w:spacing w:line="240" w:lineRule="auto"/>
      <w:ind w:left="1260" w:leftChars="600" w:firstLine="0" w:firstLineChars="0"/>
    </w:pPr>
    <w:rPr>
      <w:rFonts w:asciiTheme="minorHAnsi" w:hAnsiTheme="minorHAnsi" w:eastAsiaTheme="minorEastAsia"/>
      <w:sz w:val="21"/>
      <w:szCs w:val="22"/>
    </w:rPr>
  </w:style>
  <w:style w:type="paragraph" w:styleId="23">
    <w:name w:val="Subtitle"/>
    <w:basedOn w:val="1"/>
    <w:next w:val="1"/>
    <w:link w:val="61"/>
    <w:qFormat/>
    <w:uiPriority w:val="11"/>
    <w:pPr>
      <w:spacing w:line="120" w:lineRule="atLeast"/>
      <w:ind w:firstLine="0" w:firstLineChars="0"/>
      <w:jc w:val="center"/>
    </w:pPr>
    <w:rPr>
      <w:bCs/>
      <w:kern w:val="28"/>
      <w:sz w:val="18"/>
      <w:szCs w:val="32"/>
    </w:rPr>
  </w:style>
  <w:style w:type="paragraph" w:styleId="24">
    <w:name w:val="List"/>
    <w:basedOn w:val="1"/>
    <w:qFormat/>
    <w:uiPriority w:val="0"/>
    <w:pPr>
      <w:ind w:left="200" w:hanging="200" w:hangingChars="200"/>
    </w:pPr>
    <w:rPr>
      <w:sz w:val="30"/>
    </w:rPr>
  </w:style>
  <w:style w:type="paragraph" w:styleId="25">
    <w:name w:val="toc 6"/>
    <w:basedOn w:val="1"/>
    <w:next w:val="1"/>
    <w:unhideWhenUsed/>
    <w:qFormat/>
    <w:uiPriority w:val="39"/>
    <w:pPr>
      <w:spacing w:line="240" w:lineRule="auto"/>
      <w:ind w:left="2100" w:leftChars="1000" w:firstLine="0" w:firstLineChars="0"/>
    </w:pPr>
    <w:rPr>
      <w:rFonts w:asciiTheme="minorHAnsi" w:hAnsiTheme="minorHAnsi" w:eastAsiaTheme="minorEastAsia"/>
      <w:sz w:val="21"/>
      <w:szCs w:val="22"/>
    </w:rPr>
  </w:style>
  <w:style w:type="paragraph" w:styleId="26">
    <w:name w:val="toc 2"/>
    <w:basedOn w:val="1"/>
    <w:next w:val="1"/>
    <w:qFormat/>
    <w:uiPriority w:val="39"/>
    <w:pPr>
      <w:ind w:left="420" w:leftChars="200"/>
    </w:pPr>
  </w:style>
  <w:style w:type="paragraph" w:styleId="27">
    <w:name w:val="toc 9"/>
    <w:basedOn w:val="1"/>
    <w:next w:val="1"/>
    <w:unhideWhenUsed/>
    <w:qFormat/>
    <w:uiPriority w:val="39"/>
    <w:pPr>
      <w:spacing w:line="240" w:lineRule="auto"/>
      <w:ind w:left="3360" w:leftChars="1600" w:firstLine="0" w:firstLineChars="0"/>
    </w:pPr>
    <w:rPr>
      <w:rFonts w:asciiTheme="minorHAnsi" w:hAnsiTheme="minorHAnsi" w:eastAsiaTheme="minorEastAsia"/>
      <w:sz w:val="21"/>
      <w:szCs w:val="22"/>
    </w:rPr>
  </w:style>
  <w:style w:type="paragraph" w:styleId="28">
    <w:name w:val="Normal (Web)"/>
    <w:basedOn w:val="1"/>
    <w:qFormat/>
    <w:uiPriority w:val="0"/>
    <w:pPr>
      <w:spacing w:beforeAutospacing="1" w:afterAutospacing="1"/>
      <w:jc w:val="left"/>
    </w:pPr>
    <w:rPr>
      <w:rFonts w:cs="Times New Roman"/>
      <w:kern w:val="0"/>
    </w:rPr>
  </w:style>
  <w:style w:type="table" w:styleId="30">
    <w:name w:val="Table Grid"/>
    <w:basedOn w:val="29"/>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32">
    <w:name w:val="Hyperlink"/>
    <w:basedOn w:val="31"/>
    <w:unhideWhenUsed/>
    <w:qFormat/>
    <w:uiPriority w:val="99"/>
    <w:rPr>
      <w:color w:val="0026E5" w:themeColor="hyperlink"/>
      <w:u w:val="single"/>
      <w14:textFill>
        <w14:solidFill>
          <w14:schemeClr w14:val="hlink"/>
        </w14:solidFill>
      </w14:textFill>
    </w:rPr>
  </w:style>
  <w:style w:type="paragraph" w:customStyle="1" w:styleId="33">
    <w:name w:val="样式 正文缩进正文缩进2正文缩进 Char Char正文缩进 Char Char Char Char正文缩进 Char ..."/>
    <w:basedOn w:val="7"/>
    <w:qFormat/>
    <w:uiPriority w:val="0"/>
    <w:pPr>
      <w:spacing w:line="240" w:lineRule="auto"/>
      <w:ind w:firstLine="0" w:firstLineChars="0"/>
    </w:pPr>
    <w:rPr>
      <w:rFonts w:ascii="Times New Roman" w:eastAsia="宋体"/>
      <w:w w:val="80"/>
      <w:sz w:val="18"/>
      <w:szCs w:val="15"/>
    </w:rPr>
  </w:style>
  <w:style w:type="paragraph" w:customStyle="1" w:styleId="34">
    <w:name w:val="Table Text"/>
    <w:basedOn w:val="1"/>
    <w:semiHidden/>
    <w:qFormat/>
    <w:uiPriority w:val="0"/>
    <w:rPr>
      <w:rFonts w:ascii="宋体" w:hAnsi="宋体" w:cs="宋体"/>
      <w:sz w:val="20"/>
      <w:szCs w:val="20"/>
      <w:lang w:eastAsia="en-US"/>
    </w:rPr>
  </w:style>
  <w:style w:type="table" w:customStyle="1" w:styleId="35">
    <w:name w:val="Table Normal"/>
    <w:semiHidden/>
    <w:unhideWhenUsed/>
    <w:qFormat/>
    <w:uiPriority w:val="0"/>
    <w:tblPr>
      <w:tblCellMar>
        <w:top w:w="0" w:type="dxa"/>
        <w:left w:w="0" w:type="dxa"/>
        <w:bottom w:w="0" w:type="dxa"/>
        <w:right w:w="0" w:type="dxa"/>
      </w:tblCellMar>
    </w:tblPr>
  </w:style>
  <w:style w:type="paragraph" w:customStyle="1" w:styleId="36">
    <w:name w:val="Table Paragraph"/>
    <w:basedOn w:val="1"/>
    <w:qFormat/>
    <w:uiPriority w:val="1"/>
    <w:pPr>
      <w:jc w:val="center"/>
    </w:pPr>
    <w:rPr>
      <w:rFonts w:ascii="宋体" w:hAnsi="宋体" w:cs="宋体"/>
      <w:lang w:val="zh-CN" w:bidi="zh-CN"/>
    </w:rPr>
  </w:style>
  <w:style w:type="paragraph" w:styleId="37">
    <w:name w:val="List Paragraph"/>
    <w:basedOn w:val="1"/>
    <w:qFormat/>
    <w:uiPriority w:val="1"/>
    <w:pPr>
      <w:ind w:left="1341" w:hanging="601"/>
    </w:pPr>
  </w:style>
  <w:style w:type="paragraph" w:customStyle="1" w:styleId="38">
    <w:name w:val="表格文字"/>
    <w:basedOn w:val="24"/>
    <w:next w:val="1"/>
    <w:qFormat/>
    <w:uiPriority w:val="0"/>
    <w:pPr>
      <w:spacing w:line="360" w:lineRule="exact"/>
      <w:ind w:left="0" w:firstLine="0" w:firstLineChars="0"/>
      <w:jc w:val="center"/>
    </w:pPr>
    <w:rPr>
      <w:kern w:val="10"/>
      <w:sz w:val="24"/>
    </w:rPr>
  </w:style>
  <w:style w:type="paragraph" w:customStyle="1" w:styleId="39">
    <w:name w:val="表头"/>
    <w:basedOn w:val="1"/>
    <w:qFormat/>
    <w:uiPriority w:val="0"/>
    <w:pPr>
      <w:widowControl/>
      <w:ind w:firstLine="200"/>
      <w:jc w:val="center"/>
    </w:pPr>
    <w:rPr>
      <w:rFonts w:eastAsia="黑体" w:cs="Times New Roman"/>
      <w:sz w:val="28"/>
    </w:rPr>
  </w:style>
  <w:style w:type="paragraph" w:customStyle="1" w:styleId="40">
    <w:name w:val="内容"/>
    <w:basedOn w:val="1"/>
    <w:qFormat/>
    <w:uiPriority w:val="0"/>
    <w:pPr>
      <w:spacing w:beforeLines="50" w:afterLines="50"/>
      <w:ind w:firstLine="200"/>
    </w:pPr>
    <w:rPr>
      <w:rFonts w:asciiTheme="minorHAnsi" w:hAnsiTheme="minorHAnsi" w:eastAsiaTheme="minorEastAsia"/>
      <w:color w:val="000000"/>
      <w:lang w:eastAsia="en-US"/>
    </w:rPr>
  </w:style>
  <w:style w:type="paragraph" w:customStyle="1" w:styleId="41">
    <w:name w:val="WPSOffice手动目录 1"/>
    <w:qFormat/>
    <w:uiPriority w:val="0"/>
    <w:rPr>
      <w:rFonts w:ascii="Times New Roman" w:hAnsi="Times New Roman" w:eastAsia="宋体" w:cs="Times New Roman"/>
      <w:lang w:val="en-US" w:eastAsia="zh-CN" w:bidi="ar-SA"/>
    </w:rPr>
  </w:style>
  <w:style w:type="paragraph" w:customStyle="1" w:styleId="42">
    <w:name w:val="WPSOffice手动目录 2"/>
    <w:qFormat/>
    <w:uiPriority w:val="0"/>
    <w:pPr>
      <w:ind w:left="200" w:leftChars="200"/>
    </w:pPr>
    <w:rPr>
      <w:rFonts w:ascii="Times New Roman" w:hAnsi="Times New Roman" w:eastAsia="宋体" w:cs="Times New Roman"/>
      <w:lang w:val="en-US" w:eastAsia="zh-CN" w:bidi="ar-SA"/>
    </w:rPr>
  </w:style>
  <w:style w:type="paragraph" w:customStyle="1" w:styleId="43">
    <w:name w:val="WPSOffice手动目录 3"/>
    <w:qFormat/>
    <w:uiPriority w:val="0"/>
    <w:pPr>
      <w:ind w:left="400" w:leftChars="400"/>
    </w:pPr>
    <w:rPr>
      <w:rFonts w:ascii="Times New Roman" w:hAnsi="Times New Roman" w:eastAsia="宋体" w:cs="Times New Roman"/>
      <w:lang w:val="en-US" w:eastAsia="zh-CN" w:bidi="ar-SA"/>
    </w:rPr>
  </w:style>
  <w:style w:type="paragraph" w:customStyle="1" w:styleId="44">
    <w:name w:val="J【表中文字】"/>
    <w:basedOn w:val="1"/>
    <w:qFormat/>
    <w:uiPriority w:val="0"/>
    <w:pPr>
      <w:spacing w:line="280" w:lineRule="exact"/>
      <w:jc w:val="center"/>
      <w:textAlignment w:val="center"/>
    </w:pPr>
    <w:rPr>
      <w:rFonts w:cs="宋体"/>
      <w:szCs w:val="21"/>
    </w:rPr>
  </w:style>
  <w:style w:type="paragraph" w:customStyle="1" w:styleId="45">
    <w:name w:val="TIE-表格内容"/>
    <w:basedOn w:val="1"/>
    <w:qFormat/>
    <w:uiPriority w:val="0"/>
    <w:pPr>
      <w:spacing w:line="360" w:lineRule="exact"/>
      <w:ind w:firstLine="0" w:firstLineChars="0"/>
      <w:jc w:val="center"/>
      <w:textAlignment w:val="center"/>
    </w:pPr>
    <w:rPr>
      <w:rFonts w:cs="Times New Roman"/>
      <w:sz w:val="21"/>
    </w:rPr>
  </w:style>
  <w:style w:type="character" w:customStyle="1" w:styleId="46">
    <w:name w:val="报告正文"/>
    <w:qFormat/>
    <w:uiPriority w:val="0"/>
    <w:rPr>
      <w:rFonts w:eastAsia="宋体"/>
      <w:sz w:val="24"/>
    </w:rPr>
  </w:style>
  <w:style w:type="character" w:customStyle="1" w:styleId="47">
    <w:name w:val="纯文本 Char"/>
    <w:basedOn w:val="31"/>
    <w:link w:val="2"/>
    <w:qFormat/>
    <w:uiPriority w:val="0"/>
    <w:rPr>
      <w:rFonts w:ascii="宋体" w:hAnsi="Courier New"/>
      <w:kern w:val="2"/>
      <w:sz w:val="24"/>
      <w:szCs w:val="24"/>
    </w:rPr>
  </w:style>
  <w:style w:type="paragraph" w:customStyle="1" w:styleId="48">
    <w:name w:val="Default"/>
    <w:next w:val="1"/>
    <w:qFormat/>
    <w:uiPriority w:val="0"/>
    <w:pPr>
      <w:widowControl w:val="0"/>
      <w:autoSpaceDE w:val="0"/>
      <w:autoSpaceDN w:val="0"/>
      <w:adjustRightInd w:val="0"/>
    </w:pPr>
    <w:rPr>
      <w:rFonts w:ascii="宋体" w:hAnsi="Times New Roman" w:eastAsia="等线" w:cs="宋体"/>
      <w:color w:val="000000"/>
      <w:sz w:val="24"/>
      <w:szCs w:val="24"/>
      <w:lang w:val="en-US" w:eastAsia="zh-CN" w:bidi="ar-SA"/>
    </w:rPr>
  </w:style>
  <w:style w:type="character" w:customStyle="1" w:styleId="49">
    <w:name w:val="正文文本 Char"/>
    <w:basedOn w:val="31"/>
    <w:link w:val="11"/>
    <w:qFormat/>
    <w:uiPriority w:val="0"/>
    <w:rPr>
      <w:rFonts w:ascii="宋体" w:hAnsi="宋体" w:cs="宋体"/>
      <w:kern w:val="2"/>
      <w:sz w:val="24"/>
      <w:szCs w:val="24"/>
      <w:lang w:eastAsia="en-US"/>
    </w:rPr>
  </w:style>
  <w:style w:type="character" w:customStyle="1" w:styleId="50">
    <w:name w:val="注释标题 Char"/>
    <w:basedOn w:val="31"/>
    <w:link w:val="6"/>
    <w:qFormat/>
    <w:uiPriority w:val="0"/>
    <w:rPr>
      <w:rFonts w:ascii="仿宋_GB2312" w:eastAsia="仿宋_GB2312"/>
      <w:b/>
      <w:kern w:val="2"/>
      <w:sz w:val="24"/>
      <w:szCs w:val="24"/>
      <w:lang w:val="en-GB"/>
    </w:rPr>
  </w:style>
  <w:style w:type="character" w:customStyle="1" w:styleId="51">
    <w:name w:val="正文文本缩进 2 Char"/>
    <w:basedOn w:val="31"/>
    <w:link w:val="17"/>
    <w:qFormat/>
    <w:uiPriority w:val="0"/>
    <w:rPr>
      <w:kern w:val="2"/>
      <w:sz w:val="21"/>
      <w:szCs w:val="24"/>
    </w:rPr>
  </w:style>
  <w:style w:type="character" w:customStyle="1" w:styleId="52">
    <w:name w:val="纯文本 字符1"/>
    <w:qFormat/>
    <w:uiPriority w:val="99"/>
    <w:rPr>
      <w:rFonts w:ascii="宋体" w:hAnsi="Courier New"/>
      <w:kern w:val="2"/>
      <w:sz w:val="21"/>
      <w:szCs w:val="24"/>
    </w:rPr>
  </w:style>
  <w:style w:type="paragraph" w:customStyle="1" w:styleId="53">
    <w:name w:val="Char Char Char Char Char Char Char Char"/>
    <w:basedOn w:val="1"/>
    <w:next w:val="1"/>
    <w:semiHidden/>
    <w:qFormat/>
    <w:uiPriority w:val="0"/>
    <w:pPr>
      <w:keepNext/>
      <w:keepLines/>
      <w:widowControl/>
      <w:adjustRightInd w:val="0"/>
      <w:spacing w:before="360" w:after="480"/>
      <w:ind w:firstLine="200"/>
      <w:jc w:val="left"/>
      <w:outlineLvl w:val="1"/>
    </w:pPr>
    <w:rPr>
      <w:rFonts w:ascii="宋体" w:hAnsi="宋体" w:cs="宋体"/>
      <w:b/>
      <w:bCs/>
      <w:kern w:val="0"/>
      <w:sz w:val="30"/>
      <w:szCs w:val="28"/>
    </w:rPr>
  </w:style>
  <w:style w:type="paragraph" w:customStyle="1" w:styleId="54">
    <w:name w:val="表标题"/>
    <w:basedOn w:val="1"/>
    <w:next w:val="1"/>
    <w:qFormat/>
    <w:uiPriority w:val="0"/>
    <w:pPr>
      <w:tabs>
        <w:tab w:val="left" w:pos="4144"/>
      </w:tabs>
      <w:snapToGrid w:val="0"/>
      <w:spacing w:line="240" w:lineRule="auto"/>
      <w:ind w:firstLine="0" w:firstLineChars="0"/>
      <w:jc w:val="center"/>
    </w:pPr>
    <w:rPr>
      <w:rFonts w:ascii="黑体" w:hAnsi="黑体" w:eastAsia="黑体" w:cs="Times New Roman"/>
      <w:color w:val="000000"/>
      <w:kern w:val="0"/>
      <w:sz w:val="21"/>
    </w:rPr>
  </w:style>
  <w:style w:type="paragraph" w:customStyle="1" w:styleId="55">
    <w:name w:val="HP 表格内容"/>
    <w:qFormat/>
    <w:uiPriority w:val="0"/>
    <w:pPr>
      <w:jc w:val="center"/>
    </w:pPr>
    <w:rPr>
      <w:rFonts w:ascii="Times New Roman" w:hAnsi="Times New Roman" w:eastAsia="宋体" w:cs="Times New Roman"/>
      <w:sz w:val="21"/>
      <w:szCs w:val="21"/>
      <w:lang w:val="en-US" w:eastAsia="zh-CN" w:bidi="ar-SA"/>
    </w:rPr>
  </w:style>
  <w:style w:type="paragraph" w:customStyle="1" w:styleId="56">
    <w:name w:val="[1]正文"/>
    <w:basedOn w:val="1"/>
    <w:qFormat/>
    <w:uiPriority w:val="0"/>
    <w:pPr>
      <w:widowControl/>
      <w:autoSpaceDE w:val="0"/>
      <w:autoSpaceDN w:val="0"/>
      <w:spacing w:line="240" w:lineRule="auto"/>
      <w:ind w:firstLine="200"/>
      <w:jc w:val="left"/>
    </w:pPr>
    <w:rPr>
      <w:rFonts w:cs="Times New Roman"/>
      <w:color w:val="000000"/>
      <w:kern w:val="0"/>
      <w:sz w:val="21"/>
      <w:lang w:val="zh-CN"/>
    </w:rPr>
  </w:style>
  <w:style w:type="character" w:customStyle="1" w:styleId="57">
    <w:name w:val="Unresolved Mention"/>
    <w:basedOn w:val="31"/>
    <w:semiHidden/>
    <w:unhideWhenUsed/>
    <w:qFormat/>
    <w:uiPriority w:val="99"/>
    <w:rPr>
      <w:color w:val="605E5C"/>
      <w:shd w:val="clear" w:color="auto" w:fill="E1DFDD"/>
    </w:rPr>
  </w:style>
  <w:style w:type="character" w:customStyle="1" w:styleId="58">
    <w:name w:val="标题 1 Char"/>
    <w:basedOn w:val="31"/>
    <w:link w:val="3"/>
    <w:qFormat/>
    <w:uiPriority w:val="0"/>
    <w:rPr>
      <w:rFonts w:cstheme="minorBidi"/>
      <w:b/>
      <w:bCs/>
      <w:kern w:val="44"/>
      <w:sz w:val="44"/>
      <w:szCs w:val="44"/>
    </w:rPr>
  </w:style>
  <w:style w:type="paragraph" w:customStyle="1" w:styleId="59">
    <w:name w:val="TOC Heading"/>
    <w:basedOn w:val="3"/>
    <w:next w:val="1"/>
    <w:unhideWhenUsed/>
    <w:qFormat/>
    <w:uiPriority w:val="39"/>
    <w:pPr>
      <w:widowControl/>
      <w:spacing w:before="240" w:after="0" w:line="259" w:lineRule="auto"/>
      <w:ind w:firstLine="0" w:firstLineChars="0"/>
      <w:jc w:val="left"/>
      <w:outlineLvl w:val="9"/>
    </w:pPr>
    <w:rPr>
      <w:rFonts w:asciiTheme="majorHAnsi" w:hAnsiTheme="majorHAnsi" w:eastAsiaTheme="majorEastAsia" w:cstheme="majorBidi"/>
      <w:b w:val="0"/>
      <w:bCs w:val="0"/>
      <w:color w:val="2E54A1" w:themeColor="accent1" w:themeShade="BF"/>
      <w:kern w:val="0"/>
      <w:sz w:val="32"/>
      <w:szCs w:val="32"/>
    </w:rPr>
  </w:style>
  <w:style w:type="character" w:customStyle="1" w:styleId="60">
    <w:name w:val="批注文字 Char"/>
    <w:basedOn w:val="31"/>
    <w:link w:val="12"/>
    <w:qFormat/>
    <w:uiPriority w:val="0"/>
    <w:rPr>
      <w:rFonts w:asciiTheme="minorHAnsi" w:hAnsiTheme="minorHAnsi" w:eastAsiaTheme="minorEastAsia" w:cstheme="minorBidi"/>
      <w:kern w:val="2"/>
      <w:sz w:val="21"/>
      <w:szCs w:val="24"/>
      <w:lang w:eastAsia="en-US"/>
    </w:rPr>
  </w:style>
  <w:style w:type="character" w:customStyle="1" w:styleId="61">
    <w:name w:val="副标题 Char"/>
    <w:basedOn w:val="31"/>
    <w:link w:val="23"/>
    <w:qFormat/>
    <w:uiPriority w:val="11"/>
    <w:rPr>
      <w:rFonts w:cstheme="minorBidi"/>
      <w:bCs/>
      <w:kern w:val="28"/>
      <w:sz w:val="18"/>
      <w:szCs w:val="32"/>
    </w:rPr>
  </w:style>
  <w:style w:type="character" w:customStyle="1" w:styleId="62">
    <w:name w:val="批注框文本 Char"/>
    <w:basedOn w:val="31"/>
    <w:link w:val="18"/>
    <w:qFormat/>
    <w:uiPriority w:val="0"/>
    <w:rPr>
      <w:rFonts w:cstheme="minorBidi"/>
      <w:kern w:val="2"/>
      <w:sz w:val="18"/>
      <w:szCs w:val="18"/>
    </w:rPr>
  </w:style>
  <w:style w:type="paragraph" w:customStyle="1" w:styleId="63">
    <w:name w:val="0正文"/>
    <w:autoRedefine/>
    <w:qFormat/>
    <w:uiPriority w:val="0"/>
    <w:pPr>
      <w:widowControl w:val="0"/>
      <w:spacing w:line="360" w:lineRule="auto"/>
      <w:ind w:firstLine="720" w:firstLineChars="200"/>
    </w:pPr>
    <w:rPr>
      <w:rFonts w:ascii="Times New Roman" w:hAnsi="Times New Roman" w:eastAsia="宋体" w:cs="Times New Roman"/>
      <w:sz w:val="24"/>
      <w:szCs w:val="22"/>
      <w:lang w:val="en-US" w:eastAsia="zh-CN" w:bidi="ar-SA"/>
    </w:rPr>
  </w:style>
  <w:style w:type="paragraph" w:customStyle="1" w:styleId="64">
    <w:name w:val="正文5"/>
    <w:qFormat/>
    <w:uiPriority w:val="0"/>
    <w:pPr>
      <w:jc w:val="both"/>
    </w:pPr>
    <w:rPr>
      <w:rFonts w:ascii="Times New Roman" w:hAnsi="Times New Roman" w:eastAsia="宋体" w:cs="Times New Roman"/>
      <w:kern w:val="2"/>
      <w:sz w:val="21"/>
      <w:szCs w:val="21"/>
      <w:lang w:val="en-US" w:eastAsia="zh-CN" w:bidi="ar-SA"/>
    </w:rPr>
  </w:style>
  <w:style w:type="table" w:customStyle="1" w:styleId="65">
    <w:name w:val="网格型33"/>
    <w:basedOn w:val="29"/>
    <w:qFormat/>
    <w:uiPriority w:val="0"/>
    <w:rPr>
      <w:rFonts w:ascii="Times New Roman" w:hAnsi="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66">
    <w:name w:val="网格型35"/>
    <w:basedOn w:val="29"/>
    <w:qFormat/>
    <w:uiPriority w:val="0"/>
    <w:rPr>
      <w:rFonts w:ascii="Times New Roman" w:hAnsi="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s>
</file>

<file path=word/_rels/document.xml.rels><?xml version="1.0" encoding="UTF-8" standalone="yes"?>
<Relationships xmlns="http://schemas.openxmlformats.org/package/2006/relationships"><Relationship Id="rId9" Type="http://schemas.openxmlformats.org/officeDocument/2006/relationships/header" Target="header3.xml"/><Relationship Id="rId8" Type="http://schemas.openxmlformats.org/officeDocument/2006/relationships/footer" Target="footer2.xml"/><Relationship Id="rId76" Type="http://schemas.openxmlformats.org/officeDocument/2006/relationships/fontTable" Target="fontTable.xml"/><Relationship Id="rId75" Type="http://schemas.openxmlformats.org/officeDocument/2006/relationships/numbering" Target="numbering.xml"/><Relationship Id="rId74" Type="http://schemas.openxmlformats.org/officeDocument/2006/relationships/customXml" Target="../customXml/item1.xml"/><Relationship Id="rId73" Type="http://schemas.openxmlformats.org/officeDocument/2006/relationships/image" Target="media/image48.png"/><Relationship Id="rId72" Type="http://schemas.openxmlformats.org/officeDocument/2006/relationships/image" Target="media/image47.jpeg"/><Relationship Id="rId71" Type="http://schemas.openxmlformats.org/officeDocument/2006/relationships/image" Target="media/image46.jpeg"/><Relationship Id="rId70" Type="http://schemas.openxmlformats.org/officeDocument/2006/relationships/image" Target="media/image45.png"/><Relationship Id="rId7" Type="http://schemas.openxmlformats.org/officeDocument/2006/relationships/footer" Target="footer1.xml"/><Relationship Id="rId69" Type="http://schemas.openxmlformats.org/officeDocument/2006/relationships/image" Target="media/image44.png"/><Relationship Id="rId68" Type="http://schemas.openxmlformats.org/officeDocument/2006/relationships/image" Target="media/image43.png"/><Relationship Id="rId67" Type="http://schemas.openxmlformats.org/officeDocument/2006/relationships/image" Target="media/image42.png"/><Relationship Id="rId66" Type="http://schemas.openxmlformats.org/officeDocument/2006/relationships/image" Target="media/image41.png"/><Relationship Id="rId65" Type="http://schemas.openxmlformats.org/officeDocument/2006/relationships/image" Target="media/image40.png"/><Relationship Id="rId64" Type="http://schemas.openxmlformats.org/officeDocument/2006/relationships/image" Target="media/image39.png"/><Relationship Id="rId63" Type="http://schemas.openxmlformats.org/officeDocument/2006/relationships/image" Target="media/image38.png"/><Relationship Id="rId62" Type="http://schemas.openxmlformats.org/officeDocument/2006/relationships/image" Target="media/image37.png"/><Relationship Id="rId61" Type="http://schemas.openxmlformats.org/officeDocument/2006/relationships/image" Target="media/image36.png"/><Relationship Id="rId60" Type="http://schemas.openxmlformats.org/officeDocument/2006/relationships/image" Target="media/image35.png"/><Relationship Id="rId6" Type="http://schemas.openxmlformats.org/officeDocument/2006/relationships/header" Target="header2.xml"/><Relationship Id="rId59" Type="http://schemas.openxmlformats.org/officeDocument/2006/relationships/image" Target="media/image34.png"/><Relationship Id="rId58" Type="http://schemas.openxmlformats.org/officeDocument/2006/relationships/image" Target="media/image33.png"/><Relationship Id="rId57" Type="http://schemas.openxmlformats.org/officeDocument/2006/relationships/image" Target="media/image32.png"/><Relationship Id="rId56" Type="http://schemas.openxmlformats.org/officeDocument/2006/relationships/image" Target="media/image31.png"/><Relationship Id="rId55" Type="http://schemas.openxmlformats.org/officeDocument/2006/relationships/image" Target="media/image30.png"/><Relationship Id="rId54" Type="http://schemas.openxmlformats.org/officeDocument/2006/relationships/image" Target="media/image29.png"/><Relationship Id="rId53" Type="http://schemas.openxmlformats.org/officeDocument/2006/relationships/image" Target="media/image28.wmf"/><Relationship Id="rId52" Type="http://schemas.openxmlformats.org/officeDocument/2006/relationships/image" Target="media/image27.wmf"/><Relationship Id="rId51" Type="http://schemas.openxmlformats.org/officeDocument/2006/relationships/image" Target="media/image26.wmf"/><Relationship Id="rId50" Type="http://schemas.openxmlformats.org/officeDocument/2006/relationships/image" Target="media/image25.wmf"/><Relationship Id="rId5" Type="http://schemas.openxmlformats.org/officeDocument/2006/relationships/header" Target="header1.xml"/><Relationship Id="rId49" Type="http://schemas.openxmlformats.org/officeDocument/2006/relationships/image" Target="media/image24.png"/><Relationship Id="rId48" Type="http://schemas.openxmlformats.org/officeDocument/2006/relationships/image" Target="media/image23.jpeg"/><Relationship Id="rId47" Type="http://schemas.openxmlformats.org/officeDocument/2006/relationships/image" Target="media/image22.jpeg"/><Relationship Id="rId46" Type="http://schemas.openxmlformats.org/officeDocument/2006/relationships/image" Target="media/image21.jpeg"/><Relationship Id="rId45" Type="http://schemas.openxmlformats.org/officeDocument/2006/relationships/image" Target="media/image20.jpeg"/><Relationship Id="rId44" Type="http://schemas.openxmlformats.org/officeDocument/2006/relationships/image" Target="media/image19.jpeg"/><Relationship Id="rId43" Type="http://schemas.openxmlformats.org/officeDocument/2006/relationships/image" Target="media/image18.jpeg"/><Relationship Id="rId42" Type="http://schemas.openxmlformats.org/officeDocument/2006/relationships/image" Target="media/image17.jpeg"/><Relationship Id="rId41" Type="http://schemas.openxmlformats.org/officeDocument/2006/relationships/image" Target="media/image16.jpeg"/><Relationship Id="rId40" Type="http://schemas.openxmlformats.org/officeDocument/2006/relationships/image" Target="media/image15.emf"/><Relationship Id="rId4" Type="http://schemas.openxmlformats.org/officeDocument/2006/relationships/endnotes" Target="endnotes.xml"/><Relationship Id="rId39" Type="http://schemas.openxmlformats.org/officeDocument/2006/relationships/oleObject" Target="embeddings/oleObject2.bin"/><Relationship Id="rId38" Type="http://schemas.openxmlformats.org/officeDocument/2006/relationships/image" Target="media/image14.png"/><Relationship Id="rId37" Type="http://schemas.openxmlformats.org/officeDocument/2006/relationships/image" Target="media/image13.png"/><Relationship Id="rId36" Type="http://schemas.openxmlformats.org/officeDocument/2006/relationships/image" Target="media/image12.png"/><Relationship Id="rId35" Type="http://schemas.openxmlformats.org/officeDocument/2006/relationships/image" Target="media/image11.png"/><Relationship Id="rId34" Type="http://schemas.openxmlformats.org/officeDocument/2006/relationships/image" Target="media/image10.wmf"/><Relationship Id="rId33" Type="http://schemas.openxmlformats.org/officeDocument/2006/relationships/oleObject" Target="embeddings/oleObject1.bin"/><Relationship Id="rId32" Type="http://schemas.openxmlformats.org/officeDocument/2006/relationships/image" Target="media/image9.png"/><Relationship Id="rId31" Type="http://schemas.openxmlformats.org/officeDocument/2006/relationships/image" Target="media/image8.png"/><Relationship Id="rId30" Type="http://schemas.openxmlformats.org/officeDocument/2006/relationships/image" Target="media/image7.png"/><Relationship Id="rId3" Type="http://schemas.openxmlformats.org/officeDocument/2006/relationships/footnotes" Target="footnotes.xml"/><Relationship Id="rId29" Type="http://schemas.openxmlformats.org/officeDocument/2006/relationships/image" Target="media/image6.png"/><Relationship Id="rId28" Type="http://schemas.openxmlformats.org/officeDocument/2006/relationships/image" Target="media/image5.png"/><Relationship Id="rId27" Type="http://schemas.openxmlformats.org/officeDocument/2006/relationships/image" Target="media/image4.png"/><Relationship Id="rId26" Type="http://schemas.openxmlformats.org/officeDocument/2006/relationships/image" Target="media/image3.png"/><Relationship Id="rId25" Type="http://schemas.openxmlformats.org/officeDocument/2006/relationships/image" Target="media/image2.png"/><Relationship Id="rId24" Type="http://schemas.openxmlformats.org/officeDocument/2006/relationships/image" Target="media/image1.png"/><Relationship Id="rId23" Type="http://schemas.openxmlformats.org/officeDocument/2006/relationships/theme" Target="theme/theme1.xml"/><Relationship Id="rId22" Type="http://schemas.openxmlformats.org/officeDocument/2006/relationships/footer" Target="footer14.xml"/><Relationship Id="rId21" Type="http://schemas.openxmlformats.org/officeDocument/2006/relationships/footer" Target="footer13.xml"/><Relationship Id="rId20" Type="http://schemas.openxmlformats.org/officeDocument/2006/relationships/footer" Target="footer12.xml"/><Relationship Id="rId2" Type="http://schemas.openxmlformats.org/officeDocument/2006/relationships/settings" Target="settings.xml"/><Relationship Id="rId19" Type="http://schemas.openxmlformats.org/officeDocument/2006/relationships/footer" Target="footer11.xml"/><Relationship Id="rId18" Type="http://schemas.openxmlformats.org/officeDocument/2006/relationships/footer" Target="footer10.xml"/><Relationship Id="rId17" Type="http://schemas.openxmlformats.org/officeDocument/2006/relationships/footer" Target="footer9.xml"/><Relationship Id="rId16" Type="http://schemas.openxmlformats.org/officeDocument/2006/relationships/footer" Target="footer8.xml"/><Relationship Id="rId15" Type="http://schemas.openxmlformats.org/officeDocument/2006/relationships/footer" Target="footer7.xml"/><Relationship Id="rId14" Type="http://schemas.openxmlformats.org/officeDocument/2006/relationships/footer" Target="footer6.xml"/><Relationship Id="rId13" Type="http://schemas.openxmlformats.org/officeDocument/2006/relationships/footer" Target="footer5.xml"/><Relationship Id="rId12" Type="http://schemas.openxmlformats.org/officeDocument/2006/relationships/footer" Target="footer4.xml"/><Relationship Id="rId11" Type="http://schemas.openxmlformats.org/officeDocument/2006/relationships/footer" Target="footer3.xml"/><Relationship Id="rId10" Type="http://schemas.openxmlformats.org/officeDocument/2006/relationships/header" Target="header4.xml"/><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195</Pages>
  <Words>8360</Words>
  <Characters>9331</Characters>
  <Lines>1280</Lines>
  <Paragraphs>360</Paragraphs>
  <TotalTime>7</TotalTime>
  <ScaleCrop>false</ScaleCrop>
  <LinksUpToDate>false</LinksUpToDate>
  <CharactersWithSpaces>9820</CharactersWithSpaces>
  <Application>WPS Office_12.1.0.19302_F1E327BC-269C-435d-A152-05C5408002CA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2024-05-20T02:59:00Z</dcterms:created>
  <dc:creator>Administrator</dc:creator>
  <cp:lastModifiedBy>admin</cp:lastModifiedBy>
  <cp:lastPrinted>2024-09-23T07:47:00Z</cp:lastPrinted>
  <dcterms:modified xsi:type="dcterms:W3CDTF">2025-01-02T07:17:55Z</dcterms:modified>
  <cp:revision>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2052-12.1.0.19302</vt:lpwstr>
  </property>
  <property fmtid="{D5CDD505-2E9C-101B-9397-08002B2CF9AE}" pid="3" name="ICV">
    <vt:lpwstr>04A54CC962014740A77F45DA4ACE7AEA_13</vt:lpwstr>
  </property>
  <property fmtid="{D5CDD505-2E9C-101B-9397-08002B2CF9AE}" pid="4" name="KSOTemplateDocerSaveRecord">
    <vt:lpwstr>eyJoZGlkIjoiOGVmMzZmMWJiOTMzMTU5ZjUxMzExNTcwODdjODljNDMiLCJ1c2VySWQiOiIyOTYwODQzOCJ9</vt:lpwstr>
  </property>
</Properties>
</file>