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val="0"/>
        <w:overflowPunct/>
        <w:topLinePunct w:val="0"/>
        <w:autoSpaceDE/>
        <w:autoSpaceDN/>
        <w:bidi w:val="0"/>
        <w:adjustRightInd/>
        <w:snapToGrid/>
        <w:spacing w:line="640" w:lineRule="exact"/>
        <w:textAlignment w:val="auto"/>
        <w:rPr>
          <w:rFonts w:hint="eastAsia" w:ascii="仿宋_GB2312" w:hAnsi="仿宋_GB2312" w:eastAsia="仿宋_GB2312" w:cs="仿宋_GB2312"/>
          <w:kern w:val="2"/>
          <w:sz w:val="44"/>
          <w:szCs w:val="44"/>
          <w:lang w:val="en-US" w:eastAsia="zh-CN" w:bidi="ar-SA"/>
        </w:rPr>
      </w:pPr>
      <w:bookmarkStart w:id="0" w:name="_GoBack"/>
      <w:r>
        <w:rPr>
          <w:rFonts w:hint="eastAsia" w:ascii="仿宋_GB2312" w:hAnsi="仿宋_GB2312" w:eastAsia="仿宋_GB2312" w:cs="仿宋_GB2312"/>
          <w:color w:val="auto"/>
          <w:sz w:val="32"/>
          <w:szCs w:val="32"/>
          <w:lang w:val="en-US" w:eastAsia="zh-CN"/>
        </w:rPr>
        <w:t>兴政数发〔2026〕14号</w:t>
      </w:r>
      <w:bookmarkEnd w:id="0"/>
      <w:r>
        <w:rPr>
          <w:rFonts w:hint="eastAsia" w:ascii="仿宋_GB2312" w:hAnsi="仿宋_GB2312" w:eastAsia="仿宋_GB2312" w:cs="仿宋_GB2312"/>
          <w:color w:val="auto"/>
          <w:sz w:val="32"/>
          <w:szCs w:val="32"/>
          <w:lang w:val="en-US" w:eastAsia="zh-CN"/>
        </w:rPr>
        <w:t xml:space="preserve">                    </w:t>
      </w:r>
      <w:r>
        <w:rPr>
          <w:rFonts w:hint="eastAsia" w:ascii="楷体" w:hAnsi="楷体" w:eastAsia="楷体" w:cs="楷体"/>
          <w:color w:val="auto"/>
          <w:sz w:val="32"/>
          <w:szCs w:val="32"/>
          <w:lang w:val="en-US" w:eastAsia="zh-CN"/>
        </w:rPr>
        <w:t xml:space="preserve"> </w:t>
      </w:r>
      <w:r>
        <w:rPr>
          <w:rFonts w:hint="eastAsia" w:ascii="仿宋_GB2312" w:hAnsi="仿宋_GB2312" w:eastAsia="仿宋_GB2312" w:cs="仿宋_GB2312"/>
          <w:color w:val="auto"/>
          <w:sz w:val="32"/>
          <w:szCs w:val="32"/>
          <w:lang w:val="en-US" w:eastAsia="zh-CN"/>
        </w:rPr>
        <w:t>签发人：</w:t>
      </w:r>
      <w:r>
        <w:rPr>
          <w:rFonts w:hint="eastAsia" w:ascii="楷体" w:hAnsi="楷体" w:eastAsia="楷体" w:cs="楷体"/>
          <w:color w:val="auto"/>
          <w:sz w:val="32"/>
          <w:szCs w:val="32"/>
          <w:lang w:val="en-US" w:eastAsia="zh-CN"/>
        </w:rPr>
        <w:t xml:space="preserve">李海波 </w:t>
      </w:r>
    </w:p>
    <w:p>
      <w:pPr>
        <w:keepNext w:val="0"/>
        <w:keepLines w:val="0"/>
        <w:pageBreakBefore w:val="0"/>
        <w:shd w:val="clear"/>
        <w:kinsoku/>
        <w:wordWrap/>
        <w:overflowPunct/>
        <w:topLinePunct w:val="0"/>
        <w:autoSpaceDE/>
        <w:autoSpaceDN/>
        <w:bidi w:val="0"/>
        <w:adjustRightInd/>
        <w:snapToGrid/>
        <w:spacing w:line="610" w:lineRule="exact"/>
        <w:jc w:val="center"/>
        <w:textAlignment w:val="auto"/>
        <w:rPr>
          <w:rFonts w:hint="eastAsia" w:ascii="方正小标宋简体" w:eastAsia="方正小标宋简体"/>
          <w:sz w:val="44"/>
          <w:szCs w:val="44"/>
          <w:highlight w:val="none"/>
        </w:rPr>
      </w:pPr>
      <w:r>
        <w:rPr>
          <w:rFonts w:hint="eastAsia" w:ascii="方正小标宋简体" w:eastAsia="方正小标宋简体"/>
          <w:sz w:val="44"/>
          <w:szCs w:val="44"/>
          <w:highlight w:val="none"/>
        </w:rPr>
        <w:t>关于印发《兴安盟行政审批政务服务与数据</w:t>
      </w:r>
    </w:p>
    <w:p>
      <w:pPr>
        <w:keepNext w:val="0"/>
        <w:keepLines w:val="0"/>
        <w:pageBreakBefore w:val="0"/>
        <w:shd w:val="clear"/>
        <w:kinsoku/>
        <w:wordWrap/>
        <w:overflowPunct/>
        <w:topLinePunct w:val="0"/>
        <w:autoSpaceDE/>
        <w:autoSpaceDN/>
        <w:bidi w:val="0"/>
        <w:adjustRightInd/>
        <w:snapToGrid/>
        <w:spacing w:line="610" w:lineRule="exact"/>
        <w:jc w:val="center"/>
        <w:textAlignment w:val="auto"/>
        <w:rPr>
          <w:rFonts w:hint="eastAsia" w:ascii="方正小标宋简体" w:eastAsia="方正小标宋简体"/>
          <w:sz w:val="44"/>
          <w:szCs w:val="44"/>
          <w:highlight w:val="none"/>
        </w:rPr>
      </w:pPr>
      <w:r>
        <w:rPr>
          <w:rFonts w:hint="eastAsia" w:ascii="方正小标宋简体" w:eastAsia="方正小标宋简体"/>
          <w:sz w:val="44"/>
          <w:szCs w:val="44"/>
          <w:highlight w:val="none"/>
        </w:rPr>
        <w:t>管理局评审勘验专家库和评审勘验专家</w:t>
      </w:r>
    </w:p>
    <w:p>
      <w:pPr>
        <w:keepNext w:val="0"/>
        <w:keepLines w:val="0"/>
        <w:pageBreakBefore w:val="0"/>
        <w:shd w:val="clear"/>
        <w:kinsoku/>
        <w:wordWrap/>
        <w:overflowPunct/>
        <w:topLinePunct w:val="0"/>
        <w:autoSpaceDE/>
        <w:autoSpaceDN/>
        <w:bidi w:val="0"/>
        <w:adjustRightInd/>
        <w:snapToGrid/>
        <w:spacing w:line="610" w:lineRule="exact"/>
        <w:jc w:val="center"/>
        <w:textAlignment w:val="auto"/>
        <w:rPr>
          <w:rFonts w:ascii="方正小标宋简体" w:eastAsia="方正小标宋简体"/>
          <w:sz w:val="44"/>
          <w:szCs w:val="44"/>
          <w:highlight w:val="none"/>
        </w:rPr>
      </w:pPr>
      <w:r>
        <w:rPr>
          <w:rFonts w:hint="eastAsia" w:ascii="方正小标宋简体" w:eastAsia="方正小标宋简体"/>
          <w:sz w:val="44"/>
          <w:szCs w:val="44"/>
          <w:highlight w:val="none"/>
        </w:rPr>
        <w:t>管理办法》</w:t>
      </w:r>
      <w:r>
        <w:rPr>
          <w:rFonts w:hint="eastAsia" w:ascii="方正小标宋简体" w:eastAsia="方正小标宋简体"/>
          <w:sz w:val="44"/>
          <w:szCs w:val="44"/>
          <w:highlight w:val="none"/>
          <w:lang w:eastAsia="zh-CN"/>
        </w:rPr>
        <w:t>（</w:t>
      </w:r>
      <w:r>
        <w:rPr>
          <w:rFonts w:hint="eastAsia" w:ascii="方正小标宋简体" w:eastAsia="方正小标宋简体"/>
          <w:sz w:val="44"/>
          <w:szCs w:val="44"/>
          <w:highlight w:val="none"/>
          <w:lang w:val="en-US" w:eastAsia="zh-CN"/>
        </w:rPr>
        <w:t>修订</w:t>
      </w:r>
      <w:r>
        <w:rPr>
          <w:rFonts w:hint="eastAsia" w:ascii="方正小标宋简体" w:eastAsia="方正小标宋简体"/>
          <w:sz w:val="44"/>
          <w:szCs w:val="44"/>
          <w:highlight w:val="none"/>
          <w:lang w:eastAsia="zh-CN"/>
        </w:rPr>
        <w:t>）</w:t>
      </w:r>
      <w:r>
        <w:rPr>
          <w:rFonts w:hint="eastAsia" w:ascii="方正小标宋简体" w:eastAsia="方正小标宋简体"/>
          <w:sz w:val="44"/>
          <w:szCs w:val="44"/>
          <w:highlight w:val="none"/>
        </w:rPr>
        <w:t>的通知</w:t>
      </w: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仿宋_GB2312" w:hAnsi="仿宋_GB2312" w:eastAsia="仿宋_GB2312" w:cs="仿宋_GB2312"/>
          <w:sz w:val="32"/>
          <w:szCs w:val="32"/>
          <w:highlight w:val="none"/>
        </w:rPr>
      </w:pP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rPr>
        <w:t>各旗县市</w:t>
      </w:r>
      <w:r>
        <w:rPr>
          <w:rFonts w:hint="eastAsia" w:ascii="仿宋_GB2312" w:hAnsi="仿宋_GB2312" w:eastAsia="仿宋_GB2312" w:cs="仿宋_GB2312"/>
          <w:b w:val="0"/>
          <w:bCs w:val="0"/>
          <w:sz w:val="32"/>
          <w:szCs w:val="32"/>
          <w:highlight w:val="none"/>
          <w:lang w:val="en-US" w:eastAsia="zh-CN"/>
        </w:rPr>
        <w:t>政数管理部门，</w:t>
      </w:r>
      <w:r>
        <w:rPr>
          <w:rFonts w:hint="eastAsia" w:ascii="仿宋_GB2312" w:hAnsi="仿宋_GB2312" w:eastAsia="仿宋_GB2312" w:cs="仿宋_GB2312"/>
          <w:b w:val="0"/>
          <w:bCs w:val="0"/>
          <w:sz w:val="32"/>
          <w:szCs w:val="32"/>
          <w:highlight w:val="none"/>
        </w:rPr>
        <w:t>盟直各相关部门：</w:t>
      </w:r>
    </w:p>
    <w:p>
      <w:pPr>
        <w:keepNext w:val="0"/>
        <w:keepLines w:val="0"/>
        <w:pageBreakBefore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rPr>
        <w:t>为进一步规范全盟行政审批工作，确保兴安盟行政审批政务服务与数据管理局在行政审批工作中涉及的专家论证、专家评审、现场核查、</w:t>
      </w:r>
      <w:r>
        <w:rPr>
          <w:rFonts w:hint="eastAsia" w:ascii="仿宋_GB2312" w:hAnsi="仿宋_GB2312" w:eastAsia="仿宋_GB2312" w:cs="仿宋_GB2312"/>
          <w:b w:val="0"/>
          <w:bCs w:val="0"/>
          <w:sz w:val="32"/>
          <w:szCs w:val="32"/>
          <w:highlight w:val="none"/>
          <w:lang w:val="en-US" w:eastAsia="zh-CN"/>
        </w:rPr>
        <w:t>远程勘验</w:t>
      </w:r>
      <w:r>
        <w:rPr>
          <w:rFonts w:hint="eastAsia" w:ascii="仿宋_GB2312" w:hAnsi="仿宋_GB2312" w:eastAsia="仿宋_GB2312" w:cs="仿宋_GB2312"/>
          <w:b w:val="0"/>
          <w:bCs w:val="0"/>
          <w:sz w:val="32"/>
          <w:szCs w:val="32"/>
          <w:highlight w:val="none"/>
        </w:rPr>
        <w:t>等工作有序</w:t>
      </w:r>
      <w:r>
        <w:rPr>
          <w:rFonts w:hint="eastAsia" w:ascii="仿宋_GB2312" w:hAnsi="仿宋_GB2312" w:eastAsia="仿宋_GB2312" w:cs="仿宋_GB2312"/>
          <w:b w:val="0"/>
          <w:bCs w:val="0"/>
          <w:sz w:val="32"/>
          <w:szCs w:val="32"/>
          <w:highlight w:val="none"/>
          <w:lang w:val="en-US" w:eastAsia="zh-CN"/>
        </w:rPr>
        <w:t>有效</w:t>
      </w:r>
      <w:r>
        <w:rPr>
          <w:rFonts w:hint="eastAsia" w:ascii="仿宋_GB2312" w:hAnsi="仿宋_GB2312" w:eastAsia="仿宋_GB2312" w:cs="仿宋_GB2312"/>
          <w:b w:val="0"/>
          <w:bCs w:val="0"/>
          <w:sz w:val="32"/>
          <w:szCs w:val="32"/>
          <w:highlight w:val="none"/>
        </w:rPr>
        <w:t>开展，</w:t>
      </w:r>
      <w:r>
        <w:rPr>
          <w:rFonts w:hint="eastAsia" w:ascii="仿宋_GB2312" w:hAnsi="仿宋_GB2312" w:eastAsia="仿宋_GB2312" w:cs="仿宋_GB2312"/>
          <w:b w:val="0"/>
          <w:bCs w:val="0"/>
          <w:sz w:val="32"/>
          <w:szCs w:val="32"/>
          <w:highlight w:val="none"/>
          <w:lang w:val="en-US" w:eastAsia="zh-CN"/>
        </w:rPr>
        <w:t>不断</w:t>
      </w:r>
      <w:r>
        <w:rPr>
          <w:rFonts w:hint="eastAsia" w:ascii="仿宋_GB2312" w:hAnsi="仿宋_GB2312" w:eastAsia="仿宋_GB2312" w:cs="仿宋_GB2312"/>
          <w:b w:val="0"/>
          <w:bCs w:val="0"/>
          <w:sz w:val="32"/>
          <w:szCs w:val="32"/>
          <w:highlight w:val="none"/>
        </w:rPr>
        <w:t>提高评审勘验专家库使用、管理水平，</w:t>
      </w:r>
      <w:r>
        <w:rPr>
          <w:rFonts w:hint="eastAsia" w:ascii="仿宋_GB2312" w:hAnsi="仿宋_GB2312" w:eastAsia="仿宋_GB2312" w:cs="仿宋_GB2312"/>
          <w:b w:val="0"/>
          <w:bCs w:val="0"/>
          <w:sz w:val="32"/>
          <w:szCs w:val="32"/>
          <w:highlight w:val="none"/>
          <w:lang w:val="en-US" w:eastAsia="zh-CN"/>
        </w:rPr>
        <w:t>加强对专家入库、退库及抽取管理，结合全盟评审勘验工作实际，修订并</w:t>
      </w:r>
      <w:r>
        <w:rPr>
          <w:rFonts w:hint="eastAsia" w:ascii="仿宋_GB2312" w:hAnsi="仿宋_GB2312" w:eastAsia="仿宋_GB2312" w:cs="仿宋_GB2312"/>
          <w:b w:val="0"/>
          <w:bCs w:val="0"/>
          <w:sz w:val="32"/>
          <w:szCs w:val="32"/>
          <w:highlight w:val="none"/>
        </w:rPr>
        <w:t>印发《兴安盟行政审批政务服务与数据管理局评审勘验专家库和评审勘验专家管理办法》，</w:t>
      </w:r>
      <w:r>
        <w:rPr>
          <w:rFonts w:hint="eastAsia" w:ascii="仿宋_GB2312" w:hAnsi="仿宋_GB2312" w:eastAsia="仿宋_GB2312" w:cs="仿宋_GB2312"/>
          <w:b w:val="0"/>
          <w:bCs w:val="0"/>
          <w:sz w:val="32"/>
          <w:szCs w:val="32"/>
          <w:highlight w:val="none"/>
          <w:lang w:val="en-US" w:eastAsia="zh-CN"/>
        </w:rPr>
        <w:t>现印发给你们，</w:t>
      </w:r>
      <w:r>
        <w:rPr>
          <w:rFonts w:hint="eastAsia" w:ascii="仿宋_GB2312" w:hAnsi="仿宋_GB2312" w:eastAsia="仿宋_GB2312" w:cs="仿宋_GB2312"/>
          <w:b w:val="0"/>
          <w:bCs w:val="0"/>
          <w:sz w:val="32"/>
          <w:szCs w:val="32"/>
          <w:highlight w:val="none"/>
        </w:rPr>
        <w:t>请认真</w:t>
      </w:r>
      <w:r>
        <w:rPr>
          <w:rFonts w:hint="eastAsia" w:ascii="仿宋_GB2312" w:hAnsi="仿宋_GB2312" w:eastAsia="仿宋_GB2312" w:cs="仿宋_GB2312"/>
          <w:b w:val="0"/>
          <w:bCs w:val="0"/>
          <w:sz w:val="32"/>
          <w:szCs w:val="32"/>
          <w:highlight w:val="none"/>
          <w:lang w:val="en-US" w:eastAsia="zh-CN"/>
        </w:rPr>
        <w:t>遵照</w:t>
      </w:r>
      <w:r>
        <w:rPr>
          <w:rFonts w:hint="eastAsia" w:ascii="仿宋_GB2312" w:hAnsi="仿宋_GB2312" w:eastAsia="仿宋_GB2312" w:cs="仿宋_GB2312"/>
          <w:b w:val="0"/>
          <w:bCs w:val="0"/>
          <w:sz w:val="32"/>
          <w:szCs w:val="32"/>
          <w:highlight w:val="none"/>
        </w:rPr>
        <w:t>执行。</w:t>
      </w:r>
    </w:p>
    <w:p>
      <w:pPr>
        <w:keepNext w:val="0"/>
        <w:keepLines w:val="0"/>
        <w:pageBreakBefore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b w:val="0"/>
          <w:bCs w:val="0"/>
          <w:sz w:val="32"/>
          <w:szCs w:val="32"/>
          <w:highlight w:val="none"/>
        </w:rPr>
      </w:pPr>
    </w:p>
    <w:p>
      <w:pPr>
        <w:keepNext w:val="0"/>
        <w:keepLines w:val="0"/>
        <w:pageBreakBefore w:val="0"/>
        <w:widowControl w:val="0"/>
        <w:shd w:val="clear"/>
        <w:kinsoku/>
        <w:wordWrap/>
        <w:overflowPunct/>
        <w:topLinePunct w:val="0"/>
        <w:autoSpaceDE/>
        <w:autoSpaceDN/>
        <w:bidi w:val="0"/>
        <w:adjustRightInd/>
        <w:snapToGrid/>
        <w:spacing w:line="610" w:lineRule="exact"/>
        <w:ind w:left="1502" w:leftChars="304" w:hanging="864" w:hangingChars="270"/>
        <w:jc w:val="both"/>
        <w:textAlignment w:val="auto"/>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rPr>
        <w:t>附件</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兴安盟行政审批政务服务与数据管理局评审勘验专家库和评审勘验专家管理办法</w:t>
      </w: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仿宋_GB2312" w:hAnsi="仿宋_GB2312" w:eastAsia="仿宋_GB2312" w:cs="仿宋_GB2312"/>
          <w:b w:val="0"/>
          <w:bCs w:val="0"/>
          <w:sz w:val="32"/>
          <w:szCs w:val="32"/>
          <w:highlight w:val="none"/>
          <w:lang w:val="en-US" w:eastAsia="zh-CN"/>
        </w:rPr>
      </w:pP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仿宋_GB2312" w:hAnsi="仿宋_GB2312" w:eastAsia="仿宋_GB2312" w:cs="仿宋_GB2312"/>
          <w:b w:val="0"/>
          <w:bCs w:val="0"/>
          <w:sz w:val="32"/>
          <w:szCs w:val="32"/>
          <w:highlight w:val="none"/>
          <w:lang w:val="en-US" w:eastAsia="zh-CN"/>
        </w:rPr>
      </w:pPr>
    </w:p>
    <w:p>
      <w:pPr>
        <w:keepNext w:val="0"/>
        <w:keepLines w:val="0"/>
        <w:pageBreakBefore w:val="0"/>
        <w:shd w:val="clear"/>
        <w:kinsoku/>
        <w:wordWrap/>
        <w:overflowPunct/>
        <w:topLinePunct w:val="0"/>
        <w:autoSpaceDE/>
        <w:autoSpaceDN/>
        <w:bidi w:val="0"/>
        <w:adjustRightInd/>
        <w:snapToGrid/>
        <w:spacing w:line="610" w:lineRule="exact"/>
        <w:jc w:val="right"/>
        <w:textAlignment w:val="auto"/>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兴安盟行政审批政务服务与数据管理局</w:t>
      </w:r>
    </w:p>
    <w:p>
      <w:pPr>
        <w:keepNext w:val="0"/>
        <w:keepLines w:val="0"/>
        <w:pageBreakBefore w:val="0"/>
        <w:shd w:val="clear"/>
        <w:kinsoku/>
        <w:wordWrap w:val="0"/>
        <w:overflowPunct/>
        <w:topLinePunct w:val="0"/>
        <w:autoSpaceDE/>
        <w:autoSpaceDN/>
        <w:bidi w:val="0"/>
        <w:adjustRightInd/>
        <w:snapToGrid/>
        <w:spacing w:line="610" w:lineRule="exact"/>
        <w:jc w:val="right"/>
        <w:textAlignment w:val="auto"/>
        <w:rPr>
          <w:rFonts w:hint="default" w:ascii="仿宋" w:hAnsi="仿宋" w:eastAsia="仿宋_GB2312" w:cs="仿宋"/>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2</w:t>
      </w:r>
      <w:r>
        <w:rPr>
          <w:rFonts w:hint="eastAsia" w:ascii="仿宋_GB2312" w:hAnsi="仿宋_GB2312" w:eastAsia="仿宋_GB2312" w:cs="仿宋_GB2312"/>
          <w:b w:val="0"/>
          <w:bCs w:val="0"/>
          <w:sz w:val="32"/>
          <w:szCs w:val="32"/>
          <w:highlight w:val="none"/>
        </w:rPr>
        <w:t>02</w:t>
      </w:r>
      <w:r>
        <w:rPr>
          <w:rFonts w:hint="eastAsia" w:ascii="仿宋_GB2312" w:hAnsi="仿宋_GB2312" w:eastAsia="仿宋_GB2312" w:cs="仿宋_GB2312"/>
          <w:b w:val="0"/>
          <w:bCs w:val="0"/>
          <w:sz w:val="32"/>
          <w:szCs w:val="32"/>
          <w:highlight w:val="none"/>
          <w:lang w:val="en-US" w:eastAsia="zh-CN"/>
        </w:rPr>
        <w:t>6</w:t>
      </w:r>
      <w:r>
        <w:rPr>
          <w:rFonts w:hint="eastAsia" w:ascii="仿宋_GB2312" w:hAnsi="仿宋_GB2312" w:eastAsia="仿宋_GB2312" w:cs="仿宋_GB2312"/>
          <w:b w:val="0"/>
          <w:bCs w:val="0"/>
          <w:sz w:val="32"/>
          <w:szCs w:val="32"/>
          <w:highlight w:val="none"/>
        </w:rPr>
        <w:t>年</w:t>
      </w:r>
      <w:r>
        <w:rPr>
          <w:rFonts w:hint="eastAsia" w:ascii="仿宋_GB2312" w:hAnsi="仿宋_GB2312" w:eastAsia="仿宋_GB2312" w:cs="仿宋_GB2312"/>
          <w:b w:val="0"/>
          <w:bCs w:val="0"/>
          <w:sz w:val="32"/>
          <w:szCs w:val="32"/>
          <w:highlight w:val="none"/>
          <w:lang w:val="en-US" w:eastAsia="zh-CN"/>
        </w:rPr>
        <w:t>8</w:t>
      </w:r>
      <w:r>
        <w:rPr>
          <w:rFonts w:hint="eastAsia" w:ascii="仿宋_GB2312" w:hAnsi="仿宋_GB2312" w:eastAsia="仿宋_GB2312" w:cs="仿宋_GB2312"/>
          <w:b w:val="0"/>
          <w:bCs w:val="0"/>
          <w:sz w:val="32"/>
          <w:szCs w:val="32"/>
          <w:highlight w:val="none"/>
        </w:rPr>
        <w:t>月</w:t>
      </w:r>
      <w:r>
        <w:rPr>
          <w:rFonts w:hint="eastAsia" w:ascii="仿宋_GB2312" w:hAnsi="仿宋_GB2312" w:eastAsia="仿宋_GB2312" w:cs="仿宋_GB2312"/>
          <w:b w:val="0"/>
          <w:bCs w:val="0"/>
          <w:sz w:val="32"/>
          <w:szCs w:val="32"/>
          <w:highlight w:val="none"/>
          <w:lang w:val="en-US" w:eastAsia="zh-CN"/>
        </w:rPr>
        <w:t>12</w:t>
      </w:r>
      <w:r>
        <w:rPr>
          <w:rFonts w:hint="eastAsia" w:ascii="仿宋_GB2312" w:hAnsi="仿宋_GB2312" w:eastAsia="仿宋_GB2312" w:cs="仿宋_GB2312"/>
          <w:b w:val="0"/>
          <w:bCs w:val="0"/>
          <w:sz w:val="32"/>
          <w:szCs w:val="32"/>
          <w:highlight w:val="none"/>
        </w:rPr>
        <w:t>日</w:t>
      </w:r>
      <w:r>
        <w:rPr>
          <w:rFonts w:hint="eastAsia" w:ascii="仿宋_GB2312" w:hAnsi="仿宋_GB2312" w:eastAsia="仿宋_GB2312" w:cs="仿宋_GB2312"/>
          <w:b w:val="0"/>
          <w:bCs w:val="0"/>
          <w:sz w:val="32"/>
          <w:szCs w:val="32"/>
          <w:highlight w:val="none"/>
          <w:lang w:val="en-US" w:eastAsia="zh-CN"/>
        </w:rPr>
        <w:t xml:space="preserve">        </w:t>
      </w: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仿宋" w:hAnsi="仿宋" w:eastAsia="仿宋" w:cs="仿宋"/>
          <w:b w:val="0"/>
          <w:bCs w:val="0"/>
          <w:sz w:val="32"/>
          <w:szCs w:val="32"/>
          <w:highlight w:val="none"/>
        </w:rPr>
      </w:pPr>
    </w:p>
    <w:p>
      <w:pPr>
        <w:keepNext w:val="0"/>
        <w:keepLines w:val="0"/>
        <w:pageBreakBefore w:val="0"/>
        <w:shd w:val="clear"/>
        <w:kinsoku/>
        <w:wordWrap/>
        <w:overflowPunct/>
        <w:topLinePunct w:val="0"/>
        <w:autoSpaceDE/>
        <w:autoSpaceDN/>
        <w:bidi w:val="0"/>
        <w:adjustRightInd/>
        <w:snapToGrid/>
        <w:spacing w:line="610" w:lineRule="exact"/>
        <w:ind w:left="1598" w:leftChars="304" w:hanging="960" w:hangingChars="300"/>
        <w:jc w:val="both"/>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联系人：邱富，联系方式：18648232187</w:t>
      </w:r>
      <w:r>
        <w:rPr>
          <w:rFonts w:hint="eastAsia" w:ascii="仿宋_GB2312" w:hAnsi="仿宋_GB2312" w:eastAsia="仿宋_GB2312" w:cs="仿宋_GB2312"/>
          <w:b w:val="0"/>
          <w:bCs w:val="0"/>
          <w:sz w:val="32"/>
          <w:szCs w:val="32"/>
          <w:highlight w:val="none"/>
          <w:lang w:eastAsia="zh-CN"/>
        </w:rPr>
        <w:t>）</w:t>
      </w: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仿宋" w:hAnsi="仿宋" w:eastAsia="仿宋" w:cs="仿宋"/>
          <w:b/>
          <w:sz w:val="32"/>
          <w:szCs w:val="32"/>
          <w:highlight w:val="none"/>
        </w:rPr>
      </w:pP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仿宋" w:hAnsi="仿宋" w:eastAsia="仿宋" w:cs="仿宋"/>
          <w:b/>
          <w:sz w:val="32"/>
          <w:szCs w:val="32"/>
          <w:highlight w:val="none"/>
        </w:rPr>
      </w:pP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楷体" w:hAnsi="楷体" w:eastAsia="楷体" w:cs="楷体"/>
          <w:b w:val="0"/>
          <w:bCs/>
          <w:sz w:val="32"/>
          <w:szCs w:val="32"/>
          <w:highlight w:val="none"/>
        </w:rPr>
      </w:pP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楷体" w:hAnsi="楷体" w:eastAsia="楷体" w:cs="楷体"/>
          <w:b w:val="0"/>
          <w:bCs/>
          <w:sz w:val="32"/>
          <w:szCs w:val="32"/>
          <w:highlight w:val="none"/>
        </w:rPr>
      </w:pP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楷体" w:hAnsi="楷体" w:eastAsia="楷体" w:cs="楷体"/>
          <w:b w:val="0"/>
          <w:bCs/>
          <w:sz w:val="32"/>
          <w:szCs w:val="32"/>
          <w:highlight w:val="none"/>
        </w:rPr>
      </w:pP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楷体" w:hAnsi="楷体" w:eastAsia="楷体" w:cs="楷体"/>
          <w:b w:val="0"/>
          <w:bCs/>
          <w:sz w:val="32"/>
          <w:szCs w:val="32"/>
          <w:highlight w:val="none"/>
        </w:rPr>
      </w:pP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楷体" w:hAnsi="楷体" w:eastAsia="楷体" w:cs="楷体"/>
          <w:b w:val="0"/>
          <w:bCs/>
          <w:sz w:val="32"/>
          <w:szCs w:val="32"/>
          <w:highlight w:val="none"/>
        </w:rPr>
      </w:pP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楷体" w:hAnsi="楷体" w:eastAsia="楷体" w:cs="楷体"/>
          <w:b w:val="0"/>
          <w:bCs/>
          <w:sz w:val="32"/>
          <w:szCs w:val="32"/>
          <w:highlight w:val="none"/>
        </w:rPr>
      </w:pP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楷体" w:hAnsi="楷体" w:eastAsia="楷体" w:cs="楷体"/>
          <w:b w:val="0"/>
          <w:bCs/>
          <w:sz w:val="32"/>
          <w:szCs w:val="32"/>
          <w:highlight w:val="none"/>
        </w:rPr>
      </w:pPr>
    </w:p>
    <w:p>
      <w:pPr>
        <w:keepNext w:val="0"/>
        <w:keepLines w:val="0"/>
        <w:pageBreakBefore w:val="0"/>
        <w:shd w:val="clear"/>
        <w:kinsoku/>
        <w:wordWrap/>
        <w:overflowPunct/>
        <w:topLinePunct w:val="0"/>
        <w:autoSpaceDE/>
        <w:autoSpaceDN/>
        <w:bidi w:val="0"/>
        <w:adjustRightInd/>
        <w:snapToGrid/>
        <w:spacing w:line="610" w:lineRule="exact"/>
        <w:jc w:val="both"/>
        <w:textAlignment w:val="auto"/>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附件</w:t>
      </w:r>
    </w:p>
    <w:p>
      <w:pPr>
        <w:pStyle w:val="10"/>
        <w:keepNext w:val="0"/>
        <w:keepLines w:val="0"/>
        <w:pageBreakBefore w:val="0"/>
        <w:kinsoku/>
        <w:wordWrap/>
        <w:overflowPunct/>
        <w:topLinePunct w:val="0"/>
        <w:autoSpaceDE/>
        <w:autoSpaceDN/>
        <w:bidi w:val="0"/>
        <w:adjustRightInd/>
        <w:snapToGrid/>
        <w:spacing w:after="0" w:afterLines="0" w:line="610" w:lineRule="exact"/>
        <w:jc w:val="both"/>
        <w:textAlignment w:val="auto"/>
        <w:rPr>
          <w:rFonts w:hint="eastAsia"/>
          <w:highlight w:val="none"/>
        </w:rPr>
      </w:pPr>
    </w:p>
    <w:p>
      <w:pPr>
        <w:keepNext w:val="0"/>
        <w:keepLines w:val="0"/>
        <w:pageBreakBefore w:val="0"/>
        <w:widowControl/>
        <w:shd w:val="clear"/>
        <w:kinsoku/>
        <w:wordWrap/>
        <w:overflowPunct/>
        <w:topLinePunct w:val="0"/>
        <w:autoSpaceDE/>
        <w:autoSpaceDN/>
        <w:bidi w:val="0"/>
        <w:adjustRightInd/>
        <w:snapToGrid/>
        <w:spacing w:line="61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兴安盟行政审批政务服务与数据管理局</w:t>
      </w:r>
    </w:p>
    <w:p>
      <w:pPr>
        <w:keepNext w:val="0"/>
        <w:keepLines w:val="0"/>
        <w:pageBreakBefore w:val="0"/>
        <w:widowControl/>
        <w:shd w:val="clear"/>
        <w:kinsoku/>
        <w:wordWrap/>
        <w:overflowPunct/>
        <w:topLinePunct w:val="0"/>
        <w:autoSpaceDE/>
        <w:autoSpaceDN/>
        <w:bidi w:val="0"/>
        <w:adjustRightInd/>
        <w:snapToGrid/>
        <w:spacing w:line="61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评审勘验专家库和评审勘验专家管理办法</w:t>
      </w:r>
    </w:p>
    <w:p>
      <w:pPr>
        <w:keepNext w:val="0"/>
        <w:keepLines w:val="0"/>
        <w:pageBreakBefore w:val="0"/>
        <w:widowControl/>
        <w:shd w:val="clear"/>
        <w:kinsoku/>
        <w:wordWrap/>
        <w:overflowPunct/>
        <w:topLinePunct w:val="0"/>
        <w:autoSpaceDE/>
        <w:autoSpaceDN/>
        <w:bidi w:val="0"/>
        <w:adjustRightInd/>
        <w:snapToGrid/>
        <w:spacing w:line="610" w:lineRule="exact"/>
        <w:jc w:val="both"/>
        <w:textAlignment w:val="auto"/>
        <w:rPr>
          <w:rFonts w:hint="eastAsia" w:ascii="仿宋" w:hAnsi="仿宋" w:eastAsia="仿宋" w:cs="仿宋"/>
          <w:color w:val="454545"/>
          <w:kern w:val="0"/>
          <w:sz w:val="32"/>
          <w:szCs w:val="32"/>
          <w:highlight w:val="none"/>
        </w:rPr>
      </w:pPr>
    </w:p>
    <w:p>
      <w:pPr>
        <w:keepNext w:val="0"/>
        <w:keepLines w:val="0"/>
        <w:pageBreakBefore w:val="0"/>
        <w:widowControl w:val="0"/>
        <w:shd w:val="clear"/>
        <w:kinsoku/>
        <w:wordWrap/>
        <w:overflowPunct/>
        <w:topLinePunct w:val="0"/>
        <w:autoSpaceDE/>
        <w:autoSpaceDN/>
        <w:bidi w:val="0"/>
        <w:adjustRightInd/>
        <w:snapToGrid/>
        <w:spacing w:line="610" w:lineRule="exact"/>
        <w:jc w:val="center"/>
        <w:textAlignment w:val="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第一章　总　则</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第一条</w:t>
      </w:r>
      <w:r>
        <w:rPr>
          <w:rFonts w:hint="eastAsia" w:ascii="仿宋_GB2312" w:hAnsi="仿宋_GB2312" w:eastAsia="仿宋_GB2312" w:cs="仿宋_GB2312"/>
          <w:sz w:val="32"/>
          <w:szCs w:val="32"/>
          <w:highlight w:val="none"/>
        </w:rPr>
        <w:t xml:space="preserve"> 为加强评审勘验专家库的管理，规范评审勘验专家行为和评审勘验专家劳务报酬，提高评审勘验工作质量，切实减轻企业负担</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根据《</w:t>
      </w:r>
      <w:r>
        <w:rPr>
          <w:rFonts w:hint="eastAsia" w:ascii="仿宋_GB2312" w:hAnsi="仿宋_GB2312" w:eastAsia="仿宋_GB2312" w:cs="仿宋_GB2312"/>
          <w:sz w:val="32"/>
          <w:szCs w:val="32"/>
          <w:highlight w:val="none"/>
          <w:lang w:val="en-US" w:eastAsia="zh-CN"/>
        </w:rPr>
        <w:t>中华人民共和国</w:t>
      </w:r>
      <w:r>
        <w:rPr>
          <w:rFonts w:hint="eastAsia" w:ascii="仿宋_GB2312" w:hAnsi="仿宋_GB2312" w:eastAsia="仿宋_GB2312" w:cs="仿宋_GB2312"/>
          <w:sz w:val="32"/>
          <w:szCs w:val="32"/>
          <w:highlight w:val="none"/>
        </w:rPr>
        <w:t>行政许可法》、《内蒙古自治区人民政府办公厅印发</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内蒙古自治区综合评标专家库和评标专家管理办法</w:t>
      </w:r>
      <w:r>
        <w:rPr>
          <w:rFonts w:hint="eastAsia" w:ascii="仿宋_GB2312" w:hAnsi="仿宋_GB2312" w:eastAsia="仿宋_GB2312" w:cs="仿宋_GB2312"/>
          <w:sz w:val="32"/>
          <w:szCs w:val="32"/>
          <w:highlight w:val="none"/>
          <w:lang w:eastAsia="zh-CN"/>
        </w:rPr>
        <w:t>〉的通知》</w:t>
      </w:r>
      <w:r>
        <w:rPr>
          <w:rFonts w:hint="eastAsia" w:ascii="仿宋_GB2312" w:hAnsi="仿宋_GB2312" w:eastAsia="仿宋_GB2312" w:cs="仿宋_GB2312"/>
          <w:sz w:val="32"/>
          <w:szCs w:val="32"/>
          <w:highlight w:val="none"/>
        </w:rPr>
        <w:t>（内政办发〔2026〕9号）和内蒙古公共资源交易中心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关于印发</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内蒙古自治区公共资源交易评标评审专家劳务报酬支付标准</w:t>
      </w:r>
      <w:r>
        <w:rPr>
          <w:rFonts w:hint="eastAsia" w:ascii="仿宋_GB2312" w:hAnsi="仿宋_GB2312" w:eastAsia="仿宋_GB2312" w:cs="仿宋_GB2312"/>
          <w:sz w:val="32"/>
          <w:szCs w:val="32"/>
          <w:highlight w:val="none"/>
          <w:lang w:eastAsia="zh-CN"/>
        </w:rPr>
        <w:t>〉的通知》</w:t>
      </w:r>
      <w:r>
        <w:rPr>
          <w:rFonts w:hint="eastAsia" w:ascii="仿宋_GB2312" w:hAnsi="仿宋_GB2312" w:eastAsia="仿宋_GB2312" w:cs="仿宋_GB2312"/>
          <w:sz w:val="32"/>
          <w:szCs w:val="32"/>
          <w:highlight w:val="none"/>
        </w:rPr>
        <w:t>（内公资发〔2023〕15号）的有关规定，结合全盟评审勘验</w:t>
      </w:r>
      <w:r>
        <w:rPr>
          <w:rFonts w:hint="eastAsia" w:ascii="仿宋_GB2312" w:hAnsi="仿宋_GB2312" w:eastAsia="仿宋_GB2312" w:cs="仿宋_GB2312"/>
          <w:sz w:val="32"/>
          <w:szCs w:val="32"/>
          <w:highlight w:val="none"/>
          <w:lang w:eastAsia="zh-CN"/>
        </w:rPr>
        <w:t>工作实际，制定本办法</w:t>
      </w:r>
      <w:r>
        <w:rPr>
          <w:rFonts w:hint="eastAsia" w:ascii="仿宋_GB2312" w:hAnsi="仿宋_GB2312" w:eastAsia="仿宋_GB2312" w:cs="仿宋_GB2312"/>
          <w:sz w:val="32"/>
          <w:szCs w:val="32"/>
          <w:highlight w:val="none"/>
        </w:rPr>
        <w:t>。</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rPr>
        <w:t>第二条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本办法适用于兴安盟评审勘验专家库（以下简称专家库）的组建、使用、管理，以及</w:t>
      </w:r>
      <w:r>
        <w:rPr>
          <w:rFonts w:hint="eastAsia" w:ascii="仿宋_GB2312" w:hAnsi="仿宋_GB2312" w:eastAsia="仿宋_GB2312" w:cs="仿宋_GB2312"/>
          <w:sz w:val="32"/>
          <w:szCs w:val="32"/>
          <w:highlight w:val="none"/>
          <w:lang w:val="en-US" w:eastAsia="zh-CN"/>
        </w:rPr>
        <w:t>兴安盟</w:t>
      </w:r>
      <w:r>
        <w:rPr>
          <w:rFonts w:hint="eastAsia" w:ascii="仿宋_GB2312" w:hAnsi="仿宋_GB2312" w:eastAsia="仿宋_GB2312" w:cs="仿宋_GB2312"/>
          <w:sz w:val="32"/>
          <w:szCs w:val="32"/>
          <w:highlight w:val="none"/>
        </w:rPr>
        <w:t>评审勘验专家（以下简称专家）的</w:t>
      </w:r>
      <w:r>
        <w:rPr>
          <w:rFonts w:hint="eastAsia" w:ascii="仿宋_GB2312" w:hAnsi="仿宋_GB2312" w:eastAsia="仿宋_GB2312" w:cs="仿宋_GB2312"/>
          <w:sz w:val="32"/>
          <w:szCs w:val="32"/>
          <w:highlight w:val="none"/>
          <w:lang w:val="en-US" w:eastAsia="zh-CN"/>
        </w:rPr>
        <w:t>入库</w:t>
      </w:r>
      <w:r>
        <w:rPr>
          <w:rFonts w:hint="eastAsia" w:ascii="仿宋_GB2312" w:hAnsi="仿宋_GB2312" w:eastAsia="仿宋_GB2312" w:cs="仿宋_GB2312"/>
          <w:sz w:val="32"/>
          <w:szCs w:val="32"/>
          <w:highlight w:val="none"/>
        </w:rPr>
        <w:t>、审核、抽取、退出、劳务报酬发放等活动</w:t>
      </w:r>
      <w:r>
        <w:rPr>
          <w:rFonts w:hint="eastAsia" w:ascii="仿宋_GB2312" w:hAnsi="仿宋_GB2312" w:eastAsia="仿宋_GB2312" w:cs="仿宋_GB2312"/>
          <w:sz w:val="32"/>
          <w:szCs w:val="32"/>
          <w:highlight w:val="none"/>
          <w:lang w:eastAsia="zh-CN"/>
        </w:rPr>
        <w:t>。</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第三条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专家库的组建、使用和管理，应当坚持党的领导，牢牢把握铸牢中华民族共同体意识工作主线，遵循统一组建、资源共享、科学管理、公开公正、随机抽取的原则。</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第四条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专家库由兴安盟行政审批政务服务与数据管理局（以下简称盟政数局）负责组织开发专家库管理系统（以下简称专家库管理系统），承担专家库日常运行和技术维护工作。盟直各有关部门积极配合，认真做好相关专业技术支撑工作。</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p>
    <w:p>
      <w:pPr>
        <w:keepNext w:val="0"/>
        <w:keepLines w:val="0"/>
        <w:pageBreakBefore w:val="0"/>
        <w:widowControl w:val="0"/>
        <w:shd w:val="clear"/>
        <w:kinsoku/>
        <w:wordWrap/>
        <w:overflowPunct/>
        <w:topLinePunct w:val="0"/>
        <w:autoSpaceDE/>
        <w:autoSpaceDN/>
        <w:bidi w:val="0"/>
        <w:adjustRightInd/>
        <w:snapToGrid/>
        <w:spacing w:line="610" w:lineRule="exact"/>
        <w:jc w:val="center"/>
        <w:textAlignment w:val="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第二章　专家入库管理</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第五条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入选专家库的专家，除符合国家法律法规规定的条件外，仍按照现行国家行业行政监督管理部门对相关行业专家的入库条件执行。专家需具备</w:t>
      </w:r>
      <w:r>
        <w:rPr>
          <w:rFonts w:hint="eastAsia" w:ascii="仿宋_GB2312" w:hAnsi="仿宋_GB2312" w:eastAsia="仿宋_GB2312" w:cs="仿宋_GB2312"/>
          <w:sz w:val="32"/>
          <w:szCs w:val="32"/>
          <w:highlight w:val="none"/>
          <w:lang w:val="en-US" w:eastAsia="zh-CN"/>
        </w:rPr>
        <w:t>以下</w:t>
      </w:r>
      <w:r>
        <w:rPr>
          <w:rFonts w:hint="eastAsia" w:ascii="仿宋_GB2312" w:hAnsi="仿宋_GB2312" w:eastAsia="仿宋_GB2312" w:cs="仿宋_GB2312"/>
          <w:sz w:val="32"/>
          <w:szCs w:val="32"/>
          <w:highlight w:val="none"/>
        </w:rPr>
        <w:t>基本条件：</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（一）遵纪守法、作风正派、坚持原则、廉洁公正、保守秘密。</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（二）具有国家级、自治区级、盟级相关专业认证、评审或现场勘验资格，熟悉评审勘验项目的法律法规和评审勘验标准、程序。</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（三）热</w:t>
      </w:r>
      <w:r>
        <w:rPr>
          <w:rFonts w:hint="eastAsia" w:ascii="仿宋_GB2312" w:hAnsi="仿宋_GB2312" w:eastAsia="仿宋_GB2312" w:cs="仿宋_GB2312"/>
          <w:sz w:val="32"/>
          <w:szCs w:val="32"/>
          <w:highlight w:val="none"/>
        </w:rPr>
        <w:t>爱评审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工作，身体健康，能够</w:t>
      </w:r>
      <w:r>
        <w:rPr>
          <w:rFonts w:hint="eastAsia" w:ascii="仿宋_GB2312" w:hAnsi="仿宋_GB2312" w:eastAsia="仿宋_GB2312" w:cs="仿宋_GB2312"/>
          <w:sz w:val="32"/>
          <w:szCs w:val="32"/>
          <w:highlight w:val="none"/>
          <w:lang w:val="en-US" w:eastAsia="zh-CN"/>
        </w:rPr>
        <w:t>承担</w:t>
      </w:r>
      <w:r>
        <w:rPr>
          <w:rFonts w:hint="eastAsia" w:ascii="仿宋_GB2312" w:hAnsi="仿宋_GB2312" w:eastAsia="仿宋_GB2312" w:cs="仿宋_GB2312"/>
          <w:sz w:val="32"/>
          <w:szCs w:val="32"/>
          <w:highlight w:val="none"/>
        </w:rPr>
        <w:t>评审</w:t>
      </w:r>
      <w:r>
        <w:rPr>
          <w:rFonts w:hint="eastAsia" w:ascii="仿宋_GB2312" w:hAnsi="仿宋_GB2312" w:eastAsia="仿宋_GB2312" w:cs="仿宋_GB2312"/>
          <w:sz w:val="32"/>
          <w:szCs w:val="32"/>
          <w:highlight w:val="none"/>
          <w:lang w:val="en-US" w:eastAsia="zh-CN"/>
        </w:rPr>
        <w:t>勘验任务</w:t>
      </w:r>
      <w:r>
        <w:rPr>
          <w:rFonts w:hint="eastAsia" w:ascii="仿宋_GB2312" w:hAnsi="仿宋_GB2312" w:eastAsia="仿宋_GB2312" w:cs="仿宋_GB2312"/>
          <w:sz w:val="32"/>
          <w:szCs w:val="32"/>
          <w:highlight w:val="none"/>
        </w:rPr>
        <w:t>。</w:t>
      </w:r>
    </w:p>
    <w:p>
      <w:pPr>
        <w:keepNext w:val="0"/>
        <w:keepLines w:val="0"/>
        <w:pageBreakBefore w:val="0"/>
        <w:widowControl w:val="0"/>
        <w:suppressLineNumbers w:val="0"/>
        <w:kinsoku/>
        <w:wordWrap/>
        <w:overflowPunct/>
        <w:topLinePunct w:val="0"/>
        <w:autoSpaceDE/>
        <w:autoSpaceDN/>
        <w:bidi w:val="0"/>
        <w:adjustRightInd/>
        <w:snapToGrid/>
        <w:spacing w:line="610" w:lineRule="exact"/>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b/>
          <w:bCs/>
          <w:sz w:val="32"/>
          <w:szCs w:val="32"/>
          <w:highlight w:val="none"/>
          <w:lang w:val="en-US" w:eastAsia="zh-CN"/>
        </w:rPr>
        <w:t xml:space="preserve">第六条 </w:t>
      </w:r>
      <w:r>
        <w:rPr>
          <w:rFonts w:hint="eastAsia" w:ascii="仿宋_GB2312" w:hAnsi="仿宋_GB2312" w:eastAsia="仿宋_GB2312" w:cs="仿宋_GB2312"/>
          <w:color w:val="000000"/>
          <w:kern w:val="0"/>
          <w:sz w:val="32"/>
          <w:szCs w:val="32"/>
          <w:lang w:val="en-US" w:eastAsia="zh-CN" w:bidi="ar"/>
        </w:rPr>
        <w:t xml:space="preserve">申请人有下列情形之一的，不得入选专家库： </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（一）无民事行为能力或者限制民事行为能力的； </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（二）被有关行政监督部门取消相关评审、勘验或者评标资格的； </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 xml:space="preserve">（三）被开除公职的； </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 xml:space="preserve">（四）受过刑事处罚的； </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 xml:space="preserve">（五）被列入严重失信主体名单的； </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val="en-US" w:eastAsia="zh-CN"/>
        </w:rPr>
        <w:t>（六）法律、</w:t>
      </w:r>
      <w:r>
        <w:rPr>
          <w:rFonts w:hint="eastAsia" w:ascii="仿宋_GB2312" w:hAnsi="仿宋_GB2312" w:eastAsia="仿宋_GB2312" w:cs="仿宋_GB2312"/>
          <w:color w:val="000000"/>
          <w:kern w:val="0"/>
          <w:sz w:val="32"/>
          <w:szCs w:val="32"/>
          <w:lang w:val="en-US" w:eastAsia="zh-CN" w:bidi="ar"/>
        </w:rPr>
        <w:t>法规、规章规定的其他情形。</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w:t>
      </w:r>
      <w:r>
        <w:rPr>
          <w:rFonts w:hint="eastAsia" w:ascii="仿宋_GB2312" w:hAnsi="仿宋_GB2312" w:eastAsia="仿宋_GB2312" w:cs="仿宋_GB2312"/>
          <w:b/>
          <w:bCs/>
          <w:sz w:val="32"/>
          <w:szCs w:val="32"/>
          <w:highlight w:val="none"/>
          <w:lang w:val="en-US" w:eastAsia="zh-CN"/>
        </w:rPr>
        <w:t>七</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专家</w:t>
      </w:r>
      <w:r>
        <w:rPr>
          <w:rFonts w:hint="eastAsia" w:ascii="仿宋_GB2312" w:hAnsi="仿宋_GB2312" w:eastAsia="仿宋_GB2312" w:cs="仿宋_GB2312"/>
          <w:sz w:val="32"/>
          <w:szCs w:val="32"/>
          <w:highlight w:val="none"/>
          <w:lang w:val="en-US" w:eastAsia="zh-CN"/>
        </w:rPr>
        <w:t>入库主要有</w:t>
      </w:r>
      <w:r>
        <w:rPr>
          <w:rFonts w:hint="eastAsia" w:ascii="仿宋_GB2312" w:hAnsi="仿宋_GB2312" w:eastAsia="仿宋_GB2312" w:cs="仿宋_GB2312"/>
          <w:sz w:val="32"/>
          <w:szCs w:val="32"/>
          <w:highlight w:val="none"/>
        </w:rPr>
        <w:t>相关行政主管部门推荐和社会公开招聘</w:t>
      </w:r>
      <w:r>
        <w:rPr>
          <w:rFonts w:hint="eastAsia" w:ascii="仿宋_GB2312" w:hAnsi="仿宋_GB2312" w:eastAsia="仿宋_GB2312" w:cs="仿宋_GB2312"/>
          <w:sz w:val="32"/>
          <w:szCs w:val="32"/>
          <w:highlight w:val="none"/>
          <w:lang w:val="en-US" w:eastAsia="zh-CN"/>
        </w:rPr>
        <w:t>两种主要方式</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具体方式由</w:t>
      </w:r>
      <w:r>
        <w:rPr>
          <w:rFonts w:hint="eastAsia" w:ascii="仿宋_GB2312" w:hAnsi="仿宋_GB2312" w:eastAsia="仿宋_GB2312" w:cs="仿宋_GB2312"/>
          <w:sz w:val="32"/>
          <w:szCs w:val="32"/>
          <w:highlight w:val="none"/>
        </w:rPr>
        <w:t>盟政数局</w:t>
      </w:r>
      <w:r>
        <w:rPr>
          <w:rFonts w:hint="eastAsia" w:ascii="仿宋_GB2312" w:hAnsi="仿宋_GB2312" w:eastAsia="仿宋_GB2312" w:cs="仿宋_GB2312"/>
          <w:sz w:val="32"/>
          <w:szCs w:val="32"/>
          <w:highlight w:val="none"/>
          <w:lang w:val="en-US" w:eastAsia="zh-CN"/>
        </w:rPr>
        <w:t>根据项目实际情况确定</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入库</w:t>
      </w:r>
      <w:r>
        <w:rPr>
          <w:rFonts w:hint="eastAsia" w:ascii="仿宋_GB2312" w:hAnsi="仿宋_GB2312" w:eastAsia="仿宋_GB2312" w:cs="仿宋_GB2312"/>
          <w:sz w:val="32"/>
          <w:szCs w:val="32"/>
          <w:highlight w:val="none"/>
        </w:rPr>
        <w:t>工作由盟政数局负责，</w:t>
      </w:r>
      <w:r>
        <w:rPr>
          <w:rFonts w:hint="eastAsia" w:ascii="仿宋_GB2312" w:hAnsi="仿宋_GB2312" w:eastAsia="仿宋_GB2312" w:cs="仿宋_GB2312"/>
          <w:sz w:val="32"/>
          <w:szCs w:val="32"/>
          <w:highlight w:val="none"/>
          <w:lang w:val="en-US" w:eastAsia="zh-CN"/>
        </w:rPr>
        <w:t>选用</w:t>
      </w:r>
      <w:r>
        <w:rPr>
          <w:rFonts w:hint="eastAsia" w:ascii="仿宋_GB2312" w:hAnsi="仿宋_GB2312" w:eastAsia="仿宋_GB2312" w:cs="仿宋_GB2312"/>
          <w:sz w:val="32"/>
          <w:szCs w:val="32"/>
          <w:highlight w:val="none"/>
        </w:rPr>
        <w:t>程序包括：</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（一）发布推荐通知。明确专家库类别、选用条件、申请时间、申请方式和流程以及需要提交的材料等。</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（二）审核</w:t>
      </w:r>
      <w:r>
        <w:rPr>
          <w:rFonts w:hint="eastAsia" w:ascii="仿宋_GB2312" w:hAnsi="仿宋_GB2312" w:eastAsia="仿宋_GB2312" w:cs="仿宋_GB2312"/>
          <w:sz w:val="32"/>
          <w:szCs w:val="32"/>
          <w:highlight w:val="none"/>
          <w:lang w:val="en-US" w:eastAsia="zh-CN"/>
        </w:rPr>
        <w:t>入库</w:t>
      </w:r>
      <w:r>
        <w:rPr>
          <w:rFonts w:hint="eastAsia" w:ascii="仿宋_GB2312" w:hAnsi="仿宋_GB2312" w:eastAsia="仿宋_GB2312" w:cs="仿宋_GB2312"/>
          <w:sz w:val="32"/>
          <w:szCs w:val="32"/>
          <w:highlight w:val="none"/>
        </w:rPr>
        <w:t>申请。专家库工作领导小组对申请人是否符合选用条件进行审核。</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w:t>
      </w:r>
      <w:r>
        <w:rPr>
          <w:rFonts w:hint="eastAsia" w:ascii="仿宋_GB2312" w:hAnsi="仿宋_GB2312" w:eastAsia="仿宋_GB2312" w:cs="仿宋_GB2312"/>
          <w:sz w:val="32"/>
          <w:szCs w:val="32"/>
          <w:highlight w:val="none"/>
          <w:lang w:val="en-US" w:eastAsia="zh-CN"/>
        </w:rPr>
        <w:t>公示环节。对审核通过的</w:t>
      </w:r>
      <w:r>
        <w:rPr>
          <w:rFonts w:hint="eastAsia" w:ascii="仿宋_GB2312" w:hAnsi="仿宋_GB2312" w:eastAsia="仿宋_GB2312" w:cs="仿宋_GB2312"/>
          <w:sz w:val="32"/>
          <w:szCs w:val="32"/>
          <w:highlight w:val="none"/>
        </w:rPr>
        <w:t>专家</w:t>
      </w:r>
      <w:r>
        <w:rPr>
          <w:rFonts w:hint="eastAsia" w:ascii="仿宋_GB2312" w:hAnsi="仿宋_GB2312" w:eastAsia="仿宋_GB2312" w:cs="仿宋_GB2312"/>
          <w:sz w:val="32"/>
          <w:szCs w:val="32"/>
          <w:highlight w:val="none"/>
          <w:lang w:val="en-US" w:eastAsia="zh-CN"/>
        </w:rPr>
        <w:t>候选人名单进行公示</w:t>
      </w:r>
      <w:r>
        <w:rPr>
          <w:rFonts w:hint="eastAsia" w:ascii="仿宋_GB2312" w:hAnsi="仿宋_GB2312" w:eastAsia="仿宋_GB2312" w:cs="仿宋_GB2312"/>
          <w:sz w:val="32"/>
          <w:szCs w:val="32"/>
          <w:highlight w:val="none"/>
        </w:rPr>
        <w:t>。任何单位或个人如对公示人员持有异议，可自公示之日起</w:t>
      </w:r>
      <w:r>
        <w:rPr>
          <w:rFonts w:hint="eastAsia" w:ascii="仿宋_GB2312" w:hAnsi="仿宋_GB2312" w:eastAsia="仿宋_GB2312" w:cs="仿宋_GB2312"/>
          <w:sz w:val="32"/>
          <w:szCs w:val="32"/>
          <w:highlight w:val="none"/>
          <w:lang w:eastAsia="zh-CN"/>
        </w:rPr>
        <w:t>5个工作日</w:t>
      </w:r>
      <w:r>
        <w:rPr>
          <w:rFonts w:hint="eastAsia" w:ascii="仿宋_GB2312" w:hAnsi="仿宋_GB2312" w:eastAsia="仿宋_GB2312" w:cs="仿宋_GB2312"/>
          <w:sz w:val="32"/>
          <w:szCs w:val="32"/>
          <w:highlight w:val="none"/>
        </w:rPr>
        <w:t>内</w:t>
      </w:r>
      <w:r>
        <w:rPr>
          <w:rFonts w:hint="eastAsia" w:ascii="仿宋_GB2312" w:hAnsi="仿宋_GB2312" w:eastAsia="仿宋_GB2312" w:cs="仿宋_GB2312"/>
          <w:sz w:val="32"/>
          <w:szCs w:val="32"/>
          <w:highlight w:val="none"/>
          <w:lang w:val="en-US" w:eastAsia="zh-CN"/>
        </w:rPr>
        <w:t>向盟政数局</w:t>
      </w:r>
      <w:r>
        <w:rPr>
          <w:rFonts w:hint="eastAsia" w:ascii="仿宋_GB2312" w:hAnsi="仿宋_GB2312" w:eastAsia="仿宋_GB2312" w:cs="仿宋_GB2312"/>
          <w:sz w:val="32"/>
          <w:szCs w:val="32"/>
          <w:highlight w:val="none"/>
        </w:rPr>
        <w:t>如实反</w:t>
      </w:r>
      <w:r>
        <w:rPr>
          <w:rFonts w:hint="eastAsia" w:ascii="仿宋_GB2312" w:hAnsi="仿宋_GB2312" w:eastAsia="仿宋_GB2312" w:cs="仿宋_GB2312"/>
          <w:sz w:val="32"/>
          <w:szCs w:val="32"/>
          <w:highlight w:val="none"/>
          <w:lang w:val="en-US" w:eastAsia="zh-CN"/>
        </w:rPr>
        <w:t>映</w:t>
      </w:r>
      <w:r>
        <w:rPr>
          <w:rFonts w:hint="eastAsia" w:ascii="仿宋_GB2312" w:hAnsi="仿宋_GB2312" w:eastAsia="仿宋_GB2312" w:cs="仿宋_GB2312"/>
          <w:sz w:val="32"/>
          <w:szCs w:val="32"/>
          <w:highlight w:val="none"/>
        </w:rPr>
        <w:t>相关情况，逾期不予受理。</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（四）</w:t>
      </w:r>
      <w:r>
        <w:rPr>
          <w:rFonts w:hint="eastAsia" w:ascii="仿宋_GB2312" w:hAnsi="仿宋_GB2312" w:eastAsia="仿宋_GB2312" w:cs="仿宋_GB2312"/>
          <w:sz w:val="32"/>
          <w:szCs w:val="32"/>
          <w:highlight w:val="none"/>
          <w:lang w:val="en-US" w:eastAsia="zh-CN"/>
        </w:rPr>
        <w:t>确认入库。公示期满无异议的，将审核通过人员正式</w:t>
      </w:r>
      <w:r>
        <w:rPr>
          <w:rFonts w:hint="eastAsia" w:ascii="仿宋_GB2312" w:hAnsi="仿宋_GB2312" w:eastAsia="仿宋_GB2312" w:cs="仿宋_GB2312"/>
          <w:sz w:val="32"/>
          <w:szCs w:val="32"/>
          <w:highlight w:val="none"/>
        </w:rPr>
        <w:t>纳入专家库管理。</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w:t>
      </w:r>
      <w:r>
        <w:rPr>
          <w:rFonts w:hint="eastAsia" w:ascii="仿宋_GB2312" w:hAnsi="仿宋_GB2312" w:eastAsia="仿宋_GB2312" w:cs="仿宋_GB2312"/>
          <w:b/>
          <w:bCs/>
          <w:sz w:val="32"/>
          <w:szCs w:val="32"/>
          <w:highlight w:val="none"/>
          <w:lang w:val="en-US" w:eastAsia="zh-CN"/>
        </w:rPr>
        <w:t>八</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sz w:val="32"/>
          <w:szCs w:val="32"/>
          <w:highlight w:val="none"/>
        </w:rPr>
        <w:t xml:space="preserve"> 专家应如实</w:t>
      </w:r>
      <w:r>
        <w:rPr>
          <w:rFonts w:hint="eastAsia" w:ascii="仿宋_GB2312" w:hAnsi="仿宋_GB2312" w:eastAsia="仿宋_GB2312" w:cs="仿宋_GB2312"/>
          <w:sz w:val="32"/>
          <w:szCs w:val="32"/>
          <w:highlight w:val="none"/>
          <w:lang w:val="en-US" w:eastAsia="zh-CN"/>
        </w:rPr>
        <w:t>填</w:t>
      </w:r>
      <w:r>
        <w:rPr>
          <w:rFonts w:hint="eastAsia" w:ascii="仿宋_GB2312" w:hAnsi="仿宋_GB2312" w:eastAsia="仿宋_GB2312" w:cs="仿宋_GB2312"/>
          <w:sz w:val="32"/>
          <w:szCs w:val="32"/>
          <w:highlight w:val="none"/>
        </w:rPr>
        <w:t>报工作单位、职称、执业资格、通讯方式以及与本人有利害关系且在评审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工作中需要回避的信息等。聘用期内，若上述信息</w:t>
      </w:r>
      <w:r>
        <w:rPr>
          <w:rFonts w:hint="eastAsia" w:ascii="仿宋_GB2312" w:hAnsi="仿宋_GB2312" w:eastAsia="仿宋_GB2312" w:cs="仿宋_GB2312"/>
          <w:b w:val="0"/>
          <w:bCs w:val="0"/>
          <w:sz w:val="32"/>
          <w:szCs w:val="32"/>
          <w:highlight w:val="none"/>
        </w:rPr>
        <w:t>发生变化，专</w:t>
      </w:r>
      <w:r>
        <w:rPr>
          <w:rFonts w:hint="eastAsia" w:ascii="仿宋_GB2312" w:hAnsi="仿宋_GB2312" w:eastAsia="仿宋_GB2312" w:cs="仿宋_GB2312"/>
          <w:sz w:val="32"/>
          <w:szCs w:val="32"/>
          <w:highlight w:val="none"/>
        </w:rPr>
        <w:t>家应在信息发生变化后的5个工作日内提</w:t>
      </w:r>
      <w:r>
        <w:rPr>
          <w:rFonts w:hint="eastAsia" w:ascii="仿宋_GB2312" w:hAnsi="仿宋_GB2312" w:eastAsia="仿宋_GB2312" w:cs="仿宋_GB2312"/>
          <w:sz w:val="32"/>
          <w:szCs w:val="32"/>
          <w:highlight w:val="none"/>
          <w:lang w:val="en-US" w:eastAsia="zh-CN"/>
        </w:rPr>
        <w:t>交</w:t>
      </w:r>
      <w:r>
        <w:rPr>
          <w:rFonts w:hint="eastAsia" w:ascii="仿宋_GB2312" w:hAnsi="仿宋_GB2312" w:eastAsia="仿宋_GB2312" w:cs="仿宋_GB2312"/>
          <w:sz w:val="32"/>
          <w:szCs w:val="32"/>
          <w:highlight w:val="none"/>
        </w:rPr>
        <w:t>信息变更申请</w:t>
      </w:r>
      <w:r>
        <w:rPr>
          <w:rFonts w:hint="eastAsia" w:ascii="仿宋_GB2312" w:hAnsi="仿宋_GB2312" w:eastAsia="仿宋_GB2312" w:cs="仿宋_GB2312"/>
          <w:sz w:val="32"/>
          <w:szCs w:val="32"/>
          <w:highlight w:val="none"/>
          <w:lang w:val="en-US" w:eastAsia="zh-CN"/>
        </w:rPr>
        <w:t>及佐证</w:t>
      </w:r>
      <w:r>
        <w:rPr>
          <w:rFonts w:hint="eastAsia" w:ascii="仿宋_GB2312" w:hAnsi="仿宋_GB2312" w:eastAsia="仿宋_GB2312" w:cs="仿宋_GB2312"/>
          <w:sz w:val="32"/>
          <w:szCs w:val="32"/>
          <w:highlight w:val="none"/>
        </w:rPr>
        <w:t>材料。　</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bCs/>
          <w:sz w:val="32"/>
          <w:szCs w:val="32"/>
          <w:highlight w:val="none"/>
        </w:rPr>
        <w:t>第</w:t>
      </w:r>
      <w:r>
        <w:rPr>
          <w:rFonts w:hint="eastAsia" w:ascii="仿宋_GB2312" w:hAnsi="仿宋_GB2312" w:eastAsia="仿宋_GB2312" w:cs="仿宋_GB2312"/>
          <w:b/>
          <w:bCs/>
          <w:sz w:val="32"/>
          <w:szCs w:val="32"/>
          <w:highlight w:val="none"/>
          <w:lang w:val="en-US" w:eastAsia="zh-CN"/>
        </w:rPr>
        <w:t>九</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sz w:val="32"/>
          <w:szCs w:val="32"/>
          <w:highlight w:val="none"/>
        </w:rPr>
        <w:t xml:space="preserve"> 专家聘用期限</w:t>
      </w:r>
      <w:r>
        <w:rPr>
          <w:rFonts w:hint="eastAsia" w:ascii="仿宋_GB2312" w:hAnsi="仿宋_GB2312" w:eastAsia="仿宋_GB2312" w:cs="仿宋_GB2312"/>
          <w:sz w:val="32"/>
          <w:szCs w:val="32"/>
          <w:highlight w:val="none"/>
          <w:lang w:val="en-US" w:eastAsia="zh-CN"/>
        </w:rPr>
        <w:t>为5</w:t>
      </w:r>
      <w:r>
        <w:rPr>
          <w:rFonts w:hint="eastAsia" w:ascii="仿宋_GB2312" w:hAnsi="仿宋_GB2312" w:eastAsia="仿宋_GB2312" w:cs="仿宋_GB2312"/>
          <w:sz w:val="32"/>
          <w:szCs w:val="32"/>
          <w:highlight w:val="none"/>
        </w:rPr>
        <w:t>年。若</w:t>
      </w:r>
      <w:r>
        <w:rPr>
          <w:rFonts w:hint="eastAsia" w:ascii="仿宋_GB2312" w:hAnsi="仿宋_GB2312" w:eastAsia="仿宋_GB2312" w:cs="仿宋_GB2312"/>
          <w:sz w:val="32"/>
          <w:szCs w:val="32"/>
          <w:highlight w:val="none"/>
          <w:lang w:val="en-US" w:eastAsia="zh-CN"/>
        </w:rPr>
        <w:t>专家</w:t>
      </w:r>
      <w:r>
        <w:rPr>
          <w:rFonts w:hint="eastAsia" w:ascii="仿宋_GB2312" w:hAnsi="仿宋_GB2312" w:eastAsia="仿宋_GB2312" w:cs="仿宋_GB2312"/>
          <w:sz w:val="32"/>
          <w:szCs w:val="32"/>
          <w:highlight w:val="none"/>
        </w:rPr>
        <w:t>不再续聘，</w:t>
      </w:r>
      <w:r>
        <w:rPr>
          <w:rFonts w:hint="eastAsia" w:ascii="仿宋_GB2312" w:hAnsi="仿宋_GB2312" w:eastAsia="仿宋_GB2312" w:cs="仿宋_GB2312"/>
          <w:sz w:val="32"/>
          <w:szCs w:val="32"/>
          <w:highlight w:val="none"/>
          <w:lang w:val="en-US" w:eastAsia="zh-CN"/>
        </w:rPr>
        <w:t>须在</w:t>
      </w:r>
      <w:r>
        <w:rPr>
          <w:rFonts w:hint="eastAsia" w:ascii="仿宋_GB2312" w:hAnsi="仿宋_GB2312" w:eastAsia="仿宋_GB2312" w:cs="仿宋_GB2312"/>
          <w:sz w:val="32"/>
          <w:szCs w:val="32"/>
          <w:highlight w:val="none"/>
        </w:rPr>
        <w:t>聘期届满前1个月</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提</w:t>
      </w:r>
      <w:r>
        <w:rPr>
          <w:rFonts w:hint="eastAsia" w:ascii="仿宋_GB2312" w:hAnsi="仿宋_GB2312" w:eastAsia="仿宋_GB2312" w:cs="仿宋_GB2312"/>
          <w:sz w:val="32"/>
          <w:szCs w:val="32"/>
          <w:highlight w:val="none"/>
          <w:lang w:val="en-US" w:eastAsia="zh-CN"/>
        </w:rPr>
        <w:t>出</w:t>
      </w:r>
      <w:r>
        <w:rPr>
          <w:rFonts w:hint="eastAsia" w:ascii="仿宋_GB2312" w:hAnsi="仿宋_GB2312" w:eastAsia="仿宋_GB2312" w:cs="仿宋_GB2312"/>
          <w:sz w:val="32"/>
          <w:szCs w:val="32"/>
          <w:highlight w:val="none"/>
        </w:rPr>
        <w:t>退</w:t>
      </w:r>
      <w:r>
        <w:rPr>
          <w:rFonts w:hint="eastAsia" w:ascii="仿宋_GB2312" w:hAnsi="仿宋_GB2312" w:eastAsia="仿宋_GB2312" w:cs="仿宋_GB2312"/>
          <w:sz w:val="32"/>
          <w:szCs w:val="32"/>
          <w:highlight w:val="none"/>
          <w:lang w:val="en-US" w:eastAsia="zh-CN"/>
        </w:rPr>
        <w:t>库</w:t>
      </w:r>
      <w:r>
        <w:rPr>
          <w:rFonts w:hint="eastAsia" w:ascii="仿宋_GB2312" w:hAnsi="仿宋_GB2312" w:eastAsia="仿宋_GB2312" w:cs="仿宋_GB2312"/>
          <w:sz w:val="32"/>
          <w:szCs w:val="32"/>
          <w:highlight w:val="none"/>
        </w:rPr>
        <w:t>申请；</w:t>
      </w:r>
      <w:r>
        <w:rPr>
          <w:rFonts w:hint="eastAsia" w:ascii="仿宋_GB2312" w:hAnsi="仿宋_GB2312" w:eastAsia="仿宋_GB2312" w:cs="仿宋_GB2312"/>
          <w:sz w:val="32"/>
          <w:szCs w:val="32"/>
          <w:highlight w:val="none"/>
          <w:lang w:val="en-US" w:eastAsia="zh-CN"/>
        </w:rPr>
        <w:t>聘期届满</w:t>
      </w:r>
      <w:r>
        <w:rPr>
          <w:rFonts w:hint="eastAsia" w:ascii="仿宋_GB2312" w:hAnsi="仿宋_GB2312" w:eastAsia="仿宋_GB2312" w:cs="仿宋_GB2312"/>
          <w:sz w:val="32"/>
          <w:szCs w:val="32"/>
          <w:highlight w:val="none"/>
        </w:rPr>
        <w:t>未提</w:t>
      </w:r>
      <w:r>
        <w:rPr>
          <w:rFonts w:hint="eastAsia" w:ascii="仿宋_GB2312" w:hAnsi="仿宋_GB2312" w:eastAsia="仿宋_GB2312" w:cs="仿宋_GB2312"/>
          <w:sz w:val="32"/>
          <w:szCs w:val="32"/>
          <w:highlight w:val="none"/>
          <w:lang w:val="en-US" w:eastAsia="zh-CN"/>
        </w:rPr>
        <w:t>出</w:t>
      </w:r>
      <w:r>
        <w:rPr>
          <w:rFonts w:hint="eastAsia" w:ascii="仿宋_GB2312" w:hAnsi="仿宋_GB2312" w:eastAsia="仿宋_GB2312" w:cs="仿宋_GB2312"/>
          <w:sz w:val="32"/>
          <w:szCs w:val="32"/>
          <w:highlight w:val="none"/>
        </w:rPr>
        <w:t>退</w:t>
      </w:r>
      <w:r>
        <w:rPr>
          <w:rFonts w:hint="eastAsia" w:ascii="仿宋_GB2312" w:hAnsi="仿宋_GB2312" w:eastAsia="仿宋_GB2312" w:cs="仿宋_GB2312"/>
          <w:sz w:val="32"/>
          <w:szCs w:val="32"/>
          <w:highlight w:val="none"/>
          <w:lang w:val="en-US" w:eastAsia="zh-CN"/>
        </w:rPr>
        <w:t>库</w:t>
      </w:r>
      <w:r>
        <w:rPr>
          <w:rFonts w:hint="eastAsia" w:ascii="仿宋_GB2312" w:hAnsi="仿宋_GB2312" w:eastAsia="仿宋_GB2312" w:cs="仿宋_GB2312"/>
          <w:sz w:val="32"/>
          <w:szCs w:val="32"/>
          <w:highlight w:val="none"/>
        </w:rPr>
        <w:t>申请</w:t>
      </w:r>
      <w:r>
        <w:rPr>
          <w:rFonts w:hint="eastAsia" w:ascii="仿宋_GB2312" w:hAnsi="仿宋_GB2312" w:eastAsia="仿宋_GB2312" w:cs="仿宋_GB2312"/>
          <w:sz w:val="32"/>
          <w:szCs w:val="32"/>
          <w:highlight w:val="none"/>
          <w:lang w:val="en-US" w:eastAsia="zh-CN"/>
        </w:rPr>
        <w:t>的</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按</w:t>
      </w:r>
      <w:r>
        <w:rPr>
          <w:rFonts w:hint="eastAsia" w:ascii="仿宋_GB2312" w:hAnsi="仿宋_GB2312" w:eastAsia="仿宋_GB2312" w:cs="仿宋_GB2312"/>
          <w:sz w:val="32"/>
          <w:szCs w:val="32"/>
          <w:highlight w:val="none"/>
        </w:rPr>
        <w:t>续聘</w:t>
      </w:r>
      <w:r>
        <w:rPr>
          <w:rFonts w:hint="eastAsia" w:ascii="仿宋_GB2312" w:hAnsi="仿宋_GB2312" w:eastAsia="仿宋_GB2312" w:cs="仿宋_GB2312"/>
          <w:sz w:val="32"/>
          <w:szCs w:val="32"/>
          <w:highlight w:val="none"/>
          <w:lang w:val="en-US" w:eastAsia="zh-CN"/>
        </w:rPr>
        <w:t>管理</w:t>
      </w:r>
      <w:r>
        <w:rPr>
          <w:rFonts w:hint="eastAsia" w:ascii="仿宋_GB2312" w:hAnsi="仿宋_GB2312" w:eastAsia="仿宋_GB2312" w:cs="仿宋_GB2312"/>
          <w:sz w:val="32"/>
          <w:szCs w:val="32"/>
          <w:highlight w:val="none"/>
        </w:rPr>
        <w:t>。</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第十条</w:t>
      </w:r>
      <w:r>
        <w:rPr>
          <w:rFonts w:hint="eastAsia" w:ascii="仿宋_GB2312" w:hAnsi="仿宋_GB2312" w:eastAsia="仿宋_GB2312" w:cs="仿宋_GB2312"/>
          <w:sz w:val="32"/>
          <w:szCs w:val="32"/>
          <w:highlight w:val="none"/>
          <w:lang w:val="en-US" w:eastAsia="zh-CN"/>
        </w:rPr>
        <w:t xml:space="preserve"> 专家选聘增补工作采取动态调整方式。</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shd w:val="clear"/>
        <w:kinsoku/>
        <w:wordWrap/>
        <w:overflowPunct/>
        <w:topLinePunct w:val="0"/>
        <w:autoSpaceDE/>
        <w:autoSpaceDN/>
        <w:bidi w:val="0"/>
        <w:adjustRightInd/>
        <w:snapToGrid/>
        <w:spacing w:line="610" w:lineRule="exact"/>
        <w:jc w:val="center"/>
        <w:textAlignment w:val="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第三章　专家抽取管理</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bCs/>
          <w:sz w:val="32"/>
          <w:szCs w:val="32"/>
          <w:highlight w:val="none"/>
        </w:rPr>
        <w:t>第</w:t>
      </w:r>
      <w:r>
        <w:rPr>
          <w:rFonts w:hint="eastAsia" w:ascii="仿宋_GB2312" w:hAnsi="仿宋_GB2312" w:eastAsia="仿宋_GB2312" w:cs="仿宋_GB2312"/>
          <w:b/>
          <w:bCs/>
          <w:sz w:val="32"/>
          <w:szCs w:val="32"/>
          <w:highlight w:val="none"/>
          <w:lang w:val="en-US" w:eastAsia="zh-CN"/>
        </w:rPr>
        <w:t>十一</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专家的抽取原则上应采取随机抽取方式进行，因技术复杂、专业要求或其他特殊原因不宜随机抽取专家的，可根据工作实际选定评审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项目所需相应专业领域的专家，</w:t>
      </w:r>
      <w:r>
        <w:rPr>
          <w:rFonts w:hint="eastAsia" w:ascii="仿宋_GB2312" w:hAnsi="仿宋_GB2312" w:eastAsia="仿宋_GB2312" w:cs="仿宋_GB2312"/>
          <w:sz w:val="32"/>
          <w:szCs w:val="32"/>
          <w:highlight w:val="none"/>
          <w:lang w:val="en-US" w:eastAsia="zh-CN"/>
        </w:rPr>
        <w:t>并履行内部书面审批备注手续。</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第十</w:t>
      </w:r>
      <w:r>
        <w:rPr>
          <w:rFonts w:hint="eastAsia" w:ascii="仿宋_GB2312" w:hAnsi="仿宋_GB2312" w:eastAsia="仿宋_GB2312" w:cs="仿宋_GB2312"/>
          <w:b/>
          <w:bCs/>
          <w:sz w:val="32"/>
          <w:szCs w:val="32"/>
          <w:highlight w:val="none"/>
          <w:lang w:val="en-US" w:eastAsia="zh-CN"/>
        </w:rPr>
        <w:t>二</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sz w:val="32"/>
          <w:szCs w:val="32"/>
          <w:highlight w:val="none"/>
        </w:rPr>
        <w:t xml:space="preserve"> 专家的随机抽取，按以下程序进行：</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（一）需求提出。根据行政审批工作开展需要，由盟</w:t>
      </w:r>
      <w:r>
        <w:rPr>
          <w:rFonts w:hint="eastAsia" w:ascii="仿宋_GB2312" w:hAnsi="仿宋_GB2312" w:eastAsia="仿宋_GB2312" w:cs="仿宋_GB2312"/>
          <w:sz w:val="32"/>
          <w:szCs w:val="32"/>
          <w:highlight w:val="none"/>
          <w:lang w:val="en-US" w:eastAsia="zh-CN"/>
        </w:rPr>
        <w:t>政</w:t>
      </w:r>
      <w:r>
        <w:rPr>
          <w:rFonts w:hint="eastAsia" w:ascii="仿宋_GB2312" w:hAnsi="仿宋_GB2312" w:eastAsia="仿宋_GB2312" w:cs="仿宋_GB2312"/>
          <w:sz w:val="32"/>
          <w:szCs w:val="32"/>
          <w:highlight w:val="none"/>
        </w:rPr>
        <w:t>数局各相关业务科室提交现场检查流转登记表。现场检查流转登记表须完整载明评审勘验项目名称、地址、现场检查时限、现场核查类别等信息。若现场存在应回避人员及</w:t>
      </w:r>
      <w:r>
        <w:rPr>
          <w:rFonts w:hint="eastAsia" w:ascii="仿宋_GB2312" w:hAnsi="仿宋_GB2312" w:eastAsia="仿宋_GB2312" w:cs="仿宋_GB2312"/>
          <w:sz w:val="32"/>
          <w:szCs w:val="32"/>
          <w:highlight w:val="none"/>
          <w:lang w:val="en-US" w:eastAsia="zh-CN"/>
        </w:rPr>
        <w:t>其他注意事项</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需</w:t>
      </w:r>
      <w:r>
        <w:rPr>
          <w:rFonts w:hint="eastAsia" w:ascii="仿宋_GB2312" w:hAnsi="仿宋_GB2312" w:eastAsia="仿宋_GB2312" w:cs="仿宋_GB2312"/>
          <w:sz w:val="32"/>
          <w:szCs w:val="32"/>
          <w:highlight w:val="none"/>
        </w:rPr>
        <w:t>在现场检查流转登记表中备注说明。专家抽取</w:t>
      </w:r>
      <w:r>
        <w:rPr>
          <w:rFonts w:hint="eastAsia" w:ascii="仿宋_GB2312" w:hAnsi="仿宋_GB2312" w:eastAsia="仿宋_GB2312" w:cs="仿宋_GB2312"/>
          <w:sz w:val="32"/>
          <w:szCs w:val="32"/>
          <w:highlight w:val="none"/>
          <w:lang w:val="en-US" w:eastAsia="zh-CN"/>
        </w:rPr>
        <w:t>的提出，原则上不得早于评审勘验活动开始前48小时。确有特殊情况需提前抽取的，履行内部书面审批备注手续。</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（二）随机抽取。</w:t>
      </w:r>
      <w:r>
        <w:rPr>
          <w:rFonts w:hint="eastAsia" w:ascii="仿宋_GB2312" w:hAnsi="仿宋_GB2312" w:eastAsia="仿宋_GB2312" w:cs="仿宋_GB2312"/>
          <w:sz w:val="32"/>
          <w:szCs w:val="32"/>
          <w:highlight w:val="none"/>
          <w:lang w:val="en-US" w:eastAsia="zh-CN"/>
        </w:rPr>
        <w:t>使</w:t>
      </w:r>
      <w:r>
        <w:rPr>
          <w:rFonts w:hint="eastAsia" w:ascii="仿宋_GB2312" w:hAnsi="仿宋_GB2312" w:eastAsia="仿宋_GB2312" w:cs="仿宋_GB2312"/>
          <w:sz w:val="32"/>
          <w:szCs w:val="32"/>
          <w:highlight w:val="none"/>
        </w:rPr>
        <w:t>用专家库管理系统，按照随机原则抽取专家，联系并确认参加评审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工作的专家名单。</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第十</w:t>
      </w:r>
      <w:r>
        <w:rPr>
          <w:rFonts w:hint="eastAsia" w:ascii="仿宋_GB2312" w:hAnsi="仿宋_GB2312" w:eastAsia="仿宋_GB2312" w:cs="仿宋_GB2312"/>
          <w:b/>
          <w:bCs/>
          <w:sz w:val="32"/>
          <w:szCs w:val="32"/>
          <w:highlight w:val="none"/>
          <w:lang w:val="en-US" w:eastAsia="zh-CN"/>
        </w:rPr>
        <w:t>三</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专家确定后，以语音</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信息等方式告知专家参加评审勘验工作的时间、地点和相关要求</w:t>
      </w:r>
      <w:r>
        <w:rPr>
          <w:rFonts w:hint="eastAsia" w:ascii="仿宋_GB2312" w:hAnsi="仿宋_GB2312" w:eastAsia="仿宋_GB2312" w:cs="仿宋_GB2312"/>
          <w:sz w:val="32"/>
          <w:szCs w:val="32"/>
          <w:highlight w:val="none"/>
          <w:lang w:eastAsia="zh-CN"/>
        </w:rPr>
        <w:t>。</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lang w:val="en-US"/>
        </w:rPr>
      </w:pPr>
      <w:r>
        <w:rPr>
          <w:rFonts w:hint="eastAsia" w:ascii="仿宋_GB2312" w:hAnsi="仿宋_GB2312" w:eastAsia="仿宋_GB2312" w:cs="仿宋_GB2312"/>
          <w:b/>
          <w:bCs/>
          <w:sz w:val="32"/>
          <w:szCs w:val="32"/>
          <w:highlight w:val="none"/>
        </w:rPr>
        <w:t>第十</w:t>
      </w:r>
      <w:r>
        <w:rPr>
          <w:rFonts w:hint="eastAsia" w:ascii="仿宋_GB2312" w:hAnsi="仿宋_GB2312" w:eastAsia="仿宋_GB2312" w:cs="仿宋_GB2312"/>
          <w:b/>
          <w:bCs/>
          <w:sz w:val="32"/>
          <w:szCs w:val="32"/>
          <w:highlight w:val="none"/>
          <w:lang w:val="en-US" w:eastAsia="zh-CN"/>
        </w:rPr>
        <w:t>四</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随机抽取专家时，未能足额抽取到所需专家数量，或者专家库无相应专业类别的专家时，可根据工作实际选取符合条件的专业人员参加评审</w:t>
      </w:r>
      <w:r>
        <w:rPr>
          <w:rFonts w:hint="eastAsia" w:ascii="仿宋_GB2312" w:hAnsi="仿宋_GB2312" w:eastAsia="仿宋_GB2312" w:cs="仿宋_GB2312"/>
          <w:sz w:val="32"/>
          <w:szCs w:val="32"/>
          <w:highlight w:val="none"/>
          <w:lang w:val="en-US" w:eastAsia="zh-CN"/>
        </w:rPr>
        <w:t>勘验，并履行好内部书面审批备注手续。</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第十</w:t>
      </w:r>
      <w:r>
        <w:rPr>
          <w:rFonts w:hint="eastAsia" w:ascii="仿宋_GB2312" w:hAnsi="仿宋_GB2312" w:eastAsia="仿宋_GB2312" w:cs="仿宋_GB2312"/>
          <w:b/>
          <w:bCs/>
          <w:sz w:val="32"/>
          <w:szCs w:val="32"/>
          <w:highlight w:val="none"/>
          <w:lang w:val="en-US" w:eastAsia="zh-CN"/>
        </w:rPr>
        <w:t>五</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评审</w:t>
      </w:r>
      <w:r>
        <w:rPr>
          <w:rFonts w:hint="eastAsia" w:ascii="仿宋_GB2312" w:hAnsi="仿宋_GB2312" w:eastAsia="仿宋_GB2312" w:cs="仿宋_GB2312"/>
          <w:sz w:val="32"/>
          <w:szCs w:val="32"/>
          <w:highlight w:val="none"/>
          <w:lang w:val="en-US" w:eastAsia="zh-CN"/>
        </w:rPr>
        <w:t>勘验工作</w:t>
      </w:r>
      <w:r>
        <w:rPr>
          <w:rFonts w:hint="eastAsia" w:ascii="仿宋_GB2312" w:hAnsi="仿宋_GB2312" w:eastAsia="仿宋_GB2312" w:cs="仿宋_GB2312"/>
          <w:sz w:val="32"/>
          <w:szCs w:val="32"/>
          <w:highlight w:val="none"/>
        </w:rPr>
        <w:t>开始后</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因专家数量不符合法定</w:t>
      </w:r>
      <w:r>
        <w:rPr>
          <w:rFonts w:hint="eastAsia" w:ascii="仿宋_GB2312" w:hAnsi="仿宋_GB2312" w:eastAsia="仿宋_GB2312" w:cs="仿宋_GB2312"/>
          <w:sz w:val="32"/>
          <w:szCs w:val="32"/>
          <w:highlight w:val="none"/>
          <w:lang w:val="en-US" w:eastAsia="zh-CN"/>
        </w:rPr>
        <w:t>要求</w:t>
      </w:r>
      <w:r>
        <w:rPr>
          <w:rFonts w:hint="eastAsia" w:ascii="仿宋_GB2312" w:hAnsi="仿宋_GB2312" w:eastAsia="仿宋_GB2312" w:cs="仿宋_GB2312"/>
          <w:sz w:val="32"/>
          <w:szCs w:val="32"/>
          <w:highlight w:val="none"/>
        </w:rPr>
        <w:t>的，评审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组织人员应及时通过专家库</w:t>
      </w:r>
      <w:r>
        <w:rPr>
          <w:rFonts w:hint="eastAsia" w:ascii="仿宋_GB2312" w:hAnsi="仿宋_GB2312" w:eastAsia="仿宋_GB2312" w:cs="仿宋_GB2312"/>
          <w:sz w:val="32"/>
          <w:szCs w:val="32"/>
          <w:highlight w:val="none"/>
          <w:lang w:val="en-US" w:eastAsia="zh-CN"/>
        </w:rPr>
        <w:t>管理系统</w:t>
      </w:r>
      <w:r>
        <w:rPr>
          <w:rFonts w:hint="eastAsia" w:ascii="仿宋_GB2312" w:hAnsi="仿宋_GB2312" w:eastAsia="仿宋_GB2312" w:cs="仿宋_GB2312"/>
          <w:sz w:val="32"/>
          <w:szCs w:val="32"/>
          <w:highlight w:val="none"/>
        </w:rPr>
        <w:t>进行补抽，补抽不成功无法及时补足人数的，应当立即停止评审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工作，妥善保存评审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相关文件资料，按程序重新组织评审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第十</w:t>
      </w:r>
      <w:r>
        <w:rPr>
          <w:rFonts w:hint="eastAsia" w:ascii="仿宋_GB2312" w:hAnsi="仿宋_GB2312" w:eastAsia="仿宋_GB2312" w:cs="仿宋_GB2312"/>
          <w:b/>
          <w:bCs/>
          <w:sz w:val="32"/>
          <w:szCs w:val="32"/>
          <w:highlight w:val="none"/>
          <w:lang w:val="en-US" w:eastAsia="zh-CN"/>
        </w:rPr>
        <w:t>六</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评审</w:t>
      </w:r>
      <w:r>
        <w:rPr>
          <w:rFonts w:hint="eastAsia" w:ascii="仿宋_GB2312" w:hAnsi="仿宋_GB2312" w:eastAsia="仿宋_GB2312" w:cs="仿宋_GB2312"/>
          <w:sz w:val="32"/>
          <w:szCs w:val="32"/>
          <w:highlight w:val="none"/>
          <w:lang w:val="en-US" w:eastAsia="zh-CN"/>
        </w:rPr>
        <w:t>勘验工作</w:t>
      </w:r>
      <w:r>
        <w:rPr>
          <w:rFonts w:hint="eastAsia" w:ascii="仿宋_GB2312" w:hAnsi="仿宋_GB2312" w:eastAsia="仿宋_GB2312" w:cs="仿宋_GB2312"/>
          <w:sz w:val="32"/>
          <w:szCs w:val="32"/>
          <w:highlight w:val="none"/>
        </w:rPr>
        <w:t>结束后</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若</w:t>
      </w:r>
      <w:r>
        <w:rPr>
          <w:rFonts w:hint="eastAsia" w:ascii="仿宋_GB2312" w:hAnsi="仿宋_GB2312" w:eastAsia="仿宋_GB2312" w:cs="仿宋_GB2312"/>
          <w:sz w:val="32"/>
          <w:szCs w:val="32"/>
          <w:highlight w:val="none"/>
        </w:rPr>
        <w:t>项目单位</w:t>
      </w:r>
      <w:r>
        <w:rPr>
          <w:rFonts w:hint="eastAsia" w:ascii="仿宋_GB2312" w:hAnsi="仿宋_GB2312" w:eastAsia="仿宋_GB2312" w:cs="仿宋_GB2312"/>
          <w:sz w:val="32"/>
          <w:szCs w:val="32"/>
          <w:highlight w:val="none"/>
          <w:lang w:val="en-US" w:eastAsia="zh-CN"/>
        </w:rPr>
        <w:t>对</w:t>
      </w:r>
      <w:r>
        <w:rPr>
          <w:rFonts w:hint="eastAsia" w:ascii="仿宋_GB2312" w:hAnsi="仿宋_GB2312" w:eastAsia="仿宋_GB2312" w:cs="仿宋_GB2312"/>
          <w:sz w:val="32"/>
          <w:szCs w:val="32"/>
          <w:highlight w:val="none"/>
        </w:rPr>
        <w:t>评审</w:t>
      </w:r>
      <w:r>
        <w:rPr>
          <w:rFonts w:hint="eastAsia" w:ascii="仿宋_GB2312" w:hAnsi="仿宋_GB2312" w:eastAsia="仿宋_GB2312" w:cs="仿宋_GB2312"/>
          <w:sz w:val="32"/>
          <w:szCs w:val="32"/>
          <w:highlight w:val="none"/>
          <w:lang w:val="en-US" w:eastAsia="zh-CN"/>
        </w:rPr>
        <w:t>勘验结论提出异议</w:t>
      </w:r>
      <w:r>
        <w:rPr>
          <w:rFonts w:hint="eastAsia" w:ascii="仿宋_GB2312" w:hAnsi="仿宋_GB2312" w:eastAsia="仿宋_GB2312" w:cs="仿宋_GB2312"/>
          <w:sz w:val="32"/>
          <w:szCs w:val="32"/>
          <w:highlight w:val="none"/>
        </w:rPr>
        <w:t>，需项目评审勘验专家协助</w:t>
      </w:r>
      <w:r>
        <w:rPr>
          <w:rFonts w:hint="eastAsia" w:ascii="仿宋_GB2312" w:hAnsi="仿宋_GB2312" w:eastAsia="仿宋_GB2312" w:cs="仿宋_GB2312"/>
          <w:sz w:val="32"/>
          <w:szCs w:val="32"/>
          <w:highlight w:val="none"/>
          <w:lang w:val="en-US" w:eastAsia="zh-CN"/>
        </w:rPr>
        <w:t>复核</w:t>
      </w:r>
      <w:r>
        <w:rPr>
          <w:rFonts w:hint="eastAsia" w:ascii="仿宋_GB2312" w:hAnsi="仿宋_GB2312" w:eastAsia="仿宋_GB2312" w:cs="仿宋_GB2312"/>
          <w:sz w:val="32"/>
          <w:szCs w:val="32"/>
          <w:highlight w:val="none"/>
        </w:rPr>
        <w:t>的，相关专家应</w:t>
      </w:r>
      <w:r>
        <w:rPr>
          <w:rFonts w:hint="eastAsia" w:ascii="仿宋_GB2312" w:hAnsi="仿宋_GB2312" w:eastAsia="仿宋_GB2312" w:cs="仿宋_GB2312"/>
          <w:sz w:val="32"/>
          <w:szCs w:val="32"/>
          <w:highlight w:val="none"/>
          <w:lang w:val="en-US" w:eastAsia="zh-CN"/>
        </w:rPr>
        <w:t>主动</w:t>
      </w:r>
      <w:r>
        <w:rPr>
          <w:rFonts w:hint="eastAsia" w:ascii="仿宋_GB2312" w:hAnsi="仿宋_GB2312" w:eastAsia="仿宋_GB2312" w:cs="仿宋_GB2312"/>
          <w:sz w:val="32"/>
          <w:szCs w:val="32"/>
          <w:highlight w:val="none"/>
        </w:rPr>
        <w:t>配合</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依规开展核查答疑</w:t>
      </w:r>
      <w:r>
        <w:rPr>
          <w:rFonts w:hint="eastAsia" w:ascii="仿宋_GB2312" w:hAnsi="仿宋_GB2312" w:eastAsia="仿宋_GB2312" w:cs="仿宋_GB2312"/>
          <w:sz w:val="32"/>
          <w:szCs w:val="32"/>
          <w:highlight w:val="none"/>
        </w:rPr>
        <w:t>工作。</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第十</w:t>
      </w:r>
      <w:r>
        <w:rPr>
          <w:rFonts w:hint="eastAsia" w:ascii="仿宋_GB2312" w:hAnsi="仿宋_GB2312" w:eastAsia="仿宋_GB2312" w:cs="仿宋_GB2312"/>
          <w:b/>
          <w:bCs/>
          <w:sz w:val="32"/>
          <w:szCs w:val="32"/>
          <w:highlight w:val="none"/>
          <w:lang w:val="en-US" w:eastAsia="zh-CN"/>
        </w:rPr>
        <w:t>七</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lang w:val="en-US" w:eastAsia="zh-CN"/>
        </w:rPr>
        <w:t>针对各审批领域、行业业务需要，</w:t>
      </w:r>
      <w:r>
        <w:rPr>
          <w:rFonts w:hint="eastAsia" w:ascii="仿宋_GB2312" w:hAnsi="仿宋_GB2312" w:eastAsia="仿宋_GB2312" w:cs="仿宋_GB2312"/>
          <w:sz w:val="32"/>
          <w:szCs w:val="32"/>
          <w:highlight w:val="none"/>
        </w:rPr>
        <w:t>可根据审批业务数量、性质特点，适当增加专家数量。</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lang w:val="en-US" w:eastAsia="zh-CN"/>
        </w:rPr>
        <w:t xml:space="preserve">第十八条 </w:t>
      </w:r>
      <w:r>
        <w:rPr>
          <w:rFonts w:hint="eastAsia" w:ascii="仿宋_GB2312" w:hAnsi="仿宋_GB2312" w:eastAsia="仿宋_GB2312" w:cs="仿宋_GB2312"/>
          <w:sz w:val="32"/>
          <w:szCs w:val="32"/>
          <w:highlight w:val="none"/>
          <w:lang w:val="en-US" w:eastAsia="zh-CN"/>
        </w:rPr>
        <w:t>对</w:t>
      </w:r>
      <w:r>
        <w:rPr>
          <w:rFonts w:hint="eastAsia" w:ascii="仿宋_GB2312" w:hAnsi="仿宋_GB2312" w:eastAsia="仿宋_GB2312" w:cs="仿宋_GB2312"/>
          <w:sz w:val="32"/>
          <w:szCs w:val="32"/>
          <w:highlight w:val="none"/>
        </w:rPr>
        <w:t>专家抽取终端和专家库管理系统定期</w:t>
      </w:r>
      <w:r>
        <w:rPr>
          <w:rFonts w:hint="eastAsia" w:ascii="仿宋_GB2312" w:hAnsi="仿宋_GB2312" w:eastAsia="仿宋_GB2312" w:cs="仿宋_GB2312"/>
          <w:sz w:val="32"/>
          <w:szCs w:val="32"/>
          <w:highlight w:val="none"/>
          <w:lang w:val="en-US" w:eastAsia="zh-CN"/>
        </w:rPr>
        <w:t>维护</w:t>
      </w:r>
      <w:r>
        <w:rPr>
          <w:rFonts w:hint="eastAsia" w:ascii="仿宋_GB2312" w:hAnsi="仿宋_GB2312" w:eastAsia="仿宋_GB2312" w:cs="仿宋_GB2312"/>
          <w:sz w:val="32"/>
          <w:szCs w:val="32"/>
          <w:highlight w:val="none"/>
        </w:rPr>
        <w:t>，确保系统安全可靠。</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p>
    <w:p>
      <w:pPr>
        <w:keepNext w:val="0"/>
        <w:keepLines w:val="0"/>
        <w:pageBreakBefore w:val="0"/>
        <w:widowControl w:val="0"/>
        <w:shd w:val="clear"/>
        <w:kinsoku/>
        <w:wordWrap/>
        <w:overflowPunct/>
        <w:topLinePunct w:val="0"/>
        <w:autoSpaceDE/>
        <w:autoSpaceDN/>
        <w:bidi w:val="0"/>
        <w:adjustRightInd/>
        <w:snapToGrid/>
        <w:spacing w:line="610" w:lineRule="exact"/>
        <w:jc w:val="center"/>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第四章 专家退库管理</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第十九条</w:t>
      </w:r>
      <w:r>
        <w:rPr>
          <w:rFonts w:hint="eastAsia" w:ascii="仿宋_GB2312" w:hAnsi="仿宋_GB2312" w:eastAsia="仿宋_GB2312" w:cs="仿宋_GB2312"/>
          <w:sz w:val="32"/>
          <w:szCs w:val="32"/>
          <w:highlight w:val="none"/>
          <w:lang w:val="en-US" w:eastAsia="zh-CN"/>
        </w:rPr>
        <w:t xml:space="preserve"> 专家退库管理应遵循客观公正、程序规范、动态调整、合理流动的原则，保障专家库的整体质量与活力。</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第二十条</w:t>
      </w:r>
      <w:r>
        <w:rPr>
          <w:rFonts w:hint="eastAsia" w:ascii="仿宋_GB2312" w:hAnsi="仿宋_GB2312" w:eastAsia="仿宋_GB2312" w:cs="仿宋_GB2312"/>
          <w:sz w:val="32"/>
          <w:szCs w:val="32"/>
          <w:highlight w:val="none"/>
          <w:lang w:val="en-US" w:eastAsia="zh-CN"/>
        </w:rPr>
        <w:t xml:space="preserve"> 专家因年龄或身体健康状况、工作调动等个人因素无法继续开展评审工作的，可申请退库。</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 xml:space="preserve">第二十一条 </w:t>
      </w:r>
      <w:r>
        <w:rPr>
          <w:rFonts w:hint="eastAsia" w:ascii="仿宋_GB2312" w:hAnsi="仿宋_GB2312" w:eastAsia="仿宋_GB2312" w:cs="仿宋_GB2312"/>
          <w:sz w:val="32"/>
          <w:szCs w:val="32"/>
          <w:highlight w:val="none"/>
          <w:lang w:val="en-US" w:eastAsia="zh-CN"/>
        </w:rPr>
        <w:t>专家存在下列情形之一的，专家资格应予注销：</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（一）在历次评审勘验活动中，提出的技术审查意见、论证结论或核查结果多次出现明显偏差或重大疏漏，经指出后仍无改进的；</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（二）无正当理由，一年内累计三次以上拒绝接受工作任务指派，或接受任务后无故缺席、擅自委托他人顶替的；</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（三）未能按时完成指派的工作任务，或因工作拖拉、敷衍塞责，严重影响审批工作进度的；</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（四）泄露在评审勘验过程中知悉的国家秘密、商业秘密以及其他不应公开的信息的；</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（五）不遵守职业道德，言行失范，造成不良影响的；</w:t>
      </w:r>
    </w:p>
    <w:p>
      <w:pPr>
        <w:keepNext w:val="0"/>
        <w:keepLines w:val="0"/>
        <w:pageBreakBefore w:val="0"/>
        <w:widowControl w:val="0"/>
        <w:suppressLineNumbers w:val="0"/>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lang w:val="en-US" w:eastAsia="zh-CN"/>
        </w:rPr>
        <w:t>（六）</w:t>
      </w:r>
      <w:r>
        <w:rPr>
          <w:rFonts w:hint="eastAsia" w:ascii="仿宋_GB2312" w:hAnsi="仿宋_GB2312" w:eastAsia="仿宋_GB2312" w:cs="仿宋_GB2312"/>
          <w:color w:val="000000"/>
          <w:kern w:val="0"/>
          <w:sz w:val="32"/>
          <w:szCs w:val="32"/>
          <w:lang w:val="en-US" w:eastAsia="zh-CN" w:bidi="ar"/>
        </w:rPr>
        <w:t>法律、法规、规章规定的其他情形。</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第二十二条</w:t>
      </w:r>
      <w:r>
        <w:rPr>
          <w:rFonts w:hint="eastAsia" w:ascii="仿宋_GB2312" w:hAnsi="仿宋_GB2312" w:eastAsia="仿宋_GB2312" w:cs="仿宋_GB2312"/>
          <w:sz w:val="32"/>
          <w:szCs w:val="32"/>
          <w:highlight w:val="none"/>
          <w:lang w:val="en-US" w:eastAsia="zh-CN"/>
        </w:rPr>
        <w:t xml:space="preserve"> 对于解聘及注销专家资格的人员，其以往参与出具的评审勘验结论不因退库行为而失效；履职期间存在违规过错的，依法依规追究相应责任。</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shd w:val="clear"/>
        <w:kinsoku/>
        <w:wordWrap/>
        <w:overflowPunct/>
        <w:topLinePunct w:val="0"/>
        <w:autoSpaceDE/>
        <w:autoSpaceDN/>
        <w:bidi w:val="0"/>
        <w:adjustRightInd/>
        <w:snapToGrid/>
        <w:spacing w:line="610" w:lineRule="exact"/>
        <w:jc w:val="center"/>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第五章 专家管理</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lang w:val="en-US" w:eastAsia="zh-CN"/>
        </w:rPr>
        <w:t>第二十三条</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专家享有下列权利：</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（一）受聘参加评审勘验活动；</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（二）依据相关专业规定</w:t>
      </w:r>
      <w:r>
        <w:rPr>
          <w:rFonts w:hint="eastAsia" w:ascii="仿宋_GB2312" w:hAnsi="仿宋_GB2312" w:eastAsia="仿宋_GB2312" w:cs="仿宋_GB2312"/>
          <w:sz w:val="32"/>
          <w:szCs w:val="32"/>
          <w:highlight w:val="none"/>
          <w:lang w:val="en-US" w:eastAsia="zh-CN"/>
        </w:rPr>
        <w:t>和</w:t>
      </w:r>
      <w:r>
        <w:rPr>
          <w:rFonts w:hint="eastAsia" w:ascii="仿宋_GB2312" w:hAnsi="仿宋_GB2312" w:eastAsia="仿宋_GB2312" w:cs="仿宋_GB2312"/>
          <w:sz w:val="32"/>
          <w:szCs w:val="32"/>
          <w:highlight w:val="none"/>
        </w:rPr>
        <w:t>标准，依法对行政许可事项进行独立评审勘验，提出评审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意见；</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（三）</w:t>
      </w:r>
      <w:r>
        <w:rPr>
          <w:rFonts w:hint="eastAsia" w:ascii="仿宋_GB2312" w:hAnsi="仿宋_GB2312" w:eastAsia="仿宋_GB2312" w:cs="仿宋_GB2312"/>
          <w:sz w:val="32"/>
          <w:szCs w:val="32"/>
          <w:highlight w:val="none"/>
          <w:lang w:val="en-US" w:eastAsia="zh-CN"/>
        </w:rPr>
        <w:t>获取参加评审勘验活动的劳务报酬；</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（四）对有关行政监督管理部门作出的不良行为处理决定有权提出申诉；</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（五）法律、法规、规章规定的其他权利。</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第二十</w:t>
      </w:r>
      <w:r>
        <w:rPr>
          <w:rFonts w:hint="eastAsia" w:ascii="仿宋_GB2312" w:hAnsi="仿宋_GB2312" w:eastAsia="仿宋_GB2312" w:cs="仿宋_GB2312"/>
          <w:b/>
          <w:bCs/>
          <w:sz w:val="32"/>
          <w:szCs w:val="32"/>
          <w:highlight w:val="none"/>
          <w:lang w:val="en-US" w:eastAsia="zh-CN"/>
        </w:rPr>
        <w:t>四</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专家应当履行下列义务：</w:t>
      </w:r>
    </w:p>
    <w:p>
      <w:pPr>
        <w:keepNext w:val="0"/>
        <w:keepLines w:val="0"/>
        <w:pageBreakBefore w:val="0"/>
        <w:widowControl w:val="0"/>
        <w:suppressLineNumbers w:val="0"/>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color w:val="000000"/>
          <w:kern w:val="0"/>
          <w:sz w:val="32"/>
          <w:szCs w:val="32"/>
          <w:lang w:val="en-US" w:eastAsia="zh-CN" w:bidi="ar"/>
        </w:rPr>
        <w:t xml:space="preserve">恪守职业操守，遵守法律法规，存在法定回避情形的， </w:t>
      </w:r>
    </w:p>
    <w:p>
      <w:pPr>
        <w:keepNext w:val="0"/>
        <w:keepLines w:val="0"/>
        <w:pageBreakBefore w:val="0"/>
        <w:widowControl w:val="0"/>
        <w:suppressLineNumbers w:val="0"/>
        <w:kinsoku/>
        <w:wordWrap/>
        <w:overflowPunct/>
        <w:topLinePunct w:val="0"/>
        <w:autoSpaceDE/>
        <w:autoSpaceDN/>
        <w:bidi w:val="0"/>
        <w:adjustRightInd/>
        <w:snapToGrid/>
        <w:spacing w:line="610" w:lineRule="exact"/>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000000"/>
          <w:kern w:val="0"/>
          <w:sz w:val="32"/>
          <w:szCs w:val="32"/>
          <w:lang w:val="en-US" w:eastAsia="zh-CN" w:bidi="ar"/>
        </w:rPr>
        <w:t>应当主动提出回避</w:t>
      </w:r>
      <w:r>
        <w:rPr>
          <w:rFonts w:hint="eastAsia" w:ascii="仿宋_GB2312" w:hAnsi="仿宋_GB2312" w:eastAsia="仿宋_GB2312" w:cs="仿宋_GB2312"/>
          <w:sz w:val="32"/>
          <w:szCs w:val="32"/>
          <w:highlight w:val="none"/>
        </w:rPr>
        <w:t>；</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（二）客观公正地进行评审勘验，对提出的评审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意见承担责任；</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对应当否决的行政许可事项，依法提出否决意见；</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（四）发现违法违规行为，及时向有关监管部门反映或举报；</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（五）配合对评审</w:t>
      </w:r>
      <w:r>
        <w:rPr>
          <w:rFonts w:hint="eastAsia" w:ascii="仿宋_GB2312" w:hAnsi="仿宋_GB2312" w:eastAsia="仿宋_GB2312" w:cs="仿宋_GB2312"/>
          <w:sz w:val="32"/>
          <w:szCs w:val="32"/>
          <w:highlight w:val="none"/>
          <w:lang w:val="en-US" w:eastAsia="zh-CN"/>
        </w:rPr>
        <w:t>勘验结论</w:t>
      </w:r>
      <w:r>
        <w:rPr>
          <w:rFonts w:hint="eastAsia" w:ascii="仿宋_GB2312" w:hAnsi="仿宋_GB2312" w:eastAsia="仿宋_GB2312" w:cs="仿宋_GB2312"/>
          <w:sz w:val="32"/>
          <w:szCs w:val="32"/>
          <w:highlight w:val="none"/>
        </w:rPr>
        <w:t>的异议、质疑、投诉等事项进行答复；</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（六）遵守评审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工作纪律；</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（七）及时报送个人变更信息；</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（八）接受有关行政监督管理部门的监督管理；</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（九）法律、法规、规章规定的其他义务。</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第二十</w:t>
      </w:r>
      <w:r>
        <w:rPr>
          <w:rFonts w:hint="eastAsia" w:ascii="仿宋_GB2312" w:hAnsi="仿宋_GB2312" w:eastAsia="仿宋_GB2312" w:cs="仿宋_GB2312"/>
          <w:b/>
          <w:bCs/>
          <w:sz w:val="32"/>
          <w:szCs w:val="32"/>
          <w:highlight w:val="none"/>
          <w:lang w:val="en-US" w:eastAsia="zh-CN"/>
        </w:rPr>
        <w:t>五</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sz w:val="32"/>
          <w:szCs w:val="32"/>
          <w:highlight w:val="none"/>
        </w:rPr>
        <w:t xml:space="preserve"> 专家应当遵守下列工作纪律：</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（一）严格执行《中国共产党廉洁自律准则》和中央八项规定、自治区、兴安盟相关配套规定。</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w:t>
      </w:r>
      <w:r>
        <w:rPr>
          <w:rFonts w:hint="eastAsia" w:ascii="仿宋_GB2312" w:hAnsi="仿宋_GB2312" w:eastAsia="仿宋_GB2312" w:cs="仿宋_GB2312"/>
          <w:sz w:val="32"/>
          <w:szCs w:val="32"/>
          <w:highlight w:val="none"/>
          <w:lang w:val="en-US" w:eastAsia="zh-CN"/>
        </w:rPr>
        <w:t>按照</w:t>
      </w:r>
      <w:r>
        <w:rPr>
          <w:rFonts w:hint="eastAsia" w:ascii="仿宋_GB2312" w:hAnsi="仿宋_GB2312" w:eastAsia="仿宋_GB2312" w:cs="仿宋_GB2312"/>
          <w:sz w:val="32"/>
          <w:szCs w:val="32"/>
          <w:highlight w:val="none"/>
        </w:rPr>
        <w:t>评审勘验程序和内容，客观反映现场检查情况，如实记录缺陷项目，公正评价被检查单位</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严禁</w:t>
      </w:r>
      <w:r>
        <w:rPr>
          <w:rFonts w:hint="eastAsia" w:ascii="仿宋_GB2312" w:hAnsi="仿宋_GB2312" w:eastAsia="仿宋_GB2312" w:cs="仿宋_GB2312"/>
          <w:sz w:val="32"/>
          <w:szCs w:val="32"/>
          <w:highlight w:val="none"/>
        </w:rPr>
        <w:t>营私舞弊、弄虚作假</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擅自放宽核查</w:t>
      </w:r>
      <w:r>
        <w:rPr>
          <w:rFonts w:hint="eastAsia" w:ascii="仿宋_GB2312" w:hAnsi="仿宋_GB2312" w:eastAsia="仿宋_GB2312" w:cs="仿宋_GB2312"/>
          <w:sz w:val="32"/>
          <w:szCs w:val="32"/>
          <w:highlight w:val="none"/>
        </w:rPr>
        <w:t>标准。</w:t>
      </w:r>
    </w:p>
    <w:p>
      <w:pPr>
        <w:keepNext w:val="0"/>
        <w:keepLines w:val="0"/>
        <w:pageBreakBefore w:val="0"/>
        <w:widowControl w:val="0"/>
        <w:suppressLineNumbers w:val="0"/>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在检查结果未公布之前，个人不得泄露检查结果及相关信息。除按规定向被检查单位索取有关证据资料外，不得向被检查单位索取其他资料，同时对被检查单位提供的数据、资料、商业秘密负保密责任。</w:t>
      </w:r>
      <w:r>
        <w:rPr>
          <w:rFonts w:hint="eastAsia" w:ascii="仿宋_GB2312" w:hAnsi="仿宋_GB2312" w:eastAsia="仿宋_GB2312" w:cs="仿宋_GB2312"/>
          <w:color w:val="000000"/>
          <w:kern w:val="0"/>
          <w:sz w:val="32"/>
          <w:szCs w:val="32"/>
          <w:lang w:val="en-US" w:eastAsia="zh-CN" w:bidi="ar"/>
        </w:rPr>
        <w:t>涉嫌违纪违法犯罪的，移送纪检监察机关、司法行政机关处理。</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第二十</w:t>
      </w:r>
      <w:r>
        <w:rPr>
          <w:rFonts w:hint="eastAsia" w:ascii="仿宋_GB2312" w:hAnsi="仿宋_GB2312" w:eastAsia="仿宋_GB2312" w:cs="仿宋_GB2312"/>
          <w:b/>
          <w:bCs/>
          <w:sz w:val="32"/>
          <w:szCs w:val="32"/>
          <w:highlight w:val="none"/>
          <w:lang w:val="en-US" w:eastAsia="zh-CN"/>
        </w:rPr>
        <w:t>六</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sz w:val="32"/>
          <w:szCs w:val="32"/>
          <w:highlight w:val="none"/>
        </w:rPr>
        <w:t xml:space="preserve"> 专家每年应接受专业技术和继续教育等相关培训，所在单位应当对专家参加评审勘验活动和</w:t>
      </w:r>
      <w:r>
        <w:rPr>
          <w:rFonts w:hint="eastAsia" w:ascii="仿宋_GB2312" w:hAnsi="仿宋_GB2312" w:eastAsia="仿宋_GB2312" w:cs="仿宋_GB2312"/>
          <w:sz w:val="32"/>
          <w:szCs w:val="32"/>
          <w:highlight w:val="none"/>
          <w:lang w:val="en-US" w:eastAsia="zh-CN"/>
        </w:rPr>
        <w:t>相关</w:t>
      </w:r>
      <w:r>
        <w:rPr>
          <w:rFonts w:hint="eastAsia" w:ascii="仿宋_GB2312" w:hAnsi="仿宋_GB2312" w:eastAsia="仿宋_GB2312" w:cs="仿宋_GB2312"/>
          <w:sz w:val="32"/>
          <w:szCs w:val="32"/>
          <w:highlight w:val="none"/>
        </w:rPr>
        <w:t>培训给予支持。</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第二十</w:t>
      </w:r>
      <w:r>
        <w:rPr>
          <w:rFonts w:hint="eastAsia" w:ascii="仿宋_GB2312" w:hAnsi="仿宋_GB2312" w:eastAsia="仿宋_GB2312" w:cs="仿宋_GB2312"/>
          <w:b/>
          <w:bCs/>
          <w:sz w:val="32"/>
          <w:szCs w:val="32"/>
          <w:highlight w:val="none"/>
          <w:lang w:val="en-US" w:eastAsia="zh-CN"/>
        </w:rPr>
        <w:t>七</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sz w:val="32"/>
          <w:szCs w:val="32"/>
          <w:highlight w:val="none"/>
        </w:rPr>
        <w:t xml:space="preserve"> 有关行业行政监督管理部门应当适时组织对本行业专家进行更新和补充，保证行政审批工作中涉及技术审查、专家论证、专家评审、现场勘验等环节有序规范开展。</w:t>
      </w:r>
    </w:p>
    <w:p>
      <w:pPr>
        <w:keepNext w:val="0"/>
        <w:keepLines w:val="0"/>
        <w:pageBreakBefore w:val="0"/>
        <w:widowControl w:val="0"/>
        <w:shd w:val="clear"/>
        <w:kinsoku/>
        <w:wordWrap/>
        <w:overflowPunct/>
        <w:topLinePunct w:val="0"/>
        <w:autoSpaceDE/>
        <w:autoSpaceDN/>
        <w:bidi w:val="0"/>
        <w:adjustRightInd/>
        <w:snapToGrid/>
        <w:spacing w:line="610" w:lineRule="exact"/>
        <w:jc w:val="both"/>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shd w:val="clear"/>
        <w:kinsoku/>
        <w:wordWrap/>
        <w:overflowPunct/>
        <w:topLinePunct w:val="0"/>
        <w:autoSpaceDE/>
        <w:autoSpaceDN/>
        <w:bidi w:val="0"/>
        <w:adjustRightInd/>
        <w:snapToGrid/>
        <w:spacing w:line="610" w:lineRule="exact"/>
        <w:jc w:val="center"/>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第六章　专家劳务报酬支付标准</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w:t>
      </w:r>
      <w:r>
        <w:rPr>
          <w:rFonts w:hint="eastAsia" w:ascii="仿宋_GB2312" w:hAnsi="仿宋_GB2312" w:eastAsia="仿宋_GB2312" w:cs="仿宋_GB2312"/>
          <w:b/>
          <w:bCs/>
          <w:sz w:val="32"/>
          <w:szCs w:val="32"/>
          <w:highlight w:val="none"/>
          <w:lang w:val="en-US" w:eastAsia="zh-CN"/>
        </w:rPr>
        <w:t>二十八</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按照财务管理规定，</w:t>
      </w:r>
      <w:r>
        <w:rPr>
          <w:rFonts w:hint="eastAsia" w:ascii="仿宋_GB2312" w:hAnsi="仿宋_GB2312" w:eastAsia="仿宋_GB2312" w:cs="仿宋_GB2312"/>
          <w:sz w:val="32"/>
          <w:szCs w:val="32"/>
          <w:highlight w:val="none"/>
          <w:lang w:val="en-US" w:eastAsia="zh-CN"/>
        </w:rPr>
        <w:t>定期</w:t>
      </w:r>
      <w:r>
        <w:rPr>
          <w:rFonts w:hint="eastAsia" w:ascii="仿宋_GB2312" w:hAnsi="仿宋_GB2312" w:eastAsia="仿宋_GB2312" w:cs="仿宋_GB2312"/>
          <w:sz w:val="32"/>
          <w:szCs w:val="32"/>
          <w:highlight w:val="none"/>
        </w:rPr>
        <w:t>报销专家评审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费。专家评审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费采取银行转账方式支付。</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w:t>
      </w:r>
      <w:r>
        <w:rPr>
          <w:rFonts w:hint="eastAsia" w:ascii="仿宋_GB2312" w:hAnsi="仿宋_GB2312" w:eastAsia="仿宋_GB2312" w:cs="仿宋_GB2312"/>
          <w:b/>
          <w:bCs/>
          <w:sz w:val="32"/>
          <w:szCs w:val="32"/>
          <w:highlight w:val="none"/>
          <w:lang w:val="en-US" w:eastAsia="zh-CN"/>
        </w:rPr>
        <w:t>二十九</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sz w:val="32"/>
          <w:szCs w:val="32"/>
          <w:highlight w:val="none"/>
        </w:rPr>
        <w:t xml:space="preserve"> 参照内蒙古公共资源交易中心关于 《内蒙古自治区公共资源交易评标评审专家劳务报酬支付标准》（内公资发〔2023〕15号）第六条，评审费</w:t>
      </w:r>
      <w:r>
        <w:rPr>
          <w:rFonts w:hint="eastAsia" w:ascii="仿宋_GB2312" w:hAnsi="仿宋_GB2312" w:eastAsia="仿宋_GB2312" w:cs="仿宋_GB2312"/>
          <w:sz w:val="32"/>
          <w:szCs w:val="32"/>
          <w:highlight w:val="none"/>
          <w:lang w:val="en-US" w:eastAsia="zh-CN"/>
        </w:rPr>
        <w:t>发放执行以下标准</w:t>
      </w:r>
      <w:r>
        <w:rPr>
          <w:rFonts w:hint="eastAsia" w:ascii="仿宋_GB2312" w:hAnsi="仿宋_GB2312" w:eastAsia="仿宋_GB2312" w:cs="仿宋_GB2312"/>
          <w:sz w:val="32"/>
          <w:szCs w:val="32"/>
          <w:highlight w:val="none"/>
        </w:rPr>
        <w:t>：</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（一）评审勘验形式：包括现场勘验、远程勘验、评审会三种形式。</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评审勘验次数确认：根据项目实际，为提高评审勘验效率，最大限度减少重复作业，每次可就一个项目或多个同类项目同时开展评审勘验工作，按单次评审计算评审时间并确定评审费；非同类项目的评审勘验活动，按项目确定评审次数，计算评审时间并确定评审费。</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（三）计费标准：</w:t>
      </w:r>
      <w:r>
        <w:rPr>
          <w:rFonts w:hint="eastAsia" w:ascii="仿宋_GB2312" w:hAnsi="仿宋_GB2312" w:eastAsia="仿宋_GB2312" w:cs="仿宋_GB2312"/>
          <w:sz w:val="32"/>
          <w:szCs w:val="32"/>
          <w:highlight w:val="none"/>
        </w:rPr>
        <w:t>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时间在2小时以内的，按每人每次200元支付；评审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时间超过2小时、低于8小时的，按每人每次500元支付</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评审</w:t>
      </w:r>
      <w:r>
        <w:rPr>
          <w:rFonts w:hint="eastAsia" w:ascii="仿宋_GB2312" w:hAnsi="仿宋_GB2312" w:eastAsia="仿宋_GB2312" w:cs="仿宋_GB2312"/>
          <w:sz w:val="32"/>
          <w:szCs w:val="32"/>
          <w:highlight w:val="none"/>
          <w:lang w:val="en-US" w:eastAsia="zh-CN"/>
        </w:rPr>
        <w:t>勘验</w:t>
      </w:r>
      <w:r>
        <w:rPr>
          <w:rFonts w:hint="eastAsia" w:ascii="仿宋_GB2312" w:hAnsi="仿宋_GB2312" w:eastAsia="仿宋_GB2312" w:cs="仿宋_GB2312"/>
          <w:sz w:val="32"/>
          <w:szCs w:val="32"/>
          <w:highlight w:val="none"/>
        </w:rPr>
        <w:t>时间超过8小时的，按每人每次800元支付。</w:t>
      </w:r>
    </w:p>
    <w:p>
      <w:pPr>
        <w:keepNext w:val="0"/>
        <w:keepLines w:val="0"/>
        <w:pageBreakBefore w:val="0"/>
        <w:widowControl w:val="0"/>
        <w:shd w:val="clear"/>
        <w:kinsoku/>
        <w:wordWrap/>
        <w:overflowPunct/>
        <w:topLinePunct w:val="0"/>
        <w:autoSpaceDE/>
        <w:autoSpaceDN/>
        <w:bidi w:val="0"/>
        <w:adjustRightInd/>
        <w:snapToGrid/>
        <w:spacing w:line="61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组长报酬：按每人每次100元标准</w:t>
      </w:r>
      <w:r>
        <w:rPr>
          <w:rFonts w:hint="eastAsia" w:ascii="仿宋_GB2312" w:hAnsi="仿宋_GB2312" w:eastAsia="仿宋_GB2312" w:cs="仿宋_GB2312"/>
          <w:sz w:val="32"/>
          <w:szCs w:val="32"/>
          <w:highlight w:val="none"/>
          <w:lang w:val="en-US" w:eastAsia="zh-CN"/>
        </w:rPr>
        <w:t>额外</w:t>
      </w:r>
      <w:r>
        <w:rPr>
          <w:rFonts w:hint="eastAsia" w:ascii="仿宋_GB2312" w:hAnsi="仿宋_GB2312" w:eastAsia="仿宋_GB2312" w:cs="仿宋_GB2312"/>
          <w:sz w:val="32"/>
          <w:szCs w:val="32"/>
          <w:highlight w:val="none"/>
        </w:rPr>
        <w:t>支付</w:t>
      </w:r>
      <w:r>
        <w:rPr>
          <w:rFonts w:hint="eastAsia" w:ascii="仿宋_GB2312" w:hAnsi="仿宋_GB2312" w:eastAsia="仿宋_GB2312" w:cs="仿宋_GB2312"/>
          <w:sz w:val="32"/>
          <w:szCs w:val="32"/>
          <w:highlight w:val="none"/>
          <w:lang w:val="en-US" w:eastAsia="zh-CN"/>
        </w:rPr>
        <w:t>专家组</w:t>
      </w:r>
      <w:r>
        <w:rPr>
          <w:rFonts w:hint="eastAsia" w:ascii="仿宋_GB2312" w:hAnsi="仿宋_GB2312" w:eastAsia="仿宋_GB2312" w:cs="仿宋_GB2312"/>
          <w:sz w:val="32"/>
          <w:szCs w:val="32"/>
          <w:highlight w:val="none"/>
        </w:rPr>
        <w:t>组长报酬。</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bCs/>
          <w:sz w:val="32"/>
          <w:szCs w:val="32"/>
          <w:highlight w:val="none"/>
        </w:rPr>
        <w:t>第</w:t>
      </w:r>
      <w:r>
        <w:rPr>
          <w:rFonts w:hint="eastAsia" w:ascii="仿宋_GB2312" w:hAnsi="仿宋_GB2312" w:eastAsia="仿宋_GB2312" w:cs="仿宋_GB2312"/>
          <w:b/>
          <w:bCs/>
          <w:sz w:val="32"/>
          <w:szCs w:val="32"/>
          <w:highlight w:val="none"/>
          <w:lang w:val="en-US" w:eastAsia="zh-CN"/>
        </w:rPr>
        <w:t>三十</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lang w:val="en-US" w:eastAsia="zh-CN"/>
        </w:rPr>
        <w:t>按照兴安盟财政局《关于转发&lt;内蒙古自治区本级党政机关差旅费管理办法&gt;的通知》（兴财行〔2014〕24号）的要求，参照《内蒙古自治区本级党政机关差旅费管理办法》（内财行〔2014〕409号）第十七条的规定：“工作人员到区外或区内出差,按照财政部统一发布的各省、自治区、直辖市和计划单列市伙食补助费标准执行(内蒙古的伙食补助费为每人每天100元)”，评审勘验相关工作人员到各旗县市（不含乌兰浩特市城区和科右前旗科尔沁镇城区）进行评审，差旅费按每人每天100元标准发放,在专项评审工作经费中列支。</w:t>
      </w:r>
    </w:p>
    <w:p>
      <w:pPr>
        <w:keepNext w:val="0"/>
        <w:keepLines w:val="0"/>
        <w:pageBreakBefore w:val="0"/>
        <w:widowControl w:val="0"/>
        <w:shd w:val="clear"/>
        <w:kinsoku/>
        <w:wordWrap/>
        <w:overflowPunct/>
        <w:topLinePunct w:val="0"/>
        <w:autoSpaceDE/>
        <w:autoSpaceDN/>
        <w:bidi w:val="0"/>
        <w:adjustRightInd/>
        <w:snapToGrid/>
        <w:spacing w:line="610" w:lineRule="exact"/>
        <w:ind w:firstLine="642"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第</w:t>
      </w:r>
      <w:r>
        <w:rPr>
          <w:rFonts w:hint="eastAsia" w:ascii="仿宋_GB2312" w:hAnsi="仿宋_GB2312" w:eastAsia="仿宋_GB2312" w:cs="仿宋_GB2312"/>
          <w:b/>
          <w:bCs/>
          <w:sz w:val="32"/>
          <w:szCs w:val="32"/>
          <w:highlight w:val="none"/>
          <w:lang w:val="en-US" w:eastAsia="zh-CN"/>
        </w:rPr>
        <w:t>三十一</w:t>
      </w:r>
      <w:r>
        <w:rPr>
          <w:rFonts w:hint="eastAsia" w:ascii="仿宋_GB2312" w:hAnsi="仿宋_GB2312" w:eastAsia="仿宋_GB2312" w:cs="仿宋_GB2312"/>
          <w:b/>
          <w:bCs/>
          <w:sz w:val="32"/>
          <w:szCs w:val="32"/>
          <w:highlight w:val="none"/>
        </w:rPr>
        <w:t>条</w:t>
      </w:r>
      <w:r>
        <w:rPr>
          <w:rFonts w:hint="eastAsia" w:ascii="仿宋_GB2312" w:hAnsi="仿宋_GB2312" w:eastAsia="仿宋_GB2312" w:cs="仿宋_GB2312"/>
          <w:b/>
          <w:bCs/>
          <w:sz w:val="32"/>
          <w:szCs w:val="32"/>
          <w:highlight w:val="none"/>
          <w:lang w:val="en-US" w:eastAsia="zh-CN"/>
        </w:rPr>
        <w:t xml:space="preserve"> </w:t>
      </w:r>
      <w:r>
        <w:rPr>
          <w:rFonts w:hint="eastAsia" w:ascii="仿宋_GB2312" w:hAnsi="仿宋_GB2312" w:eastAsia="仿宋_GB2312" w:cs="仿宋_GB2312"/>
          <w:sz w:val="32"/>
          <w:szCs w:val="32"/>
          <w:highlight w:val="none"/>
        </w:rPr>
        <w:t>本办法自印发之日起实施。原</w:t>
      </w:r>
      <w:r>
        <w:rPr>
          <w:rFonts w:hint="eastAsia" w:ascii="仿宋_GB2312" w:hAnsi="仿宋_GB2312" w:eastAsia="仿宋_GB2312" w:cs="仿宋_GB2312"/>
          <w:sz w:val="32"/>
          <w:szCs w:val="32"/>
          <w:highlight w:val="none"/>
          <w:lang w:val="en-US" w:eastAsia="zh-CN"/>
        </w:rPr>
        <w:t>盟政数局</w:t>
      </w:r>
      <w:r>
        <w:rPr>
          <w:rFonts w:hint="eastAsia" w:ascii="仿宋_GB2312" w:hAnsi="仿宋_GB2312" w:eastAsia="仿宋_GB2312" w:cs="仿宋_GB2312"/>
          <w:sz w:val="32"/>
          <w:szCs w:val="32"/>
          <w:highlight w:val="none"/>
        </w:rPr>
        <w:t>《关于印发〈</w:t>
      </w:r>
      <w:r>
        <w:rPr>
          <w:rFonts w:hint="eastAsia" w:ascii="仿宋_GB2312" w:hAnsi="仿宋_GB2312" w:eastAsia="仿宋_GB2312" w:cs="仿宋_GB2312"/>
          <w:sz w:val="32"/>
          <w:szCs w:val="32"/>
          <w:highlight w:val="none"/>
          <w:lang w:val="en-US" w:eastAsia="zh-CN"/>
        </w:rPr>
        <w:t>兴安盟行政审批政务服务与数据管理局评审勘验专家库和评审勘验专家管理办法</w:t>
      </w:r>
      <w:r>
        <w:rPr>
          <w:rFonts w:hint="eastAsia" w:ascii="仿宋_GB2312" w:hAnsi="仿宋_GB2312" w:eastAsia="仿宋_GB2312" w:cs="仿宋_GB2312"/>
          <w:sz w:val="32"/>
          <w:szCs w:val="32"/>
          <w:highlight w:val="none"/>
        </w:rPr>
        <w:t>〉的通知》</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兴</w:t>
      </w:r>
      <w:r>
        <w:rPr>
          <w:rFonts w:hint="eastAsia" w:ascii="仿宋_GB2312" w:hAnsi="仿宋_GB2312" w:eastAsia="仿宋_GB2312" w:cs="仿宋_GB2312"/>
          <w:sz w:val="32"/>
          <w:szCs w:val="32"/>
          <w:highlight w:val="none"/>
          <w:lang w:val="en-US" w:eastAsia="zh-CN"/>
        </w:rPr>
        <w:t>政数</w:t>
      </w:r>
      <w:r>
        <w:rPr>
          <w:rFonts w:hint="eastAsia" w:ascii="仿宋_GB2312" w:hAnsi="仿宋_GB2312" w:eastAsia="仿宋_GB2312" w:cs="仿宋_GB2312"/>
          <w:sz w:val="32"/>
          <w:szCs w:val="32"/>
          <w:highlight w:val="none"/>
        </w:rPr>
        <w:t>发〔202</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12</w:t>
      </w:r>
      <w:r>
        <w:rPr>
          <w:rFonts w:hint="eastAsia" w:ascii="仿宋_GB2312" w:hAnsi="仿宋_GB2312" w:eastAsia="仿宋_GB2312" w:cs="仿宋_GB2312"/>
          <w:sz w:val="32"/>
          <w:szCs w:val="32"/>
          <w:highlight w:val="none"/>
        </w:rPr>
        <w:t>号</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同时废止</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本办法由盟政数局</w:t>
      </w:r>
      <w:r>
        <w:rPr>
          <w:rFonts w:hint="eastAsia" w:ascii="仿宋_GB2312" w:hAnsi="仿宋_GB2312" w:eastAsia="仿宋_GB2312" w:cs="仿宋_GB2312"/>
          <w:sz w:val="32"/>
          <w:szCs w:val="32"/>
          <w:highlight w:val="none"/>
        </w:rPr>
        <w:t>负责解释</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未尽事宜按照国家、自治区现行有关规定执行</w:t>
      </w:r>
      <w:r>
        <w:rPr>
          <w:rFonts w:hint="eastAsia" w:ascii="仿宋_GB2312" w:hAnsi="仿宋_GB2312" w:eastAsia="仿宋_GB2312" w:cs="仿宋_GB2312"/>
          <w:sz w:val="32"/>
          <w:szCs w:val="32"/>
          <w:highlight w:val="none"/>
        </w:rPr>
        <w:t>。</w:t>
      </w:r>
    </w:p>
    <w:p>
      <w:pPr>
        <w:keepNext w:val="0"/>
        <w:keepLines w:val="0"/>
        <w:pageBreakBefore w:val="0"/>
        <w:widowControl w:val="0"/>
        <w:shd w:val="clear"/>
        <w:kinsoku/>
        <w:wordWrap/>
        <w:overflowPunct/>
        <w:topLinePunct w:val="0"/>
        <w:autoSpaceDE/>
        <w:autoSpaceDN/>
        <w:bidi w:val="0"/>
        <w:adjustRightInd/>
        <w:snapToGrid/>
        <w:spacing w:line="610" w:lineRule="exact"/>
        <w:jc w:val="both"/>
        <w:textAlignment w:val="auto"/>
        <w:rPr>
          <w:rFonts w:hint="eastAsia" w:ascii="仿宋_GB2312" w:hAnsi="仿宋_GB2312" w:eastAsia="仿宋_GB2312" w:cs="仿宋_GB2312"/>
          <w:sz w:val="32"/>
          <w:szCs w:val="32"/>
          <w:highlight w:val="none"/>
        </w:rPr>
      </w:pPr>
    </w:p>
    <w:p>
      <w:pPr>
        <w:keepNext w:val="0"/>
        <w:keepLines w:val="0"/>
        <w:pageBreakBefore w:val="0"/>
        <w:widowControl w:val="0"/>
        <w:shd w:val="clear"/>
        <w:kinsoku/>
        <w:wordWrap/>
        <w:overflowPunct/>
        <w:topLinePunct w:val="0"/>
        <w:autoSpaceDE/>
        <w:autoSpaceDN/>
        <w:bidi w:val="0"/>
        <w:adjustRightInd/>
        <w:snapToGrid/>
        <w:spacing w:line="610" w:lineRule="exact"/>
        <w:jc w:val="both"/>
        <w:textAlignment w:val="auto"/>
        <w:rPr>
          <w:rFonts w:hint="eastAsia" w:ascii="仿宋_GB2312" w:hAnsi="仿宋_GB2312" w:eastAsia="仿宋_GB2312" w:cs="仿宋_GB2312"/>
          <w:sz w:val="32"/>
          <w:szCs w:val="32"/>
          <w:highlight w:val="none"/>
        </w:rPr>
      </w:pPr>
    </w:p>
    <w:p>
      <w:pPr>
        <w:keepNext w:val="0"/>
        <w:keepLines w:val="0"/>
        <w:pageBreakBefore w:val="0"/>
        <w:widowControl w:val="0"/>
        <w:shd w:val="clear"/>
        <w:kinsoku/>
        <w:wordWrap/>
        <w:overflowPunct/>
        <w:topLinePunct w:val="0"/>
        <w:autoSpaceDE/>
        <w:autoSpaceDN/>
        <w:bidi w:val="0"/>
        <w:adjustRightInd/>
        <w:snapToGrid/>
        <w:spacing w:line="610" w:lineRule="exact"/>
        <w:jc w:val="both"/>
        <w:textAlignment w:val="auto"/>
        <w:rPr>
          <w:rFonts w:hint="eastAsia" w:ascii="仿宋_GB2312" w:hAnsi="仿宋_GB2312" w:eastAsia="仿宋_GB2312" w:cs="仿宋_GB2312"/>
          <w:sz w:val="32"/>
          <w:szCs w:val="32"/>
          <w:highlight w:val="none"/>
        </w:rPr>
      </w:pPr>
    </w:p>
    <w:tbl>
      <w:tblPr>
        <w:tblStyle w:val="11"/>
        <w:tblpPr w:leftFromText="180" w:rightFromText="180" w:vertAnchor="text" w:horzAnchor="page" w:tblpX="1301" w:tblpY="3919"/>
        <w:tblOverlap w:val="never"/>
        <w:tblW w:w="95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9575" w:type="dxa"/>
            <w:tcBorders>
              <w:top w:val="single" w:color="auto" w:sz="4" w:space="0"/>
              <w:left w:val="nil"/>
              <w:bottom w:val="single" w:color="auto" w:sz="4" w:space="0"/>
              <w:right w:val="nil"/>
            </w:tcBorders>
            <w:noWrap w:val="0"/>
            <w:vAlign w:val="center"/>
          </w:tcPr>
          <w:p>
            <w:pPr>
              <w:keepNext w:val="0"/>
              <w:keepLines w:val="0"/>
              <w:pageBreakBefore w:val="0"/>
              <w:widowControl/>
              <w:kinsoku/>
              <w:wordWrap/>
              <w:overflowPunct/>
              <w:topLinePunct w:val="0"/>
              <w:autoSpaceDE/>
              <w:autoSpaceDN/>
              <w:bidi w:val="0"/>
              <w:adjustRightInd/>
              <w:snapToGrid/>
              <w:spacing w:after="0" w:line="500" w:lineRule="exact"/>
              <w:ind w:firstLine="280" w:firstLineChars="100"/>
              <w:jc w:val="both"/>
              <w:textAlignment w:val="auto"/>
              <w:rPr>
                <w:rFonts w:hint="eastAsia" w:ascii="仿宋_GB2312" w:eastAsia="仿宋_GB2312"/>
                <w:sz w:val="24"/>
                <w:szCs w:val="24"/>
                <w:lang w:val="en-US" w:eastAsia="zh-CN"/>
              </w:rPr>
            </w:pPr>
            <w:r>
              <w:rPr>
                <w:rFonts w:hint="eastAsia" w:ascii="仿宋_GB2312" w:eastAsia="仿宋_GB2312"/>
                <w:sz w:val="28"/>
                <w:szCs w:val="28"/>
              </w:rPr>
              <w:t>兴安盟行政审批政务服务</w:t>
            </w:r>
            <w:r>
              <w:rPr>
                <w:rFonts w:hint="eastAsia" w:ascii="仿宋_GB2312" w:eastAsia="仿宋_GB2312"/>
                <w:sz w:val="28"/>
                <w:szCs w:val="28"/>
                <w:lang w:eastAsia="zh-CN"/>
              </w:rPr>
              <w:t>与数据管理</w:t>
            </w:r>
            <w:r>
              <w:rPr>
                <w:rFonts w:hint="eastAsia" w:ascii="仿宋_GB2312" w:eastAsia="仿宋_GB2312"/>
                <w:sz w:val="28"/>
                <w:szCs w:val="28"/>
              </w:rPr>
              <w:t>局</w:t>
            </w:r>
            <w:r>
              <w:rPr>
                <w:rFonts w:hint="eastAsia" w:ascii="仿宋_GB2312" w:eastAsia="仿宋_GB2312"/>
                <w:sz w:val="28"/>
                <w:szCs w:val="28"/>
                <w:lang w:val="en-US" w:eastAsia="zh-CN"/>
              </w:rPr>
              <w:t xml:space="preserve">办公室    </w:t>
            </w:r>
            <w:r>
              <w:rPr>
                <w:rFonts w:hint="eastAsia" w:ascii="仿宋_GB2312" w:eastAsia="仿宋_GB2312"/>
                <w:sz w:val="28"/>
                <w:szCs w:val="28"/>
              </w:rPr>
              <w:t>202</w:t>
            </w:r>
            <w:r>
              <w:rPr>
                <w:rFonts w:hint="eastAsia" w:ascii="仿宋_GB2312" w:eastAsia="仿宋_GB2312"/>
                <w:sz w:val="28"/>
                <w:szCs w:val="28"/>
                <w:lang w:val="en-US" w:eastAsia="zh-CN"/>
              </w:rPr>
              <w:t>6</w:t>
            </w:r>
            <w:r>
              <w:rPr>
                <w:rFonts w:hint="eastAsia" w:ascii="仿宋_GB2312" w:eastAsia="仿宋_GB2312"/>
                <w:sz w:val="28"/>
                <w:szCs w:val="28"/>
              </w:rPr>
              <w:t>年</w:t>
            </w:r>
            <w:r>
              <w:rPr>
                <w:rFonts w:hint="eastAsia" w:ascii="仿宋_GB2312" w:eastAsia="仿宋_GB2312"/>
                <w:sz w:val="28"/>
                <w:szCs w:val="28"/>
                <w:lang w:val="en-US" w:eastAsia="zh-CN"/>
              </w:rPr>
              <w:t>8</w:t>
            </w:r>
            <w:r>
              <w:rPr>
                <w:rFonts w:hint="eastAsia" w:ascii="仿宋_GB2312" w:eastAsia="仿宋_GB2312"/>
                <w:sz w:val="28"/>
                <w:szCs w:val="28"/>
              </w:rPr>
              <w:t>月</w:t>
            </w:r>
            <w:r>
              <w:rPr>
                <w:rFonts w:hint="eastAsia" w:ascii="仿宋_GB2312" w:eastAsia="仿宋_GB2312"/>
                <w:sz w:val="28"/>
                <w:szCs w:val="28"/>
                <w:lang w:val="en-US" w:eastAsia="zh-CN"/>
              </w:rPr>
              <w:t>12</w:t>
            </w:r>
            <w:r>
              <w:rPr>
                <w:rFonts w:hint="eastAsia" w:ascii="仿宋_GB2312" w:eastAsia="仿宋_GB2312"/>
                <w:sz w:val="28"/>
                <w:szCs w:val="28"/>
              </w:rPr>
              <w:t>日印发</w:t>
            </w:r>
            <w:r>
              <w:rPr>
                <w:rFonts w:hint="eastAsia" w:ascii="仿宋_GB2312" w:eastAsia="仿宋_GB2312"/>
                <w:sz w:val="28"/>
                <w:szCs w:val="28"/>
                <w:lang w:val="en-US" w:eastAsia="zh-CN"/>
              </w:rPr>
              <w:t xml:space="preserve"> </w:t>
            </w:r>
          </w:p>
        </w:tc>
      </w:tr>
    </w:tbl>
    <w:p>
      <w:pPr>
        <w:keepNext w:val="0"/>
        <w:keepLines w:val="0"/>
        <w:pageBreakBefore w:val="0"/>
        <w:widowControl w:val="0"/>
        <w:shd w:val="clear"/>
        <w:kinsoku/>
        <w:wordWrap/>
        <w:overflowPunct/>
        <w:topLinePunct w:val="0"/>
        <w:autoSpaceDE/>
        <w:autoSpaceDN/>
        <w:bidi w:val="0"/>
        <w:adjustRightInd/>
        <w:snapToGrid/>
        <w:spacing w:line="610" w:lineRule="exact"/>
        <w:jc w:val="both"/>
        <w:textAlignment w:val="auto"/>
        <w:rPr>
          <w:rFonts w:hint="eastAsia" w:ascii="仿宋_GB2312" w:hAnsi="仿宋_GB2312" w:eastAsia="仿宋_GB2312" w:cs="仿宋_GB2312"/>
          <w:sz w:val="32"/>
          <w:szCs w:val="32"/>
          <w:highlight w:val="none"/>
        </w:rPr>
      </w:pPr>
    </w:p>
    <w:sectPr>
      <w:footerReference r:id="rId3" w:type="default"/>
      <w:pgSz w:w="11906" w:h="16838"/>
      <w:pgMar w:top="2098" w:right="1474" w:bottom="1984" w:left="1587" w:header="851" w:footer="1247" w:gutter="0"/>
      <w:pgBorders>
        <w:top w:val="none" w:sz="0" w:space="0"/>
        <w:left w:val="none" w:sz="0" w:space="0"/>
        <w:bottom w:val="none" w:sz="0" w:space="0"/>
        <w:right w:val="none" w:sz="0" w:space="0"/>
      </w:pgBorders>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p>
  <w:p>
    <w:pPr>
      <w:pStyle w:val="6"/>
      <w:jc w:val="right"/>
    </w:pPr>
  </w:p>
  <w:p>
    <w:pPr>
      <w:pStyle w:val="6"/>
      <w:jc w:val="right"/>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PAGE  \* MERGEFORMAT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1</w:t>
                          </w:r>
                          <w:r>
                            <w:rPr>
                              <w:rFonts w:hint="eastAsia" w:ascii="宋体" w:hAnsi="宋体" w:eastAsia="宋体" w:cs="宋体"/>
                              <w:sz w:val="28"/>
                              <w:szCs w:val="28"/>
                              <w:lang w:val="en-US" w:eastAsia="zh-CN"/>
                            </w:rP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WAAAAZHJzL1BLAQIUABQA&#10;AAAIAIdO4kDOqXm5zwAAAAUBAAAPAAAAAAAAAAEAIAAAADgAAABkcnMvZG93bnJldi54bWxQSwEC&#10;FAAUAAAACACHTuJAs4h+BecBAADHAwAADgAAAAAAAAABACAAAAA0AQAAZHJzL2Uyb0RvYy54bWxQ&#10;SwUGAAAAAAYABgBZAQAAjQUAAAAA&#10;">
              <v:fill on="f" focussize="0,0"/>
              <v:stroke on="f"/>
              <v:imagedata o:title=""/>
              <o:lock v:ext="edit" aspectratio="f"/>
              <v:textbox inset="0mm,0mm,0mm,0mm" style="mso-fit-shape-to-text:t;">
                <w:txbxContent>
                  <w:p>
                    <w:pPr>
                      <w:pStyle w:val="1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PAGE  \* MERGEFORMAT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1</w:t>
                    </w:r>
                    <w:r>
                      <w:rPr>
                        <w:rFonts w:hint="eastAsia" w:ascii="宋体" w:hAnsi="宋体" w:eastAsia="宋体" w:cs="宋体"/>
                        <w:sz w:val="28"/>
                        <w:szCs w:val="28"/>
                        <w:lang w:val="en-US" w:eastAsia="zh-CN"/>
                      </w:rPr>
                      <w:fldChar w:fldCharType="end"/>
                    </w:r>
                  </w:p>
                </w:txbxContent>
              </v:textbox>
            </v:shape>
          </w:pict>
        </mc:Fallback>
      </mc:AlternateContent>
    </w:r>
  </w:p>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kZGQ3NWYwYTU4ZWQ3ZmVhYjgwYjAzNDY2MDJjNDcifQ=="/>
  </w:docVars>
  <w:rsids>
    <w:rsidRoot w:val="00F64627"/>
    <w:rsid w:val="00012D05"/>
    <w:rsid w:val="00066F08"/>
    <w:rsid w:val="000D134F"/>
    <w:rsid w:val="000D4036"/>
    <w:rsid w:val="00107E4A"/>
    <w:rsid w:val="00110E12"/>
    <w:rsid w:val="00127340"/>
    <w:rsid w:val="001364A0"/>
    <w:rsid w:val="0019351C"/>
    <w:rsid w:val="001C17A5"/>
    <w:rsid w:val="001F2E06"/>
    <w:rsid w:val="00211771"/>
    <w:rsid w:val="00232305"/>
    <w:rsid w:val="0023697B"/>
    <w:rsid w:val="00241412"/>
    <w:rsid w:val="00246F28"/>
    <w:rsid w:val="00257975"/>
    <w:rsid w:val="00283710"/>
    <w:rsid w:val="002A5346"/>
    <w:rsid w:val="002B622D"/>
    <w:rsid w:val="002C5948"/>
    <w:rsid w:val="002D1B0E"/>
    <w:rsid w:val="003060FD"/>
    <w:rsid w:val="00365279"/>
    <w:rsid w:val="003666B3"/>
    <w:rsid w:val="00372D2D"/>
    <w:rsid w:val="003B3739"/>
    <w:rsid w:val="003B46DC"/>
    <w:rsid w:val="003B574F"/>
    <w:rsid w:val="003D1CB3"/>
    <w:rsid w:val="003E7F27"/>
    <w:rsid w:val="004115C2"/>
    <w:rsid w:val="0044771A"/>
    <w:rsid w:val="00463BF0"/>
    <w:rsid w:val="00486BA9"/>
    <w:rsid w:val="004B3C55"/>
    <w:rsid w:val="005418AF"/>
    <w:rsid w:val="00553134"/>
    <w:rsid w:val="005632F6"/>
    <w:rsid w:val="006439E3"/>
    <w:rsid w:val="006509F6"/>
    <w:rsid w:val="007112E3"/>
    <w:rsid w:val="00737861"/>
    <w:rsid w:val="0077472D"/>
    <w:rsid w:val="007C0060"/>
    <w:rsid w:val="007F5864"/>
    <w:rsid w:val="00837536"/>
    <w:rsid w:val="00871EC9"/>
    <w:rsid w:val="008A764B"/>
    <w:rsid w:val="008C775F"/>
    <w:rsid w:val="00930005"/>
    <w:rsid w:val="00955D27"/>
    <w:rsid w:val="009660A6"/>
    <w:rsid w:val="009831E9"/>
    <w:rsid w:val="0098733A"/>
    <w:rsid w:val="00996450"/>
    <w:rsid w:val="009F4D52"/>
    <w:rsid w:val="00A2719D"/>
    <w:rsid w:val="00AA0551"/>
    <w:rsid w:val="00AB0102"/>
    <w:rsid w:val="00AB7FA5"/>
    <w:rsid w:val="00AF1079"/>
    <w:rsid w:val="00B33090"/>
    <w:rsid w:val="00B34772"/>
    <w:rsid w:val="00B90AC8"/>
    <w:rsid w:val="00BC634B"/>
    <w:rsid w:val="00BD0B07"/>
    <w:rsid w:val="00C0204F"/>
    <w:rsid w:val="00C10481"/>
    <w:rsid w:val="00C202ED"/>
    <w:rsid w:val="00C46603"/>
    <w:rsid w:val="00CA19F0"/>
    <w:rsid w:val="00CD5028"/>
    <w:rsid w:val="00CE71E8"/>
    <w:rsid w:val="00D736F3"/>
    <w:rsid w:val="00D876A9"/>
    <w:rsid w:val="00DA0C5D"/>
    <w:rsid w:val="00DA33DD"/>
    <w:rsid w:val="00E60D6D"/>
    <w:rsid w:val="00E8208E"/>
    <w:rsid w:val="00ED3446"/>
    <w:rsid w:val="00F30EDB"/>
    <w:rsid w:val="00F64627"/>
    <w:rsid w:val="00F65AA8"/>
    <w:rsid w:val="00FF16F5"/>
    <w:rsid w:val="012A6BDB"/>
    <w:rsid w:val="03374080"/>
    <w:rsid w:val="03E62820"/>
    <w:rsid w:val="068766B9"/>
    <w:rsid w:val="09AB5E2F"/>
    <w:rsid w:val="09E33DCA"/>
    <w:rsid w:val="0A4038E0"/>
    <w:rsid w:val="0B1A08EB"/>
    <w:rsid w:val="0BB35A1E"/>
    <w:rsid w:val="0D0F634D"/>
    <w:rsid w:val="0D236D20"/>
    <w:rsid w:val="0DA45929"/>
    <w:rsid w:val="0DA6012B"/>
    <w:rsid w:val="0F2C65FF"/>
    <w:rsid w:val="0F470AF8"/>
    <w:rsid w:val="0F73799F"/>
    <w:rsid w:val="135E486D"/>
    <w:rsid w:val="14667AD2"/>
    <w:rsid w:val="14E45A99"/>
    <w:rsid w:val="15384F18"/>
    <w:rsid w:val="165F2154"/>
    <w:rsid w:val="166C5036"/>
    <w:rsid w:val="16C8774F"/>
    <w:rsid w:val="180870C0"/>
    <w:rsid w:val="18131D1F"/>
    <w:rsid w:val="1C55440A"/>
    <w:rsid w:val="1C721447"/>
    <w:rsid w:val="1D1D0F4A"/>
    <w:rsid w:val="1D4E6151"/>
    <w:rsid w:val="1E195665"/>
    <w:rsid w:val="1EEE22E5"/>
    <w:rsid w:val="21006B63"/>
    <w:rsid w:val="219B5B9D"/>
    <w:rsid w:val="23583409"/>
    <w:rsid w:val="23784C15"/>
    <w:rsid w:val="24575689"/>
    <w:rsid w:val="24E53C3D"/>
    <w:rsid w:val="25FD3846"/>
    <w:rsid w:val="26DC20D7"/>
    <w:rsid w:val="28C6293C"/>
    <w:rsid w:val="29512FB8"/>
    <w:rsid w:val="29B50BB5"/>
    <w:rsid w:val="2AB10E0D"/>
    <w:rsid w:val="2D216834"/>
    <w:rsid w:val="2D572256"/>
    <w:rsid w:val="2DA22C61"/>
    <w:rsid w:val="2EEE7974"/>
    <w:rsid w:val="2F307202"/>
    <w:rsid w:val="337F42B4"/>
    <w:rsid w:val="35056F1B"/>
    <w:rsid w:val="359D0A22"/>
    <w:rsid w:val="35E30B2B"/>
    <w:rsid w:val="361051BB"/>
    <w:rsid w:val="37074098"/>
    <w:rsid w:val="383367E0"/>
    <w:rsid w:val="3851191E"/>
    <w:rsid w:val="38F41C42"/>
    <w:rsid w:val="394B745F"/>
    <w:rsid w:val="3AFF6974"/>
    <w:rsid w:val="3DE11F84"/>
    <w:rsid w:val="3E852E15"/>
    <w:rsid w:val="3F2F0839"/>
    <w:rsid w:val="3FB02764"/>
    <w:rsid w:val="41CF120B"/>
    <w:rsid w:val="42022339"/>
    <w:rsid w:val="42430A49"/>
    <w:rsid w:val="43DB471F"/>
    <w:rsid w:val="43FA71BE"/>
    <w:rsid w:val="44270E80"/>
    <w:rsid w:val="44AF2E73"/>
    <w:rsid w:val="452E07A4"/>
    <w:rsid w:val="45A73923"/>
    <w:rsid w:val="45AA6E46"/>
    <w:rsid w:val="473A2575"/>
    <w:rsid w:val="47DE39AB"/>
    <w:rsid w:val="47EB1720"/>
    <w:rsid w:val="487F2BE9"/>
    <w:rsid w:val="4A595408"/>
    <w:rsid w:val="4B5771AD"/>
    <w:rsid w:val="4B693428"/>
    <w:rsid w:val="4B6E0D32"/>
    <w:rsid w:val="4BEB208F"/>
    <w:rsid w:val="4D9F1076"/>
    <w:rsid w:val="4E7A52E7"/>
    <w:rsid w:val="4E880069"/>
    <w:rsid w:val="4F672F67"/>
    <w:rsid w:val="50325981"/>
    <w:rsid w:val="50F52A52"/>
    <w:rsid w:val="51536E0C"/>
    <w:rsid w:val="53C56278"/>
    <w:rsid w:val="54132FDB"/>
    <w:rsid w:val="55FF20BC"/>
    <w:rsid w:val="5B5B30F9"/>
    <w:rsid w:val="5CD6186D"/>
    <w:rsid w:val="5E20206C"/>
    <w:rsid w:val="5E3800EA"/>
    <w:rsid w:val="5ED846F5"/>
    <w:rsid w:val="61FB107D"/>
    <w:rsid w:val="624A5D31"/>
    <w:rsid w:val="62AE5943"/>
    <w:rsid w:val="632E0D88"/>
    <w:rsid w:val="633B34A5"/>
    <w:rsid w:val="63913D61"/>
    <w:rsid w:val="639A3ED8"/>
    <w:rsid w:val="63C05149"/>
    <w:rsid w:val="64E9765C"/>
    <w:rsid w:val="65617FC3"/>
    <w:rsid w:val="65814AF3"/>
    <w:rsid w:val="66780995"/>
    <w:rsid w:val="678F44E0"/>
    <w:rsid w:val="67AA52F8"/>
    <w:rsid w:val="680B1697"/>
    <w:rsid w:val="683B1CF6"/>
    <w:rsid w:val="6969781F"/>
    <w:rsid w:val="69F859CB"/>
    <w:rsid w:val="6BE55D91"/>
    <w:rsid w:val="6CEE5C99"/>
    <w:rsid w:val="6E501055"/>
    <w:rsid w:val="6E6A0A09"/>
    <w:rsid w:val="6FF95519"/>
    <w:rsid w:val="720D0EF0"/>
    <w:rsid w:val="7254170B"/>
    <w:rsid w:val="73902566"/>
    <w:rsid w:val="74E569A0"/>
    <w:rsid w:val="75866978"/>
    <w:rsid w:val="76D417EE"/>
    <w:rsid w:val="7A0F4B77"/>
    <w:rsid w:val="7A2E16C2"/>
    <w:rsid w:val="7A622814"/>
    <w:rsid w:val="7A7705C3"/>
    <w:rsid w:val="7C982A4B"/>
    <w:rsid w:val="7CD26B10"/>
    <w:rsid w:val="7CF315F4"/>
    <w:rsid w:val="7DBD2FDC"/>
    <w:rsid w:val="7F2B61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567"/>
    </w:pPr>
    <w:rPr>
      <w:rFonts w:ascii="Times New Roman" w:hAnsi="Times New Roman" w:eastAsia="宋体" w:cs="Times New Roman"/>
    </w:rPr>
  </w:style>
  <w:style w:type="paragraph" w:styleId="3">
    <w:name w:val="Body Text"/>
    <w:basedOn w:val="1"/>
    <w:qFormat/>
    <w:uiPriority w:val="0"/>
    <w:pPr>
      <w:spacing w:after="120" w:afterLines="0" w:afterAutospacing="0"/>
    </w:pPr>
  </w:style>
  <w:style w:type="paragraph" w:styleId="4">
    <w:name w:val="Date"/>
    <w:basedOn w:val="1"/>
    <w:next w:val="1"/>
    <w:link w:val="14"/>
    <w:semiHidden/>
    <w:unhideWhenUsed/>
    <w:qFormat/>
    <w:uiPriority w:val="99"/>
    <w:pPr>
      <w:ind w:left="100" w:leftChars="2500"/>
    </w:pPr>
  </w:style>
  <w:style w:type="paragraph" w:styleId="5">
    <w:name w:val="Balloon Text"/>
    <w:basedOn w:val="1"/>
    <w:link w:val="17"/>
    <w:semiHidden/>
    <w:unhideWhenUsed/>
    <w:qFormat/>
    <w:uiPriority w:val="99"/>
    <w:rPr>
      <w:sz w:val="18"/>
      <w:szCs w:val="18"/>
    </w:rPr>
  </w:style>
  <w:style w:type="paragraph" w:styleId="6">
    <w:name w:val="footer"/>
    <w:basedOn w:val="1"/>
    <w:link w:val="16"/>
    <w:unhideWhenUsed/>
    <w:qFormat/>
    <w:uiPriority w:val="99"/>
    <w:pPr>
      <w:tabs>
        <w:tab w:val="center" w:pos="4153"/>
        <w:tab w:val="right" w:pos="8306"/>
      </w:tabs>
      <w:snapToGrid w:val="0"/>
      <w:jc w:val="left"/>
    </w:pPr>
    <w:rPr>
      <w:sz w:val="18"/>
      <w:szCs w:val="18"/>
    </w:rPr>
  </w:style>
  <w:style w:type="paragraph" w:styleId="7">
    <w:name w:val="header"/>
    <w:basedOn w:val="1"/>
    <w:link w:val="1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color w:val="000000"/>
      <w:kern w:val="0"/>
      <w:sz w:val="18"/>
      <w:szCs w:val="18"/>
    </w:rPr>
  </w:style>
  <w:style w:type="paragraph" w:styleId="10">
    <w:name w:val="Body Text First Indent"/>
    <w:basedOn w:val="3"/>
    <w:qFormat/>
    <w:uiPriority w:val="0"/>
    <w:pPr>
      <w:ind w:firstLine="420" w:firstLineChars="100"/>
    </w:pPr>
  </w:style>
  <w:style w:type="character" w:styleId="13">
    <w:name w:val="Strong"/>
    <w:basedOn w:val="12"/>
    <w:qFormat/>
    <w:uiPriority w:val="22"/>
    <w:rPr>
      <w:b/>
    </w:rPr>
  </w:style>
  <w:style w:type="character" w:customStyle="1" w:styleId="14">
    <w:name w:val="日期 Char"/>
    <w:basedOn w:val="12"/>
    <w:link w:val="4"/>
    <w:semiHidden/>
    <w:qFormat/>
    <w:uiPriority w:val="99"/>
  </w:style>
  <w:style w:type="character" w:customStyle="1" w:styleId="15">
    <w:name w:val="页眉 Char"/>
    <w:basedOn w:val="12"/>
    <w:link w:val="7"/>
    <w:semiHidden/>
    <w:qFormat/>
    <w:uiPriority w:val="99"/>
    <w:rPr>
      <w:sz w:val="18"/>
      <w:szCs w:val="18"/>
    </w:rPr>
  </w:style>
  <w:style w:type="character" w:customStyle="1" w:styleId="16">
    <w:name w:val="页脚 Char"/>
    <w:basedOn w:val="12"/>
    <w:link w:val="6"/>
    <w:qFormat/>
    <w:uiPriority w:val="99"/>
    <w:rPr>
      <w:sz w:val="18"/>
      <w:szCs w:val="18"/>
    </w:rPr>
  </w:style>
  <w:style w:type="character" w:customStyle="1" w:styleId="17">
    <w:name w:val="批注框文本 Char"/>
    <w:basedOn w:val="12"/>
    <w:link w:val="5"/>
    <w:semiHidden/>
    <w:qFormat/>
    <w:uiPriority w:val="99"/>
    <w:rPr>
      <w:sz w:val="18"/>
      <w:szCs w:val="18"/>
    </w:rPr>
  </w:style>
  <w:style w:type="paragraph" w:styleId="1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c4bac43c-7d6c-4780-b871-81168d9ed7a9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32BFD62B</paraID>
      <start xmlns="http://schemas.wps.cn/vas-ai-hub/contract-review">75</start>
      <end xmlns="http://schemas.wps.cn/vas-ai-hub/contract-review">78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c8ef4b99-343b-42c0-a2a7-ebaadf4f732e</errorID>
      <errorWord xmlns="http://schemas.wps.cn/vas-ai-hub/contract-review">办法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本办法</item>
      </candidateList>
      <explain xmlns="http://schemas.wps.cn/vas-ai-hub/contract-review"/>
      <paraID xmlns="http://schemas.wps.cn/vas-ai-hub/contract-review">32BFD62B</paraID>
      <start xmlns="http://schemas.wps.cn/vas-ai-hub/contract-review">220</start>
      <end xmlns="http://schemas.wps.cn/vas-ai-hub/contract-review">223</end>
      <status xmlns="http://schemas.wps.cn/vas-ai-hub/contract-review">modified</status>
      <modifiedWord xmlns="http://schemas.wps.cn/vas-ai-hub/contract-review">本办法</modifiedWord>
      <trackRevisions xmlns="http://schemas.wps.cn/vas-ai-hub/contract-review">false</trackRevisions>
    </reviewItem>
    <reviewItem xmlns="http://schemas.wps.cn/vas-ai-hub/contract-review">
      <errorID xmlns="http://schemas.wps.cn/vas-ai-hub/contract-review">15d8d4a0-f804-4128-aa45-35aeb5c43bd4</errorID>
      <errorWord xmlns="http://schemas.wps.cn/vas-ai-hub/contract-review">需具备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须具备</item>
      </candidateList>
      <explain xmlns="http://schemas.wps.cn/vas-ai-hub/contract-review"/>
      <paraID xmlns="http://schemas.wps.cn/vas-ai-hub/contract-review">5F2A2D4E</paraID>
      <start xmlns="http://schemas.wps.cn/vas-ai-hub/contract-review">63</start>
      <end xmlns="http://schemas.wps.cn/vas-ai-hub/contract-review">66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2a76528f-007e-49d4-a416-b97feca2d993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3E1919B1</paraID>
      <start xmlns="http://schemas.wps.cn/vas-ai-hub/contract-review">3</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56164031-a62c-4846-8bcd-e0b5a1ad0573</errorID>
      <errorWord xmlns="http://schemas.wps.cn/vas-ai-hub/contract-review">五个工作日</errorWord>
      <group xmlns="http://schemas.wps.cn/vas-ai-hub/contract-review">L1_Other</group>
      <groupName xmlns="http://schemas.wps.cn/vas-ai-hub/contract-review">其他问题</groupName>
      <ability xmlns="http://schemas.wps.cn/vas-ai-hub/contract-review">L2_Consistency</ability>
      <abilityName xmlns="http://schemas.wps.cn/vas-ai-hub/contract-review">一致性检查</abilityName>
      <candidateList xmlns="http://schemas.wps.cn/vas-ai-hub/contract-review">
        <item xmlns="http://schemas.wps.cn/vas-ai-hub/contract-review">5个工作日</item>
      </candidateList>
      <explain xmlns="http://schemas.wps.cn/vas-ai-hub/contract-review">数字一致性，同一份公文中同类工作日表述不一致，全文其余地方统一使用阿拉伯数字表述工作日数量，此处表述不一致</explain>
      <paraID xmlns="http://schemas.wps.cn/vas-ai-hub/contract-review">3B0286A9</paraID>
      <start xmlns="http://schemas.wps.cn/vas-ai-hub/contract-review">51</start>
      <end xmlns="http://schemas.wps.cn/vas-ai-hub/contract-review">56</end>
      <status xmlns="http://schemas.wps.cn/vas-ai-hub/contract-review">modified</status>
      <modifiedWord xmlns="http://schemas.wps.cn/vas-ai-hub/contract-review">5个工作日</modifiedWord>
      <trackRevisions xmlns="http://schemas.wps.cn/vas-ai-hub/contract-review">false</trackRevisions>
    </reviewItem>
    <reviewItem xmlns="http://schemas.wps.cn/vas-ai-hub/contract-review">
      <errorID xmlns="http://schemas.wps.cn/vas-ai-hub/contract-review">d414a999-a42f-4dcc-8187-cd2b4f67c9f8</errorID>
      <errorWord xmlns="http://schemas.wps.cn/vas-ai-hub/contract-review">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，将</item>
      </candidateList>
      <explain xmlns="http://schemas.wps.cn/vas-ai-hub/contract-review"/>
      <paraID xmlns="http://schemas.wps.cn/vas-ai-hub/contract-review">3BABF080</paraID>
      <start xmlns="http://schemas.wps.cn/vas-ai-hub/contract-review">16</start>
      <end xmlns="http://schemas.wps.cn/vas-ai-hub/contract-review">18</end>
      <status xmlns="http://schemas.wps.cn/vas-ai-hub/contract-review">modified</status>
      <modifiedWord xmlns="http://schemas.wps.cn/vas-ai-hub/contract-review">，将</modifiedWord>
      <trackRevisions xmlns="http://schemas.wps.cn/vas-ai-hub/contract-review">false</trackRevisions>
    </reviewItem>
    <reviewItem xmlns="http://schemas.wps.cn/vas-ai-hub/contract-review">
      <errorID xmlns="http://schemas.wps.cn/vas-ai-hub/contract-review">71f04f16-b08c-498d-8f67-c7c543c88e47</errorID>
      <errorWord xmlns="http://schemas.wps.cn/vas-ai-hub/contract-review">提出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申请</item>
      </candidateList>
      <explain xmlns="http://schemas.wps.cn/vas-ai-hub/contract-review"/>
      <paraID xmlns="http://schemas.wps.cn/vas-ai-hub/contract-review">6EDE5121</paraID>
      <start xmlns="http://schemas.wps.cn/vas-ai-hub/contract-review">128</start>
      <end xmlns="http://schemas.wps.cn/vas-ai-hub/contract-review">130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156ad8c0-9fc5-4b0b-8902-46fe530a433b</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51C87E7F</paraID>
      <start xmlns="http://schemas.wps.cn/vas-ai-hub/contract-review">3</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52c4ad8c-5c38-4696-a3c8-8bbcdb31865d</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550A09</paraID>
      <start xmlns="http://schemas.wps.cn/vas-ai-hub/contract-review">3</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9d5f0ef8-8ee1-4a9e-954e-f584f0368a61</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
      <paraID xmlns="http://schemas.wps.cn/vas-ai-hub/contract-review"> CA7011F</paraID>
      <start xmlns="http://schemas.wps.cn/vas-ai-hub/contract-review">25</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fc226aa8-af35-4bdc-94df-09a9a7c9e7a2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52667682</paraID>
      <start xmlns="http://schemas.wps.cn/vas-ai-hub/contract-review">3</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21ef5648-0d3e-46e7-9e48-8597c05afdee</errorID>
      <errorWord xmlns="http://schemas.wps.cn/vas-ai-hub/contract-review">负保密责任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负有保密责任</item>
      </candidateList>
      <explain xmlns="http://schemas.wps.cn/vas-ai-hub/contract-review"/>
      <paraID xmlns="http://schemas.wps.cn/vas-ai-hub/contract-review">419728C9</paraID>
      <start xmlns="http://schemas.wps.cn/vas-ai-hub/contract-review">86</start>
      <end xmlns="http://schemas.wps.cn/vas-ai-hub/contract-review">91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7ff5f2cf-6b76-4ef2-b244-3a7a2ed860cb</errorID>
      <errorWord xmlns="http://schemas.wps.cn/vas-ai-hub/contract-review">交易中心关于 </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交易中心</item>
      </candidateList>
      <explain xmlns="http://schemas.wps.cn/vas-ai-hub/contract-review"/>
      <paraID xmlns="http://schemas.wps.cn/vas-ai-hub/contract-review">7609BECE</paraID>
      <start xmlns="http://schemas.wps.cn/vas-ai-hub/contract-review">15</start>
      <end xmlns="http://schemas.wps.cn/vas-ai-hub/contract-review">22</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c67c27-99fa-44b8-8137-9fe3512ed883}">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4286</Words>
  <Characters>4336</Characters>
  <Lines>31</Lines>
  <Paragraphs>8</Paragraphs>
  <TotalTime>4</TotalTime>
  <ScaleCrop>false</ScaleCrop>
  <LinksUpToDate>false</LinksUpToDate>
  <CharactersWithSpaces>4422</CharactersWithSpaces>
  <Application>WPS Office_11.8.2.1131_F1E327BC-269C-435d-A152-05C5408002CA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2024-05-16T08:39:00Z</dcterms:created>
  <dc:creator>admin</dc:creator>
  <cp:lastModifiedBy>索丽雅</cp:lastModifiedBy>
  <cp:lastPrinted>2026-08-13T10:26:00Z</cp:lastPrinted>
  <dcterms:modified xsi:type="dcterms:W3CDTF">2026-08-17T16:25:59Z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2052-11.8.2.1131</vt:lpwstr>
  </property>
  <property fmtid="{D5CDD505-2E9C-101B-9397-08002B2CF9AE}" pid="3" name="ICV">
    <vt:lpwstr>4E4FA610995526F497C5826A09EC1427</vt:lpwstr>
  </property>
  <property fmtid="{D5CDD505-2E9C-101B-9397-08002B2CF9AE}" pid="4" name="KSOTemplateDocerSaveRecord">
    <vt:lpwstr>eyJoZGlkIjoiOGIwZjM1OWIxNjE1MWQyYTc1NjM3ZGQ3ZjgzYzZkYmQiLCJ1c2VySWQiOiIzMjI5NTY1MDIifQ==</vt:lpwstr>
  </property>
</Properties>
</file>