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32E0D">
      <w:pPr>
        <w:pStyle w:val="2"/>
        <w:spacing w:before="94" w:line="229" w:lineRule="auto"/>
        <w:ind w:left="145"/>
        <w:jc w:val="left"/>
        <w:rPr>
          <w:sz w:val="29"/>
          <w:szCs w:val="29"/>
        </w:rPr>
      </w:pPr>
      <w:r>
        <w:rPr>
          <w:spacing w:val="-5"/>
          <w:sz w:val="29"/>
          <w:szCs w:val="29"/>
        </w:rPr>
        <w:t>附件</w:t>
      </w:r>
      <w:r>
        <w:rPr>
          <w:spacing w:val="-37"/>
          <w:sz w:val="29"/>
          <w:szCs w:val="29"/>
        </w:rPr>
        <w:t xml:space="preserve"> </w:t>
      </w:r>
      <w:r>
        <w:rPr>
          <w:spacing w:val="-5"/>
          <w:sz w:val="29"/>
          <w:szCs w:val="29"/>
        </w:rPr>
        <w:t>1</w:t>
      </w:r>
    </w:p>
    <w:p w14:paraId="4AFE4D23">
      <w:pPr>
        <w:pStyle w:val="2"/>
        <w:spacing w:before="60" w:line="218" w:lineRule="auto"/>
        <w:ind w:left="163"/>
        <w:jc w:val="left"/>
        <w:rPr>
          <w:sz w:val="29"/>
          <w:szCs w:val="29"/>
        </w:rPr>
      </w:pPr>
      <w:r>
        <w:rPr>
          <w:spacing w:val="4"/>
          <w:sz w:val="29"/>
          <w:szCs w:val="29"/>
        </w:rPr>
        <w:t>出让区块基本情况表</w:t>
      </w:r>
    </w:p>
    <w:tbl>
      <w:tblPr>
        <w:tblStyle w:val="6"/>
        <w:tblW w:w="141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2257"/>
        <w:gridCol w:w="603"/>
        <w:gridCol w:w="1455"/>
        <w:gridCol w:w="4010"/>
        <w:gridCol w:w="2513"/>
        <w:gridCol w:w="2611"/>
      </w:tblGrid>
      <w:tr w14:paraId="2C669F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729" w:type="dxa"/>
            <w:textDirection w:val="tbRlV"/>
            <w:vAlign w:val="top"/>
          </w:tcPr>
          <w:p w14:paraId="401ACE66">
            <w:pPr>
              <w:pStyle w:val="5"/>
              <w:spacing w:before="316" w:line="207" w:lineRule="auto"/>
              <w:ind w:left="507"/>
              <w:jc w:val="left"/>
            </w:pPr>
            <w:r>
              <w:rPr>
                <w:spacing w:val="16"/>
              </w:rPr>
              <w:t>序</w:t>
            </w:r>
            <w:r>
              <w:rPr>
                <w:spacing w:val="-32"/>
              </w:rPr>
              <w:t xml:space="preserve"> </w:t>
            </w:r>
            <w:r>
              <w:rPr>
                <w:spacing w:val="16"/>
              </w:rPr>
              <w:t>号</w:t>
            </w:r>
          </w:p>
        </w:tc>
        <w:tc>
          <w:tcPr>
            <w:tcW w:w="2257" w:type="dxa"/>
            <w:vAlign w:val="top"/>
          </w:tcPr>
          <w:p w14:paraId="31F01C68">
            <w:pPr>
              <w:spacing w:line="310" w:lineRule="auto"/>
              <w:jc w:val="left"/>
              <w:rPr>
                <w:rFonts w:ascii="Arial"/>
                <w:sz w:val="21"/>
              </w:rPr>
            </w:pPr>
          </w:p>
          <w:p w14:paraId="5551A6F9">
            <w:pPr>
              <w:spacing w:line="310" w:lineRule="auto"/>
              <w:jc w:val="left"/>
              <w:rPr>
                <w:rFonts w:ascii="Arial"/>
                <w:sz w:val="21"/>
              </w:rPr>
            </w:pPr>
          </w:p>
          <w:p w14:paraId="73D09390">
            <w:pPr>
              <w:pStyle w:val="5"/>
              <w:spacing w:before="95" w:line="227" w:lineRule="auto"/>
              <w:ind w:left="149"/>
              <w:jc w:val="left"/>
            </w:pPr>
            <w:r>
              <w:rPr>
                <w:spacing w:val="-2"/>
              </w:rPr>
              <w:t>区块名称</w:t>
            </w:r>
          </w:p>
        </w:tc>
        <w:tc>
          <w:tcPr>
            <w:tcW w:w="603" w:type="dxa"/>
            <w:textDirection w:val="tbRlV"/>
            <w:vAlign w:val="top"/>
          </w:tcPr>
          <w:p w14:paraId="7C5FF759">
            <w:pPr>
              <w:pStyle w:val="5"/>
              <w:spacing w:before="196" w:line="206" w:lineRule="auto"/>
              <w:ind w:left="87"/>
              <w:jc w:val="left"/>
            </w:pPr>
            <w:r>
              <w:rPr>
                <w:spacing w:val="16"/>
              </w:rPr>
              <w:t>勘</w:t>
            </w:r>
            <w:r>
              <w:rPr>
                <w:spacing w:val="-30"/>
              </w:rPr>
              <w:t xml:space="preserve"> </w:t>
            </w:r>
            <w:r>
              <w:rPr>
                <w:spacing w:val="16"/>
              </w:rPr>
              <w:t>查</w:t>
            </w:r>
            <w:r>
              <w:rPr>
                <w:spacing w:val="-32"/>
              </w:rPr>
              <w:t xml:space="preserve"> </w:t>
            </w:r>
            <w:r>
              <w:rPr>
                <w:spacing w:val="16"/>
              </w:rPr>
              <w:t>矿</w:t>
            </w:r>
            <w:r>
              <w:rPr>
                <w:spacing w:val="-32"/>
              </w:rPr>
              <w:t xml:space="preserve"> </w:t>
            </w:r>
            <w:r>
              <w:rPr>
                <w:spacing w:val="16"/>
              </w:rPr>
              <w:t>种</w:t>
            </w:r>
          </w:p>
        </w:tc>
        <w:tc>
          <w:tcPr>
            <w:tcW w:w="1455" w:type="dxa"/>
            <w:vAlign w:val="top"/>
          </w:tcPr>
          <w:p w14:paraId="521DCAA4">
            <w:pPr>
              <w:spacing w:line="409" w:lineRule="auto"/>
              <w:jc w:val="left"/>
              <w:rPr>
                <w:rFonts w:ascii="Arial"/>
                <w:sz w:val="21"/>
              </w:rPr>
            </w:pPr>
          </w:p>
          <w:p w14:paraId="39CA5FFC">
            <w:pPr>
              <w:pStyle w:val="5"/>
              <w:spacing w:before="94" w:line="230" w:lineRule="auto"/>
              <w:ind w:left="130"/>
              <w:jc w:val="left"/>
            </w:pPr>
            <w:r>
              <w:rPr>
                <w:spacing w:val="-3"/>
              </w:rPr>
              <w:t>面积</w:t>
            </w:r>
          </w:p>
          <w:p w14:paraId="53161C7C">
            <w:pPr>
              <w:pStyle w:val="5"/>
              <w:spacing w:before="59" w:line="381" w:lineRule="exact"/>
              <w:ind w:left="129"/>
              <w:jc w:val="left"/>
            </w:pPr>
            <w:r>
              <w:rPr>
                <w:spacing w:val="-1"/>
                <w:position w:val="1"/>
              </w:rPr>
              <w:t>（km2）</w:t>
            </w:r>
          </w:p>
        </w:tc>
        <w:tc>
          <w:tcPr>
            <w:tcW w:w="4010" w:type="dxa"/>
            <w:vAlign w:val="top"/>
          </w:tcPr>
          <w:p w14:paraId="393A7839">
            <w:pPr>
              <w:pStyle w:val="5"/>
              <w:spacing w:before="86" w:line="229" w:lineRule="auto"/>
              <w:ind w:left="149"/>
              <w:jc w:val="left"/>
            </w:pPr>
            <w:r>
              <w:rPr>
                <w:spacing w:val="2"/>
              </w:rPr>
              <w:t>区块拐点坐标</w:t>
            </w:r>
          </w:p>
          <w:p w14:paraId="4A03B2FB">
            <w:pPr>
              <w:pStyle w:val="5"/>
              <w:spacing w:before="61" w:line="250" w:lineRule="auto"/>
              <w:ind w:left="122" w:right="103" w:firstLine="5"/>
              <w:jc w:val="left"/>
            </w:pPr>
            <w:r>
              <w:rPr>
                <w:spacing w:val="12"/>
              </w:rPr>
              <w:t>（2000</w:t>
            </w:r>
            <w:r>
              <w:rPr>
                <w:spacing w:val="-23"/>
              </w:rPr>
              <w:t xml:space="preserve"> </w:t>
            </w:r>
            <w:r>
              <w:rPr>
                <w:spacing w:val="12"/>
              </w:rPr>
              <w:t>坐标系，经纬度。小</w:t>
            </w:r>
            <w:r>
              <w:t>数点前两位为度，小数点后前</w:t>
            </w:r>
            <w:r>
              <w:rPr>
                <w:spacing w:val="6"/>
              </w:rPr>
              <w:t>两位为分、后五位为秒）</w:t>
            </w:r>
          </w:p>
        </w:tc>
        <w:tc>
          <w:tcPr>
            <w:tcW w:w="2513" w:type="dxa"/>
            <w:vAlign w:val="top"/>
          </w:tcPr>
          <w:p w14:paraId="6EB1FFA7">
            <w:pPr>
              <w:spacing w:line="410" w:lineRule="auto"/>
              <w:jc w:val="left"/>
              <w:rPr>
                <w:rFonts w:ascii="Arial"/>
                <w:sz w:val="21"/>
              </w:rPr>
            </w:pPr>
          </w:p>
          <w:p w14:paraId="3AD5DBDF">
            <w:pPr>
              <w:pStyle w:val="5"/>
              <w:spacing w:before="94" w:line="229" w:lineRule="auto"/>
              <w:ind w:left="126"/>
              <w:jc w:val="left"/>
            </w:pPr>
            <w:r>
              <w:rPr>
                <w:spacing w:val="6"/>
              </w:rPr>
              <w:t>挂牌起始价</w:t>
            </w:r>
          </w:p>
        </w:tc>
        <w:tc>
          <w:tcPr>
            <w:tcW w:w="2611" w:type="dxa"/>
            <w:vAlign w:val="top"/>
          </w:tcPr>
          <w:p w14:paraId="368D15D0">
            <w:pPr>
              <w:spacing w:line="310" w:lineRule="auto"/>
              <w:jc w:val="left"/>
              <w:rPr>
                <w:rFonts w:ascii="Arial"/>
                <w:sz w:val="21"/>
              </w:rPr>
            </w:pPr>
          </w:p>
          <w:p w14:paraId="6FD09E48">
            <w:pPr>
              <w:spacing w:line="310" w:lineRule="auto"/>
              <w:jc w:val="left"/>
              <w:rPr>
                <w:rFonts w:ascii="Arial"/>
                <w:sz w:val="21"/>
              </w:rPr>
            </w:pPr>
          </w:p>
          <w:p w14:paraId="2C81F88F">
            <w:pPr>
              <w:pStyle w:val="5"/>
              <w:spacing w:before="94" w:line="228" w:lineRule="auto"/>
              <w:ind w:left="154"/>
              <w:jc w:val="left"/>
            </w:pPr>
            <w:r>
              <w:rPr>
                <w:spacing w:val="2"/>
              </w:rPr>
              <w:t>区块地理位置</w:t>
            </w:r>
          </w:p>
        </w:tc>
      </w:tr>
      <w:tr w14:paraId="679B5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</w:trPr>
        <w:tc>
          <w:tcPr>
            <w:tcW w:w="729" w:type="dxa"/>
            <w:vAlign w:val="top"/>
          </w:tcPr>
          <w:p w14:paraId="0DF3448A">
            <w:pPr>
              <w:spacing w:line="253" w:lineRule="auto"/>
              <w:jc w:val="left"/>
              <w:rPr>
                <w:rFonts w:ascii="Arial"/>
                <w:sz w:val="21"/>
              </w:rPr>
            </w:pPr>
          </w:p>
          <w:p w14:paraId="7659A89F">
            <w:pPr>
              <w:spacing w:line="253" w:lineRule="auto"/>
              <w:jc w:val="left"/>
              <w:rPr>
                <w:rFonts w:ascii="Arial"/>
                <w:sz w:val="21"/>
              </w:rPr>
            </w:pPr>
          </w:p>
          <w:p w14:paraId="7CCA3418">
            <w:pPr>
              <w:spacing w:line="254" w:lineRule="auto"/>
              <w:jc w:val="left"/>
              <w:rPr>
                <w:rFonts w:ascii="Arial"/>
                <w:sz w:val="21"/>
              </w:rPr>
            </w:pPr>
          </w:p>
          <w:p w14:paraId="371C7913">
            <w:pPr>
              <w:spacing w:line="254" w:lineRule="auto"/>
              <w:jc w:val="left"/>
              <w:rPr>
                <w:rFonts w:ascii="Arial"/>
                <w:sz w:val="21"/>
              </w:rPr>
            </w:pPr>
          </w:p>
          <w:p w14:paraId="5B6FC35C">
            <w:pPr>
              <w:pStyle w:val="5"/>
              <w:spacing w:before="94" w:line="391" w:lineRule="exact"/>
              <w:ind w:left="140"/>
              <w:jc w:val="left"/>
            </w:pPr>
            <w:r>
              <w:rPr>
                <w:position w:val="2"/>
              </w:rPr>
              <w:t>1</w:t>
            </w:r>
          </w:p>
        </w:tc>
        <w:tc>
          <w:tcPr>
            <w:tcW w:w="2257" w:type="dxa"/>
            <w:vAlign w:val="top"/>
          </w:tcPr>
          <w:p w14:paraId="7E00A677">
            <w:pPr>
              <w:pStyle w:val="5"/>
              <w:spacing w:before="79" w:line="257" w:lineRule="auto"/>
              <w:ind w:left="125" w:right="11" w:firstLine="10"/>
              <w:jc w:val="left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科尔沁右翼前旗乌兰毛都苏木勿布林矿区建筑用闪长岩矿</w:t>
            </w:r>
          </w:p>
        </w:tc>
        <w:tc>
          <w:tcPr>
            <w:tcW w:w="603" w:type="dxa"/>
            <w:vAlign w:val="top"/>
          </w:tcPr>
          <w:p w14:paraId="4D04D983">
            <w:pPr>
              <w:pStyle w:val="5"/>
              <w:spacing w:before="79" w:line="257" w:lineRule="auto"/>
              <w:ind w:left="125" w:right="11" w:firstLine="10"/>
              <w:jc w:val="left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建筑用闪长岩</w:t>
            </w:r>
          </w:p>
        </w:tc>
        <w:tc>
          <w:tcPr>
            <w:tcW w:w="1455" w:type="dxa"/>
            <w:vAlign w:val="top"/>
          </w:tcPr>
          <w:p w14:paraId="7F29FEBD">
            <w:pPr>
              <w:pStyle w:val="5"/>
              <w:spacing w:before="79" w:line="257" w:lineRule="auto"/>
              <w:ind w:left="125" w:right="11" w:firstLine="10"/>
              <w:jc w:val="left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0.1750</w:t>
            </w:r>
          </w:p>
        </w:tc>
        <w:tc>
          <w:tcPr>
            <w:tcW w:w="4010" w:type="dxa"/>
            <w:vAlign w:val="top"/>
          </w:tcPr>
          <w:p w14:paraId="264E5B82">
            <w:pPr>
              <w:pStyle w:val="5"/>
              <w:spacing w:before="79" w:line="257" w:lineRule="auto"/>
              <w:ind w:right="11"/>
              <w:jc w:val="left"/>
              <w:rPr>
                <w:rFonts w:hint="eastAsia"/>
                <w:spacing w:val="-1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  <w:spacing w:val="-1"/>
                <w:lang w:eastAsia="zh-CN"/>
              </w:rPr>
              <w:t>见附件：2</w:t>
            </w:r>
          </w:p>
        </w:tc>
        <w:tc>
          <w:tcPr>
            <w:tcW w:w="2513" w:type="dxa"/>
            <w:vAlign w:val="top"/>
          </w:tcPr>
          <w:p w14:paraId="3154C221">
            <w:pPr>
              <w:pStyle w:val="5"/>
              <w:spacing w:before="79" w:line="257" w:lineRule="auto"/>
              <w:ind w:left="125" w:right="11" w:firstLine="10"/>
              <w:jc w:val="left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55.87</w:t>
            </w:r>
          </w:p>
        </w:tc>
        <w:tc>
          <w:tcPr>
            <w:tcW w:w="2611" w:type="dxa"/>
            <w:vAlign w:val="top"/>
          </w:tcPr>
          <w:p w14:paraId="1D73F75C">
            <w:pPr>
              <w:pStyle w:val="5"/>
              <w:spacing w:before="79" w:line="257" w:lineRule="auto"/>
              <w:ind w:left="125" w:right="11" w:firstLine="10"/>
              <w:jc w:val="left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内蒙古自治区兴安盟科尔沁右翼前旗</w:t>
            </w:r>
            <w:r>
              <w:rPr>
                <w:rFonts w:hint="eastAsia"/>
                <w:spacing w:val="-1"/>
                <w:lang w:val="en-US" w:eastAsia="zh-CN"/>
              </w:rPr>
              <w:t>乌兰毛都苏木勿布林嘎查</w:t>
            </w:r>
          </w:p>
        </w:tc>
      </w:tr>
      <w:tr w14:paraId="61BE87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14178" w:type="dxa"/>
            <w:gridSpan w:val="7"/>
            <w:vAlign w:val="top"/>
          </w:tcPr>
          <w:p w14:paraId="25B4BF5E">
            <w:pPr>
              <w:pStyle w:val="5"/>
              <w:spacing w:before="79" w:line="257" w:lineRule="auto"/>
              <w:ind w:left="125" w:right="11" w:firstLine="10"/>
              <w:jc w:val="left"/>
            </w:pPr>
            <w:r>
              <w:rPr>
                <w:spacing w:val="-1"/>
              </w:rPr>
              <w:t>注：依据《《财政部</w:t>
            </w:r>
            <w:r>
              <w:rPr>
                <w:spacing w:val="80"/>
              </w:rPr>
              <w:t xml:space="preserve"> </w:t>
            </w:r>
            <w:r>
              <w:rPr>
                <w:spacing w:val="-1"/>
              </w:rPr>
              <w:t>自然资源部 税务总局关于印发〈矿业</w:t>
            </w:r>
            <w:r>
              <w:rPr>
                <w:spacing w:val="-2"/>
              </w:rPr>
              <w:t>权出让收益征收〉的通知》(财综〔2023〕10</w:t>
            </w:r>
            <w:r>
              <w:rPr>
                <w:spacing w:val="-43"/>
              </w:rPr>
              <w:t xml:space="preserve"> </w:t>
            </w:r>
            <w:r>
              <w:rPr>
                <w:spacing w:val="-2"/>
              </w:rPr>
              <w:t>号)、</w:t>
            </w:r>
            <w:r>
              <w:t xml:space="preserve"> </w:t>
            </w:r>
            <w:r>
              <w:rPr>
                <w:spacing w:val="4"/>
              </w:rPr>
              <w:t>《内蒙古自治区财政厅</w:t>
            </w:r>
            <w:r>
              <w:rPr>
                <w:spacing w:val="79"/>
              </w:rPr>
              <w:t xml:space="preserve"> </w:t>
            </w:r>
            <w:r>
              <w:rPr>
                <w:spacing w:val="4"/>
              </w:rPr>
              <w:t>自然资源厅</w:t>
            </w:r>
            <w:r>
              <w:rPr>
                <w:spacing w:val="59"/>
              </w:rPr>
              <w:t xml:space="preserve"> </w:t>
            </w:r>
            <w:r>
              <w:rPr>
                <w:spacing w:val="4"/>
              </w:rPr>
              <w:t>国家税务总局内蒙古自治区税务局关于印发</w:t>
            </w:r>
            <w:r>
              <w:rPr>
                <w:spacing w:val="3"/>
              </w:rPr>
              <w:t>〈内蒙古自治区矿业权出让</w:t>
            </w:r>
            <w:r>
              <w:rPr>
                <w:spacing w:val="8"/>
              </w:rPr>
              <w:t>收益征收管理办法〉的通知》</w:t>
            </w:r>
            <w:r>
              <w:rPr>
                <w:spacing w:val="-50"/>
              </w:rPr>
              <w:t xml:space="preserve"> </w:t>
            </w:r>
            <w:r>
              <w:rPr>
                <w:spacing w:val="8"/>
              </w:rPr>
              <w:t>(内财综规〔2024〕12</w:t>
            </w:r>
            <w:r>
              <w:rPr>
                <w:spacing w:val="-40"/>
              </w:rPr>
              <w:t xml:space="preserve"> </w:t>
            </w:r>
            <w:r>
              <w:rPr>
                <w:spacing w:val="8"/>
              </w:rPr>
              <w:t>号)规定，按照竞争确定的成交价，一次性缴纳探矿权</w:t>
            </w:r>
            <w:r>
              <w:rPr>
                <w:spacing w:val="7"/>
              </w:rPr>
              <w:t>出让收益。探矿权转采后，按合同约定的矿业权出让收益率逐年</w:t>
            </w:r>
            <w:r>
              <w:rPr>
                <w:spacing w:val="6"/>
              </w:rPr>
              <w:t>征收采矿权出让收益。矿业权出让收益率依</w:t>
            </w:r>
            <w:r>
              <w:rPr>
                <w:spacing w:val="8"/>
              </w:rPr>
              <w:t>据矿业权出让时《矿种目录》规定的标准确定。</w:t>
            </w:r>
          </w:p>
        </w:tc>
      </w:tr>
    </w:tbl>
    <w:p w14:paraId="02327B9B">
      <w:pPr>
        <w:jc w:val="left"/>
        <w:rPr>
          <w:rFonts w:ascii="Arial"/>
          <w:sz w:val="21"/>
        </w:rPr>
      </w:pPr>
    </w:p>
    <w:p w14:paraId="4A260158">
      <w:pPr>
        <w:jc w:val="left"/>
        <w:rPr>
          <w:rFonts w:ascii="Arial" w:hAnsi="Arial" w:eastAsia="Arial" w:cs="Arial"/>
          <w:sz w:val="21"/>
          <w:szCs w:val="21"/>
        </w:rPr>
        <w:sectPr>
          <w:pgSz w:w="16838" w:h="11906"/>
          <w:pgMar w:top="1011" w:right="1327" w:bottom="0" w:left="1327" w:header="0" w:footer="0" w:gutter="0"/>
          <w:cols w:space="720" w:num="1"/>
        </w:sectPr>
      </w:pPr>
    </w:p>
    <w:p w14:paraId="7E2AC4AD">
      <w:pPr>
        <w:pStyle w:val="2"/>
        <w:spacing w:before="75" w:line="229" w:lineRule="auto"/>
        <w:ind w:left="727"/>
        <w:jc w:val="left"/>
        <w:rPr>
          <w:spacing w:val="6"/>
          <w:sz w:val="29"/>
          <w:szCs w:val="29"/>
        </w:rPr>
      </w:pPr>
      <w:r>
        <w:rPr>
          <w:spacing w:val="1"/>
          <w:sz w:val="29"/>
          <w:szCs w:val="29"/>
        </w:rPr>
        <w:t>附件</w:t>
      </w:r>
      <w:r>
        <w:rPr>
          <w:spacing w:val="-42"/>
          <w:sz w:val="29"/>
          <w:szCs w:val="29"/>
        </w:rPr>
        <w:t xml:space="preserve"> </w:t>
      </w:r>
      <w:r>
        <w:rPr>
          <w:spacing w:val="1"/>
          <w:sz w:val="29"/>
          <w:szCs w:val="29"/>
        </w:rPr>
        <w:t>2</w:t>
      </w:r>
      <w:r>
        <w:rPr>
          <w:spacing w:val="6"/>
          <w:sz w:val="29"/>
          <w:szCs w:val="29"/>
        </w:rPr>
        <w:t xml:space="preserve">         </w:t>
      </w:r>
    </w:p>
    <w:p w14:paraId="68BF8B75">
      <w:pPr>
        <w:pStyle w:val="2"/>
        <w:spacing w:before="75" w:line="229" w:lineRule="auto"/>
        <w:ind w:left="727"/>
        <w:jc w:val="center"/>
        <w:rPr>
          <w:sz w:val="29"/>
          <w:szCs w:val="29"/>
        </w:rPr>
      </w:pPr>
      <w:r>
        <w:rPr>
          <w:spacing w:val="6"/>
          <w:sz w:val="29"/>
          <w:szCs w:val="29"/>
        </w:rPr>
        <w:t xml:space="preserve">  </w:t>
      </w:r>
      <w:r>
        <w:rPr>
          <w:spacing w:val="1"/>
          <w:sz w:val="29"/>
          <w:szCs w:val="29"/>
        </w:rPr>
        <w:t>拟出让区块</w:t>
      </w:r>
      <w:r>
        <w:rPr>
          <w:spacing w:val="-46"/>
          <w:sz w:val="29"/>
          <w:szCs w:val="29"/>
        </w:rPr>
        <w:t xml:space="preserve"> </w:t>
      </w:r>
      <w:r>
        <w:rPr>
          <w:spacing w:val="1"/>
          <w:sz w:val="29"/>
          <w:szCs w:val="29"/>
        </w:rPr>
        <w:t>2000</w:t>
      </w:r>
      <w:r>
        <w:rPr>
          <w:spacing w:val="-38"/>
          <w:sz w:val="29"/>
          <w:szCs w:val="29"/>
        </w:rPr>
        <w:t xml:space="preserve"> </w:t>
      </w:r>
      <w:r>
        <w:rPr>
          <w:spacing w:val="1"/>
          <w:sz w:val="29"/>
          <w:szCs w:val="29"/>
        </w:rPr>
        <w:t>系坐标范围</w:t>
      </w:r>
    </w:p>
    <w:p w14:paraId="6DDDC696">
      <w:pPr>
        <w:spacing w:before="10"/>
        <w:jc w:val="left"/>
      </w:pPr>
    </w:p>
    <w:p w14:paraId="25208E9D">
      <w:pPr>
        <w:spacing w:before="9"/>
        <w:jc w:val="left"/>
      </w:pPr>
    </w:p>
    <w:tbl>
      <w:tblPr>
        <w:tblStyle w:val="6"/>
        <w:tblW w:w="1008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2054"/>
        <w:gridCol w:w="2145"/>
        <w:gridCol w:w="855"/>
        <w:gridCol w:w="678"/>
        <w:gridCol w:w="1188"/>
        <w:gridCol w:w="617"/>
        <w:gridCol w:w="595"/>
        <w:gridCol w:w="1133"/>
      </w:tblGrid>
      <w:tr w14:paraId="44B0ED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817" w:type="dxa"/>
            <w:vMerge w:val="restart"/>
            <w:tcBorders>
              <w:bottom w:val="nil"/>
            </w:tcBorders>
            <w:vAlign w:val="top"/>
          </w:tcPr>
          <w:p w14:paraId="75A6B8F4">
            <w:pPr>
              <w:spacing w:line="278" w:lineRule="auto"/>
              <w:jc w:val="left"/>
              <w:rPr>
                <w:rFonts w:ascii="Arial"/>
                <w:sz w:val="21"/>
              </w:rPr>
            </w:pPr>
          </w:p>
          <w:p w14:paraId="4EDBBAA3">
            <w:pPr>
              <w:pStyle w:val="5"/>
              <w:spacing w:before="75" w:line="231" w:lineRule="auto"/>
              <w:ind w:left="180"/>
              <w:jc w:val="left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序号</w:t>
            </w:r>
          </w:p>
        </w:tc>
        <w:tc>
          <w:tcPr>
            <w:tcW w:w="4199" w:type="dxa"/>
            <w:gridSpan w:val="2"/>
            <w:vAlign w:val="top"/>
          </w:tcPr>
          <w:p w14:paraId="1ADA955A">
            <w:pPr>
              <w:pStyle w:val="5"/>
              <w:spacing w:before="117" w:line="231" w:lineRule="auto"/>
              <w:ind w:left="1631"/>
              <w:jc w:val="left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直角坐标</w:t>
            </w:r>
          </w:p>
        </w:tc>
        <w:tc>
          <w:tcPr>
            <w:tcW w:w="5066" w:type="dxa"/>
            <w:gridSpan w:val="6"/>
            <w:vAlign w:val="top"/>
          </w:tcPr>
          <w:p w14:paraId="0544B25E">
            <w:pPr>
              <w:pStyle w:val="5"/>
              <w:spacing w:before="118" w:line="229" w:lineRule="auto"/>
              <w:ind w:left="1944"/>
              <w:jc w:val="left"/>
              <w:rPr>
                <w:sz w:val="23"/>
                <w:szCs w:val="23"/>
              </w:rPr>
            </w:pPr>
            <w:r>
              <w:rPr>
                <w:spacing w:val="6"/>
                <w:sz w:val="23"/>
                <w:szCs w:val="23"/>
              </w:rPr>
              <w:t>经纬度坐标</w:t>
            </w:r>
          </w:p>
        </w:tc>
      </w:tr>
      <w:tr w14:paraId="4355E4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817" w:type="dxa"/>
            <w:vMerge w:val="continue"/>
            <w:tcBorders>
              <w:top w:val="nil"/>
            </w:tcBorders>
            <w:vAlign w:val="top"/>
          </w:tcPr>
          <w:p w14:paraId="1514206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2054" w:type="dxa"/>
            <w:vAlign w:val="top"/>
          </w:tcPr>
          <w:p w14:paraId="5EBF6B28">
            <w:pPr>
              <w:pStyle w:val="5"/>
              <w:spacing w:before="157" w:line="184" w:lineRule="auto"/>
              <w:ind w:left="96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2145" w:type="dxa"/>
            <w:vAlign w:val="top"/>
          </w:tcPr>
          <w:p w14:paraId="50F05141">
            <w:pPr>
              <w:pStyle w:val="5"/>
              <w:spacing w:before="157" w:line="184" w:lineRule="auto"/>
              <w:ind w:left="101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Y</w:t>
            </w:r>
          </w:p>
        </w:tc>
        <w:tc>
          <w:tcPr>
            <w:tcW w:w="2721" w:type="dxa"/>
            <w:gridSpan w:val="3"/>
            <w:vAlign w:val="top"/>
          </w:tcPr>
          <w:p w14:paraId="3A605461">
            <w:pPr>
              <w:pStyle w:val="5"/>
              <w:spacing w:before="113" w:line="231" w:lineRule="auto"/>
              <w:ind w:left="1135"/>
              <w:jc w:val="center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经度</w:t>
            </w:r>
          </w:p>
        </w:tc>
        <w:tc>
          <w:tcPr>
            <w:tcW w:w="2345" w:type="dxa"/>
            <w:gridSpan w:val="3"/>
            <w:vAlign w:val="top"/>
          </w:tcPr>
          <w:p w14:paraId="53986A4C">
            <w:pPr>
              <w:pStyle w:val="5"/>
              <w:spacing w:before="113" w:line="229" w:lineRule="auto"/>
              <w:ind w:left="949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纬度</w:t>
            </w:r>
          </w:p>
        </w:tc>
      </w:tr>
      <w:tr w14:paraId="02F9E8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17" w:type="dxa"/>
            <w:vAlign w:val="top"/>
          </w:tcPr>
          <w:p w14:paraId="093619F3">
            <w:pPr>
              <w:pStyle w:val="5"/>
              <w:spacing w:before="114" w:line="227" w:lineRule="auto"/>
              <w:ind w:left="370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54" w:type="dxa"/>
            <w:vAlign w:val="center"/>
          </w:tcPr>
          <w:p w14:paraId="209E706D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5135424.77</w:t>
            </w:r>
          </w:p>
        </w:tc>
        <w:tc>
          <w:tcPr>
            <w:tcW w:w="2145" w:type="dxa"/>
            <w:vAlign w:val="center"/>
          </w:tcPr>
          <w:p w14:paraId="36B68FE2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40548095.99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35240AA5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5657F594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1DBA3B22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29.512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131C4CE5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6369FB66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4CEFFA25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07.932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  <w:tr w14:paraId="5E22B1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817" w:type="dxa"/>
            <w:vAlign w:val="top"/>
          </w:tcPr>
          <w:p w14:paraId="31DD24FB">
            <w:pPr>
              <w:pStyle w:val="5"/>
              <w:spacing w:before="114" w:line="212" w:lineRule="auto"/>
              <w:ind w:left="355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054" w:type="dxa"/>
            <w:vAlign w:val="center"/>
          </w:tcPr>
          <w:p w14:paraId="15F2CF1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5134829.35</w:t>
            </w:r>
          </w:p>
        </w:tc>
        <w:tc>
          <w:tcPr>
            <w:tcW w:w="2145" w:type="dxa"/>
            <w:vAlign w:val="center"/>
          </w:tcPr>
          <w:p w14:paraId="205AF8E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40548456.05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0F766679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0EA758A0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6FB8E0D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46.131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65752646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1428A33B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20C41E31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48.557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  <w:tr w14:paraId="3F89C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17" w:type="dxa"/>
            <w:vAlign w:val="top"/>
          </w:tcPr>
          <w:p w14:paraId="666EB4B8">
            <w:pPr>
              <w:pStyle w:val="5"/>
              <w:spacing w:before="114" w:line="227" w:lineRule="auto"/>
              <w:ind w:left="357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054" w:type="dxa"/>
            <w:vAlign w:val="center"/>
          </w:tcPr>
          <w:p w14:paraId="272FD6BE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5134953.05</w:t>
            </w:r>
          </w:p>
        </w:tc>
        <w:tc>
          <w:tcPr>
            <w:tcW w:w="2145" w:type="dxa"/>
            <w:vAlign w:val="center"/>
          </w:tcPr>
          <w:p w14:paraId="42186B5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40548647.02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2D7E8B2F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69E5B15C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7D942975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55.107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747C1AEF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6F537093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5FE2B1E3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52.514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  <w:tr w14:paraId="472BCC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17" w:type="dxa"/>
            <w:vAlign w:val="top"/>
          </w:tcPr>
          <w:p w14:paraId="4A5D6C74">
            <w:pPr>
              <w:pStyle w:val="5"/>
              <w:spacing w:before="115" w:line="226" w:lineRule="auto"/>
              <w:ind w:left="352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054" w:type="dxa"/>
            <w:vAlign w:val="center"/>
          </w:tcPr>
          <w:p w14:paraId="41CF515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5135252.61</w:t>
            </w:r>
          </w:p>
        </w:tc>
        <w:tc>
          <w:tcPr>
            <w:tcW w:w="2145" w:type="dxa"/>
            <w:vAlign w:val="center"/>
          </w:tcPr>
          <w:p w14:paraId="2ADBD7BD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40548483.27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44708BBD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69262E9E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035F98F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47.561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2F472197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315732A4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40FA1C0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02.257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  <w:tr w14:paraId="3B954F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17" w:type="dxa"/>
            <w:vAlign w:val="top"/>
          </w:tcPr>
          <w:p w14:paraId="7EBD1803">
            <w:pPr>
              <w:pStyle w:val="5"/>
              <w:spacing w:before="115" w:line="226" w:lineRule="auto"/>
              <w:ind w:left="357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054" w:type="dxa"/>
            <w:vAlign w:val="center"/>
          </w:tcPr>
          <w:p w14:paraId="2D3C91CC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5135426.12</w:t>
            </w:r>
          </w:p>
        </w:tc>
        <w:tc>
          <w:tcPr>
            <w:tcW w:w="2145" w:type="dxa"/>
            <w:vAlign w:val="center"/>
          </w:tcPr>
          <w:p w14:paraId="37F155D7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40548439.66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170B6AB6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147A36DC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0AEB075B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45.586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2D3276B2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7158DA66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4A86192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07.887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  <w:tr w14:paraId="7A0946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17" w:type="dxa"/>
            <w:vAlign w:val="top"/>
          </w:tcPr>
          <w:p w14:paraId="17DA65F6">
            <w:pPr>
              <w:pStyle w:val="5"/>
              <w:spacing w:before="114" w:line="227" w:lineRule="auto"/>
              <w:ind w:left="354"/>
              <w:jc w:val="lef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054" w:type="dxa"/>
            <w:vAlign w:val="center"/>
          </w:tcPr>
          <w:p w14:paraId="2D32F7BF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5135554.05</w:t>
            </w:r>
          </w:p>
        </w:tc>
        <w:tc>
          <w:tcPr>
            <w:tcW w:w="2145" w:type="dxa"/>
            <w:vAlign w:val="center"/>
          </w:tcPr>
          <w:p w14:paraId="2B35F29B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40548297.06</w:t>
            </w:r>
          </w:p>
        </w:tc>
        <w:tc>
          <w:tcPr>
            <w:tcW w:w="855" w:type="dxa"/>
            <w:tcBorders>
              <w:right w:val="nil"/>
            </w:tcBorders>
            <w:vAlign w:val="center"/>
          </w:tcPr>
          <w:p w14:paraId="5C640CA8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°</w:t>
            </w:r>
          </w:p>
        </w:tc>
        <w:tc>
          <w:tcPr>
            <w:tcW w:w="678" w:type="dxa"/>
            <w:tcBorders>
              <w:left w:val="nil"/>
              <w:right w:val="nil"/>
            </w:tcBorders>
            <w:vAlign w:val="center"/>
          </w:tcPr>
          <w:p w14:paraId="3014B49C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37′</w:t>
            </w:r>
          </w:p>
        </w:tc>
        <w:tc>
          <w:tcPr>
            <w:tcW w:w="1188" w:type="dxa"/>
            <w:tcBorders>
              <w:left w:val="nil"/>
            </w:tcBorders>
            <w:vAlign w:val="center"/>
          </w:tcPr>
          <w:p w14:paraId="448B6EF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38.964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  <w:tc>
          <w:tcPr>
            <w:tcW w:w="617" w:type="dxa"/>
            <w:tcBorders>
              <w:right w:val="nil"/>
            </w:tcBorders>
            <w:vAlign w:val="center"/>
          </w:tcPr>
          <w:p w14:paraId="27C57056">
            <w:pPr>
              <w:jc w:val="center"/>
              <w:rPr>
                <w:sz w:val="23"/>
                <w:szCs w:val="23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46°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09148259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′</w:t>
            </w:r>
          </w:p>
        </w:tc>
        <w:tc>
          <w:tcPr>
            <w:tcW w:w="1133" w:type="dxa"/>
            <w:tcBorders>
              <w:left w:val="nil"/>
            </w:tcBorders>
            <w:vAlign w:val="center"/>
          </w:tcPr>
          <w:p w14:paraId="747ADAB0"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12.067</w:t>
            </w:r>
            <w:r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″</w:t>
            </w:r>
          </w:p>
        </w:tc>
      </w:tr>
    </w:tbl>
    <w:p w14:paraId="52427568">
      <w:pPr>
        <w:jc w:val="left"/>
        <w:rPr>
          <w:rFonts w:ascii="Arial" w:hAnsi="Arial" w:eastAsia="Arial" w:cs="Arial"/>
          <w:sz w:val="21"/>
          <w:szCs w:val="21"/>
        </w:rPr>
        <w:sectPr>
          <w:pgSz w:w="16838" w:h="11906" w:orient="landscape"/>
          <w:pgMar w:top="1107" w:right="1431" w:bottom="710" w:left="0" w:header="0" w:footer="0" w:gutter="0"/>
          <w:cols w:space="720" w:num="1"/>
        </w:sectPr>
      </w:pPr>
    </w:p>
    <w:p w14:paraId="609F6475"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92EE5"/>
    <w:rsid w:val="4A5D40A2"/>
    <w:rsid w:val="4B792EE5"/>
    <w:rsid w:val="608A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2026-08-26T01:03:00Z</dcterms:created>
  <dc:creator>WPS_1522507697</dc:creator>
  <cp:lastModifiedBy>WPS_1522507697</cp:lastModifiedBy>
  <cp:lastPrinted>2026-08-26T01:04:57Z</cp:lastPrinted>
  <dcterms:modified xsi:type="dcterms:W3CDTF">2026-08-26T01:05:09Z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36EE50725AE04FA297D36FBEBB8F9533_11</vt:lpwstr>
  </property>
  <property fmtid="{D5CDD505-2E9C-101B-9397-08002B2CF9AE}" pid="4" name="KSOTemplateDocerSaveRecord">
    <vt:lpwstr>eyJoZGlkIjoiNDBmMWU1MGUwZjI1NzRiMDI3YjY3ZTcyOGJlZmVjN2UiLCJ1c2VySWQiOiIzNTc5Mjg5NTEifQ==</vt:lpwstr>
  </property>
</Properties>
</file>