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val="en-US" w:eastAsia="zh-CN"/>
        </w:rPr>
        <w:t>6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动物防疫等补助经费分配测算方法及标准</w:t>
      </w:r>
    </w:p>
    <w:p>
      <w:pPr>
        <w:widowControl/>
        <w:spacing w:line="560" w:lineRule="exact"/>
        <w:ind w:firstLine="1066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spacing w:line="560" w:lineRule="exact"/>
        <w:ind w:firstLine="705"/>
        <w:rPr>
          <w:rFonts w:hint="eastAsia" w:ascii="宋体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强制免疫补助。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为指导性任务。根据畜禽饲养量、单个畜禽免疫补助标准、地区补助系数测算，其中强制免疫补助标准和地区补助系数按照有关规定执行。</w:t>
      </w:r>
    </w:p>
    <w:p>
      <w:pPr>
        <w:widowControl/>
        <w:spacing w:line="560" w:lineRule="exact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计算方法：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highlight w:val="none"/>
        </w:rPr>
        <w:t>补助经费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=∑某类畜禽饲养量×单个畜禽免疫补助标准×地区补助系数</w:t>
      </w:r>
    </w:p>
    <w:p>
      <w:pPr>
        <w:widowControl/>
        <w:spacing w:line="560" w:lineRule="exact"/>
        <w:ind w:firstLine="630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spacing w:line="560" w:lineRule="exact"/>
        <w:ind w:firstLine="630"/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强制扑杀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eastAsia="zh-CN"/>
        </w:rPr>
        <w:t>和销毁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补助。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为约束性任务。根据强制扑杀畜禽数量、单个畜禽扑杀补助标准、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销毁的动物产品和相关物品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的实际重量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单种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动物产品和物品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销毁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补助标准、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地区补助系数测算，其中扑杀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和销毁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补助标准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地区补助系数按照有关规定执行。</w:t>
      </w:r>
    </w:p>
    <w:p>
      <w:pPr>
        <w:widowControl/>
        <w:spacing w:line="560" w:lineRule="exact"/>
        <w:rPr>
          <w:rFonts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计算方法：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补助经费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=∑强制扑杀某类畜禽数量×单个畜禽扑杀补助标准×地区补助系数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∑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销毁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某种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动物产品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重量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单种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产品销毁补助标准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地区补助系数+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∑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销毁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某种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相关物品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重量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单种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物品销毁补助标准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地区补助系数</w:t>
      </w:r>
    </w:p>
    <w:p>
      <w:pPr>
        <w:widowControl/>
        <w:spacing w:line="560" w:lineRule="exact"/>
        <w:ind w:firstLine="705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bookmarkStart w:id="0" w:name="_GoBack"/>
      <w:bookmarkEnd w:id="0"/>
    </w:p>
    <w:p>
      <w:pPr>
        <w:widowControl/>
        <w:spacing w:line="560" w:lineRule="exact"/>
        <w:ind w:firstLine="705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养殖环节无害化处理补助。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为指导性任务。根据基础资源（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%）、政策任务（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95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%）因素测算，其中基础资源因素包括生猪养殖量等，政策任务因素包括病死猪无害化处理量、专业无害化处理场集中处理数量等。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计算方法：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highlight w:val="none"/>
        </w:rPr>
        <w:t>补助经费=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养殖环节无害化处理补助资金规模×（基础资源因素×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%+政策任务因素×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95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%）</w:t>
      </w:r>
    </w:p>
    <w:p>
      <w:pPr>
        <w:widowControl/>
        <w:spacing w:line="560" w:lineRule="exact"/>
        <w:ind w:firstLine="600" w:firstLineChars="200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  <w:t>注：除强制扑杀和销毁补助资金外，其他资金测算原则上应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根据绩效评价结果等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  <w:t>合理设置调节系数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进行适当调节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  <w:t>。</w:t>
      </w:r>
    </w:p>
    <w:p>
      <w:pPr>
        <w:widowControl/>
        <w:spacing w:line="560" w:lineRule="exact"/>
        <w:ind w:firstLine="660"/>
        <w:rPr>
          <w:rFonts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ind w:firstLine="705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ind w:firstLine="705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705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</w:p>
    <w:p>
      <w:pPr>
        <w:spacing w:line="560" w:lineRule="exact"/>
        <w:rPr>
          <w:color w:val="auto"/>
          <w:sz w:val="30"/>
          <w:szCs w:val="30"/>
          <w:highlight w:val="none"/>
        </w:rPr>
      </w:pPr>
    </w:p>
    <w:p/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gmHTI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Hm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OCYdMj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7FA10C"/>
    <w:rsid w:val="57B73B51"/>
    <w:rsid w:val="7F08955F"/>
    <w:rsid w:val="9F7F87C9"/>
    <w:rsid w:val="BFE70218"/>
    <w:rsid w:val="CDFB1331"/>
    <w:rsid w:val="D9CF6BFF"/>
    <w:rsid w:val="FCDB8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nmt</cp:lastModifiedBy>
  <dcterms:modified xsi:type="dcterms:W3CDTF">2022-12-06T11:03:32Z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